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June 30, 2015</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2015 we had approximately 11,350 employees, in 81 locations in 37 countries. During the six months ended June 30, 2015 we derived approximately 40.5%, 49.2% and 10.3% of our net revenue in the United States, Europe and Rest of World, respectively.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27, 2015 the Company acquired MediMedia Pharma Solutions for a total cash consideration of $120.0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w:t>
      </w:r>
      <w:r>
        <w:rPr>
          <w:rFonts w:ascii="Arial" w:cs="Arial" w:eastAsia="Arial" w:hAnsi="Arial"/>
          <w:sz w:val="18"/>
          <w:szCs w:val="18"/>
          <w:i w:val="1"/>
          <w:iCs w:val="1"/>
          <w:color w:val="auto"/>
        </w:rPr>
        <w:t>see note 3</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 for further information)</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May 1, 2015 the Company commenced a repurchase program under which the Company could acquire its outstanding ordinary shares (by way of redemption), in accordance with Irish law, the United States securities laws and the Company’s constitutional documents through open market share acquisitions. During the three months ended June 30, 2015, 882,419 ordinary shares were redeemed by the Company under the repurchase plan for a total consideration of $58.2 million. </w:t>
      </w:r>
      <w:r>
        <w:rPr>
          <w:rFonts w:ascii="Arial" w:cs="Arial" w:eastAsia="Arial" w:hAnsi="Arial"/>
          <w:sz w:val="18"/>
          <w:szCs w:val="18"/>
          <w:i w:val="1"/>
          <w:iCs w:val="1"/>
          <w:color w:val="auto"/>
        </w:rPr>
        <w:t>(See note 7 Share Capital for further information.</w:t>
      </w:r>
      <w:r>
        <w:rPr>
          <w:rFonts w:ascii="Arial" w:cs="Arial" w:eastAsia="Arial" w:hAnsi="Arial"/>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2015 AND DECEMBER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r>
      <w:tr>
        <w:trPr>
          <w:trHeight w:val="22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107,469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118,900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84,727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97,100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358,008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370,956</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173,614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146,163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21,477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17,491</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30,343</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24,716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37,535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28,465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19,174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832,347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819,507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147,310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148,185</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578,036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463,324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12,242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17,003</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15,060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7,408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21,472</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41,908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49,719</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1,636,254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1,528,850</w:t>
            </w: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6,304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268,495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280,097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224,040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251,091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credit lines and loan facilities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12,830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4,149</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571,862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538,359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15,748</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13,179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12,592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12,389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12,829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59,869,421 shares issued and outstanding at June 30, 2015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60,106,780 shares issued and outstanding at December 31, 2014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355,700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327,234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(50,317)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(37,555)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711,458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655,185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1,022,212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950,206</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1,636,254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1,528,850</w:t>
            </w: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2015 AND JUNE 30,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gridSpan w:val="15"/>
          </w:tcPr>
          <w:p>
            <w:pPr>
              <w:jc w:val="right"/>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506,404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1,027,464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982,948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(135,441)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(130,384)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(250,576)</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(257,294)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revenue</w:t>
            </w:r>
          </w:p>
        </w:tc>
        <w:tc>
          <w:tcPr>
            <w:tcW w:w="1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388,657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376,020</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776,888</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725,654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224,961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227,188</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453,039</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81,321</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87,622</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160,875</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166,570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14,244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12,922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28,169</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320,526</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327,732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642,083</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634,368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68,131</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48,288</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134,805</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68,121</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48,250</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134,792</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(9,537)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(7,467)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(20,338)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58,584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40,783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114,454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76,978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0.97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0.66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1.90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0.95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0.64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1.85</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60,244,982</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61,934,923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w w:val="99"/>
              </w:rPr>
              <w:t>60,263,021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w w:val="88"/>
              </w:rPr>
              <w:t>61,855,783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61,801,687</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63,343,269</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w w:val="99"/>
              </w:rPr>
              <w:t>61,849,326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w w:val="88"/>
              </w:rPr>
              <w:t>63,290,292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jc w:val="center"/>
              <w:ind w:left="2670"/>
              <w:spacing w:after="0"/>
              <w:rPr>
                <w:sz w:val="20"/>
                <w:szCs w:val="20"/>
                <w:color w:val="auto"/>
              </w:rPr>
            </w:pPr>
            <w:r>
              <w:rPr>
                <w:rFonts w:ascii="Arial" w:cs="Arial" w:eastAsia="Arial" w:hAnsi="Arial"/>
                <w:sz w:val="18"/>
                <w:szCs w:val="18"/>
                <w:b w:val="1"/>
                <w:bCs w:val="1"/>
                <w:color w:val="auto"/>
                <w:w w:val="97"/>
              </w:rPr>
              <w:t>ICON plc</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jc w:val="center"/>
              <w:ind w:left="26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jc w:val="center"/>
              <w:ind w:left="2690"/>
              <w:spacing w:after="0"/>
              <w:rPr>
                <w:sz w:val="20"/>
                <w:szCs w:val="20"/>
                <w:color w:val="auto"/>
              </w:rPr>
            </w:pPr>
            <w:r>
              <w:rPr>
                <w:rFonts w:ascii="Arial" w:cs="Arial" w:eastAsia="Arial" w:hAnsi="Arial"/>
                <w:sz w:val="18"/>
                <w:szCs w:val="18"/>
                <w:b w:val="1"/>
                <w:bCs w:val="1"/>
                <w:color w:val="auto"/>
                <w:w w:val="97"/>
              </w:rPr>
              <w:t>FOR THE SIX MONTHS ENDED JUNE 30, 2015 AND JUNE 30, 2014</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20" w:type="dxa"/>
            <w:vAlign w:val="bottom"/>
          </w:tcPr>
          <w:p>
            <w:pPr>
              <w:jc w:val="center"/>
              <w:ind w:left="2670"/>
              <w:spacing w:after="0"/>
              <w:rPr>
                <w:sz w:val="20"/>
                <w:szCs w:val="20"/>
                <w:color w:val="auto"/>
              </w:rPr>
            </w:pPr>
            <w:r>
              <w:rPr>
                <w:rFonts w:ascii="Arial" w:cs="Arial" w:eastAsia="Arial" w:hAnsi="Arial"/>
                <w:sz w:val="18"/>
                <w:szCs w:val="18"/>
                <w:b w:val="1"/>
                <w:bCs w:val="1"/>
                <w:color w:val="auto"/>
              </w:rPr>
              <w:t>(UNAUDITED)</w:t>
            </w:r>
          </w:p>
        </w:tc>
        <w:tc>
          <w:tcPr>
            <w:tcW w:w="480" w:type="dxa"/>
            <w:vAlign w:val="bottom"/>
          </w:tcPr>
          <w:p>
            <w:pPr>
              <w:spacing w:after="0"/>
              <w:rPr>
                <w:sz w:val="20"/>
                <w:szCs w:val="20"/>
                <w:color w:val="auto"/>
              </w:rPr>
            </w:pPr>
          </w:p>
        </w:tc>
        <w:tc>
          <w:tcPr>
            <w:tcW w:w="2300" w:type="dxa"/>
            <w:vAlign w:val="bottom"/>
            <w:gridSpan w:val="3"/>
            <w:vMerge w:val="restart"/>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114,454</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Depreciation expense</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19,672</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8,497</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Amortization of grants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compensation expense</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15,012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2,126</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(Increase)/decrease in accounts receivable</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21,362</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in unbilled revenue</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Increase in other receivables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(4,398)</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prepayments and other current assets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Increase in other non-current assets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payments on account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Decrease in other current liabilities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(40,508)</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Increase/(decrease) in income taxes payable</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1,980</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Increase/(decrease) in accounts payable</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2,792</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89,191</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(103,139)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(121,101)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Purchase of short term investments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13,184</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(114,679)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Proceeds from exercise of share options &amp; restricted share units</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11,024</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issuance costs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2,463</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Share repurchase costs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Drawdown of bank credit lines and loan facilities</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60,000</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15,302</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(11,431)</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(101,206)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118,900</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107,469</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81,313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8640" w:type="dxa"/>
            <w:vAlign w:val="bottom"/>
            <w:gridSpan w:val="2"/>
          </w:tcPr>
          <w:p>
            <w:pPr>
              <w:jc w:val="center"/>
              <w:ind w:left="2690"/>
              <w:spacing w:after="0"/>
              <w:rPr>
                <w:sz w:val="20"/>
                <w:szCs w:val="20"/>
                <w:color w:val="auto"/>
              </w:rPr>
            </w:pPr>
            <w:r>
              <w:rPr>
                <w:rFonts w:ascii="Arial" w:cs="Arial" w:eastAsia="Arial" w:hAnsi="Arial"/>
                <w:sz w:val="18"/>
                <w:szCs w:val="18"/>
                <w:color w:val="auto"/>
                <w:w w:val="99"/>
              </w:rPr>
              <w:t>5</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22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Redemption</w:t>
            </w:r>
          </w:p>
        </w:tc>
        <w:tc>
          <w:tcPr>
            <w:tcW w:w="13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9"/>
              </w:rPr>
              <w:t>Retained</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17"/>
                <w:szCs w:val="17"/>
                <w:color w:val="auto"/>
              </w:rPr>
            </w:pPr>
          </w:p>
        </w:tc>
        <w:tc>
          <w:tcPr>
            <w:tcW w:w="7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99"/>
              </w:rPr>
              <w:t>Reserve</w:t>
            </w:r>
          </w:p>
        </w:tc>
        <w:tc>
          <w:tcPr>
            <w:tcW w:w="180" w:type="dxa"/>
            <w:vAlign w:val="bottom"/>
          </w:tcPr>
          <w:p>
            <w:pPr>
              <w:spacing w:after="0"/>
              <w:rPr>
                <w:sz w:val="17"/>
                <w:szCs w:val="17"/>
                <w:color w:val="auto"/>
              </w:rPr>
            </w:pPr>
          </w:p>
        </w:tc>
        <w:tc>
          <w:tcPr>
            <w:tcW w:w="114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17"/>
                <w:szCs w:val="17"/>
                <w:color w:val="auto"/>
              </w:rPr>
            </w:pPr>
          </w:p>
        </w:tc>
        <w:tc>
          <w:tcPr>
            <w:tcW w:w="88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13"/>
          </w:tcPr>
          <w:p>
            <w:pPr>
              <w:jc w:val="right"/>
              <w:ind w:right="300"/>
              <w:spacing w:after="0"/>
              <w:rPr>
                <w:sz w:val="20"/>
                <w:szCs w:val="20"/>
                <w:color w:val="auto"/>
              </w:rPr>
            </w:pPr>
            <w:r>
              <w:rPr>
                <w:rFonts w:ascii="Arial" w:cs="Arial" w:eastAsia="Arial" w:hAnsi="Arial"/>
                <w:sz w:val="18"/>
                <w:szCs w:val="18"/>
                <w:b w:val="1"/>
                <w:bCs w:val="1"/>
                <w:color w:val="auto"/>
                <w:w w:val="88"/>
              </w:rPr>
              <w:t>(dollars in thousands, except share data)</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60,106,780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327,234</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(37,555)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655,185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950,206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114,454</w:t>
            </w:r>
          </w:p>
        </w:tc>
        <w:tc>
          <w:tcPr>
            <w:tcW w:w="2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(22,152)</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4"/>
              </w:rPr>
              <w:t>Tax on currency impact of long term funding</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gain - investments</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(12,762)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114,454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101,692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422,255</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10,980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Issue of restricted share units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222,805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issuance costs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Repurchase Programme</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(882,419)</w:t>
            </w:r>
          </w:p>
        </w:tc>
        <w:tc>
          <w:tcPr>
            <w:tcW w:w="3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(57,892)</w:t>
            </w:r>
          </w:p>
        </w:tc>
        <w:tc>
          <w:tcPr>
            <w:tcW w:w="2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2,463</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June 30, 2015</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9"/>
              </w:rPr>
              <w:t>59,869,421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355,700</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(50,317)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711,458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4"/>
              </w:rPr>
              <w:t>1,022,212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gridSpan w:val="17"/>
          </w:tcPr>
          <w:p>
            <w:pPr>
              <w:jc w:val="right"/>
              <w:ind w:right="460"/>
              <w:spacing w:after="0"/>
              <w:rPr>
                <w:sz w:val="20"/>
                <w:szCs w:val="20"/>
                <w:color w:val="auto"/>
              </w:rPr>
            </w:pPr>
            <w:r>
              <w:rPr>
                <w:rFonts w:ascii="Arial" w:cs="Arial" w:eastAsia="Arial" w:hAnsi="Arial"/>
                <w:sz w:val="18"/>
                <w:szCs w:val="18"/>
                <w:color w:val="auto"/>
                <w:w w:val="92"/>
              </w:rPr>
              <w:t>The accompanying notes are an integral part of these condensed consolidated financial statements.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ind w:left="320"/>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2014. Operating results for the three and six months ended June 30, 2015 are not necessarily indicative of the results that may be expected for the fiscal period ending December 31, 2015.</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86"/>
              </w:rPr>
              <w:t>Six months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82"/>
              </w:rPr>
              <w:t>ended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16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acquisitions (Note 3)</w:t>
            </w:r>
          </w:p>
        </w:tc>
        <w:tc>
          <w:tcPr>
            <w:tcW w:w="4960" w:type="dxa"/>
            <w:vAlign w:val="bottom"/>
          </w:tcPr>
          <w:p>
            <w:pPr>
              <w:spacing w:after="0"/>
              <w:rPr>
                <w:sz w:val="18"/>
                <w:szCs w:val="18"/>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115,208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 (Note 3)</w:t>
            </w:r>
          </w:p>
        </w:tc>
        <w:tc>
          <w:tcPr>
            <w:tcW w:w="49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(4,914)</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balance</w:t>
            </w:r>
          </w:p>
        </w:tc>
        <w:tc>
          <w:tcPr>
            <w:tcW w:w="4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578,036</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463,324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60" w:type="dxa"/>
            <w:vAlign w:val="bottom"/>
          </w:tcPr>
          <w:p>
            <w:pPr>
              <w:jc w:val="right"/>
              <w:ind w:right="32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MediMedia Pharma Solutions.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2015 the Company acquired MediMedia Pharma Solutions for a total cash consideration of $120.0 million including certain payments to be made on behalf of the company on completion totalling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provides for certain working capital targets to be achieved by MediMedia Pharma Solutions on acquisition. The Company has withheld a provisional amount of $3.6 million pending completion of this review.</w:t>
      </w:r>
    </w:p>
    <w:p>
      <w:pPr>
        <w:spacing w:after="0" w:line="2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acquisition of MediMedia Pharma Solutions has been accounted for as a business combination in accordance with FASB ASC 805 Business Combinations. The following table summarizes the Company’s provisional estimates of the fair values of the assets acquired and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980" w:type="dxa"/>
            <w:vAlign w:val="bottom"/>
            <w:gridSpan w:val="2"/>
          </w:tcPr>
          <w:p>
            <w:pPr>
              <w:ind w:left="3760"/>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8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Unbilled Revenue</w:t>
            </w: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Accounts payable</w:t>
            </w:r>
          </w:p>
        </w:tc>
        <w:tc>
          <w:tcPr>
            <w:tcW w:w="38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3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88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consideration</w:t>
            </w:r>
          </w:p>
        </w:tc>
        <w:tc>
          <w:tcPr>
            <w:tcW w:w="3880" w:type="dxa"/>
            <w:vAlign w:val="bottom"/>
          </w:tcPr>
          <w:p>
            <w:pPr>
              <w:ind w:left="37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cash consideration **</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880" w:type="dxa"/>
            <w:vAlign w:val="bottom"/>
            <w:tcBorders>
              <w:bottom w:val="single" w:sz="8" w:color="auto"/>
            </w:tcBorders>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105,102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provision of strategic payer-validated market access solutions</w:t>
      </w:r>
    </w:p>
    <w:p>
      <w:pPr>
        <w:spacing w:after="0" w:line="46" w:lineRule="exact"/>
        <w:rPr>
          <w:sz w:val="20"/>
          <w:szCs w:val="20"/>
          <w:color w:val="auto"/>
        </w:rPr>
      </w:pPr>
    </w:p>
    <w:p>
      <w:pPr>
        <w:ind w:left="500"/>
        <w:spacing w:after="0" w:line="250" w:lineRule="auto"/>
        <w:rPr>
          <w:sz w:val="20"/>
          <w:szCs w:val="20"/>
          <w:color w:val="auto"/>
        </w:rPr>
      </w:pPr>
      <w:r>
        <w:rPr>
          <w:rFonts w:ascii="Arial" w:cs="Arial" w:eastAsia="Arial" w:hAnsi="Arial"/>
          <w:sz w:val="18"/>
          <w:szCs w:val="18"/>
          <w:color w:val="auto"/>
        </w:rPr>
        <w:t>while the acquisition of Complete Healthcare Communications comprises an established workforce with significant communication experience working with medical affairs, commercial and brand development teams within the life science industry.</w:t>
      </w:r>
    </w:p>
    <w:p>
      <w:pPr>
        <w:spacing w:after="0" w:line="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Adjustments to cash consideration represents certain one-time liabilities at the acquisition date which have subsequently been paid.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Aptiv Solutions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7,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The acquisition agreement also provided for certain working capital targets to be achieved by Aptiv on completion. On March 25, 2015 the Company received $1.9 million on completion of this review.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600"/>
        <w:spacing w:after="0" w:line="258" w:lineRule="auto"/>
        <w:rPr>
          <w:sz w:val="20"/>
          <w:szCs w:val="20"/>
          <w:color w:val="auto"/>
        </w:rPr>
      </w:pPr>
      <w:r>
        <w:rPr>
          <w:rFonts w:ascii="Arial" w:cs="Arial" w:eastAsia="Arial" w:hAnsi="Arial"/>
          <w:sz w:val="18"/>
          <w:szCs w:val="18"/>
          <w:color w:val="auto"/>
        </w:rPr>
        <w:t>The acquisition of Aptiv Solutions has been accounted for as a business combination in accordance with FASB ASC 805 Business Combinations. The following table summarizes the estimated fair values of the assets acquired and the liabilities assumed:</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20" w:type="dxa"/>
            <w:vAlign w:val="bottom"/>
          </w:tcPr>
          <w:p>
            <w:pPr>
              <w:jc w:val="right"/>
              <w:ind w:right="10"/>
              <w:spacing w:after="0" w:line="200" w:lineRule="exact"/>
              <w:rPr>
                <w:sz w:val="20"/>
                <w:szCs w:val="20"/>
                <w:color w:val="auto"/>
              </w:rPr>
            </w:pPr>
            <w:r>
              <w:rPr>
                <w:rFonts w:ascii="Arial" w:cs="Arial" w:eastAsia="Arial" w:hAnsi="Arial"/>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4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payable</w:t>
            </w:r>
          </w:p>
        </w:tc>
        <w:tc>
          <w:tcPr>
            <w:tcW w:w="3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Payments on account</w:t>
            </w:r>
          </w:p>
        </w:tc>
        <w:tc>
          <w:tcPr>
            <w:tcW w:w="3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notes payable</w:t>
            </w:r>
          </w:p>
        </w:tc>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consideration</w:t>
            </w:r>
          </w:p>
        </w:tc>
        <w:tc>
          <w:tcPr>
            <w:tcW w:w="3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cash consideration**</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119,137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to cash consideration represent certain one-time liabilities (including loan notes) identified at the acquisition date which have subsequently been paid.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4. Income Taxes</w:t>
            </w:r>
          </w:p>
        </w:tc>
        <w:tc>
          <w:tcPr>
            <w:tcW w:w="2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460" w:type="dxa"/>
            <w:vAlign w:val="bottom"/>
            <w:gridSpan w:val="2"/>
          </w:tcPr>
          <w:p>
            <w:pPr>
              <w:spacing w:after="0"/>
              <w:rPr>
                <w:sz w:val="20"/>
                <w:szCs w:val="20"/>
                <w:color w:val="auto"/>
              </w:rPr>
            </w:pPr>
            <w:r>
              <w:rPr>
                <w:rFonts w:ascii="Arial" w:cs="Arial" w:eastAsia="Arial" w:hAnsi="Arial"/>
                <w:sz w:val="18"/>
                <w:szCs w:val="18"/>
                <w:color w:val="auto"/>
                <w:w w:val="90"/>
              </w:rPr>
              <w:t>Income taxes recognized during the three and six months ended June 30, 2015 comprise: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4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gridSpan w:val="3"/>
          </w:tcPr>
          <w:p>
            <w:pPr>
              <w:spacing w:after="0"/>
              <w:rPr>
                <w:sz w:val="24"/>
                <w:szCs w:val="24"/>
                <w:color w:val="auto"/>
              </w:rPr>
            </w:pPr>
          </w:p>
        </w:tc>
      </w:tr>
      <w:tr>
        <w:trPr>
          <w:trHeight w:val="196"/>
        </w:trPr>
        <w:tc>
          <w:tcPr>
            <w:tcW w:w="40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0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r>
      <w:tr>
        <w:trPr>
          <w:trHeight w:val="20"/>
        </w:trPr>
        <w:tc>
          <w:tcPr>
            <w:tcW w:w="4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4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0"/>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9,537</w:t>
            </w:r>
          </w:p>
        </w:tc>
        <w:tc>
          <w:tcPr>
            <w:tcW w:w="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7,467</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20,338</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14,361</w:t>
            </w:r>
          </w:p>
        </w:tc>
      </w:tr>
    </w:tbl>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at June 30, 2015 the Company maintains a $28.2 million liability (December 31, 2014: $25.6 million) for unrecognized tax benefit, which is comprised of $25.4 million (December 31, 2014: $23.2 million) related to items generating unrecognized tax benefits and $2.8 million (December 31, 2014: $2.4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2009 through 2014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gridSpan w:val="7"/>
          </w:tcPr>
          <w:p>
            <w:pPr>
              <w:ind w:left="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280" w:type="dxa"/>
            <w:vAlign w:val="bottom"/>
          </w:tcPr>
          <w:p>
            <w:pPr>
              <w:spacing w:after="0"/>
              <w:rPr>
                <w:sz w:val="17"/>
                <w:szCs w:val="17"/>
                <w:color w:val="auto"/>
              </w:rPr>
            </w:pPr>
          </w:p>
        </w:tc>
        <w:tc>
          <w:tcPr>
            <w:tcW w:w="1360" w:type="dxa"/>
            <w:vAlign w:val="bottom"/>
            <w:gridSpan w:val="5"/>
          </w:tcPr>
          <w:p>
            <w:pPr>
              <w:ind w:left="460"/>
              <w:spacing w:after="0" w:line="196" w:lineRule="exact"/>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7"/>
                <w:szCs w:val="17"/>
                <w:color w:val="auto"/>
              </w:rPr>
            </w:pPr>
          </w:p>
        </w:tc>
        <w:tc>
          <w:tcPr>
            <w:tcW w:w="920" w:type="dxa"/>
            <w:vAlign w:val="bottom"/>
            <w:gridSpan w:val="3"/>
          </w:tcPr>
          <w:p>
            <w:pPr>
              <w:jc w:val="right"/>
              <w:ind w:right="280"/>
              <w:spacing w:after="0" w:line="196" w:lineRule="exact"/>
              <w:rPr>
                <w:sz w:val="20"/>
                <w:szCs w:val="20"/>
                <w:color w:val="auto"/>
              </w:rPr>
            </w:pPr>
            <w:r>
              <w:rPr>
                <w:rFonts w:ascii="Arial" w:cs="Arial" w:eastAsia="Arial" w:hAnsi="Arial"/>
                <w:sz w:val="18"/>
                <w:szCs w:val="18"/>
                <w:b w:val="1"/>
                <w:bCs w:val="1"/>
                <w:color w:val="auto"/>
                <w:w w:val="85"/>
              </w:rPr>
              <w:t>June 30,</w:t>
            </w:r>
          </w:p>
        </w:tc>
        <w:tc>
          <w:tcPr>
            <w:tcW w:w="1180" w:type="dxa"/>
            <w:vAlign w:val="bottom"/>
            <w:gridSpan w:val="4"/>
          </w:tcPr>
          <w:p>
            <w:pPr>
              <w:ind w:left="4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5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280"/>
              <w:spacing w:after="0" w:line="196" w:lineRule="exact"/>
              <w:rPr>
                <w:sz w:val="20"/>
                <w:szCs w:val="20"/>
                <w:color w:val="auto"/>
              </w:rPr>
            </w:pPr>
            <w:r>
              <w:rPr>
                <w:rFonts w:ascii="Arial" w:cs="Arial" w:eastAsia="Arial" w:hAnsi="Arial"/>
                <w:sz w:val="18"/>
                <w:szCs w:val="18"/>
                <w:b w:val="1"/>
                <w:bCs w:val="1"/>
                <w:color w:val="auto"/>
              </w:rPr>
              <w:t>2015</w:t>
            </w:r>
          </w:p>
        </w:tc>
        <w:tc>
          <w:tcPr>
            <w:tcW w:w="11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outstanding for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ordinary share</w:t>
            </w:r>
          </w:p>
        </w:tc>
        <w:tc>
          <w:tcPr>
            <w:tcW w:w="3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60,244,982</w:t>
            </w:r>
          </w:p>
        </w:tc>
        <w:tc>
          <w:tcPr>
            <w:tcW w:w="13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61,934,923</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60,263,021</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61,855,783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Effect of dilutive share options</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0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3140" w:type="dxa"/>
            <w:vAlign w:val="bottom"/>
            <w:gridSpan w:val="4"/>
          </w:tcPr>
          <w:p>
            <w:pPr>
              <w:jc w:val="right"/>
              <w:spacing w:after="0"/>
              <w:rPr>
                <w:sz w:val="20"/>
                <w:szCs w:val="20"/>
                <w:color w:val="auto"/>
              </w:rPr>
            </w:pPr>
            <w:r>
              <w:rPr>
                <w:rFonts w:ascii="Arial" w:cs="Arial" w:eastAsia="Arial" w:hAnsi="Arial"/>
                <w:sz w:val="18"/>
                <w:szCs w:val="18"/>
                <w:color w:val="auto"/>
              </w:rPr>
              <w:t>1,556,705</w:t>
            </w:r>
          </w:p>
        </w:tc>
        <w:tc>
          <w:tcPr>
            <w:tcW w:w="28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1,408,346</w:t>
            </w:r>
          </w:p>
        </w:tc>
        <w:tc>
          <w:tcPr>
            <w:tcW w:w="260" w:type="dxa"/>
            <w:vAlign w:val="bottom"/>
          </w:tcPr>
          <w:p>
            <w:pPr>
              <w:spacing w:after="0"/>
              <w:rPr>
                <w:sz w:val="20"/>
                <w:szCs w:val="20"/>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8"/>
                <w:szCs w:val="18"/>
                <w:color w:val="auto"/>
              </w:rPr>
              <w:t>1,586,305</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1,434,509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w:t>
            </w:r>
          </w:p>
        </w:tc>
        <w:tc>
          <w:tcPr>
            <w:tcW w:w="2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for diluted net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per ordinary share</w:t>
            </w:r>
          </w:p>
        </w:tc>
        <w:tc>
          <w:tcPr>
            <w:tcW w:w="3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61,801,687</w:t>
            </w: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63,343,269</w:t>
            </w:r>
          </w:p>
        </w:tc>
        <w:tc>
          <w:tcPr>
            <w:tcW w:w="136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61,849,326</w:t>
            </w:r>
          </w:p>
        </w:tc>
        <w:tc>
          <w:tcPr>
            <w:tcW w:w="11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63,290,292</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20" w:type="dxa"/>
            <w:vAlign w:val="bottom"/>
          </w:tcPr>
          <w:p>
            <w:pPr>
              <w:jc w:val="right"/>
              <w:ind w:right="6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2015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2,227,700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10.40</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259,059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19.75</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spacing w:after="0"/>
              <w:rPr>
                <w:sz w:val="20"/>
                <w:szCs w:val="20"/>
                <w:color w:val="auto"/>
              </w:rPr>
            </w:pPr>
            <w:r>
              <w:rPr>
                <w:rFonts w:ascii="Arial" w:cs="Arial" w:eastAsia="Arial" w:hAnsi="Arial"/>
                <w:sz w:val="18"/>
                <w:szCs w:val="18"/>
                <w:color w:val="auto"/>
              </w:rPr>
              <w:t>(422,255)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10.03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9.45</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2,017,856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11.70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June 30, 2015</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962,227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$5.88 to $19.78 per option or a weighted average fair value of $11.70 per option. The Company issues ordinary shares for all options exercised. The total amount of fully vested share options which remained outstanding at June 30, 2015, was 962,227. Fully vested share options at June 30, 2015, have an average remaining contractual term of 3.51 years, an average exercise price of $25.88 and a total intrinsic value of $39.9 million. The total intrinsic value of options exercised during the six months ended June 30, 2015 was $12.6 million (June 30, 2014: $10.9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six months ended June 30,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2014</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1,203,150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259,059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Vested</w:t>
            </w:r>
          </w:p>
        </w:tc>
        <w:tc>
          <w:tcPr>
            <w:tcW w:w="3260" w:type="dxa"/>
            <w:vAlign w:val="bottom"/>
          </w:tcPr>
          <w:p>
            <w:pPr>
              <w:jc w:val="right"/>
              <w:spacing w:after="0"/>
              <w:rPr>
                <w:sz w:val="20"/>
                <w:szCs w:val="20"/>
                <w:color w:val="auto"/>
              </w:rPr>
            </w:pPr>
            <w:r>
              <w:rPr>
                <w:rFonts w:ascii="Arial" w:cs="Arial" w:eastAsia="Arial" w:hAnsi="Arial"/>
                <w:sz w:val="18"/>
                <w:szCs w:val="18"/>
                <w:color w:val="auto"/>
              </w:rPr>
              <w:t>(377,436)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2015</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1,055,629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six months ended June 30, 2015 and June 30, 2014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7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8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8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5 years</w:t>
            </w:r>
          </w:p>
        </w:tc>
        <w:tc>
          <w:tcPr>
            <w:tcW w:w="3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Restricted Share Units (“RSUs”) and/or Performance Share Units (“PSUs”)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six months ended June 30,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669,171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39.78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1,038,996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35.19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269,875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68.07</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378,804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66.85</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(222,805)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25.36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31.49</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39.26</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935,065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47.24</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1,155,318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47.32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PSUs were awarded to certain key executives of the Company during the six months ended 30 June, 2015. PSUs vest based upon both a service basis and performance basis. The performance element is contingent upon cumulative EPS performance of the Company over a three year period (i.e. for the three year financial period ending December 31, 2018). PSUs with similar EPS performance targets were awarded during the years ended December 31, 2013 and December 31, 2014. 460,553 of the 935,065 PSUs outstanding at June 30, 2015 vest upon the achievement of EPS performance targets.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six months ended June 30, 2015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top w:val="single" w:sz="8" w:color="auto"/>
            </w:tcBorders>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w:t>
            </w: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June</w:t>
            </w:r>
          </w:p>
        </w:tc>
      </w:tr>
      <w:tr>
        <w:trPr>
          <w:trHeight w:val="20"/>
        </w:trPr>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3,144</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7,966</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5,373</w:t>
            </w:r>
          </w:p>
        </w:tc>
      </w:tr>
      <w:tr>
        <w:trPr>
          <w:trHeight w:val="216"/>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4,333</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3"/>
              </w:rPr>
              <w:t>2,562</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7,046</w:t>
            </w: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4,378</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3"/>
              </w:rPr>
              <w:t>5,706</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15,012</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9,751</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June 30, 2015 amounted to $83.4 million. The weighted average period over which this is expected to be recognized is 2.4 years. Total tax benefit recognized in additional paid in capital related to the non-cash compensation expense amounted to $2.5 million for the six months ended June 30, 2015 (June 30, 2014: $0.8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 2015 the Company commenced a repurchase program under which the Company could acquire its outstanding ordinary shares (by way of redemption), in accordance with Irish law, the United States securities laws and the Company’s constitutional documents through open market share acquisitions.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repurchase program gave a broker authority to acquire the Company’s ordinary shares from time to time on the open market in accordance with agreed terms and limitations. The acquisition of shares pursuant to the repurchase program was effected by way of redemption and cancellation of the shares, in accordance with the Constitution of the Company.</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30, 2015, 882,419 ordinary shares were redeemed by the Company under the repurchase program for a total consideration of $57.9 million. All ordinary shares that were redeemed under the repurchase program were cancelled in accordance with the Constitution of the Company and the nominal value of these shares transferred to a capital redemption reserve fund as required under Irish Company Law.</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Operating Officer and Chief Financial Officer, who together are considered the Company’s chief operating decision makers, in accordance with FASB ASC 280-10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As such it enters into the majority of the Company’s customer contracts.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as at June 30, 2015 and December 31, 2014 and for the three and six months ended June 30, 2015 and June 30, 2014 is as follows: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w w:val="99"/>
              </w:rPr>
              <w:t>a) The distribution of net revenue by geographical area was as follows: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400" w:type="dxa"/>
            <w:vAlign w:val="bottom"/>
          </w:tcPr>
          <w:p>
            <w:pPr>
              <w:spacing w:after="0"/>
              <w:rPr>
                <w:sz w:val="17"/>
                <w:szCs w:val="17"/>
                <w:color w:val="auto"/>
              </w:rPr>
            </w:pPr>
          </w:p>
        </w:tc>
        <w:tc>
          <w:tcPr>
            <w:tcW w:w="96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105,413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88,724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219,503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174,085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Rest of Europe</w:t>
            </w:r>
          </w:p>
        </w:tc>
        <w:tc>
          <w:tcPr>
            <w:tcW w:w="76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78,540</w:t>
            </w: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98,130</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162,628</w:t>
            </w:r>
          </w:p>
        </w:tc>
        <w:tc>
          <w:tcPr>
            <w:tcW w:w="4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184,531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164,300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147,370</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314,364</w:t>
            </w: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289,049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40,404</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41,796</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80,393</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77,989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388,657</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376,020</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776,888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725,654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800" w:hanging="14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37" w:lineRule="exact"/>
        <w:rPr>
          <w:rFonts w:ascii="Arial" w:cs="Arial" w:eastAsia="Arial" w:hAnsi="Arial"/>
          <w:sz w:val="18"/>
          <w:szCs w:val="18"/>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49,436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26,736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97,002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Rest of Europe</w:t>
            </w:r>
          </w:p>
        </w:tc>
        <w:tc>
          <w:tcPr>
            <w:tcW w:w="27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7,970</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10,307</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12,592</w:t>
            </w: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9,646</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22,447</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3,936</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5,049</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68,131</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48,288</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134,805</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91,286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97,254</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5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33,712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5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147,310</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8"/>
              </w:rPr>
              <w:t>148,185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960" w:type="dxa"/>
            <w:vAlign w:val="bottom"/>
          </w:tcPr>
          <w:p>
            <w:pPr>
              <w:jc w:val="right"/>
              <w:ind w:right="343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gridSpan w:val="11"/>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10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1,376</w:t>
            </w:r>
          </w:p>
        </w:tc>
        <w:tc>
          <w:tcPr>
            <w:tcW w:w="3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5,410</w:t>
            </w:r>
          </w:p>
        </w:tc>
        <w:tc>
          <w:tcPr>
            <w:tcW w:w="3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0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879</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14,244</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12,922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28,169</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24,470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40" w:type="dxa"/>
            <w:vAlign w:val="bottom"/>
            <w:gridSpan w:val="2"/>
          </w:tcPr>
          <w:p>
            <w:pPr>
              <w:spacing w:after="0"/>
              <w:rPr>
                <w:sz w:val="20"/>
                <w:szCs w:val="20"/>
                <w:color w:val="auto"/>
              </w:rPr>
            </w:pPr>
            <w:r>
              <w:rPr>
                <w:rFonts w:ascii="Arial" w:cs="Arial" w:eastAsia="Arial" w:hAnsi="Arial"/>
                <w:sz w:val="18"/>
                <w:szCs w:val="18"/>
                <w:color w:val="auto"/>
                <w:w w:val="95"/>
              </w:rPr>
              <w:t>e) The distribution of total assets by geographical area was as follows: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10"/>
          </w:tcPr>
          <w:p>
            <w:pPr>
              <w:jc w:val="center"/>
              <w:ind w:right="6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536,746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303,123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324,086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739,340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648,559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57,045</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1,636,254</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1,528,850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2014.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2015, we employed approximately 11,343 employees, in 81 locations in 37 countries. During the six months ended June 30, 2015 we derived approximately 40.5%, 49.2% and 10.3%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June 30, 2015 we had a backlog of approximately $3.7 billion, compared with approximately $3.6 billion at December 31, 2014.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In addition to translationn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with Three Months Ended June 30, 2014</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6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17"/>
                <w:szCs w:val="17"/>
                <w:color w:val="auto"/>
              </w:rPr>
            </w:pPr>
          </w:p>
        </w:tc>
        <w:tc>
          <w:tcPr>
            <w:tcW w:w="6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680" w:type="dxa"/>
            <w:vAlign w:val="bottom"/>
            <w:gridSpan w:val="5"/>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32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760" w:type="dxa"/>
            <w:vAlign w:val="bottom"/>
          </w:tcPr>
          <w:p>
            <w:pPr>
              <w:spacing w:after="0"/>
              <w:rPr>
                <w:sz w:val="17"/>
                <w:szCs w:val="17"/>
                <w:color w:val="auto"/>
              </w:rPr>
            </w:pPr>
          </w:p>
        </w:tc>
        <w:tc>
          <w:tcPr>
            <w:tcW w:w="100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8"/>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80" w:type="dxa"/>
            <w:vAlign w:val="bottom"/>
            <w:gridSpan w:val="10"/>
          </w:tcPr>
          <w:p>
            <w:pPr>
              <w:jc w:val="right"/>
              <w:ind w:right="600"/>
              <w:spacing w:after="0" w:line="196" w:lineRule="exact"/>
              <w:rPr>
                <w:sz w:val="20"/>
                <w:szCs w:val="20"/>
                <w:color w:val="auto"/>
              </w:rPr>
            </w:pPr>
            <w:r>
              <w:rPr>
                <w:rFonts w:ascii="Arial" w:cs="Arial" w:eastAsia="Arial" w:hAnsi="Arial"/>
                <w:sz w:val="18"/>
                <w:szCs w:val="18"/>
                <w:b w:val="1"/>
                <w:bCs w:val="1"/>
                <w:color w:val="auto"/>
              </w:rPr>
              <w:t>Percentage of Net Revenue</w:t>
            </w: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508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262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5080" w:type="dxa"/>
            <w:vAlign w:val="bottom"/>
            <w:gridSpan w:val="5"/>
          </w:tcPr>
          <w:p>
            <w:pPr>
              <w:jc w:val="right"/>
              <w:ind w:right="620"/>
              <w:spacing w:after="0"/>
              <w:rPr>
                <w:sz w:val="20"/>
                <w:szCs w:val="20"/>
                <w:color w:val="auto"/>
              </w:rPr>
            </w:pPr>
            <w:r>
              <w:rPr>
                <w:rFonts w:ascii="Arial" w:cs="Arial" w:eastAsia="Arial" w:hAnsi="Arial"/>
                <w:sz w:val="18"/>
                <w:szCs w:val="18"/>
                <w:color w:val="auto"/>
              </w:rPr>
              <w:t>57.9%</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60.4%</w:t>
            </w:r>
          </w:p>
        </w:tc>
        <w:tc>
          <w:tcPr>
            <w:tcW w:w="1260" w:type="dxa"/>
            <w:vAlign w:val="bottom"/>
            <w:gridSpan w:val="8"/>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80" w:type="dxa"/>
            <w:vAlign w:val="bottom"/>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20.9%</w:t>
            </w: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2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5080" w:type="dxa"/>
            <w:vAlign w:val="bottom"/>
            <w:gridSpan w:val="5"/>
          </w:tcPr>
          <w:p>
            <w:pPr>
              <w:jc w:val="right"/>
              <w:ind w:right="620"/>
              <w:spacing w:after="0"/>
              <w:rPr>
                <w:sz w:val="20"/>
                <w:szCs w:val="20"/>
                <w:color w:val="auto"/>
              </w:rPr>
            </w:pPr>
            <w:r>
              <w:rPr>
                <w:rFonts w:ascii="Arial" w:cs="Arial" w:eastAsia="Arial" w:hAnsi="Arial"/>
                <w:sz w:val="18"/>
                <w:szCs w:val="18"/>
                <w:color w:val="auto"/>
              </w:rPr>
              <w:t>2.5%</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2.8%</w:t>
            </w:r>
          </w:p>
        </w:tc>
        <w:tc>
          <w:tcPr>
            <w:tcW w:w="1260" w:type="dxa"/>
            <w:vAlign w:val="bottom"/>
            <w:gridSpan w:val="8"/>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508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80" w:type="dxa"/>
            <w:vAlign w:val="bottom"/>
            <w:tcBorders>
              <w:bottom w:val="single" w:sz="8" w:color="auto"/>
            </w:tcBorders>
            <w:gridSpan w:val="5"/>
            <w:shd w:val="clear" w:color="auto" w:fill="CCEEFF"/>
          </w:tcPr>
          <w:p>
            <w:pPr>
              <w:jc w:val="right"/>
              <w:ind w:right="620"/>
              <w:spacing w:after="0"/>
              <w:rPr>
                <w:sz w:val="20"/>
                <w:szCs w:val="20"/>
                <w:color w:val="auto"/>
              </w:rPr>
            </w:pPr>
            <w:r>
              <w:rPr>
                <w:rFonts w:ascii="Arial" w:cs="Arial" w:eastAsia="Arial" w:hAnsi="Arial"/>
                <w:sz w:val="18"/>
                <w:szCs w:val="18"/>
                <w:color w:val="auto"/>
              </w:rPr>
              <w:t>17.5%</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20" w:type="dxa"/>
            <w:vAlign w:val="bottom"/>
          </w:tcPr>
          <w:p>
            <w:pPr>
              <w:jc w:val="right"/>
              <w:ind w:right="161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spacing w:after="0" w:line="290" w:lineRule="auto"/>
        <w:rPr>
          <w:sz w:val="20"/>
          <w:szCs w:val="20"/>
          <w:color w:val="auto"/>
        </w:rPr>
      </w:pPr>
      <w:r>
        <w:rPr>
          <w:rFonts w:ascii="Arial" w:cs="Arial" w:eastAsia="Arial" w:hAnsi="Arial"/>
          <w:sz w:val="16"/>
          <w:szCs w:val="16"/>
          <w:color w:val="auto"/>
        </w:rPr>
        <w:t>Net revenue for the period increased by $12.7 million, or 3.4%, from $376.0 million for the three months ended June 30, 2014 to $388.7 million for the three months ended June 30, 2015. A primary driver of the increase in net revenues during the three months ended June 30, 2015 was net revenues from the acquisition of MediMedia Pharma solutions which was acquired on February 27, 2015 and a full quarter’s revenue during 2015 from the acquisition of Aptiv Solutions which was acquired on May 7, 2014. In addition, during the three months ended June 30, 2015 $197.8 million or 50.9% of our net revenues were derived from our top 5 customers compared to $184.3 million or 52.7% of net revenues derived from our top 5 customers during the three months ended June 30, 2014. The increased use of strategic partnerships arrangements in recent years has resulted in a greater value of our net revenues being derived from our top five customers, although the addition of new customer accounts over recent quarters has resulted in a reduction in this concentration. For the three months ended June 30, 2015 we derived approximately 42.3%, 47.3% and 10.4% of our net revenue in the United States, Europe and Rest of World, respectively.</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revenue in Ireland increased from $88.7 million for the three months ended June 20, 2014 to $105.4 million for the three months ended June 30, 2015. Net revenue in Ireland is principally a function of the Company’s global transfer pricing model (</w:t>
      </w:r>
      <w:r>
        <w:rPr>
          <w:rFonts w:ascii="Arial" w:cs="Arial" w:eastAsia="Arial" w:hAnsi="Arial"/>
          <w:sz w:val="16"/>
          <w:szCs w:val="16"/>
          <w:i w:val="1"/>
          <w:iCs w:val="1"/>
          <w:color w:val="auto"/>
        </w:rPr>
        <w:t>see note 8 Business Segmental Information for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details</w:t>
      </w:r>
      <w:r>
        <w:rPr>
          <w:rFonts w:ascii="Arial" w:cs="Arial" w:eastAsia="Arial" w:hAnsi="Arial"/>
          <w:sz w:val="16"/>
          <w:szCs w:val="16"/>
          <w:color w:val="auto"/>
        </w:rPr>
        <w:t>). Net revenue in our Rest of Europe region decreased from $98.1 million for the three months ended June 30, 2014 to $78.5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while net revenue in our Other region decreased marginally from $41.8 million for the three months ended June 30, 2014 to $40.4 million for the three months ended June 30, 2015. Net revenues in both of these regions were impacted by the continued strengthening of the U.S. dollar during the period which saw a decrease in their reported value when translated to U.S. dollars. This reduction was offset by a full three months revenue contribution from Aptiv Solutions which was acquired on May 7, 2014. Net revenue in the U.S. region increased from $147.4 million for the three months ended June 30, 2014 to $164.3 million for the three months ended June 30, 2015. The increase in net revenue in this region arose primarily from a full three months contribution from the acquisition of Aptiv Solutions and net revenue from MediMedia Pharma Solutions which was acquired on February 27, 2015.</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Direct costs for the period decreased by $2.3 million, or 1.0%, from $227.2 million for the three months ended June 30, 2014 to $225.0 million for the three months ended June 30, 2015. Direct costs consist primarily of compensation, associated fringe benefits and share based compensation expense for project-related employees and other direct project driven costs. The decrease in direct costs during the period was driven primarily from the continued strengthening of the U.S. dollar versus exchange rates such as the Euro, amongst others, which has seen a decrease in the reported value of direct costs for operations outside of the United States when translated to U.S. dollars. This decrease was offset by an increase in direct headcount of approximately 600, additional costs from the acquisition of MediMedia Pharma Services and a full quarter’s costs for Aptiv Solutions. As a percentage of net revenue, direct costs have decreased from 60.4% for the three months ended June 30, 2014 to 57.9% for the three months ended June 30, 2015.</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period decreased by $6.3 million, or 7.2%, from $87.6 million for the three months ended June 30, 2014 to $81.3 million for the three months ended June 30, 2015.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 primary driver of the decrease in selling, general and administrative expenses during the period has been the continued strengthening of the U.S. dollar versus exchange rates such as the Euro, amongst others. This strengthening has seen a reduction in the reported value of selling, general and administrative expenses during the period for regions outside of the United States. This reduction was offset by increased costs from the acquisition of MediMedia Pharma Solutions and the inclusion of a full three months costs for Aptiv Solutions in the current period. As a percentage of net revenue, selling, general and administrative expenses, decreased from 23.3% for the three months ended June 30, 2014 to 20.9% for the three months ended June 30, 2015.</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expense for the period decreased by $0.6 million, or 5.7%, from $10.4 million for the three months ended June 30, 2014 to $9.8 million for three months ended June 30, 2015. Depreciation expense arises principally arises from an investment in facilities, information systems and equipment to support the Company’s growth. As a percentage of net revenue, depreciation expense decreased from 2.8% of net revenues for the three months ended June 30, 2014 to 2.5% of net revenues for the three months ended June 30, 2015. Amortization expense for the period increased by $1.9 million, or 74.3%, from $2.6 million for the three months ended June 30, 2014 to $4.5 million for the three months ended June 30, 2015. Amortization expense represents the amortization of intangible assets acquired on business combinations. The increase in amortization expense during the period arises predominately from amortization expense associated with the Company’s estimate of intangible assets arising on the acquisition of MediMedia Pharma Solutions. As a percentage of net revenue, amortization expense increased from 0.7% of net revenues for the three months ended June 30, 2014 to 1.2% for the three months ended June 30, 2015.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As a result of the above, income from operations for the three months increased by $19.8 million, or 41.1%, from $48.3 million for the three months ended June 30, 2014 to $68.1 million for the three months ended June 30, 2015. As a percentage of net revenue, income from operations increased from 12.8% of net revenues for the three months ended June 30, 2014 to 17.5% of net revenues for the three months ended June 30, 2015.</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Income from operations in Ireland increased from $26.7 million for the three months ended June 30, 2014 to $49.4 million for the three months ended June 30, 2015. Income from operations in Ireland is impacted by the Group’s global transfer pricing model </w:t>
      </w:r>
      <w:r>
        <w:rPr>
          <w:rFonts w:ascii="Arial" w:cs="Arial" w:eastAsia="Arial" w:hAnsi="Arial"/>
          <w:sz w:val="16"/>
          <w:szCs w:val="16"/>
          <w:i w:val="1"/>
          <w:iCs w:val="1"/>
          <w:color w:val="auto"/>
        </w:rPr>
        <w:t>(see note 8 Business Segmental Information for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details). </w:t>
      </w:r>
      <w:r>
        <w:rPr>
          <w:rFonts w:ascii="Arial" w:cs="Arial" w:eastAsia="Arial" w:hAnsi="Arial"/>
          <w:sz w:val="16"/>
          <w:szCs w:val="16"/>
          <w:color w:val="auto"/>
        </w:rPr>
        <w:t>Income from operations in our Rest of Europe region decreased from $8.0 million for the three months ended June 30, 2014 to $3.5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2015, while income from operations in our Other region decreased marginally from $3.9 million for three months ended June 30, 2014 to $2.6 million for the three months ended June 30, 2015. Income from operations in both of these regions was impacted by the continued strengthening of the U.S. dollar during the period which saw a decrease in the reported value of both revenues and costs when translated to U.S. dollars. This reduction was offset by a full three months contribution from Aptiv Solutions in the current period. Income from operations in the U.S. region increased from $9.6 million for the three months ended June 30, 2014 to $12.6 million for the three months ended June 30, 2015. Income from operations in this region was positively impacted by the acquisition of MediMedia Pharma Solutions and a full three months contribution from Aptiv Solutions.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decreased by $0.07 million or 23%, from $0.3 million for the three months ended June 30, 2014 to $0.23 million for the three months ended June 30, 2015. Interest income decreased by $0.04 million or 15%, from $0.26 million for the three months ended June 30, 2014 to $0.22 million for the three months ended June 30, 2015.</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Provision for income taxes for the period increased from $7.5 million for the three months ended June 30, 2014 to $9.5 million for the three months ended June 30, 2015. The Company’s effective tax rate for the three months ended June 30, 2015 was 14.0% compared with 15.5% for the three months ended June 30, 2014. The Company’s effective tax rate is principally a function of the distribution of pre-tax profits amongst the territories in which it operates.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with Six Months Ended June 30, 2014</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92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17"/>
                <w:szCs w:val="17"/>
                <w:color w:val="auto"/>
              </w:rPr>
            </w:pPr>
          </w:p>
        </w:tc>
        <w:tc>
          <w:tcPr>
            <w:tcW w:w="6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360" w:type="dxa"/>
            <w:vAlign w:val="bottom"/>
          </w:tcPr>
          <w:p>
            <w:pPr>
              <w:spacing w:after="0"/>
              <w:rPr>
                <w:sz w:val="17"/>
                <w:szCs w:val="17"/>
                <w:color w:val="auto"/>
              </w:rPr>
            </w:pPr>
          </w:p>
        </w:tc>
        <w:tc>
          <w:tcPr>
            <w:tcW w:w="680" w:type="dxa"/>
            <w:vAlign w:val="bottom"/>
            <w:gridSpan w:val="5"/>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32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760" w:type="dxa"/>
            <w:vAlign w:val="bottom"/>
          </w:tcPr>
          <w:p>
            <w:pPr>
              <w:spacing w:after="0"/>
              <w:rPr>
                <w:sz w:val="17"/>
                <w:szCs w:val="17"/>
                <w:color w:val="auto"/>
              </w:rPr>
            </w:pPr>
          </w:p>
        </w:tc>
        <w:tc>
          <w:tcPr>
            <w:tcW w:w="1000" w:type="dxa"/>
            <w:vAlign w:val="bottom"/>
            <w:gridSpan w:val="5"/>
          </w:tcPr>
          <w:p>
            <w:pPr>
              <w:jc w:val="right"/>
              <w:ind w:right="360"/>
              <w:spacing w:after="0" w:line="196"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8"/>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80" w:type="dxa"/>
            <w:vAlign w:val="bottom"/>
            <w:gridSpan w:val="11"/>
          </w:tcPr>
          <w:p>
            <w:pPr>
              <w:jc w:val="center"/>
              <w:ind w:left="273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5080" w:type="dxa"/>
            <w:vAlign w:val="bottom"/>
            <w:tcBorders>
              <w:bottom w:val="single" w:sz="8" w:color="auto"/>
            </w:tcBorders>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262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5080" w:type="dxa"/>
            <w:vAlign w:val="bottom"/>
            <w:gridSpan w:val="6"/>
          </w:tcPr>
          <w:p>
            <w:pPr>
              <w:jc w:val="right"/>
              <w:ind w:right="620"/>
              <w:spacing w:after="0"/>
              <w:rPr>
                <w:sz w:val="20"/>
                <w:szCs w:val="20"/>
                <w:color w:val="auto"/>
              </w:rPr>
            </w:pPr>
            <w:r>
              <w:rPr>
                <w:rFonts w:ascii="Arial" w:cs="Arial" w:eastAsia="Arial" w:hAnsi="Arial"/>
                <w:sz w:val="18"/>
                <w:szCs w:val="18"/>
                <w:color w:val="auto"/>
              </w:rPr>
              <w:t>58.3%</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61.1%</w:t>
            </w:r>
          </w:p>
        </w:tc>
        <w:tc>
          <w:tcPr>
            <w:tcW w:w="1260" w:type="dxa"/>
            <w:vAlign w:val="bottom"/>
            <w:gridSpan w:val="8"/>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80" w:type="dxa"/>
            <w:vAlign w:val="bottom"/>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20.7%</w:t>
            </w: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2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5080" w:type="dxa"/>
            <w:vAlign w:val="bottom"/>
            <w:gridSpan w:val="6"/>
          </w:tcPr>
          <w:p>
            <w:pPr>
              <w:jc w:val="right"/>
              <w:ind w:right="620"/>
              <w:spacing w:after="0"/>
              <w:rPr>
                <w:sz w:val="20"/>
                <w:szCs w:val="20"/>
                <w:color w:val="auto"/>
              </w:rPr>
            </w:pPr>
            <w:r>
              <w:rPr>
                <w:rFonts w:ascii="Arial" w:cs="Arial" w:eastAsia="Arial" w:hAnsi="Arial"/>
                <w:sz w:val="18"/>
                <w:szCs w:val="18"/>
                <w:color w:val="auto"/>
              </w:rPr>
              <w:t>2.5%</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2.9%</w:t>
            </w:r>
          </w:p>
        </w:tc>
        <w:tc>
          <w:tcPr>
            <w:tcW w:w="1260" w:type="dxa"/>
            <w:vAlign w:val="bottom"/>
            <w:gridSpan w:val="8"/>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5080" w:type="dxa"/>
            <w:vAlign w:val="bottom"/>
            <w:tcBorders>
              <w:bottom w:val="single" w:sz="8" w:color="auto"/>
            </w:tcBorders>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80" w:type="dxa"/>
            <w:vAlign w:val="bottom"/>
            <w:tcBorders>
              <w:bottom w:val="single" w:sz="8" w:color="auto"/>
            </w:tcBorders>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17.4%</w:t>
            </w:r>
          </w:p>
        </w:tc>
        <w:tc>
          <w:tcPr>
            <w:tcW w:w="1000" w:type="dxa"/>
            <w:vAlign w:val="bottom"/>
            <w:tcBorders>
              <w:bottom w:val="single" w:sz="8" w:color="auto"/>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20" w:type="dxa"/>
            <w:vAlign w:val="bottom"/>
          </w:tcPr>
          <w:p>
            <w:pPr>
              <w:jc w:val="right"/>
              <w:ind w:right="161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18"/>
          <w:szCs w:val="18"/>
          <w:color w:val="auto"/>
        </w:rPr>
        <w:t>Net revenue for the period increased by $51.2 million, or 7.1%, from $725.7 million for the six months ended June 30, 2014 to $776.9 million for the six months ended June 30, 2015. The primary driver of the increase in net revenues during the six months ended June 30, 2015 was the inclusion of net revenues from the acquisition of Aptiv Solutions, which was acquired on May 7, 2014, together with net revenues from MediMedia Pharma Solutions which was acquired on February 27, 2015. During the six months ended June 30, 2015 $406.8 million or 52.4% of our net revenues were derived from our top 5 customers compared to $376.8 million or 51.9% of net revenues derived from our top 5 customers during the six months ended June 30, 2014. The increased use of strategic partnerships arrangements in recent years has resulted in a greater portion of our net revenues being derived from our top five customers. While there has been a marginal increase in the percentage concentration for the six months ended June 30, 2015 compared to the six months ended June 30, 2014, the addition of new accounts in recent quarters has led a decrease in this overall percentage in the three month ended June 30, 2015. For the six months ended June 30, 2015 we derived approximately 40.5%, 49.2% and 10.3% of our net revenue in the United States, Europe and Rest of World, respectively.</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revenue in Ireland increased from $174.1 million for the six months ended June 20, 2014 to $219.5 million for the six months ended June 30, 2015. Net revenue in Ireland is principally a function of the Company’s global transfer pricing model (</w:t>
      </w:r>
      <w:r>
        <w:rPr>
          <w:rFonts w:ascii="Arial" w:cs="Arial" w:eastAsia="Arial" w:hAnsi="Arial"/>
          <w:sz w:val="16"/>
          <w:szCs w:val="16"/>
          <w:i w:val="1"/>
          <w:iCs w:val="1"/>
          <w:color w:val="auto"/>
        </w:rPr>
        <w:t>see note 8 Business Segmental Information for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details</w:t>
      </w:r>
      <w:r>
        <w:rPr>
          <w:rFonts w:ascii="Arial" w:cs="Arial" w:eastAsia="Arial" w:hAnsi="Arial"/>
          <w:sz w:val="16"/>
          <w:szCs w:val="16"/>
          <w:color w:val="auto"/>
        </w:rPr>
        <w:t>). Net revenue in our Rest of Europe region decreased from $184.5 million for the six months ended June 30, 2014 to $162.6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2015, while net revenue in our Other region decreased marginally from $72.3 million for the six months ended June 30, 2014 to $75.3 million for the six months ended June 30, 2015. Net revenues in both of these regions were impacted by the continued strengthening of the U.S. dollar during the period which saw a decrease in their reported value when translated to U.S. dollars. This reduction was offset by a full six months revenue contribution from Aptiv Solutions which was acquired on May 7, 2014. Net revenue in the U.S. region increased from $272.7 million for the six months ended June 30, 2014 to $291.9 million for the six months ended June 30, 2015. The increase in net revenue in this region arose primarily from a full six months contribution from the acquisition of Aptiv Solutions and net revenue from MediMedia Pharma Solutions which was acquired on February 27, 2015.</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Direct costs for the period increased by $9.7 million, or 2.2%, from $443.3 million for the six months ended June 30, 2014 to $453.0 million for the six months ended June 30, 2015. Direct costs consist primarily of compensation, associated fringe benefits and share based compensation expense for project-related employees and other direct project driven costs. The increase in direct costs during the period arose primarily from an increase in direct headcount of approximately 300 heads, additional costs from the acquisition of MediMedia Pharma Services and full quarter’s costs for Aptiv Solutions. In addition, the continued strengthening of the U.S. dollar versus exchange rates such as the Euro, amongst others, has seen a decrease in the reported value of direct costs for operations outside of the United States when translated to U.S. dollars. As a percentage of net revenue, direct costs have decreased from 61.1% for the six months ended June 30, 2014 to 58.3% for the six months ended June 30, 2015.</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period decreased by $5.7 million, or 3.4%, from $166.6 million for the six months ended June 30, 2014 to $160.9 million for the six months ended June 30, 2015.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 primary driver of the decrease in selling, general and administrative expenses during the period has been the continued strengthening of the U.S. dollar versus exchange rates such as the Euro, amongst others. This strengthening has seen a reduction in the reported value of selling, general and administrative expenses during the period for regions outside of the United States. This reduction was offset by increased costs from the acquisition of MediMedia Pharma Solutions and the inclusion of a full six months costs for Aptiv Solutions in the current period. As a percentage of net revenue, selling, general and administrative expenses, decreased from 23.0% for the six months ended June 30, 2014 to 20.7% for the six months ended June 30, 2015.</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decreased by $0.3 million, or 1.8%, from $20.0 million for the six months ended June 30, 2014 to $19.7 million for the six months ended June 30, 2015. Depreciation expense arises principally arises from an investment in facilities, information systems and equipment to support the Company’s growth. As a percentage of net revenue, depreciation expense decreased from 2.9% of net revenues for the six months ended June 30, 2014 to 2.5% for the six months ended June 30, 2015. Amortization expense for the period increased by $4.1million, or 91.6%, from $4.5 million for the six months ended June 30, 2014 to $8.5 million for the six months ended June 30, 2015. Amortization expense represents to the amortization of intangible assets acquired on business combinations. The increase in the amortization expense for the period relates to the acquisition of Aptiv Solution, together with the amortization expense associated with the Company’s estimate of intangible assets arising on the acquisition of MediMEdia Pharma Solutions. As a percentage of net revenue, amortization expense increased from 0.6% of net revenues for the six months ended June 30, 2014 to 1.1% for the six months ended June 30, 2015.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As a result of the above, income from operations for the six months ended June 30, 2015 increased by $43.5 million, or 47.6%, from $91.3 million for the six months ended June 30, 2014 to $134.8 million for the six months ended June 30, 2015. As a percentage of net revenue, income from operations increased from 12.4% of net revenues for the six months ended June 30, 2014 to 17.4% of net revenues for the six months ended June 30, 2015.</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Income from operations in Ireland increased from $54.9 million for the six months ended June 30, 2014 to $97.0 million for the six months ended June 30, 2015. Income from operations in Ireland is impacted by the Group’s global transfer pricing model </w:t>
      </w:r>
      <w:r>
        <w:rPr>
          <w:rFonts w:ascii="Arial" w:cs="Arial" w:eastAsia="Arial" w:hAnsi="Arial"/>
          <w:sz w:val="16"/>
          <w:szCs w:val="16"/>
          <w:i w:val="1"/>
          <w:iCs w:val="1"/>
          <w:color w:val="auto"/>
        </w:rPr>
        <w:t>(see note 8 Business Segmental Information for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details). </w:t>
      </w:r>
      <w:r>
        <w:rPr>
          <w:rFonts w:ascii="Arial" w:cs="Arial" w:eastAsia="Arial" w:hAnsi="Arial"/>
          <w:sz w:val="16"/>
          <w:szCs w:val="16"/>
          <w:color w:val="auto"/>
        </w:rPr>
        <w:t>Income from operations in our Rest of Europe region decreased from $14.4 million for the six months ended June 30, 2014 to $10.4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30, 2015, while income from operations in our Other region decreased marginally from $5.7 million for six months ended June 30, 2014 to $5.1 million for the six months ended June 30, 2015. Income from operations in both of these regions was impacted by the continued strengthening of the U.S. dollar during the period which saw a decrease in the reported value of both revenues and costs when translated to U.S. dollars. This reduction was offset by a full six months contribution from Aptiv Solutions in the current period. Income from operations in the U.S. region increased from $16.3 million for the six months ended June 30, 2014 to $22.4 million for the six months ended June 30, 2015. Income from operations in this region was positively impacted by the acquisition of MediMedia Pharma Solutions during the period and a full six months contribution from Aptiv Solutions.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period decreased from $0.56 million for the six months ended June 30, 2014 to $0.51 million for the six months ended June 30,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from $0.6 million for the six months ended June 30, 2014 to $0.5 million for the six months ended June 30, 2015.</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 for income taxes for the period increased from $14.4 million for the six months ended June 30, 2014 to $20.3 million for the six months ended June 30, 2015. The Company’s effective tax rate for the six months ended June 30, 2014 was 15.1% compared with 15.7% for the six months ended June 30, 2014. The Company’s effective tax rate is principally a function of the distribution of pre-tax profits amongst the territories in which it operates.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net cash balances amounted to $132.2 million at June 30, 2015 compared to $216.0 million at December 31, 2014. The Company’s net cash balances comprise cash and cash equivalent and short term investments, offset by amounts drawn under negotiated banking facilities. At June 30, 2015 cash and cash equivalents amounted to $107.5 million, short term investments $84.7 million while amounts drawn under the Company’s negotiated banking facility amounted to $60.0 million. At December 31, 2014 cash and cash equivalents amounted to $118.9 million, short term investments $97.1 million while no amounts were drawn under the Company’s negotiated banking facility. In February 2015, the Company completed the acquisition of MediMedia Pharma Solutions resulting in a cash outflow totalling $105.1 million, while the Company also paid $58.2 million to repurchases shares under its share repurchase program during the period.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2014 the Company entered into a five year committed multi-currency revolving credit facility for $100.0 million with Citibank, JP Morgan, Santander and Barclays Bank. Each bank subject to the agreement has committed $25 million to the facility, with equal terms and conditions in place with all institutions. The facility bears interest at LIBOR plus a margin and includes certain composite guarantees, indemnities and pledges in favour of the banks. At June 30, 2015, the company had drawn $60 million of this facility. Amounts available to the Group under the facility amounted to $40.0 million at June 30, 2015.</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right="140"/>
        <w:spacing w:after="0" w:line="268" w:lineRule="auto"/>
        <w:rPr>
          <w:sz w:val="20"/>
          <w:szCs w:val="20"/>
          <w:color w:val="auto"/>
        </w:rPr>
      </w:pPr>
      <w:r>
        <w:rPr>
          <w:rFonts w:ascii="Arial" w:cs="Arial" w:eastAsia="Arial" w:hAnsi="Arial"/>
          <w:sz w:val="17"/>
          <w:szCs w:val="17"/>
          <w:color w:val="auto"/>
        </w:rPr>
        <w:t>Net cash provided by operating activities was $89.2 million for the six months ended June 30, 2015 compared with cash used in operating activities of $16.3 million for the six months ended June 30, 2014. The increase in cash provided by operating activities during the six months ended June 30, 2015 arose primarily form an increase in both revenues and margins within the business, together with a lower increase in the number of days revenue outstanding over the comparative period.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achievement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2015 was 45 days compared to 40 days at December 31, 2014. The number of day’s revenue outstanding at June 30, 2014 was 40 days compared to 32 days at December 31, 2013.</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was $114.7 million for the six months ended June 30, 2015 compared to net cash used in investing activities of $86.0 million for the six months ended June 30, 2014. Net cash used in the six months ended June 30, 2015 arose principally from cash paid to acquire MediMedia Pharma Solutions. Capital expenditure for the six months ended June 30, 2015 amounted to $24.1 million and comprised mainly of expenditure on global infrastructure and information technology systems to support the Company’s growth. During the six months ended June 30, 2015 the Company received a net $12.5 million from the sale of short-term investments.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provided by financing activities during the six months ended June 30, 2015 amounted to $15.3 million compared to $1.5 million for the six months ended June 30, 2014. During the six months ended June 30, 2015 the Company received $60.0 million from the drawdown of amounts under its negotiated banking facility, together with $13.5 million from the exercise of share options. This was offset by $58.2 million paid to repurchase ordinary shares under the Company’s share repurchase program (including $0.3 million share repurchase costs). During the six months ended June 30, 2014 the Company received $12.3 million from the sale of share options. This was offset by $11.5 million paid by the Company to repurchase ordinary shares.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-10160</wp:posOffset>
            </wp:positionV>
            <wp:extent cx="1514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-10160</wp:posOffset>
            </wp:positionV>
            <wp:extent cx="13684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06, 2015</w:t>
      </w:r>
      <w:r>
        <w:rPr>
          <w:sz w:val="20"/>
          <w:szCs w:val="20"/>
          <w:color w:val="auto"/>
        </w:rPr>
        <w:tab/>
      </w:r>
      <w:r>
        <w:rPr>
          <w:rFonts w:ascii="Arial" w:cs="Arial" w:eastAsia="Arial" w:hAnsi="Arial"/>
          <w:sz w:val="16"/>
          <w:szCs w:val="16"/>
          <w:color w:val="auto"/>
        </w:rPr>
        <w:t>Brendan Brennan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2019-12-07T03:54:55Z</dcterms:created>
  <dcterms:modified xsi:type="dcterms:W3CDTF">2019-12-07T03:54:55Z</dcterms:modified>
</cp:coreProperties>
</file>