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39"/>
        <w:spacing w:after="0"/>
        <w:rPr>
          <w:sz w:val="20"/>
          <w:szCs w:val="20"/>
          <w:color w:val="auto"/>
        </w:rPr>
      </w:pPr>
      <w:r>
        <w:rPr>
          <w:rFonts w:ascii="Arial" w:cs="Arial" w:eastAsia="Arial" w:hAnsi="Arial"/>
          <w:sz w:val="29"/>
          <w:szCs w:val="29"/>
          <w:b w:val="1"/>
          <w:bCs w:val="1"/>
          <w:color w:val="auto"/>
        </w:rPr>
        <w:t>FORM 6-K</w:t>
      </w:r>
    </w:p>
    <w:p>
      <w:pPr>
        <w:spacing w:after="0" w:line="36" w:lineRule="exact"/>
        <w:rPr>
          <w:sz w:val="24"/>
          <w:szCs w:val="24"/>
          <w:color w:val="auto"/>
        </w:rPr>
      </w:pPr>
    </w:p>
    <w:p>
      <w:pPr>
        <w:jc w:val="center"/>
        <w:ind w:right="-799"/>
        <w:spacing w:after="0"/>
        <w:rPr>
          <w:sz w:val="20"/>
          <w:szCs w:val="20"/>
          <w:color w:val="auto"/>
        </w:rPr>
      </w:pPr>
      <w:r>
        <w:rPr>
          <w:rFonts w:ascii="Arial" w:cs="Arial" w:eastAsia="Arial" w:hAnsi="Arial"/>
          <w:sz w:val="29"/>
          <w:szCs w:val="29"/>
          <w:b w:val="1"/>
          <w:bCs w:val="1"/>
          <w:color w:val="auto"/>
        </w:rPr>
        <w:t>SECURITIES AND EXCHANGE COMMISSION</w:t>
      </w:r>
    </w:p>
    <w:p>
      <w:pPr>
        <w:spacing w:after="0" w:line="233" w:lineRule="exact"/>
        <w:rPr>
          <w:sz w:val="24"/>
          <w:szCs w:val="24"/>
          <w:color w:val="auto"/>
        </w:rPr>
      </w:pPr>
    </w:p>
    <w:p>
      <w:pPr>
        <w:jc w:val="center"/>
        <w:ind w:right="-799"/>
        <w:spacing w:after="0"/>
        <w:rPr>
          <w:sz w:val="20"/>
          <w:szCs w:val="20"/>
          <w:color w:val="auto"/>
        </w:rPr>
      </w:pPr>
      <w:r>
        <w:rPr>
          <w:rFonts w:ascii="Arial" w:cs="Arial" w:eastAsia="Arial" w:hAnsi="Arial"/>
          <w:sz w:val="18"/>
          <w:szCs w:val="18"/>
          <w:color w:val="auto"/>
        </w:rPr>
        <w:t>Washington, D.C. 20549</w:t>
      </w:r>
    </w:p>
    <w:p>
      <w:pPr>
        <w:spacing w:after="0" w:line="248" w:lineRule="exact"/>
        <w:rPr>
          <w:sz w:val="24"/>
          <w:szCs w:val="24"/>
          <w:color w:val="auto"/>
        </w:rPr>
      </w:pPr>
    </w:p>
    <w:p>
      <w:pPr>
        <w:jc w:val="center"/>
        <w:ind w:right="-799"/>
        <w:spacing w:after="0"/>
        <w:rPr>
          <w:sz w:val="20"/>
          <w:szCs w:val="20"/>
          <w:color w:val="auto"/>
        </w:rPr>
      </w:pPr>
      <w:r>
        <w:rPr>
          <w:rFonts w:ascii="Arial" w:cs="Arial" w:eastAsia="Arial" w:hAnsi="Arial"/>
          <w:sz w:val="18"/>
          <w:szCs w:val="18"/>
          <w:b w:val="1"/>
          <w:bCs w:val="1"/>
          <w:color w:val="auto"/>
        </w:rPr>
        <w:t>Report of Foreign Private Issuer</w:t>
      </w:r>
    </w:p>
    <w:p>
      <w:pPr>
        <w:spacing w:after="0" w:line="27" w:lineRule="exact"/>
        <w:rPr>
          <w:sz w:val="24"/>
          <w:szCs w:val="24"/>
          <w:color w:val="auto"/>
        </w:rPr>
      </w:pPr>
    </w:p>
    <w:p>
      <w:pPr>
        <w:jc w:val="center"/>
        <w:ind w:right="-799"/>
        <w:spacing w:after="0"/>
        <w:rPr>
          <w:sz w:val="20"/>
          <w:szCs w:val="20"/>
          <w:color w:val="auto"/>
        </w:rPr>
      </w:pPr>
      <w:r>
        <w:rPr>
          <w:rFonts w:ascii="Arial" w:cs="Arial" w:eastAsia="Arial" w:hAnsi="Arial"/>
          <w:sz w:val="18"/>
          <w:szCs w:val="18"/>
          <w:b w:val="1"/>
          <w:bCs w:val="1"/>
          <w:color w:val="auto"/>
        </w:rPr>
        <w:t>Pursuant to Rule 13a-16 under</w:t>
      </w:r>
    </w:p>
    <w:p>
      <w:pPr>
        <w:spacing w:after="0" w:line="9" w:lineRule="exact"/>
        <w:rPr>
          <w:sz w:val="24"/>
          <w:szCs w:val="24"/>
          <w:color w:val="auto"/>
        </w:rPr>
      </w:pPr>
    </w:p>
    <w:p>
      <w:pPr>
        <w:jc w:val="center"/>
        <w:ind w:right="-799"/>
        <w:spacing w:after="0"/>
        <w:rPr>
          <w:sz w:val="20"/>
          <w:szCs w:val="20"/>
          <w:color w:val="auto"/>
        </w:rPr>
      </w:pPr>
      <w:r>
        <w:rPr>
          <w:rFonts w:ascii="Arial" w:cs="Arial" w:eastAsia="Arial" w:hAnsi="Arial"/>
          <w:sz w:val="18"/>
          <w:szCs w:val="18"/>
          <w:b w:val="1"/>
          <w:bCs w:val="1"/>
          <w:color w:val="auto"/>
        </w:rPr>
        <w:t>the Securities Exchange Act of 1934</w:t>
      </w:r>
    </w:p>
    <w:p>
      <w:pPr>
        <w:spacing w:after="0" w:line="238" w:lineRule="exact"/>
        <w:rPr>
          <w:sz w:val="24"/>
          <w:szCs w:val="24"/>
          <w:color w:val="auto"/>
        </w:rPr>
      </w:pPr>
    </w:p>
    <w:p>
      <w:pPr>
        <w:jc w:val="center"/>
        <w:ind w:right="-799"/>
        <w:spacing w:after="0"/>
        <w:rPr>
          <w:sz w:val="20"/>
          <w:szCs w:val="20"/>
          <w:color w:val="auto"/>
        </w:rPr>
      </w:pPr>
      <w:r>
        <w:rPr>
          <w:rFonts w:ascii="Arial" w:cs="Arial" w:eastAsia="Arial" w:hAnsi="Arial"/>
          <w:sz w:val="18"/>
          <w:szCs w:val="18"/>
          <w:color w:val="auto"/>
        </w:rPr>
        <w:t>For</w:t>
      </w:r>
    </w:p>
    <w:p>
      <w:pPr>
        <w:spacing w:after="0" w:line="23" w:lineRule="exact"/>
        <w:rPr>
          <w:sz w:val="24"/>
          <w:szCs w:val="24"/>
          <w:color w:val="auto"/>
        </w:rPr>
      </w:pPr>
    </w:p>
    <w:p>
      <w:pPr>
        <w:jc w:val="center"/>
        <w:ind w:right="-799"/>
        <w:spacing w:after="0"/>
        <w:rPr>
          <w:sz w:val="20"/>
          <w:szCs w:val="20"/>
          <w:color w:val="auto"/>
        </w:rPr>
      </w:pPr>
      <w:r>
        <w:rPr>
          <w:rFonts w:ascii="Arial" w:cs="Arial" w:eastAsia="Arial" w:hAnsi="Arial"/>
          <w:sz w:val="18"/>
          <w:szCs w:val="18"/>
          <w:color w:val="auto"/>
        </w:rPr>
        <w:t>the month ended June 30, 2015</w:t>
      </w:r>
    </w:p>
    <w:p>
      <w:pPr>
        <w:spacing w:after="0" w:line="220" w:lineRule="exact"/>
        <w:rPr>
          <w:sz w:val="24"/>
          <w:szCs w:val="24"/>
          <w:color w:val="auto"/>
        </w:rPr>
      </w:pPr>
    </w:p>
    <w:p>
      <w:pPr>
        <w:ind w:left="5120"/>
        <w:spacing w:after="0"/>
        <w:rPr>
          <w:sz w:val="20"/>
          <w:szCs w:val="20"/>
          <w:color w:val="auto"/>
        </w:rPr>
      </w:pPr>
      <w:r>
        <w:rPr>
          <w:rFonts w:ascii="Arial" w:cs="Arial" w:eastAsia="Arial" w:hAnsi="Arial"/>
          <w:sz w:val="29"/>
          <w:szCs w:val="29"/>
          <w:b w:val="1"/>
          <w:bCs w:val="1"/>
          <w:color w:val="auto"/>
        </w:rPr>
        <w:t>ICON plc</w:t>
      </w:r>
    </w:p>
    <w:p>
      <w:pPr>
        <w:spacing w:after="0" w:line="38" w:lineRule="exact"/>
        <w:rPr>
          <w:sz w:val="24"/>
          <w:szCs w:val="24"/>
          <w:color w:val="auto"/>
        </w:rPr>
      </w:pPr>
    </w:p>
    <w:p>
      <w:pPr>
        <w:ind w:left="5020"/>
        <w:spacing w:after="0"/>
        <w:rPr>
          <w:sz w:val="20"/>
          <w:szCs w:val="20"/>
          <w:color w:val="auto"/>
        </w:rPr>
      </w:pPr>
      <w:r>
        <w:rPr>
          <w:rFonts w:ascii="Arial" w:cs="Arial" w:eastAsia="Arial" w:hAnsi="Arial"/>
          <w:sz w:val="18"/>
          <w:szCs w:val="18"/>
          <w:color w:val="auto"/>
        </w:rPr>
        <w:t>(Registrant's name)</w:t>
      </w:r>
    </w:p>
    <w:p>
      <w:pPr>
        <w:spacing w:after="0" w:line="200" w:lineRule="exact"/>
        <w:rPr>
          <w:sz w:val="24"/>
          <w:szCs w:val="24"/>
          <w:color w:val="auto"/>
        </w:rPr>
      </w:pPr>
    </w:p>
    <w:p>
      <w:pPr>
        <w:spacing w:after="0" w:line="279" w:lineRule="exact"/>
        <w:rPr>
          <w:sz w:val="24"/>
          <w:szCs w:val="24"/>
          <w:color w:val="auto"/>
        </w:rPr>
      </w:pPr>
    </w:p>
    <w:p>
      <w:pPr>
        <w:jc w:val="center"/>
        <w:ind w:right="-799"/>
        <w:spacing w:after="0"/>
        <w:rPr>
          <w:sz w:val="20"/>
          <w:szCs w:val="20"/>
          <w:color w:val="auto"/>
        </w:rPr>
      </w:pPr>
      <w:r>
        <w:rPr>
          <w:rFonts w:ascii="Arial" w:cs="Arial" w:eastAsia="Arial" w:hAnsi="Arial"/>
          <w:sz w:val="18"/>
          <w:szCs w:val="18"/>
          <w:color w:val="auto"/>
        </w:rPr>
        <w:t>333-08704</w:t>
      </w:r>
    </w:p>
    <w:p>
      <w:pPr>
        <w:spacing w:after="0" w:line="23" w:lineRule="exact"/>
        <w:rPr>
          <w:sz w:val="24"/>
          <w:szCs w:val="24"/>
          <w:color w:val="auto"/>
        </w:rPr>
      </w:pPr>
    </w:p>
    <w:p>
      <w:pPr>
        <w:jc w:val="center"/>
        <w:ind w:right="-799"/>
        <w:spacing w:after="0"/>
        <w:rPr>
          <w:sz w:val="20"/>
          <w:szCs w:val="20"/>
          <w:color w:val="auto"/>
        </w:rPr>
      </w:pPr>
      <w:r>
        <w:rPr>
          <w:rFonts w:ascii="Arial" w:cs="Arial" w:eastAsia="Arial" w:hAnsi="Arial"/>
          <w:sz w:val="18"/>
          <w:szCs w:val="18"/>
          <w:color w:val="auto"/>
        </w:rPr>
        <w:t>(Commission file number)</w:t>
      </w:r>
    </w:p>
    <w:p>
      <w:pPr>
        <w:spacing w:after="0" w:line="238" w:lineRule="exact"/>
        <w:rPr>
          <w:sz w:val="24"/>
          <w:szCs w:val="24"/>
          <w:color w:val="auto"/>
        </w:rPr>
      </w:pPr>
    </w:p>
    <w:p>
      <w:pPr>
        <w:jc w:val="center"/>
        <w:ind w:right="-799"/>
        <w:spacing w:after="0"/>
        <w:rPr>
          <w:sz w:val="20"/>
          <w:szCs w:val="20"/>
          <w:color w:val="auto"/>
        </w:rPr>
      </w:pPr>
      <w:r>
        <w:rPr>
          <w:rFonts w:ascii="Arial" w:cs="Arial" w:eastAsia="Arial" w:hAnsi="Arial"/>
          <w:sz w:val="18"/>
          <w:szCs w:val="18"/>
          <w:color w:val="auto"/>
        </w:rPr>
        <w:t>South County Business Park, Leopardstown, Dublin 18, Ireland</w:t>
      </w:r>
    </w:p>
    <w:p>
      <w:pPr>
        <w:spacing w:after="0" w:line="23" w:lineRule="exact"/>
        <w:rPr>
          <w:sz w:val="24"/>
          <w:szCs w:val="24"/>
          <w:color w:val="auto"/>
        </w:rPr>
      </w:pPr>
    </w:p>
    <w:p>
      <w:pPr>
        <w:jc w:val="center"/>
        <w:ind w:right="-799"/>
        <w:spacing w:after="0"/>
        <w:rPr>
          <w:sz w:val="20"/>
          <w:szCs w:val="20"/>
          <w:color w:val="auto"/>
        </w:rPr>
      </w:pPr>
      <w:r>
        <w:rPr>
          <w:rFonts w:ascii="Arial" w:cs="Arial" w:eastAsia="Arial" w:hAnsi="Arial"/>
          <w:sz w:val="18"/>
          <w:szCs w:val="18"/>
          <w:color w:val="auto"/>
        </w:rPr>
        <w:t>(Address of principal executive offices)</w:t>
      </w:r>
    </w:p>
    <w:p>
      <w:pPr>
        <w:spacing w:after="0" w:line="200" w:lineRule="exact"/>
        <w:rPr>
          <w:sz w:val="24"/>
          <w:szCs w:val="24"/>
          <w:color w:val="auto"/>
        </w:rPr>
      </w:pPr>
    </w:p>
    <w:p>
      <w:pPr>
        <w:spacing w:after="0" w:line="281" w:lineRule="exact"/>
        <w:rPr>
          <w:sz w:val="24"/>
          <w:szCs w:val="24"/>
          <w:color w:val="auto"/>
        </w:rPr>
      </w:pPr>
    </w:p>
    <w:p>
      <w:pPr>
        <w:jc w:val="center"/>
        <w:ind w:right="-799"/>
        <w:spacing w:after="0"/>
        <w:rPr>
          <w:sz w:val="20"/>
          <w:szCs w:val="20"/>
          <w:color w:val="auto"/>
        </w:rPr>
      </w:pPr>
      <w:r>
        <w:rPr>
          <w:rFonts w:ascii="Arial" w:cs="Arial" w:eastAsia="Arial" w:hAnsi="Arial"/>
          <w:sz w:val="18"/>
          <w:szCs w:val="18"/>
          <w:color w:val="auto"/>
        </w:rPr>
        <w:t>Brendan Brennan, CFO</w:t>
      </w:r>
    </w:p>
    <w:p>
      <w:pPr>
        <w:spacing w:after="0" w:line="23" w:lineRule="exact"/>
        <w:rPr>
          <w:sz w:val="24"/>
          <w:szCs w:val="24"/>
          <w:color w:val="auto"/>
        </w:rPr>
      </w:pPr>
    </w:p>
    <w:p>
      <w:pPr>
        <w:jc w:val="center"/>
        <w:ind w:right="-799"/>
        <w:spacing w:after="0"/>
        <w:rPr>
          <w:sz w:val="20"/>
          <w:szCs w:val="20"/>
          <w:color w:val="auto"/>
        </w:rPr>
      </w:pPr>
      <w:r>
        <w:rPr>
          <w:rFonts w:ascii="Arial" w:cs="Arial" w:eastAsia="Arial" w:hAnsi="Arial"/>
          <w:sz w:val="18"/>
          <w:szCs w:val="18"/>
          <w:color w:val="auto"/>
        </w:rPr>
        <w:t>South County Business Park, Leopardstown, Dublin 18, Ireland.</w:t>
      </w:r>
    </w:p>
    <w:p>
      <w:pPr>
        <w:spacing w:after="0" w:line="9" w:lineRule="exact"/>
        <w:rPr>
          <w:sz w:val="24"/>
          <w:szCs w:val="24"/>
          <w:color w:val="auto"/>
        </w:rPr>
      </w:pPr>
    </w:p>
    <w:p>
      <w:pPr>
        <w:jc w:val="center"/>
        <w:ind w:right="-799"/>
        <w:spacing w:after="0"/>
        <w:rPr>
          <w:sz w:val="20"/>
          <w:szCs w:val="20"/>
          <w:color w:val="auto"/>
        </w:rPr>
      </w:pPr>
      <w:r>
        <w:rPr>
          <w:rFonts w:ascii="Arial" w:cs="Arial" w:eastAsia="Arial" w:hAnsi="Arial"/>
          <w:sz w:val="18"/>
          <w:szCs w:val="18"/>
          <w:color w:val="auto"/>
        </w:rPr>
        <w:t>Brendan.Brennan@iconplc.com</w:t>
      </w:r>
    </w:p>
    <w:p>
      <w:pPr>
        <w:spacing w:after="0" w:line="9" w:lineRule="exact"/>
        <w:rPr>
          <w:sz w:val="24"/>
          <w:szCs w:val="24"/>
          <w:color w:val="auto"/>
        </w:rPr>
      </w:pPr>
    </w:p>
    <w:p>
      <w:pPr>
        <w:jc w:val="center"/>
        <w:ind w:right="-799"/>
        <w:spacing w:after="0"/>
        <w:rPr>
          <w:sz w:val="20"/>
          <w:szCs w:val="20"/>
          <w:color w:val="auto"/>
        </w:rPr>
      </w:pPr>
      <w:r>
        <w:rPr>
          <w:rFonts w:ascii="Arial" w:cs="Arial" w:eastAsia="Arial" w:hAnsi="Arial"/>
          <w:sz w:val="18"/>
          <w:szCs w:val="18"/>
          <w:color w:val="auto"/>
        </w:rPr>
        <w:t>011-353-1-291-2000</w:t>
      </w:r>
    </w:p>
    <w:p>
      <w:pPr>
        <w:spacing w:after="0" w:line="9" w:lineRule="exact"/>
        <w:rPr>
          <w:sz w:val="24"/>
          <w:szCs w:val="24"/>
          <w:color w:val="auto"/>
        </w:rPr>
      </w:pPr>
    </w:p>
    <w:p>
      <w:pPr>
        <w:jc w:val="center"/>
        <w:ind w:right="-839"/>
        <w:spacing w:after="0"/>
        <w:rPr>
          <w:sz w:val="20"/>
          <w:szCs w:val="20"/>
          <w:color w:val="auto"/>
        </w:rPr>
      </w:pPr>
      <w:r>
        <w:rPr>
          <w:rFonts w:ascii="Arial" w:cs="Arial" w:eastAsia="Arial" w:hAnsi="Arial"/>
          <w:sz w:val="18"/>
          <w:szCs w:val="18"/>
          <w:color w:val="auto"/>
        </w:rPr>
        <w:t>(Name, telephone number, email and/or facsimile number and address of Company contact person)</w:t>
      </w:r>
    </w:p>
    <w:p>
      <w:pPr>
        <w:spacing w:after="0" w:line="200" w:lineRule="exact"/>
        <w:rPr>
          <w:sz w:val="24"/>
          <w:szCs w:val="24"/>
          <w:color w:val="auto"/>
        </w:rPr>
      </w:pPr>
    </w:p>
    <w:p>
      <w:pPr>
        <w:spacing w:after="0" w:line="28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23" w:lineRule="exact"/>
        <w:rPr>
          <w:sz w:val="24"/>
          <w:szCs w:val="24"/>
          <w:color w:val="auto"/>
        </w:rPr>
      </w:pPr>
    </w:p>
    <w:p>
      <w:pPr>
        <w:ind w:left="4440"/>
        <w:spacing w:after="0"/>
        <w:tabs>
          <w:tab w:leader="none" w:pos="6560" w:val="left"/>
        </w:tabs>
        <w:rPr>
          <w:sz w:val="20"/>
          <w:szCs w:val="20"/>
          <w:color w:val="auto"/>
        </w:rPr>
      </w:pPr>
      <w:r>
        <w:rPr>
          <w:rFonts w:ascii="Arial" w:cs="Arial" w:eastAsia="Arial" w:hAnsi="Arial"/>
          <w:sz w:val="18"/>
          <w:szCs w:val="18"/>
          <w:color w:val="auto"/>
        </w:rPr>
        <w:t>Yes___</w:t>
      </w:r>
      <w:r>
        <w:rPr>
          <w:rFonts w:ascii="Arial" w:cs="Arial" w:eastAsia="Arial" w:hAnsi="Arial"/>
          <w:sz w:val="18"/>
          <w:szCs w:val="18"/>
          <w:b w:val="1"/>
          <w:bCs w:val="1"/>
          <w:color w:val="auto"/>
        </w:rPr>
        <w:t>X</w:t>
      </w:r>
      <w:r>
        <w:rPr>
          <w:rFonts w:ascii="Arial" w:cs="Arial" w:eastAsia="Arial" w:hAnsi="Arial"/>
          <w:sz w:val="18"/>
          <w:szCs w:val="18"/>
          <w:color w:val="auto"/>
        </w:rPr>
        <w:t>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_</w:t>
      </w:r>
      <w:r>
        <w:rPr>
          <w:rFonts w:ascii="Arial" w:cs="Arial" w:eastAsia="Arial" w:hAnsi="Arial"/>
          <w:sz w:val="16"/>
          <w:szCs w:val="16"/>
          <w:color w:val="auto"/>
        </w:rPr>
        <w:t>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23" w:lineRule="exact"/>
        <w:rPr>
          <w:sz w:val="24"/>
          <w:szCs w:val="24"/>
          <w:color w:val="auto"/>
        </w:rPr>
      </w:pPr>
    </w:p>
    <w:p>
      <w:pPr>
        <w:ind w:left="4440"/>
        <w:spacing w:after="0"/>
        <w:tabs>
          <w:tab w:leader="none" w:pos="656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23" w:lineRule="exact"/>
        <w:rPr>
          <w:sz w:val="24"/>
          <w:szCs w:val="24"/>
          <w:color w:val="auto"/>
        </w:rPr>
      </w:pPr>
    </w:p>
    <w:p>
      <w:pPr>
        <w:ind w:left="4440"/>
        <w:spacing w:after="0"/>
        <w:tabs>
          <w:tab w:leader="none" w:pos="656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11" w:lineRule="exact"/>
        <w:rPr>
          <w:sz w:val="24"/>
          <w:szCs w:val="24"/>
          <w:color w:val="auto"/>
        </w:rPr>
      </w:pPr>
    </w:p>
    <w:p>
      <w:pPr>
        <w:spacing w:after="0" w:line="258"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1" w:lineRule="exact"/>
        <w:rPr>
          <w:sz w:val="24"/>
          <w:szCs w:val="24"/>
          <w:color w:val="auto"/>
        </w:rPr>
      </w:pPr>
    </w:p>
    <w:p>
      <w:pPr>
        <w:ind w:left="4440"/>
        <w:spacing w:after="0"/>
        <w:tabs>
          <w:tab w:leader="none" w:pos="656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426720</wp:posOffset>
            </wp:positionV>
            <wp:extent cx="7250430"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620"/>
          </w:cols>
          <w:pgMar w:left="240" w:top="215" w:right="10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ICON plc</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Rider A</w:t>
      </w:r>
    </w:p>
    <w:p>
      <w:pPr>
        <w:spacing w:after="0" w:line="25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This report on Form 6-K is hereby incorporated by reference in the registration statement on Form F-3 (Registration No. 333-133371) of ICON plc and in the prospectus contained therein, and this report on Form 6-K shall be deemed a part of such registration statement from the date on which this report is filed, to the extent not superseded by documents or reports subsequently filed or furnished by ICON plc under the Securities Act of 1933 or the Securities Exchange Act of 1934.</w:t>
      </w:r>
    </w:p>
    <w:p>
      <w:pPr>
        <w:spacing w:after="0" w:line="36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13" w:right="29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GENERAL</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As used herein, “ICON”, the “Company” and “we” refer to ICON plc and its consolidated subsidiaries, unless the context requires otherwise.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w:t>
      </w:r>
    </w:p>
    <w:p>
      <w:pPr>
        <w:spacing w:after="0" w:line="256"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ICON public limited company (“ICON”) is a contract research organization (“CRO”), providing outsourced development services on a global basis to the pharmaceutical, biotechnology and medical device industries. We specialize in the strategic development, management and analysis of programs that support all stages of the clinical development process - from compound selection to Phase I-IV clinical studies. Our vision is to be the Global CRO partner of choice for the biopharma industry by delivering best in class information, solutions and performance in clinical and outcomes research.</w:t>
      </w:r>
    </w:p>
    <w:p>
      <w:pPr>
        <w:spacing w:after="0" w:line="19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believe that we are one of a select group of CRO’s with the expertise and capability to conduct clinical trials in most major therapeutic areas on a global basis and have the operational flexibility to provide development services on a stand-alone basis or as part of an integrated “full service” solution. At June 30, 2015 we had approximately 11,350 employees, in 81 locations in 37 countries. During the six months ended June 30, 2015 we derived approximately 40.5%, 49.2% and 10.3% of our net revenue in the United States, Europe and Rest of World, respectively.</w:t>
      </w:r>
    </w:p>
    <w:p>
      <w:pPr>
        <w:spacing w:after="0" w:line="214"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We began operations in 1990 and have expanded our business predominately through organic growth, together with a number of strategic acquisitions to enhance our capabilities and expertise in certain areas of the clinical development process. We are incorporated in Ireland and our principal executive office is located at: South County Business Park, Leopardstown, Dublin 18, Republic of Ireland. The contact telephone number of this office is 353 (1) 291 2000.</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Developments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Acquisitions</w:t>
      </w:r>
    </w:p>
    <w:p>
      <w:pPr>
        <w:spacing w:after="0" w:line="25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February 27, 2015 the Company acquired MediMedia Pharma Solutions for a total cash consideration of $120.0 million. Headquartered in Yardley, Pennsylvania, MediMedia Pharma Solutions includes MediMedia Managed Markets and Complete Healthcare Communications. MediMedia Managed Markets is a leading provider of strategic payer-validated market access solutions. Complete Healthcare Communications is one of the leading medical and scientific communication agencies working with medical affairs, commercial and brand development teams within life science companies. (</w:t>
      </w:r>
      <w:r>
        <w:rPr>
          <w:rFonts w:ascii="Arial" w:cs="Arial" w:eastAsia="Arial" w:hAnsi="Arial"/>
          <w:sz w:val="18"/>
          <w:szCs w:val="18"/>
          <w:i w:val="1"/>
          <w:iCs w:val="1"/>
          <w:color w:val="auto"/>
        </w:rPr>
        <w:t>see note 3</w:t>
      </w:r>
      <w:r>
        <w:rPr>
          <w:rFonts w:ascii="Arial" w:cs="Arial" w:eastAsia="Arial" w:hAnsi="Arial"/>
          <w:sz w:val="18"/>
          <w:szCs w:val="18"/>
          <w:color w:val="auto"/>
        </w:rPr>
        <w:t xml:space="preserve"> </w:t>
      </w:r>
      <w:r>
        <w:rPr>
          <w:rFonts w:ascii="Arial" w:cs="Arial" w:eastAsia="Arial" w:hAnsi="Arial"/>
          <w:sz w:val="18"/>
          <w:szCs w:val="18"/>
          <w:i w:val="1"/>
          <w:iCs w:val="1"/>
          <w:color w:val="auto"/>
        </w:rPr>
        <w:t>Business Combinations for further information)</w:t>
      </w:r>
      <w:r>
        <w:rPr>
          <w:rFonts w:ascii="Arial" w:cs="Arial" w:eastAsia="Arial" w:hAnsi="Arial"/>
          <w:sz w:val="18"/>
          <w:szCs w:val="18"/>
          <w:color w:val="auto"/>
        </w:rPr>
        <w:t>.</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Share Repurchase Program</w:t>
      </w:r>
    </w:p>
    <w:p>
      <w:pPr>
        <w:spacing w:after="0" w:line="25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On May 1, 2015 the Company commenced a repurchase program under which the Company could acquire its outstanding ordinary shares (by way of redemption), in accordance with Irish law, the United States securities laws and the Company’s constitutional documents through open market share acquisitions. During the three months ended June 30, 2015, 882,419 ordinary shares were redeemed by the Company under the repurchase plan for a total consideration of $58.2 million. </w:t>
      </w:r>
      <w:r>
        <w:rPr>
          <w:rFonts w:ascii="Arial" w:cs="Arial" w:eastAsia="Arial" w:hAnsi="Arial"/>
          <w:sz w:val="18"/>
          <w:szCs w:val="18"/>
          <w:i w:val="1"/>
          <w:iCs w:val="1"/>
          <w:color w:val="auto"/>
        </w:rPr>
        <w:t>(See note 7 Share Capital for further information.</w:t>
      </w:r>
      <w:r>
        <w:rPr>
          <w:rFonts w:ascii="Arial" w:cs="Arial" w:eastAsia="Arial" w:hAnsi="Arial"/>
          <w:sz w:val="18"/>
          <w:szCs w:val="18"/>
          <w:color w:val="auto"/>
        </w:rPr>
        <w:t>)</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AT JUNE 30, 2015 AND DECEMBER 31, 2014</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8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b w:val="1"/>
                <w:bCs w:val="1"/>
                <w:color w:val="auto"/>
                <w:w w:val="97"/>
              </w:rPr>
              <w:t>(Unaudited)</w:t>
            </w:r>
          </w:p>
        </w:tc>
        <w:tc>
          <w:tcPr>
            <w:tcW w:w="3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(Audited)</w:t>
            </w:r>
          </w:p>
        </w:tc>
      </w:tr>
      <w:tr>
        <w:trPr>
          <w:trHeight w:val="216"/>
        </w:trPr>
        <w:tc>
          <w:tcPr>
            <w:tcW w:w="20" w:type="dxa"/>
            <w:vAlign w:val="bottom"/>
          </w:tcPr>
          <w:p>
            <w:pPr>
              <w:spacing w:after="0"/>
              <w:rPr>
                <w:sz w:val="18"/>
                <w:szCs w:val="18"/>
                <w:color w:val="auto"/>
              </w:rPr>
            </w:pPr>
          </w:p>
        </w:tc>
        <w:tc>
          <w:tcPr>
            <w:tcW w:w="8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b w:val="1"/>
                <w:bCs w:val="1"/>
                <w:color w:val="auto"/>
              </w:rPr>
              <w:t>June</w:t>
            </w:r>
          </w:p>
        </w:tc>
        <w:tc>
          <w:tcPr>
            <w:tcW w:w="30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b w:val="1"/>
                <w:bCs w:val="1"/>
                <w:color w:val="auto"/>
              </w:rPr>
              <w:t>December</w:t>
            </w:r>
          </w:p>
        </w:tc>
      </w:tr>
      <w:tr>
        <w:trPr>
          <w:trHeight w:val="216"/>
        </w:trPr>
        <w:tc>
          <w:tcPr>
            <w:tcW w:w="20" w:type="dxa"/>
            <w:vAlign w:val="bottom"/>
          </w:tcPr>
          <w:p>
            <w:pPr>
              <w:spacing w:after="0"/>
              <w:rPr>
                <w:sz w:val="18"/>
                <w:szCs w:val="18"/>
                <w:color w:val="auto"/>
              </w:rPr>
            </w:pPr>
          </w:p>
        </w:tc>
        <w:tc>
          <w:tcPr>
            <w:tcW w:w="8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b w:val="1"/>
                <w:bCs w:val="1"/>
                <w:color w:val="auto"/>
              </w:rPr>
              <w:t>30,</w:t>
            </w:r>
          </w:p>
        </w:tc>
        <w:tc>
          <w:tcPr>
            <w:tcW w:w="30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b w:val="1"/>
                <w:bCs w:val="1"/>
                <w:color w:val="auto"/>
              </w:rPr>
              <w:t>31,</w:t>
            </w:r>
          </w:p>
        </w:tc>
      </w:tr>
      <w:tr>
        <w:trPr>
          <w:trHeight w:val="216"/>
        </w:trPr>
        <w:tc>
          <w:tcPr>
            <w:tcW w:w="20" w:type="dxa"/>
            <w:vAlign w:val="bottom"/>
          </w:tcPr>
          <w:p>
            <w:pPr>
              <w:spacing w:after="0"/>
              <w:rPr>
                <w:sz w:val="18"/>
                <w:szCs w:val="18"/>
                <w:color w:val="auto"/>
              </w:rPr>
            </w:pPr>
          </w:p>
        </w:tc>
        <w:tc>
          <w:tcPr>
            <w:tcW w:w="8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b w:val="1"/>
                <w:bCs w:val="1"/>
                <w:color w:val="auto"/>
              </w:rPr>
              <w:t>2015</w:t>
            </w:r>
          </w:p>
        </w:tc>
        <w:tc>
          <w:tcPr>
            <w:tcW w:w="3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2014</w:t>
            </w:r>
          </w:p>
        </w:tc>
      </w:tr>
      <w:tr>
        <w:trPr>
          <w:trHeight w:val="220"/>
        </w:trPr>
        <w:tc>
          <w:tcPr>
            <w:tcW w:w="8700" w:type="dxa"/>
            <w:vAlign w:val="bottom"/>
            <w:gridSpan w:val="2"/>
          </w:tcPr>
          <w:p>
            <w:pPr>
              <w:spacing w:after="0"/>
              <w:rPr>
                <w:sz w:val="20"/>
                <w:szCs w:val="20"/>
                <w:color w:val="auto"/>
              </w:rPr>
            </w:pPr>
            <w:r>
              <w:rPr>
                <w:rFonts w:ascii="Arial" w:cs="Arial" w:eastAsia="Arial" w:hAnsi="Arial"/>
                <w:sz w:val="18"/>
                <w:szCs w:val="18"/>
                <w:b w:val="1"/>
                <w:bCs w:val="1"/>
                <w:color w:val="auto"/>
              </w:rPr>
              <w:t>ASSETS</w:t>
            </w:r>
          </w:p>
        </w:tc>
        <w:tc>
          <w:tcPr>
            <w:tcW w:w="260" w:type="dxa"/>
            <w:vAlign w:val="bottom"/>
          </w:tcPr>
          <w:p>
            <w:pPr>
              <w:spacing w:after="0"/>
              <w:rPr>
                <w:sz w:val="19"/>
                <w:szCs w:val="19"/>
                <w:color w:val="auto"/>
              </w:rPr>
            </w:pPr>
          </w:p>
        </w:tc>
        <w:tc>
          <w:tcPr>
            <w:tcW w:w="2460" w:type="dxa"/>
            <w:vAlign w:val="bottom"/>
            <w:gridSpan w:val="3"/>
          </w:tcPr>
          <w:p>
            <w:pPr>
              <w:jc w:val="right"/>
              <w:ind w:right="710"/>
              <w:spacing w:after="0"/>
              <w:rPr>
                <w:sz w:val="20"/>
                <w:szCs w:val="20"/>
                <w:color w:val="auto"/>
              </w:rPr>
            </w:pPr>
            <w:r>
              <w:rPr>
                <w:rFonts w:ascii="Arial" w:cs="Arial" w:eastAsia="Arial" w:hAnsi="Arial"/>
                <w:sz w:val="18"/>
                <w:szCs w:val="18"/>
                <w:b w:val="1"/>
                <w:bCs w:val="1"/>
                <w:color w:val="auto"/>
              </w:rPr>
              <w:t>(in thousands)</w:t>
            </w:r>
          </w:p>
        </w:tc>
      </w:tr>
      <w:tr>
        <w:trPr>
          <w:trHeight w:val="230"/>
        </w:trPr>
        <w:tc>
          <w:tcPr>
            <w:tcW w:w="8700" w:type="dxa"/>
            <w:vAlign w:val="bottom"/>
            <w:gridSpan w:val="2"/>
          </w:tcPr>
          <w:p>
            <w:pPr>
              <w:spacing w:after="0"/>
              <w:rPr>
                <w:sz w:val="20"/>
                <w:szCs w:val="20"/>
                <w:color w:val="auto"/>
              </w:rPr>
            </w:pPr>
            <w:r>
              <w:rPr>
                <w:rFonts w:ascii="Arial" w:cs="Arial" w:eastAsia="Arial" w:hAnsi="Arial"/>
                <w:sz w:val="18"/>
                <w:szCs w:val="18"/>
                <w:color w:val="auto"/>
              </w:rPr>
              <w:t>Current Assets:</w:t>
            </w:r>
          </w:p>
        </w:tc>
        <w:tc>
          <w:tcPr>
            <w:tcW w:w="2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Cash and cash equivalents</w:t>
            </w: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107,469</w:t>
            </w:r>
          </w:p>
        </w:tc>
        <w:tc>
          <w:tcPr>
            <w:tcW w:w="3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118,900</w:t>
            </w: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Short term investments - available for sale</w:t>
            </w: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84,727</w:t>
            </w:r>
          </w:p>
        </w:tc>
        <w:tc>
          <w:tcPr>
            <w:tcW w:w="30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97,100</w:t>
            </w: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Accounts receivable, net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358,008</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370,956</w:t>
            </w: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Unbilled revenue</w:t>
            </w: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173,614</w:t>
            </w:r>
          </w:p>
        </w:tc>
        <w:tc>
          <w:tcPr>
            <w:tcW w:w="30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146,163</w:t>
            </w: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Other receivables</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21,477</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17,491</w:t>
            </w: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Deferred tax asset</w:t>
            </w: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30,343</w:t>
            </w:r>
          </w:p>
        </w:tc>
        <w:tc>
          <w:tcPr>
            <w:tcW w:w="30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24,716</w:t>
            </w: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Prepayments and other current assets</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37,535</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28,465</w:t>
            </w:r>
          </w:p>
        </w:tc>
      </w:tr>
      <w:tr>
        <w:trPr>
          <w:trHeight w:val="223"/>
        </w:trPr>
        <w:tc>
          <w:tcPr>
            <w:tcW w:w="20" w:type="dxa"/>
            <w:vAlign w:val="bottom"/>
          </w:tcPr>
          <w:p>
            <w:pPr>
              <w:spacing w:after="0"/>
              <w:rPr>
                <w:sz w:val="19"/>
                <w:szCs w:val="19"/>
                <w:color w:val="auto"/>
              </w:rPr>
            </w:pPr>
          </w:p>
        </w:tc>
        <w:tc>
          <w:tcPr>
            <w:tcW w:w="8680" w:type="dxa"/>
            <w:vAlign w:val="bottom"/>
            <w:tcBorders>
              <w:bottom w:val="single" w:sz="8" w:color="auto"/>
            </w:tcBorders>
          </w:tcPr>
          <w:p>
            <w:pPr>
              <w:ind w:left="320"/>
              <w:spacing w:after="0"/>
              <w:rPr>
                <w:sz w:val="20"/>
                <w:szCs w:val="20"/>
                <w:color w:val="auto"/>
              </w:rPr>
            </w:pPr>
            <w:r>
              <w:rPr>
                <w:rFonts w:ascii="Arial" w:cs="Arial" w:eastAsia="Arial" w:hAnsi="Arial"/>
                <w:sz w:val="18"/>
                <w:szCs w:val="18"/>
                <w:color w:val="auto"/>
              </w:rPr>
              <w:t>Income taxes receivable</w:t>
            </w:r>
          </w:p>
        </w:tc>
        <w:tc>
          <w:tcPr>
            <w:tcW w:w="26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19,174</w:t>
            </w:r>
          </w:p>
        </w:tc>
        <w:tc>
          <w:tcPr>
            <w:tcW w:w="3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15,716</w:t>
            </w: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Total current assets</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832,347</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819,507</w:t>
            </w:r>
          </w:p>
        </w:tc>
      </w:tr>
      <w:tr>
        <w:trPr>
          <w:trHeight w:val="216"/>
        </w:trPr>
        <w:tc>
          <w:tcPr>
            <w:tcW w:w="20" w:type="dxa"/>
            <w:vAlign w:val="bottom"/>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color w:val="auto"/>
              </w:rPr>
              <w:t>Other Assets:</w:t>
            </w: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Property, plant and equipment, net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147,310</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148,185</w:t>
            </w: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Goodwill</w:t>
            </w: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578,036</w:t>
            </w:r>
          </w:p>
        </w:tc>
        <w:tc>
          <w:tcPr>
            <w:tcW w:w="30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463,324</w:t>
            </w: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Non-current other assets</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12,242</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11,583</w:t>
            </w: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Non-current income taxes receivable</w:t>
            </w: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17,003</w:t>
            </w:r>
          </w:p>
        </w:tc>
        <w:tc>
          <w:tcPr>
            <w:tcW w:w="30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15,060</w:t>
            </w: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Non-current deferred tax asset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7,408</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21,472</w:t>
            </w:r>
          </w:p>
        </w:tc>
      </w:tr>
      <w:tr>
        <w:trPr>
          <w:trHeight w:val="223"/>
        </w:trPr>
        <w:tc>
          <w:tcPr>
            <w:tcW w:w="20" w:type="dxa"/>
            <w:vAlign w:val="bottom"/>
          </w:tcPr>
          <w:p>
            <w:pPr>
              <w:spacing w:after="0"/>
              <w:rPr>
                <w:sz w:val="19"/>
                <w:szCs w:val="19"/>
                <w:color w:val="auto"/>
              </w:rPr>
            </w:pPr>
          </w:p>
        </w:tc>
        <w:tc>
          <w:tcPr>
            <w:tcW w:w="8680" w:type="dxa"/>
            <w:vAlign w:val="bottom"/>
            <w:tcBorders>
              <w:bottom w:val="single" w:sz="8" w:color="auto"/>
            </w:tcBorders>
          </w:tcPr>
          <w:p>
            <w:pPr>
              <w:ind w:left="320"/>
              <w:spacing w:after="0"/>
              <w:rPr>
                <w:sz w:val="20"/>
                <w:szCs w:val="20"/>
                <w:color w:val="auto"/>
              </w:rPr>
            </w:pPr>
            <w:r>
              <w:rPr>
                <w:rFonts w:ascii="Arial" w:cs="Arial" w:eastAsia="Arial" w:hAnsi="Arial"/>
                <w:sz w:val="18"/>
                <w:szCs w:val="18"/>
                <w:color w:val="auto"/>
              </w:rPr>
              <w:t>Intangible assets</w:t>
            </w:r>
          </w:p>
        </w:tc>
        <w:tc>
          <w:tcPr>
            <w:tcW w:w="26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41,908</w:t>
            </w:r>
          </w:p>
        </w:tc>
        <w:tc>
          <w:tcPr>
            <w:tcW w:w="3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49,719</w:t>
            </w:r>
          </w:p>
        </w:tc>
      </w:tr>
      <w:tr>
        <w:trPr>
          <w:trHeight w:val="257"/>
        </w:trPr>
        <w:tc>
          <w:tcPr>
            <w:tcW w:w="20" w:type="dxa"/>
            <w:vAlign w:val="bottom"/>
          </w:tcPr>
          <w:p>
            <w:pPr>
              <w:spacing w:after="0"/>
              <w:rPr>
                <w:sz w:val="22"/>
                <w:szCs w:val="22"/>
                <w:color w:val="auto"/>
              </w:rPr>
            </w:pPr>
          </w:p>
        </w:tc>
        <w:tc>
          <w:tcPr>
            <w:tcW w:w="86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Total Assets</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1,636,254</w:t>
            </w:r>
          </w:p>
        </w:tc>
        <w:tc>
          <w:tcPr>
            <w:tcW w:w="3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1,528,850</w:t>
            </w:r>
          </w:p>
        </w:tc>
      </w:tr>
      <w:tr>
        <w:trPr>
          <w:trHeight w:val="210"/>
        </w:trPr>
        <w:tc>
          <w:tcPr>
            <w:tcW w:w="20" w:type="dxa"/>
            <w:vAlign w:val="bottom"/>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b w:val="1"/>
                <w:bCs w:val="1"/>
                <w:color w:val="auto"/>
              </w:rPr>
              <w:t>LIABILITIES AND SHAREHOLDERS’ EQUITY</w:t>
            </w: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Accounts payable</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6,304</w:t>
            </w:r>
          </w:p>
        </w:tc>
        <w:tc>
          <w:tcPr>
            <w:tcW w:w="3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2,793</w:t>
            </w: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Payments on account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268,495</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280,097</w:t>
            </w: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Other liabilities</w:t>
            </w: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224,040</w:t>
            </w:r>
          </w:p>
        </w:tc>
        <w:tc>
          <w:tcPr>
            <w:tcW w:w="30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251,091</w:t>
            </w: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Bank credit lines and loan facilities</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60,000</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Deferred tax liability</w:t>
            </w: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193</w:t>
            </w:r>
          </w:p>
        </w:tc>
        <w:tc>
          <w:tcPr>
            <w:tcW w:w="30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229</w:t>
            </w:r>
          </w:p>
        </w:tc>
      </w:tr>
      <w:tr>
        <w:trPr>
          <w:trHeight w:val="223"/>
        </w:trPr>
        <w:tc>
          <w:tcPr>
            <w:tcW w:w="20" w:type="dxa"/>
            <w:vAlign w:val="bottom"/>
          </w:tcPr>
          <w:p>
            <w:pPr>
              <w:spacing w:after="0"/>
              <w:rPr>
                <w:sz w:val="19"/>
                <w:szCs w:val="19"/>
                <w:color w:val="auto"/>
              </w:rPr>
            </w:pPr>
          </w:p>
        </w:tc>
        <w:tc>
          <w:tcPr>
            <w:tcW w:w="8680" w:type="dxa"/>
            <w:vAlign w:val="bottom"/>
            <w:tcBorders>
              <w:bottom w:val="single" w:sz="8" w:color="auto"/>
            </w:tcBorders>
            <w:shd w:val="clear" w:color="auto" w:fill="CCEEFF"/>
          </w:tcPr>
          <w:p>
            <w:pPr>
              <w:ind w:left="320"/>
              <w:spacing w:after="0"/>
              <w:rPr>
                <w:sz w:val="20"/>
                <w:szCs w:val="20"/>
                <w:color w:val="auto"/>
              </w:rPr>
            </w:pPr>
            <w:r>
              <w:rPr>
                <w:rFonts w:ascii="Arial" w:cs="Arial" w:eastAsia="Arial" w:hAnsi="Arial"/>
                <w:sz w:val="18"/>
                <w:szCs w:val="18"/>
                <w:color w:val="auto"/>
              </w:rPr>
              <w:t>Income taxes payable</w:t>
            </w:r>
          </w:p>
        </w:tc>
        <w:tc>
          <w:tcPr>
            <w:tcW w:w="26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12,830</w:t>
            </w:r>
          </w:p>
        </w:tc>
        <w:tc>
          <w:tcPr>
            <w:tcW w:w="30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4,149</w:t>
            </w: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Total current liabilities</w:t>
            </w: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571,862</w:t>
            </w:r>
          </w:p>
        </w:tc>
        <w:tc>
          <w:tcPr>
            <w:tcW w:w="30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538,359</w:t>
            </w: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spacing w:after="0"/>
              <w:rPr>
                <w:sz w:val="20"/>
                <w:szCs w:val="20"/>
                <w:color w:val="auto"/>
              </w:rPr>
            </w:pPr>
            <w:r>
              <w:rPr>
                <w:rFonts w:ascii="Arial" w:cs="Arial" w:eastAsia="Arial" w:hAnsi="Arial"/>
                <w:sz w:val="18"/>
                <w:szCs w:val="18"/>
                <w:color w:val="auto"/>
              </w:rPr>
              <w:t>Other Liabilities:</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Non-current other liabilities</w:t>
            </w: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15,748</w:t>
            </w:r>
          </w:p>
        </w:tc>
        <w:tc>
          <w:tcPr>
            <w:tcW w:w="30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13,179</w:t>
            </w: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Non-current government grants</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1,011</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1,116</w:t>
            </w: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Non-current income taxes payable</w:t>
            </w: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12,592</w:t>
            </w:r>
          </w:p>
        </w:tc>
        <w:tc>
          <w:tcPr>
            <w:tcW w:w="30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12,389</w:t>
            </w: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Non-current deferred tax liability</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12,829</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13,601</w:t>
            </w:r>
          </w:p>
        </w:tc>
      </w:tr>
      <w:tr>
        <w:trPr>
          <w:trHeight w:val="216"/>
        </w:trPr>
        <w:tc>
          <w:tcPr>
            <w:tcW w:w="20" w:type="dxa"/>
            <w:vAlign w:val="bottom"/>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color w:val="auto"/>
              </w:rPr>
              <w:t>Shareholders' Equity:</w:t>
            </w: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Ordinary shares, par value 6 euro cents per share; 100,000,000 shares authorized,</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59,869,421 shares issued and outstanding at June 30, 2015 and</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60,106,780 shares issued and outstanding at December 31, 2014</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5,008</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5,037</w:t>
            </w: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Additional paid-in capital</w:t>
            </w:r>
          </w:p>
        </w:tc>
        <w:tc>
          <w:tcPr>
            <w:tcW w:w="2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355,700</w:t>
            </w:r>
          </w:p>
        </w:tc>
        <w:tc>
          <w:tcPr>
            <w:tcW w:w="30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327,234</w:t>
            </w: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Capital redemption reserve</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363</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305</w:t>
            </w: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Accumulated other comprehensive income</w:t>
            </w:r>
          </w:p>
        </w:tc>
        <w:tc>
          <w:tcPr>
            <w:tcW w:w="2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(50,317)</w:t>
            </w:r>
          </w:p>
        </w:tc>
        <w:tc>
          <w:tcPr>
            <w:tcW w:w="3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(37,555)</w:t>
            </w:r>
          </w:p>
        </w:tc>
      </w:tr>
      <w:tr>
        <w:trPr>
          <w:trHeight w:val="223"/>
        </w:trPr>
        <w:tc>
          <w:tcPr>
            <w:tcW w:w="20" w:type="dxa"/>
            <w:vAlign w:val="bottom"/>
          </w:tcPr>
          <w:p>
            <w:pPr>
              <w:spacing w:after="0"/>
              <w:rPr>
                <w:sz w:val="19"/>
                <w:szCs w:val="19"/>
                <w:color w:val="auto"/>
              </w:rPr>
            </w:pPr>
          </w:p>
        </w:tc>
        <w:tc>
          <w:tcPr>
            <w:tcW w:w="8680" w:type="dxa"/>
            <w:vAlign w:val="bottom"/>
            <w:tcBorders>
              <w:bottom w:val="single" w:sz="8" w:color="auto"/>
            </w:tcBorders>
            <w:shd w:val="clear" w:color="auto" w:fill="CCEEFF"/>
          </w:tcPr>
          <w:p>
            <w:pPr>
              <w:ind w:left="320"/>
              <w:spacing w:after="0"/>
              <w:rPr>
                <w:sz w:val="20"/>
                <w:szCs w:val="20"/>
                <w:color w:val="auto"/>
              </w:rPr>
            </w:pPr>
            <w:r>
              <w:rPr>
                <w:rFonts w:ascii="Arial" w:cs="Arial" w:eastAsia="Arial" w:hAnsi="Arial"/>
                <w:sz w:val="18"/>
                <w:szCs w:val="18"/>
                <w:color w:val="auto"/>
              </w:rPr>
              <w:t>Retained earnings</w:t>
            </w:r>
          </w:p>
        </w:tc>
        <w:tc>
          <w:tcPr>
            <w:tcW w:w="26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711,458</w:t>
            </w:r>
          </w:p>
        </w:tc>
        <w:tc>
          <w:tcPr>
            <w:tcW w:w="30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655,185</w:t>
            </w:r>
          </w:p>
        </w:tc>
      </w:tr>
      <w:tr>
        <w:trPr>
          <w:trHeight w:val="223"/>
        </w:trPr>
        <w:tc>
          <w:tcPr>
            <w:tcW w:w="20" w:type="dxa"/>
            <w:vAlign w:val="bottom"/>
          </w:tcPr>
          <w:p>
            <w:pPr>
              <w:spacing w:after="0"/>
              <w:rPr>
                <w:sz w:val="19"/>
                <w:szCs w:val="19"/>
                <w:color w:val="auto"/>
              </w:rPr>
            </w:pPr>
          </w:p>
        </w:tc>
        <w:tc>
          <w:tcPr>
            <w:tcW w:w="86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Total Shareholders' Equity</w:t>
            </w:r>
          </w:p>
        </w:tc>
        <w:tc>
          <w:tcPr>
            <w:tcW w:w="26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1,022,212</w:t>
            </w:r>
          </w:p>
        </w:tc>
        <w:tc>
          <w:tcPr>
            <w:tcW w:w="3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950,206</w:t>
            </w:r>
          </w:p>
        </w:tc>
      </w:tr>
      <w:tr>
        <w:trPr>
          <w:trHeight w:val="257"/>
        </w:trPr>
        <w:tc>
          <w:tcPr>
            <w:tcW w:w="20" w:type="dxa"/>
            <w:vAlign w:val="bottom"/>
          </w:tcPr>
          <w:p>
            <w:pPr>
              <w:spacing w:after="0"/>
              <w:rPr>
                <w:sz w:val="22"/>
                <w:szCs w:val="22"/>
                <w:color w:val="auto"/>
              </w:rPr>
            </w:pPr>
          </w:p>
        </w:tc>
        <w:tc>
          <w:tcPr>
            <w:tcW w:w="86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Total Liabilities and Shareholders' Equity</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1,636,254</w:t>
            </w:r>
          </w:p>
        </w:tc>
        <w:tc>
          <w:tcPr>
            <w:tcW w:w="3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1,528,850</w:t>
            </w:r>
          </w:p>
        </w:tc>
      </w:tr>
    </w:tbl>
    <w:p>
      <w:pPr>
        <w:spacing w:after="0" w:line="229" w:lineRule="exact"/>
        <w:rPr>
          <w:sz w:val="20"/>
          <w:szCs w:val="20"/>
          <w:color w:val="auto"/>
        </w:rPr>
      </w:pPr>
    </w:p>
    <w:p>
      <w:pPr>
        <w:ind w:left="40"/>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THREE AND SIX MONTHS ENDED JUNE 30, 2015 AND JUNE 30, 2014</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51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40" w:type="dxa"/>
            <w:vAlign w:val="bottom"/>
            <w:tcBorders>
              <w:bottom w:val="single" w:sz="8" w:color="auto"/>
            </w:tcBorders>
            <w:gridSpan w:val="7"/>
          </w:tcPr>
          <w:p>
            <w:pPr>
              <w:spacing w:after="0"/>
              <w:rPr>
                <w:sz w:val="20"/>
                <w:szCs w:val="20"/>
                <w:color w:val="auto"/>
              </w:rPr>
            </w:pPr>
            <w:r>
              <w:rPr>
                <w:rFonts w:ascii="Arial" w:cs="Arial" w:eastAsia="Arial" w:hAnsi="Arial"/>
                <w:sz w:val="18"/>
                <w:szCs w:val="18"/>
                <w:b w:val="1"/>
                <w:bCs w:val="1"/>
                <w:color w:val="auto"/>
                <w:w w:val="90"/>
              </w:rPr>
              <w:t>Three Months Ended</w:t>
            </w:r>
          </w:p>
        </w:tc>
        <w:tc>
          <w:tcPr>
            <w:tcW w:w="580" w:type="dxa"/>
            <w:vAlign w:val="bottom"/>
            <w:gridSpan w:val="3"/>
          </w:tcPr>
          <w:p>
            <w:pPr>
              <w:spacing w:after="0"/>
              <w:rPr>
                <w:sz w:val="17"/>
                <w:szCs w:val="17"/>
                <w:color w:val="auto"/>
              </w:rPr>
            </w:pPr>
          </w:p>
        </w:tc>
        <w:tc>
          <w:tcPr>
            <w:tcW w:w="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20" w:type="dxa"/>
            <w:vAlign w:val="bottom"/>
            <w:tcBorders>
              <w:bottom w:val="single" w:sz="8" w:color="auto"/>
            </w:tcBorders>
            <w:gridSpan w:val="6"/>
          </w:tcPr>
          <w:p>
            <w:pPr>
              <w:spacing w:after="0"/>
              <w:rPr>
                <w:sz w:val="20"/>
                <w:szCs w:val="20"/>
                <w:color w:val="auto"/>
              </w:rPr>
            </w:pPr>
            <w:r>
              <w:rPr>
                <w:rFonts w:ascii="Arial" w:cs="Arial" w:eastAsia="Arial" w:hAnsi="Arial"/>
                <w:sz w:val="18"/>
                <w:szCs w:val="18"/>
                <w:b w:val="1"/>
                <w:bCs w:val="1"/>
                <w:color w:val="auto"/>
                <w:w w:val="89"/>
              </w:rPr>
              <w:t>Six Months Ended</w:t>
            </w:r>
          </w:p>
        </w:tc>
        <w:tc>
          <w:tcPr>
            <w:tcW w:w="64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1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w w:val="85"/>
              </w:rPr>
              <w:t>June 30,</w:t>
            </w: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gridSpan w:val="5"/>
          </w:tcPr>
          <w:p>
            <w:pPr>
              <w:jc w:val="right"/>
              <w:ind w:right="120"/>
              <w:spacing w:after="0" w:line="196" w:lineRule="exact"/>
              <w:rPr>
                <w:sz w:val="20"/>
                <w:szCs w:val="20"/>
                <w:color w:val="auto"/>
              </w:rPr>
            </w:pPr>
            <w:r>
              <w:rPr>
                <w:rFonts w:ascii="Arial" w:cs="Arial" w:eastAsia="Arial" w:hAnsi="Arial"/>
                <w:sz w:val="18"/>
                <w:szCs w:val="18"/>
                <w:b w:val="1"/>
                <w:bCs w:val="1"/>
                <w:color w:val="auto"/>
              </w:rPr>
              <w:t>June 30,</w:t>
            </w:r>
          </w:p>
        </w:tc>
        <w:tc>
          <w:tcPr>
            <w:tcW w:w="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80" w:type="dxa"/>
            <w:vAlign w:val="bottom"/>
            <w:gridSpan w:val="4"/>
          </w:tcPr>
          <w:p>
            <w:pPr>
              <w:jc w:val="right"/>
              <w:ind w:right="140"/>
              <w:spacing w:after="0" w:line="196" w:lineRule="exact"/>
              <w:rPr>
                <w:sz w:val="20"/>
                <w:szCs w:val="20"/>
                <w:color w:val="auto"/>
              </w:rPr>
            </w:pPr>
            <w:r>
              <w:rPr>
                <w:rFonts w:ascii="Arial" w:cs="Arial" w:eastAsia="Arial" w:hAnsi="Arial"/>
                <w:sz w:val="18"/>
                <w:szCs w:val="18"/>
                <w:b w:val="1"/>
                <w:bCs w:val="1"/>
                <w:color w:val="auto"/>
                <w:w w:val="85"/>
              </w:rPr>
              <w:t>June 30,</w:t>
            </w:r>
          </w:p>
        </w:tc>
        <w:tc>
          <w:tcPr>
            <w:tcW w:w="400" w:type="dxa"/>
            <w:vAlign w:val="bottom"/>
          </w:tcPr>
          <w:p>
            <w:pPr>
              <w:spacing w:after="0"/>
              <w:rPr>
                <w:sz w:val="17"/>
                <w:szCs w:val="17"/>
                <w:color w:val="auto"/>
              </w:rPr>
            </w:pPr>
          </w:p>
        </w:tc>
        <w:tc>
          <w:tcPr>
            <w:tcW w:w="920" w:type="dxa"/>
            <w:vAlign w:val="bottom"/>
            <w:gridSpan w:val="5"/>
          </w:tcPr>
          <w:p>
            <w:pPr>
              <w:jc w:val="right"/>
              <w:ind w:right="100"/>
              <w:spacing w:after="0" w:line="196" w:lineRule="exact"/>
              <w:rPr>
                <w:sz w:val="20"/>
                <w:szCs w:val="20"/>
                <w:color w:val="auto"/>
              </w:rPr>
            </w:pPr>
            <w:r>
              <w:rPr>
                <w:rFonts w:ascii="Arial" w:cs="Arial" w:eastAsia="Arial" w:hAnsi="Arial"/>
                <w:sz w:val="18"/>
                <w:szCs w:val="18"/>
                <w:b w:val="1"/>
                <w:bCs w:val="1"/>
                <w:color w:val="auto"/>
              </w:rPr>
              <w:t>June 30,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51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300" w:type="dxa"/>
            <w:vAlign w:val="bottom"/>
            <w:gridSpan w:val="2"/>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2015</w:t>
            </w: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4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2014</w:t>
            </w: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80" w:type="dxa"/>
            <w:vAlign w:val="bottom"/>
            <w:gridSpan w:val="4"/>
          </w:tcPr>
          <w:p>
            <w:pPr>
              <w:jc w:val="right"/>
              <w:ind w:right="140"/>
              <w:spacing w:after="0" w:line="196" w:lineRule="exact"/>
              <w:rPr>
                <w:sz w:val="20"/>
                <w:szCs w:val="20"/>
                <w:color w:val="auto"/>
              </w:rPr>
            </w:pPr>
            <w:r>
              <w:rPr>
                <w:rFonts w:ascii="Arial" w:cs="Arial" w:eastAsia="Arial" w:hAnsi="Arial"/>
                <w:sz w:val="18"/>
                <w:szCs w:val="18"/>
                <w:b w:val="1"/>
                <w:bCs w:val="1"/>
                <w:color w:val="auto"/>
              </w:rPr>
              <w:t>2015</w:t>
            </w:r>
          </w:p>
        </w:tc>
        <w:tc>
          <w:tcPr>
            <w:tcW w:w="400" w:type="dxa"/>
            <w:vAlign w:val="bottom"/>
          </w:tcPr>
          <w:p>
            <w:pPr>
              <w:spacing w:after="0"/>
              <w:rPr>
                <w:sz w:val="17"/>
                <w:szCs w:val="17"/>
                <w:color w:val="auto"/>
              </w:rPr>
            </w:pPr>
          </w:p>
        </w:tc>
        <w:tc>
          <w:tcPr>
            <w:tcW w:w="920" w:type="dxa"/>
            <w:vAlign w:val="bottom"/>
            <w:gridSpan w:val="5"/>
          </w:tcPr>
          <w:p>
            <w:pPr>
              <w:jc w:val="right"/>
              <w:ind w:right="100"/>
              <w:spacing w:after="0" w:line="196" w:lineRule="exact"/>
              <w:rPr>
                <w:sz w:val="20"/>
                <w:szCs w:val="20"/>
                <w:color w:val="auto"/>
              </w:rPr>
            </w:pPr>
            <w:r>
              <w:rPr>
                <w:rFonts w:ascii="Arial" w:cs="Arial" w:eastAsia="Arial" w:hAnsi="Arial"/>
                <w:sz w:val="18"/>
                <w:szCs w:val="18"/>
                <w:b w:val="1"/>
                <w:bCs w:val="1"/>
                <w:color w:val="auto"/>
              </w:rPr>
              <w:t>2014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20" w:type="dxa"/>
            <w:vAlign w:val="bottom"/>
            <w:gridSpan w:val="5"/>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980" w:type="dxa"/>
            <w:vAlign w:val="bottom"/>
            <w:gridSpan w:val="5"/>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tcPr>
          <w:p>
            <w:pPr>
              <w:spacing w:after="0"/>
              <w:rPr>
                <w:sz w:val="20"/>
                <w:szCs w:val="20"/>
                <w:color w:val="auto"/>
              </w:rPr>
            </w:pPr>
          </w:p>
        </w:tc>
        <w:tc>
          <w:tcPr>
            <w:tcW w:w="51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620" w:type="dxa"/>
            <w:vAlign w:val="bottom"/>
            <w:gridSpan w:val="15"/>
          </w:tcPr>
          <w:p>
            <w:pPr>
              <w:jc w:val="right"/>
              <w:spacing w:after="0"/>
              <w:rPr>
                <w:sz w:val="20"/>
                <w:szCs w:val="20"/>
                <w:color w:val="auto"/>
              </w:rPr>
            </w:pPr>
            <w:r>
              <w:rPr>
                <w:rFonts w:ascii="Arial" w:cs="Arial" w:eastAsia="Arial" w:hAnsi="Arial"/>
                <w:sz w:val="18"/>
                <w:szCs w:val="18"/>
                <w:b w:val="1"/>
                <w:bCs w:val="1"/>
                <w:color w:val="auto"/>
                <w:w w:val="88"/>
              </w:rPr>
              <w:t>(in thousands except share and per share data)</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5160" w:type="dxa"/>
            <w:vAlign w:val="bottom"/>
            <w:gridSpan w:val="2"/>
          </w:tcPr>
          <w:p>
            <w:pPr>
              <w:spacing w:after="0"/>
              <w:rPr>
                <w:sz w:val="20"/>
                <w:szCs w:val="20"/>
                <w:color w:val="auto"/>
              </w:rPr>
            </w:pPr>
            <w:r>
              <w:rPr>
                <w:rFonts w:ascii="Arial" w:cs="Arial" w:eastAsia="Arial" w:hAnsi="Arial"/>
                <w:sz w:val="18"/>
                <w:szCs w:val="18"/>
                <w:color w:val="auto"/>
              </w:rPr>
              <w:t>Revenue:</w:t>
            </w:r>
          </w:p>
        </w:tc>
        <w:tc>
          <w:tcPr>
            <w:tcW w:w="1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Arial" w:cs="Arial" w:eastAsia="Arial" w:hAnsi="Arial"/>
                <w:sz w:val="18"/>
                <w:szCs w:val="18"/>
                <w:color w:val="auto"/>
              </w:rPr>
              <w:t>Gross revenue</w:t>
            </w: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9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524,098</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6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506,404</w:t>
            </w:r>
          </w:p>
        </w:tc>
        <w:tc>
          <w:tcPr>
            <w:tcW w:w="3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60" w:type="dxa"/>
            <w:vAlign w:val="bottom"/>
            <w:gridSpan w:val="5"/>
            <w:shd w:val="clear" w:color="auto" w:fill="CCEEFF"/>
          </w:tcPr>
          <w:p>
            <w:pPr>
              <w:jc w:val="right"/>
              <w:ind w:right="140"/>
              <w:spacing w:after="0"/>
              <w:rPr>
                <w:sz w:val="20"/>
                <w:szCs w:val="20"/>
                <w:color w:val="auto"/>
              </w:rPr>
            </w:pPr>
            <w:r>
              <w:rPr>
                <w:rFonts w:ascii="Arial" w:cs="Arial" w:eastAsia="Arial" w:hAnsi="Arial"/>
                <w:sz w:val="18"/>
                <w:szCs w:val="18"/>
                <w:color w:val="auto"/>
              </w:rPr>
              <w:t>1,027,464</w:t>
            </w:r>
          </w:p>
        </w:tc>
        <w:tc>
          <w:tcPr>
            <w:tcW w:w="40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982,948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Reimbursable expenses</w:t>
            </w:r>
          </w:p>
        </w:tc>
        <w:tc>
          <w:tcPr>
            <w:tcW w:w="114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gridSpan w:val="5"/>
          </w:tcPr>
          <w:p>
            <w:pPr>
              <w:jc w:val="right"/>
              <w:ind w:right="80"/>
              <w:spacing w:after="0"/>
              <w:rPr>
                <w:sz w:val="20"/>
                <w:szCs w:val="20"/>
                <w:color w:val="auto"/>
              </w:rPr>
            </w:pPr>
            <w:r>
              <w:rPr>
                <w:rFonts w:ascii="Arial" w:cs="Arial" w:eastAsia="Arial" w:hAnsi="Arial"/>
                <w:sz w:val="18"/>
                <w:szCs w:val="18"/>
                <w:color w:val="auto"/>
              </w:rPr>
              <w:t>(135,441)</w:t>
            </w:r>
          </w:p>
        </w:tc>
        <w:tc>
          <w:tcPr>
            <w:tcW w:w="3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gridSpan w:val="5"/>
          </w:tcPr>
          <w:p>
            <w:pPr>
              <w:jc w:val="right"/>
              <w:ind w:right="60"/>
              <w:spacing w:after="0"/>
              <w:rPr>
                <w:sz w:val="20"/>
                <w:szCs w:val="20"/>
                <w:color w:val="auto"/>
              </w:rPr>
            </w:pPr>
            <w:r>
              <w:rPr>
                <w:rFonts w:ascii="Arial" w:cs="Arial" w:eastAsia="Arial" w:hAnsi="Arial"/>
                <w:sz w:val="18"/>
                <w:szCs w:val="18"/>
                <w:color w:val="auto"/>
              </w:rPr>
              <w:t>(130,384)</w:t>
            </w:r>
          </w:p>
        </w:tc>
        <w:tc>
          <w:tcPr>
            <w:tcW w:w="3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gridSpan w:val="5"/>
          </w:tcPr>
          <w:p>
            <w:pPr>
              <w:jc w:val="right"/>
              <w:ind w:right="80"/>
              <w:spacing w:after="0"/>
              <w:rPr>
                <w:sz w:val="20"/>
                <w:szCs w:val="20"/>
                <w:color w:val="auto"/>
              </w:rPr>
            </w:pPr>
            <w:r>
              <w:rPr>
                <w:rFonts w:ascii="Arial" w:cs="Arial" w:eastAsia="Arial" w:hAnsi="Arial"/>
                <w:sz w:val="18"/>
                <w:szCs w:val="18"/>
                <w:color w:val="auto"/>
              </w:rPr>
              <w:t>(250,576)</w:t>
            </w:r>
          </w:p>
        </w:tc>
        <w:tc>
          <w:tcPr>
            <w:tcW w:w="4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gridSpan w:val="5"/>
          </w:tcPr>
          <w:p>
            <w:pPr>
              <w:jc w:val="right"/>
              <w:ind w:right="40"/>
              <w:spacing w:after="0"/>
              <w:rPr>
                <w:sz w:val="20"/>
                <w:szCs w:val="20"/>
                <w:color w:val="auto"/>
              </w:rPr>
            </w:pPr>
            <w:r>
              <w:rPr>
                <w:rFonts w:ascii="Arial" w:cs="Arial" w:eastAsia="Arial" w:hAnsi="Arial"/>
                <w:sz w:val="18"/>
                <w:szCs w:val="18"/>
                <w:color w:val="auto"/>
              </w:rPr>
              <w:t>(257,294)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Net revenue</w:t>
            </w:r>
          </w:p>
        </w:tc>
        <w:tc>
          <w:tcPr>
            <w:tcW w:w="1140" w:type="dxa"/>
            <w:vAlign w:val="bottom"/>
          </w:tcPr>
          <w:p>
            <w:pPr>
              <w:spacing w:after="0"/>
              <w:rPr>
                <w:sz w:val="18"/>
                <w:szCs w:val="18"/>
                <w:color w:val="auto"/>
              </w:rPr>
            </w:pPr>
          </w:p>
        </w:tc>
        <w:tc>
          <w:tcPr>
            <w:tcW w:w="940" w:type="dxa"/>
            <w:vAlign w:val="bottom"/>
            <w:gridSpan w:val="4"/>
          </w:tcPr>
          <w:p>
            <w:pPr>
              <w:jc w:val="right"/>
              <w:spacing w:after="0"/>
              <w:rPr>
                <w:sz w:val="20"/>
                <w:szCs w:val="20"/>
                <w:color w:val="auto"/>
              </w:rPr>
            </w:pPr>
            <w:r>
              <w:rPr>
                <w:rFonts w:ascii="Arial" w:cs="Arial" w:eastAsia="Arial" w:hAnsi="Arial"/>
                <w:sz w:val="18"/>
                <w:szCs w:val="18"/>
                <w:color w:val="auto"/>
              </w:rPr>
              <w:t>388,657</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5"/>
          </w:tcPr>
          <w:p>
            <w:pPr>
              <w:jc w:val="right"/>
              <w:ind w:right="120"/>
              <w:spacing w:after="0"/>
              <w:rPr>
                <w:sz w:val="20"/>
                <w:szCs w:val="20"/>
                <w:color w:val="auto"/>
              </w:rPr>
            </w:pPr>
            <w:r>
              <w:rPr>
                <w:rFonts w:ascii="Arial" w:cs="Arial" w:eastAsia="Arial" w:hAnsi="Arial"/>
                <w:sz w:val="18"/>
                <w:szCs w:val="18"/>
                <w:color w:val="auto"/>
              </w:rPr>
              <w:t>376,020</w:t>
            </w:r>
          </w:p>
        </w:tc>
        <w:tc>
          <w:tcPr>
            <w:tcW w:w="300" w:type="dxa"/>
            <w:vAlign w:val="bottom"/>
          </w:tcPr>
          <w:p>
            <w:pPr>
              <w:spacing w:after="0"/>
              <w:rPr>
                <w:sz w:val="18"/>
                <w:szCs w:val="18"/>
                <w:color w:val="auto"/>
              </w:rPr>
            </w:pPr>
          </w:p>
        </w:tc>
        <w:tc>
          <w:tcPr>
            <w:tcW w:w="1060" w:type="dxa"/>
            <w:vAlign w:val="bottom"/>
            <w:gridSpan w:val="5"/>
          </w:tcPr>
          <w:p>
            <w:pPr>
              <w:jc w:val="right"/>
              <w:ind w:right="140"/>
              <w:spacing w:after="0"/>
              <w:rPr>
                <w:sz w:val="20"/>
                <w:szCs w:val="20"/>
                <w:color w:val="auto"/>
              </w:rPr>
            </w:pPr>
            <w:r>
              <w:rPr>
                <w:rFonts w:ascii="Arial" w:cs="Arial" w:eastAsia="Arial" w:hAnsi="Arial"/>
                <w:sz w:val="18"/>
                <w:szCs w:val="18"/>
                <w:color w:val="auto"/>
              </w:rPr>
              <w:t>776,888</w:t>
            </w:r>
          </w:p>
        </w:tc>
        <w:tc>
          <w:tcPr>
            <w:tcW w:w="400" w:type="dxa"/>
            <w:vAlign w:val="bottom"/>
          </w:tcPr>
          <w:p>
            <w:pPr>
              <w:spacing w:after="0"/>
              <w:rPr>
                <w:sz w:val="18"/>
                <w:szCs w:val="18"/>
                <w:color w:val="auto"/>
              </w:rPr>
            </w:pPr>
          </w:p>
        </w:tc>
        <w:tc>
          <w:tcPr>
            <w:tcW w:w="920" w:type="dxa"/>
            <w:vAlign w:val="bottom"/>
            <w:gridSpan w:val="5"/>
          </w:tcPr>
          <w:p>
            <w:pPr>
              <w:jc w:val="right"/>
              <w:ind w:right="100"/>
              <w:spacing w:after="0"/>
              <w:rPr>
                <w:sz w:val="20"/>
                <w:szCs w:val="20"/>
                <w:color w:val="auto"/>
              </w:rPr>
            </w:pPr>
            <w:r>
              <w:rPr>
                <w:rFonts w:ascii="Arial" w:cs="Arial" w:eastAsia="Arial" w:hAnsi="Arial"/>
                <w:sz w:val="18"/>
                <w:szCs w:val="18"/>
                <w:color w:val="auto"/>
              </w:rPr>
              <w:t>725,654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Costs and expenses:</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Arial" w:cs="Arial" w:eastAsia="Arial" w:hAnsi="Arial"/>
                <w:sz w:val="18"/>
                <w:szCs w:val="18"/>
                <w:color w:val="auto"/>
              </w:rPr>
              <w:t>Direct costs</w:t>
            </w:r>
          </w:p>
        </w:tc>
        <w:tc>
          <w:tcPr>
            <w:tcW w:w="1140" w:type="dxa"/>
            <w:vAlign w:val="bottom"/>
            <w:shd w:val="clear" w:color="auto" w:fill="CCEEFF"/>
          </w:tcPr>
          <w:p>
            <w:pPr>
              <w:spacing w:after="0"/>
              <w:rPr>
                <w:sz w:val="18"/>
                <w:szCs w:val="18"/>
                <w:color w:val="auto"/>
              </w:rPr>
            </w:pPr>
          </w:p>
        </w:tc>
        <w:tc>
          <w:tcPr>
            <w:tcW w:w="9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224,961</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227,188</w:t>
            </w:r>
          </w:p>
        </w:tc>
        <w:tc>
          <w:tcPr>
            <w:tcW w:w="300" w:type="dxa"/>
            <w:vAlign w:val="bottom"/>
            <w:shd w:val="clear" w:color="auto" w:fill="CCEEFF"/>
          </w:tcPr>
          <w:p>
            <w:pPr>
              <w:spacing w:after="0"/>
              <w:rPr>
                <w:sz w:val="18"/>
                <w:szCs w:val="18"/>
                <w:color w:val="auto"/>
              </w:rPr>
            </w:pPr>
          </w:p>
        </w:tc>
        <w:tc>
          <w:tcPr>
            <w:tcW w:w="1060" w:type="dxa"/>
            <w:vAlign w:val="bottom"/>
            <w:gridSpan w:val="5"/>
            <w:shd w:val="clear" w:color="auto" w:fill="CCEEFF"/>
          </w:tcPr>
          <w:p>
            <w:pPr>
              <w:jc w:val="right"/>
              <w:ind w:right="140"/>
              <w:spacing w:after="0"/>
              <w:rPr>
                <w:sz w:val="20"/>
                <w:szCs w:val="20"/>
                <w:color w:val="auto"/>
              </w:rPr>
            </w:pPr>
            <w:r>
              <w:rPr>
                <w:rFonts w:ascii="Arial" w:cs="Arial" w:eastAsia="Arial" w:hAnsi="Arial"/>
                <w:sz w:val="18"/>
                <w:szCs w:val="18"/>
                <w:color w:val="auto"/>
              </w:rPr>
              <w:t>453,039</w:t>
            </w:r>
          </w:p>
        </w:tc>
        <w:tc>
          <w:tcPr>
            <w:tcW w:w="400" w:type="dxa"/>
            <w:vAlign w:val="bottom"/>
            <w:shd w:val="clear" w:color="auto" w:fill="CCEEFF"/>
          </w:tcPr>
          <w:p>
            <w:pPr>
              <w:spacing w:after="0"/>
              <w:rPr>
                <w:sz w:val="18"/>
                <w:szCs w:val="18"/>
                <w:color w:val="auto"/>
              </w:rPr>
            </w:pPr>
          </w:p>
        </w:tc>
        <w:tc>
          <w:tcPr>
            <w:tcW w:w="92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443,328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Selling, general and administrative expense</w:t>
            </w:r>
          </w:p>
        </w:tc>
        <w:tc>
          <w:tcPr>
            <w:tcW w:w="1140" w:type="dxa"/>
            <w:vAlign w:val="bottom"/>
          </w:tcPr>
          <w:p>
            <w:pPr>
              <w:spacing w:after="0"/>
              <w:rPr>
                <w:sz w:val="18"/>
                <w:szCs w:val="18"/>
                <w:color w:val="auto"/>
              </w:rPr>
            </w:pPr>
          </w:p>
        </w:tc>
        <w:tc>
          <w:tcPr>
            <w:tcW w:w="1080" w:type="dxa"/>
            <w:vAlign w:val="bottom"/>
            <w:gridSpan w:val="5"/>
          </w:tcPr>
          <w:p>
            <w:pPr>
              <w:jc w:val="right"/>
              <w:ind w:right="140"/>
              <w:spacing w:after="0"/>
              <w:rPr>
                <w:sz w:val="20"/>
                <w:szCs w:val="20"/>
                <w:color w:val="auto"/>
              </w:rPr>
            </w:pPr>
            <w:r>
              <w:rPr>
                <w:rFonts w:ascii="Arial" w:cs="Arial" w:eastAsia="Arial" w:hAnsi="Arial"/>
                <w:sz w:val="18"/>
                <w:szCs w:val="18"/>
                <w:color w:val="auto"/>
              </w:rPr>
              <w:t>81,321</w:t>
            </w:r>
          </w:p>
        </w:tc>
        <w:tc>
          <w:tcPr>
            <w:tcW w:w="300" w:type="dxa"/>
            <w:vAlign w:val="bottom"/>
          </w:tcPr>
          <w:p>
            <w:pPr>
              <w:spacing w:after="0"/>
              <w:rPr>
                <w:sz w:val="18"/>
                <w:szCs w:val="18"/>
                <w:color w:val="auto"/>
              </w:rPr>
            </w:pPr>
          </w:p>
        </w:tc>
        <w:tc>
          <w:tcPr>
            <w:tcW w:w="1060" w:type="dxa"/>
            <w:vAlign w:val="bottom"/>
            <w:gridSpan w:val="5"/>
          </w:tcPr>
          <w:p>
            <w:pPr>
              <w:jc w:val="right"/>
              <w:ind w:right="120"/>
              <w:spacing w:after="0"/>
              <w:rPr>
                <w:sz w:val="20"/>
                <w:szCs w:val="20"/>
                <w:color w:val="auto"/>
              </w:rPr>
            </w:pPr>
            <w:r>
              <w:rPr>
                <w:rFonts w:ascii="Arial" w:cs="Arial" w:eastAsia="Arial" w:hAnsi="Arial"/>
                <w:sz w:val="18"/>
                <w:szCs w:val="18"/>
                <w:color w:val="auto"/>
              </w:rPr>
              <w:t>87,622</w:t>
            </w:r>
          </w:p>
        </w:tc>
        <w:tc>
          <w:tcPr>
            <w:tcW w:w="300" w:type="dxa"/>
            <w:vAlign w:val="bottom"/>
          </w:tcPr>
          <w:p>
            <w:pPr>
              <w:spacing w:after="0"/>
              <w:rPr>
                <w:sz w:val="18"/>
                <w:szCs w:val="18"/>
                <w:color w:val="auto"/>
              </w:rPr>
            </w:pPr>
          </w:p>
        </w:tc>
        <w:tc>
          <w:tcPr>
            <w:tcW w:w="1060" w:type="dxa"/>
            <w:vAlign w:val="bottom"/>
            <w:gridSpan w:val="5"/>
          </w:tcPr>
          <w:p>
            <w:pPr>
              <w:jc w:val="right"/>
              <w:ind w:right="140"/>
              <w:spacing w:after="0"/>
              <w:rPr>
                <w:sz w:val="20"/>
                <w:szCs w:val="20"/>
                <w:color w:val="auto"/>
              </w:rPr>
            </w:pPr>
            <w:r>
              <w:rPr>
                <w:rFonts w:ascii="Arial" w:cs="Arial" w:eastAsia="Arial" w:hAnsi="Arial"/>
                <w:sz w:val="18"/>
                <w:szCs w:val="18"/>
                <w:color w:val="auto"/>
              </w:rPr>
              <w:t>160,875</w:t>
            </w:r>
          </w:p>
        </w:tc>
        <w:tc>
          <w:tcPr>
            <w:tcW w:w="400" w:type="dxa"/>
            <w:vAlign w:val="bottom"/>
          </w:tcPr>
          <w:p>
            <w:pPr>
              <w:spacing w:after="0"/>
              <w:rPr>
                <w:sz w:val="18"/>
                <w:szCs w:val="18"/>
                <w:color w:val="auto"/>
              </w:rPr>
            </w:pPr>
          </w:p>
        </w:tc>
        <w:tc>
          <w:tcPr>
            <w:tcW w:w="920" w:type="dxa"/>
            <w:vAlign w:val="bottom"/>
            <w:gridSpan w:val="5"/>
          </w:tcPr>
          <w:p>
            <w:pPr>
              <w:jc w:val="right"/>
              <w:ind w:right="100"/>
              <w:spacing w:after="0"/>
              <w:rPr>
                <w:sz w:val="20"/>
                <w:szCs w:val="20"/>
                <w:color w:val="auto"/>
              </w:rPr>
            </w:pPr>
            <w:r>
              <w:rPr>
                <w:rFonts w:ascii="Arial" w:cs="Arial" w:eastAsia="Arial" w:hAnsi="Arial"/>
                <w:sz w:val="18"/>
                <w:szCs w:val="18"/>
                <w:color w:val="auto"/>
              </w:rPr>
              <w:t>166,570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114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gridSpan w:val="5"/>
            <w:shd w:val="clear" w:color="auto" w:fill="CCEEFF"/>
          </w:tcPr>
          <w:p>
            <w:pPr>
              <w:jc w:val="right"/>
              <w:ind w:right="140"/>
              <w:spacing w:after="0"/>
              <w:rPr>
                <w:sz w:val="20"/>
                <w:szCs w:val="20"/>
                <w:color w:val="auto"/>
              </w:rPr>
            </w:pPr>
            <w:r>
              <w:rPr>
                <w:rFonts w:ascii="Arial" w:cs="Arial" w:eastAsia="Arial" w:hAnsi="Arial"/>
                <w:sz w:val="18"/>
                <w:szCs w:val="18"/>
                <w:color w:val="auto"/>
              </w:rPr>
              <w:t>14,244</w:t>
            </w:r>
          </w:p>
        </w:tc>
        <w:tc>
          <w:tcPr>
            <w:tcW w:w="30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12,922</w:t>
            </w:r>
          </w:p>
        </w:tc>
        <w:tc>
          <w:tcPr>
            <w:tcW w:w="30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gridSpan w:val="5"/>
            <w:shd w:val="clear" w:color="auto" w:fill="CCEEFF"/>
          </w:tcPr>
          <w:p>
            <w:pPr>
              <w:jc w:val="right"/>
              <w:ind w:right="140"/>
              <w:spacing w:after="0"/>
              <w:rPr>
                <w:sz w:val="20"/>
                <w:szCs w:val="20"/>
                <w:color w:val="auto"/>
              </w:rPr>
            </w:pPr>
            <w:r>
              <w:rPr>
                <w:rFonts w:ascii="Arial" w:cs="Arial" w:eastAsia="Arial" w:hAnsi="Arial"/>
                <w:sz w:val="18"/>
                <w:szCs w:val="18"/>
                <w:color w:val="auto"/>
              </w:rPr>
              <w:t>28,169</w:t>
            </w:r>
          </w:p>
        </w:tc>
        <w:tc>
          <w:tcPr>
            <w:tcW w:w="40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24,470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vMerge w:val="continue"/>
          </w:tcPr>
          <w:p>
            <w:pPr>
              <w:spacing w:after="0"/>
              <w:rPr>
                <w:sz w:val="19"/>
                <w:szCs w:val="19"/>
                <w:color w:val="auto"/>
              </w:rPr>
            </w:pPr>
          </w:p>
        </w:tc>
        <w:tc>
          <w:tcPr>
            <w:tcW w:w="5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Total costs and expenses</w:t>
            </w:r>
          </w:p>
        </w:tc>
        <w:tc>
          <w:tcPr>
            <w:tcW w:w="114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320,526</w:t>
            </w:r>
          </w:p>
        </w:tc>
        <w:tc>
          <w:tcPr>
            <w:tcW w:w="140" w:type="dxa"/>
            <w:vAlign w:val="bottom"/>
            <w:tcBorders>
              <w:bottom w:val="single" w:sz="8" w:color="auto"/>
            </w:tcBorders>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327,732</w:t>
            </w:r>
          </w:p>
        </w:tc>
        <w:tc>
          <w:tcPr>
            <w:tcW w:w="30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gridSpan w:val="5"/>
            <w:shd w:val="clear" w:color="auto" w:fill="CCEEFF"/>
          </w:tcPr>
          <w:p>
            <w:pPr>
              <w:jc w:val="right"/>
              <w:ind w:right="140"/>
              <w:spacing w:after="0"/>
              <w:rPr>
                <w:sz w:val="20"/>
                <w:szCs w:val="20"/>
                <w:color w:val="auto"/>
              </w:rPr>
            </w:pPr>
            <w:r>
              <w:rPr>
                <w:rFonts w:ascii="Arial" w:cs="Arial" w:eastAsia="Arial" w:hAnsi="Arial"/>
                <w:sz w:val="18"/>
                <w:szCs w:val="18"/>
                <w:color w:val="auto"/>
              </w:rPr>
              <w:t>642,083</w:t>
            </w:r>
          </w:p>
        </w:tc>
        <w:tc>
          <w:tcPr>
            <w:tcW w:w="40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634,368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1140" w:type="dxa"/>
            <w:vAlign w:val="bottom"/>
            <w:shd w:val="clear" w:color="auto" w:fill="CCEEFF"/>
          </w:tcPr>
          <w:p>
            <w:pPr>
              <w:spacing w:after="0"/>
              <w:rPr>
                <w:sz w:val="18"/>
                <w:szCs w:val="18"/>
                <w:color w:val="auto"/>
              </w:rPr>
            </w:pPr>
          </w:p>
        </w:tc>
        <w:tc>
          <w:tcPr>
            <w:tcW w:w="1080" w:type="dxa"/>
            <w:vAlign w:val="bottom"/>
            <w:gridSpan w:val="5"/>
            <w:shd w:val="clear" w:color="auto" w:fill="CCEEFF"/>
          </w:tcPr>
          <w:p>
            <w:pPr>
              <w:jc w:val="right"/>
              <w:ind w:right="140"/>
              <w:spacing w:after="0"/>
              <w:rPr>
                <w:sz w:val="20"/>
                <w:szCs w:val="20"/>
                <w:color w:val="auto"/>
              </w:rPr>
            </w:pPr>
            <w:r>
              <w:rPr>
                <w:rFonts w:ascii="Arial" w:cs="Arial" w:eastAsia="Arial" w:hAnsi="Arial"/>
                <w:sz w:val="18"/>
                <w:szCs w:val="18"/>
                <w:color w:val="auto"/>
              </w:rPr>
              <w:t>68,131</w:t>
            </w:r>
          </w:p>
        </w:tc>
        <w:tc>
          <w:tcPr>
            <w:tcW w:w="300" w:type="dxa"/>
            <w:vAlign w:val="bottom"/>
            <w:shd w:val="clear" w:color="auto" w:fill="CCEEFF"/>
          </w:tcPr>
          <w:p>
            <w:pPr>
              <w:spacing w:after="0"/>
              <w:rPr>
                <w:sz w:val="18"/>
                <w:szCs w:val="18"/>
                <w:color w:val="auto"/>
              </w:rPr>
            </w:pPr>
          </w:p>
        </w:tc>
        <w:tc>
          <w:tcPr>
            <w:tcW w:w="106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48,288</w:t>
            </w:r>
          </w:p>
        </w:tc>
        <w:tc>
          <w:tcPr>
            <w:tcW w:w="300" w:type="dxa"/>
            <w:vAlign w:val="bottom"/>
            <w:shd w:val="clear" w:color="auto" w:fill="CCEEFF"/>
          </w:tcPr>
          <w:p>
            <w:pPr>
              <w:spacing w:after="0"/>
              <w:rPr>
                <w:sz w:val="18"/>
                <w:szCs w:val="18"/>
                <w:color w:val="auto"/>
              </w:rPr>
            </w:pPr>
          </w:p>
        </w:tc>
        <w:tc>
          <w:tcPr>
            <w:tcW w:w="1060" w:type="dxa"/>
            <w:vAlign w:val="bottom"/>
            <w:gridSpan w:val="5"/>
            <w:shd w:val="clear" w:color="auto" w:fill="CCEEFF"/>
          </w:tcPr>
          <w:p>
            <w:pPr>
              <w:jc w:val="right"/>
              <w:ind w:right="140"/>
              <w:spacing w:after="0"/>
              <w:rPr>
                <w:sz w:val="20"/>
                <w:szCs w:val="20"/>
                <w:color w:val="auto"/>
              </w:rPr>
            </w:pPr>
            <w:r>
              <w:rPr>
                <w:rFonts w:ascii="Arial" w:cs="Arial" w:eastAsia="Arial" w:hAnsi="Arial"/>
                <w:sz w:val="18"/>
                <w:szCs w:val="18"/>
                <w:color w:val="auto"/>
              </w:rPr>
              <w:t>134,805</w:t>
            </w:r>
          </w:p>
        </w:tc>
        <w:tc>
          <w:tcPr>
            <w:tcW w:w="400" w:type="dxa"/>
            <w:vAlign w:val="bottom"/>
            <w:shd w:val="clear" w:color="auto" w:fill="CCEEFF"/>
          </w:tcPr>
          <w:p>
            <w:pPr>
              <w:spacing w:after="0"/>
              <w:rPr>
                <w:sz w:val="18"/>
                <w:szCs w:val="18"/>
                <w:color w:val="auto"/>
              </w:rPr>
            </w:pPr>
          </w:p>
        </w:tc>
        <w:tc>
          <w:tcPr>
            <w:tcW w:w="92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91,286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Interest income</w:t>
            </w:r>
          </w:p>
        </w:tc>
        <w:tc>
          <w:tcPr>
            <w:tcW w:w="1140" w:type="dxa"/>
            <w:vAlign w:val="bottom"/>
          </w:tcPr>
          <w:p>
            <w:pPr>
              <w:spacing w:after="0"/>
              <w:rPr>
                <w:sz w:val="18"/>
                <w:szCs w:val="18"/>
                <w:color w:val="auto"/>
              </w:rPr>
            </w:pPr>
          </w:p>
        </w:tc>
        <w:tc>
          <w:tcPr>
            <w:tcW w:w="940" w:type="dxa"/>
            <w:vAlign w:val="bottom"/>
            <w:gridSpan w:val="4"/>
          </w:tcPr>
          <w:p>
            <w:pPr>
              <w:jc w:val="right"/>
              <w:spacing w:after="0"/>
              <w:rPr>
                <w:sz w:val="20"/>
                <w:szCs w:val="20"/>
                <w:color w:val="auto"/>
              </w:rPr>
            </w:pPr>
            <w:r>
              <w:rPr>
                <w:rFonts w:ascii="Arial" w:cs="Arial" w:eastAsia="Arial" w:hAnsi="Arial"/>
                <w:sz w:val="18"/>
                <w:szCs w:val="18"/>
                <w:color w:val="auto"/>
              </w:rPr>
              <w:t>219</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5"/>
          </w:tcPr>
          <w:p>
            <w:pPr>
              <w:jc w:val="right"/>
              <w:ind w:right="120"/>
              <w:spacing w:after="0"/>
              <w:rPr>
                <w:sz w:val="20"/>
                <w:szCs w:val="20"/>
                <w:color w:val="auto"/>
              </w:rPr>
            </w:pPr>
            <w:r>
              <w:rPr>
                <w:rFonts w:ascii="Arial" w:cs="Arial" w:eastAsia="Arial" w:hAnsi="Arial"/>
                <w:sz w:val="18"/>
                <w:szCs w:val="18"/>
                <w:color w:val="auto"/>
              </w:rPr>
              <w:t>259</w:t>
            </w:r>
          </w:p>
        </w:tc>
        <w:tc>
          <w:tcPr>
            <w:tcW w:w="300" w:type="dxa"/>
            <w:vAlign w:val="bottom"/>
          </w:tcPr>
          <w:p>
            <w:pPr>
              <w:spacing w:after="0"/>
              <w:rPr>
                <w:sz w:val="18"/>
                <w:szCs w:val="18"/>
                <w:color w:val="auto"/>
              </w:rPr>
            </w:pPr>
          </w:p>
        </w:tc>
        <w:tc>
          <w:tcPr>
            <w:tcW w:w="1060" w:type="dxa"/>
            <w:vAlign w:val="bottom"/>
            <w:gridSpan w:val="5"/>
          </w:tcPr>
          <w:p>
            <w:pPr>
              <w:jc w:val="right"/>
              <w:ind w:right="140"/>
              <w:spacing w:after="0"/>
              <w:rPr>
                <w:sz w:val="20"/>
                <w:szCs w:val="20"/>
                <w:color w:val="auto"/>
              </w:rPr>
            </w:pPr>
            <w:r>
              <w:rPr>
                <w:rFonts w:ascii="Arial" w:cs="Arial" w:eastAsia="Arial" w:hAnsi="Arial"/>
                <w:sz w:val="18"/>
                <w:szCs w:val="18"/>
                <w:color w:val="auto"/>
              </w:rPr>
              <w:t>495</w:t>
            </w:r>
          </w:p>
        </w:tc>
        <w:tc>
          <w:tcPr>
            <w:tcW w:w="400" w:type="dxa"/>
            <w:vAlign w:val="bottom"/>
          </w:tcPr>
          <w:p>
            <w:pPr>
              <w:spacing w:after="0"/>
              <w:rPr>
                <w:sz w:val="18"/>
                <w:szCs w:val="18"/>
                <w:color w:val="auto"/>
              </w:rPr>
            </w:pPr>
          </w:p>
        </w:tc>
        <w:tc>
          <w:tcPr>
            <w:tcW w:w="920" w:type="dxa"/>
            <w:vAlign w:val="bottom"/>
            <w:gridSpan w:val="5"/>
          </w:tcPr>
          <w:p>
            <w:pPr>
              <w:jc w:val="right"/>
              <w:ind w:right="100"/>
              <w:spacing w:after="0"/>
              <w:rPr>
                <w:sz w:val="20"/>
                <w:szCs w:val="20"/>
                <w:color w:val="auto"/>
              </w:rPr>
            </w:pPr>
            <w:r>
              <w:rPr>
                <w:rFonts w:ascii="Arial" w:cs="Arial" w:eastAsia="Arial" w:hAnsi="Arial"/>
                <w:sz w:val="18"/>
                <w:szCs w:val="18"/>
                <w:color w:val="auto"/>
              </w:rPr>
              <w:t>607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14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(229)</w:t>
            </w:r>
          </w:p>
        </w:tc>
        <w:tc>
          <w:tcPr>
            <w:tcW w:w="30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(297)</w:t>
            </w:r>
          </w:p>
        </w:tc>
        <w:tc>
          <w:tcPr>
            <w:tcW w:w="30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(508)</w:t>
            </w:r>
          </w:p>
        </w:tc>
        <w:tc>
          <w:tcPr>
            <w:tcW w:w="40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8"/>
                <w:szCs w:val="18"/>
                <w:color w:val="auto"/>
              </w:rPr>
              <w:t>(554)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Arial" w:cs="Arial" w:eastAsia="Arial" w:hAnsi="Arial"/>
                <w:sz w:val="18"/>
                <w:szCs w:val="18"/>
                <w:color w:val="auto"/>
              </w:rPr>
              <w:t>Income before provision for income taxes</w:t>
            </w:r>
          </w:p>
        </w:tc>
        <w:tc>
          <w:tcPr>
            <w:tcW w:w="1140" w:type="dxa"/>
            <w:vAlign w:val="bottom"/>
            <w:shd w:val="clear" w:color="auto" w:fill="CCEEFF"/>
          </w:tcPr>
          <w:p>
            <w:pPr>
              <w:spacing w:after="0"/>
              <w:rPr>
                <w:sz w:val="18"/>
                <w:szCs w:val="18"/>
                <w:color w:val="auto"/>
              </w:rPr>
            </w:pPr>
          </w:p>
        </w:tc>
        <w:tc>
          <w:tcPr>
            <w:tcW w:w="1080" w:type="dxa"/>
            <w:vAlign w:val="bottom"/>
            <w:gridSpan w:val="5"/>
            <w:shd w:val="clear" w:color="auto" w:fill="CCEEFF"/>
          </w:tcPr>
          <w:p>
            <w:pPr>
              <w:jc w:val="right"/>
              <w:ind w:right="140"/>
              <w:spacing w:after="0"/>
              <w:rPr>
                <w:sz w:val="20"/>
                <w:szCs w:val="20"/>
                <w:color w:val="auto"/>
              </w:rPr>
            </w:pPr>
            <w:r>
              <w:rPr>
                <w:rFonts w:ascii="Arial" w:cs="Arial" w:eastAsia="Arial" w:hAnsi="Arial"/>
                <w:sz w:val="18"/>
                <w:szCs w:val="18"/>
                <w:color w:val="auto"/>
              </w:rPr>
              <w:t>68,121</w:t>
            </w:r>
          </w:p>
        </w:tc>
        <w:tc>
          <w:tcPr>
            <w:tcW w:w="300" w:type="dxa"/>
            <w:vAlign w:val="bottom"/>
            <w:shd w:val="clear" w:color="auto" w:fill="CCEEFF"/>
          </w:tcPr>
          <w:p>
            <w:pPr>
              <w:spacing w:after="0"/>
              <w:rPr>
                <w:sz w:val="18"/>
                <w:szCs w:val="18"/>
                <w:color w:val="auto"/>
              </w:rPr>
            </w:pPr>
          </w:p>
        </w:tc>
        <w:tc>
          <w:tcPr>
            <w:tcW w:w="106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48,250</w:t>
            </w:r>
          </w:p>
        </w:tc>
        <w:tc>
          <w:tcPr>
            <w:tcW w:w="300" w:type="dxa"/>
            <w:vAlign w:val="bottom"/>
            <w:shd w:val="clear" w:color="auto" w:fill="CCEEFF"/>
          </w:tcPr>
          <w:p>
            <w:pPr>
              <w:spacing w:after="0"/>
              <w:rPr>
                <w:sz w:val="18"/>
                <w:szCs w:val="18"/>
                <w:color w:val="auto"/>
              </w:rPr>
            </w:pPr>
          </w:p>
        </w:tc>
        <w:tc>
          <w:tcPr>
            <w:tcW w:w="1060" w:type="dxa"/>
            <w:vAlign w:val="bottom"/>
            <w:gridSpan w:val="5"/>
            <w:shd w:val="clear" w:color="auto" w:fill="CCEEFF"/>
          </w:tcPr>
          <w:p>
            <w:pPr>
              <w:jc w:val="right"/>
              <w:ind w:right="140"/>
              <w:spacing w:after="0"/>
              <w:rPr>
                <w:sz w:val="20"/>
                <w:szCs w:val="20"/>
                <w:color w:val="auto"/>
              </w:rPr>
            </w:pPr>
            <w:r>
              <w:rPr>
                <w:rFonts w:ascii="Arial" w:cs="Arial" w:eastAsia="Arial" w:hAnsi="Arial"/>
                <w:sz w:val="18"/>
                <w:szCs w:val="18"/>
                <w:color w:val="auto"/>
              </w:rPr>
              <w:t>134,792</w:t>
            </w:r>
          </w:p>
        </w:tc>
        <w:tc>
          <w:tcPr>
            <w:tcW w:w="400" w:type="dxa"/>
            <w:vAlign w:val="bottom"/>
            <w:shd w:val="clear" w:color="auto" w:fill="CCEEFF"/>
          </w:tcPr>
          <w:p>
            <w:pPr>
              <w:spacing w:after="0"/>
              <w:rPr>
                <w:sz w:val="18"/>
                <w:szCs w:val="18"/>
                <w:color w:val="auto"/>
              </w:rPr>
            </w:pPr>
          </w:p>
        </w:tc>
        <w:tc>
          <w:tcPr>
            <w:tcW w:w="92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91,339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Provision for income taxes</w:t>
            </w:r>
          </w:p>
        </w:tc>
        <w:tc>
          <w:tcPr>
            <w:tcW w:w="114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gridSpan w:val="5"/>
          </w:tcPr>
          <w:p>
            <w:pPr>
              <w:jc w:val="right"/>
              <w:ind w:right="80"/>
              <w:spacing w:after="0"/>
              <w:rPr>
                <w:sz w:val="20"/>
                <w:szCs w:val="20"/>
                <w:color w:val="auto"/>
              </w:rPr>
            </w:pPr>
            <w:r>
              <w:rPr>
                <w:rFonts w:ascii="Arial" w:cs="Arial" w:eastAsia="Arial" w:hAnsi="Arial"/>
                <w:sz w:val="18"/>
                <w:szCs w:val="18"/>
                <w:color w:val="auto"/>
              </w:rPr>
              <w:t>(9,537)</w:t>
            </w:r>
          </w:p>
        </w:tc>
        <w:tc>
          <w:tcPr>
            <w:tcW w:w="3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gridSpan w:val="5"/>
          </w:tcPr>
          <w:p>
            <w:pPr>
              <w:jc w:val="right"/>
              <w:ind w:right="60"/>
              <w:spacing w:after="0"/>
              <w:rPr>
                <w:sz w:val="20"/>
                <w:szCs w:val="20"/>
                <w:color w:val="auto"/>
              </w:rPr>
            </w:pPr>
            <w:r>
              <w:rPr>
                <w:rFonts w:ascii="Arial" w:cs="Arial" w:eastAsia="Arial" w:hAnsi="Arial"/>
                <w:sz w:val="18"/>
                <w:szCs w:val="18"/>
                <w:color w:val="auto"/>
              </w:rPr>
              <w:t>(7,467)</w:t>
            </w:r>
          </w:p>
        </w:tc>
        <w:tc>
          <w:tcPr>
            <w:tcW w:w="3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gridSpan w:val="5"/>
          </w:tcPr>
          <w:p>
            <w:pPr>
              <w:jc w:val="right"/>
              <w:ind w:right="80"/>
              <w:spacing w:after="0"/>
              <w:rPr>
                <w:sz w:val="20"/>
                <w:szCs w:val="20"/>
                <w:color w:val="auto"/>
              </w:rPr>
            </w:pPr>
            <w:r>
              <w:rPr>
                <w:rFonts w:ascii="Arial" w:cs="Arial" w:eastAsia="Arial" w:hAnsi="Arial"/>
                <w:sz w:val="18"/>
                <w:szCs w:val="18"/>
                <w:color w:val="auto"/>
              </w:rPr>
              <w:t>(20,338)</w:t>
            </w:r>
          </w:p>
        </w:tc>
        <w:tc>
          <w:tcPr>
            <w:tcW w:w="4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gridSpan w:val="5"/>
          </w:tcPr>
          <w:p>
            <w:pPr>
              <w:jc w:val="right"/>
              <w:ind w:right="40"/>
              <w:spacing w:after="0"/>
              <w:rPr>
                <w:sz w:val="20"/>
                <w:szCs w:val="20"/>
                <w:color w:val="auto"/>
              </w:rPr>
            </w:pPr>
            <w:r>
              <w:rPr>
                <w:rFonts w:ascii="Arial" w:cs="Arial" w:eastAsia="Arial" w:hAnsi="Arial"/>
                <w:sz w:val="18"/>
                <w:szCs w:val="18"/>
                <w:color w:val="auto"/>
              </w:rPr>
              <w:t>(14,361)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Net income</w:t>
            </w:r>
          </w:p>
        </w:tc>
        <w:tc>
          <w:tcPr>
            <w:tcW w:w="11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gridSpan w:val="5"/>
          </w:tcPr>
          <w:p>
            <w:pPr>
              <w:jc w:val="right"/>
              <w:ind w:right="140"/>
              <w:spacing w:after="0"/>
              <w:rPr>
                <w:sz w:val="20"/>
                <w:szCs w:val="20"/>
                <w:color w:val="auto"/>
              </w:rPr>
            </w:pPr>
            <w:r>
              <w:rPr>
                <w:rFonts w:ascii="Arial" w:cs="Arial" w:eastAsia="Arial" w:hAnsi="Arial"/>
                <w:sz w:val="18"/>
                <w:szCs w:val="18"/>
                <w:color w:val="auto"/>
              </w:rPr>
              <w:t>58,584</w:t>
            </w:r>
          </w:p>
        </w:tc>
        <w:tc>
          <w:tcPr>
            <w:tcW w:w="3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gridSpan w:val="5"/>
          </w:tcPr>
          <w:p>
            <w:pPr>
              <w:jc w:val="right"/>
              <w:ind w:right="120"/>
              <w:spacing w:after="0"/>
              <w:rPr>
                <w:sz w:val="20"/>
                <w:szCs w:val="20"/>
                <w:color w:val="auto"/>
              </w:rPr>
            </w:pPr>
            <w:r>
              <w:rPr>
                <w:rFonts w:ascii="Arial" w:cs="Arial" w:eastAsia="Arial" w:hAnsi="Arial"/>
                <w:sz w:val="18"/>
                <w:szCs w:val="18"/>
                <w:color w:val="auto"/>
              </w:rPr>
              <w:t>40,783</w:t>
            </w:r>
          </w:p>
        </w:tc>
        <w:tc>
          <w:tcPr>
            <w:tcW w:w="3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gridSpan w:val="5"/>
          </w:tcPr>
          <w:p>
            <w:pPr>
              <w:jc w:val="right"/>
              <w:ind w:right="140"/>
              <w:spacing w:after="0"/>
              <w:rPr>
                <w:sz w:val="20"/>
                <w:szCs w:val="20"/>
                <w:color w:val="auto"/>
              </w:rPr>
            </w:pPr>
            <w:r>
              <w:rPr>
                <w:rFonts w:ascii="Arial" w:cs="Arial" w:eastAsia="Arial" w:hAnsi="Arial"/>
                <w:sz w:val="18"/>
                <w:szCs w:val="18"/>
                <w:color w:val="auto"/>
              </w:rPr>
              <w:t>114,454</w:t>
            </w:r>
          </w:p>
        </w:tc>
        <w:tc>
          <w:tcPr>
            <w:tcW w:w="40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76,978</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Net income per Ordinary Share:</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Basic</w:t>
            </w:r>
          </w:p>
        </w:tc>
        <w:tc>
          <w:tcPr>
            <w:tcW w:w="11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gridSpan w:val="5"/>
          </w:tcPr>
          <w:p>
            <w:pPr>
              <w:jc w:val="right"/>
              <w:ind w:right="140"/>
              <w:spacing w:after="0"/>
              <w:rPr>
                <w:sz w:val="20"/>
                <w:szCs w:val="20"/>
                <w:color w:val="auto"/>
              </w:rPr>
            </w:pPr>
            <w:r>
              <w:rPr>
                <w:rFonts w:ascii="Arial" w:cs="Arial" w:eastAsia="Arial" w:hAnsi="Arial"/>
                <w:sz w:val="18"/>
                <w:szCs w:val="18"/>
                <w:color w:val="auto"/>
              </w:rPr>
              <w:t>0.97</w:t>
            </w:r>
          </w:p>
        </w:tc>
        <w:tc>
          <w:tcPr>
            <w:tcW w:w="3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gridSpan w:val="5"/>
          </w:tcPr>
          <w:p>
            <w:pPr>
              <w:jc w:val="right"/>
              <w:ind w:right="120"/>
              <w:spacing w:after="0"/>
              <w:rPr>
                <w:sz w:val="20"/>
                <w:szCs w:val="20"/>
                <w:color w:val="auto"/>
              </w:rPr>
            </w:pPr>
            <w:r>
              <w:rPr>
                <w:rFonts w:ascii="Arial" w:cs="Arial" w:eastAsia="Arial" w:hAnsi="Arial"/>
                <w:sz w:val="18"/>
                <w:szCs w:val="18"/>
                <w:color w:val="auto"/>
              </w:rPr>
              <w:t>0.66</w:t>
            </w:r>
          </w:p>
        </w:tc>
        <w:tc>
          <w:tcPr>
            <w:tcW w:w="3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gridSpan w:val="5"/>
          </w:tcPr>
          <w:p>
            <w:pPr>
              <w:jc w:val="right"/>
              <w:ind w:right="140"/>
              <w:spacing w:after="0"/>
              <w:rPr>
                <w:sz w:val="20"/>
                <w:szCs w:val="20"/>
                <w:color w:val="auto"/>
              </w:rPr>
            </w:pPr>
            <w:r>
              <w:rPr>
                <w:rFonts w:ascii="Arial" w:cs="Arial" w:eastAsia="Arial" w:hAnsi="Arial"/>
                <w:sz w:val="18"/>
                <w:szCs w:val="18"/>
                <w:color w:val="auto"/>
              </w:rPr>
              <w:t>1.90</w:t>
            </w:r>
          </w:p>
        </w:tc>
        <w:tc>
          <w:tcPr>
            <w:tcW w:w="40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1.24</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Diluted</w:t>
            </w:r>
          </w:p>
        </w:tc>
        <w:tc>
          <w:tcPr>
            <w:tcW w:w="11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gridSpan w:val="5"/>
          </w:tcPr>
          <w:p>
            <w:pPr>
              <w:jc w:val="right"/>
              <w:ind w:right="140"/>
              <w:spacing w:after="0"/>
              <w:rPr>
                <w:sz w:val="20"/>
                <w:szCs w:val="20"/>
                <w:color w:val="auto"/>
              </w:rPr>
            </w:pPr>
            <w:r>
              <w:rPr>
                <w:rFonts w:ascii="Arial" w:cs="Arial" w:eastAsia="Arial" w:hAnsi="Arial"/>
                <w:sz w:val="18"/>
                <w:szCs w:val="18"/>
                <w:color w:val="auto"/>
              </w:rPr>
              <w:t>0.95</w:t>
            </w:r>
          </w:p>
        </w:tc>
        <w:tc>
          <w:tcPr>
            <w:tcW w:w="3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gridSpan w:val="5"/>
          </w:tcPr>
          <w:p>
            <w:pPr>
              <w:jc w:val="right"/>
              <w:ind w:right="120"/>
              <w:spacing w:after="0"/>
              <w:rPr>
                <w:sz w:val="20"/>
                <w:szCs w:val="20"/>
                <w:color w:val="auto"/>
              </w:rPr>
            </w:pPr>
            <w:r>
              <w:rPr>
                <w:rFonts w:ascii="Arial" w:cs="Arial" w:eastAsia="Arial" w:hAnsi="Arial"/>
                <w:sz w:val="18"/>
                <w:szCs w:val="18"/>
                <w:color w:val="auto"/>
              </w:rPr>
              <w:t>0.64</w:t>
            </w:r>
          </w:p>
        </w:tc>
        <w:tc>
          <w:tcPr>
            <w:tcW w:w="3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gridSpan w:val="5"/>
          </w:tcPr>
          <w:p>
            <w:pPr>
              <w:jc w:val="right"/>
              <w:ind w:right="140"/>
              <w:spacing w:after="0"/>
              <w:rPr>
                <w:sz w:val="20"/>
                <w:szCs w:val="20"/>
                <w:color w:val="auto"/>
              </w:rPr>
            </w:pPr>
            <w:r>
              <w:rPr>
                <w:rFonts w:ascii="Arial" w:cs="Arial" w:eastAsia="Arial" w:hAnsi="Arial"/>
                <w:sz w:val="18"/>
                <w:szCs w:val="18"/>
                <w:color w:val="auto"/>
              </w:rPr>
              <w:t>1.85</w:t>
            </w:r>
          </w:p>
        </w:tc>
        <w:tc>
          <w:tcPr>
            <w:tcW w:w="40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Weighted average number of Ordinary Shares outstanding:</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Basic</w:t>
            </w:r>
          </w:p>
        </w:tc>
        <w:tc>
          <w:tcPr>
            <w:tcW w:w="11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rPr>
              <w:t>60,244,982</w:t>
            </w:r>
          </w:p>
        </w:tc>
        <w:tc>
          <w:tcPr>
            <w:tcW w:w="14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gridSpan w:val="5"/>
          </w:tcPr>
          <w:p>
            <w:pPr>
              <w:jc w:val="right"/>
              <w:ind w:right="120"/>
              <w:spacing w:after="0"/>
              <w:rPr>
                <w:sz w:val="20"/>
                <w:szCs w:val="20"/>
                <w:color w:val="auto"/>
              </w:rPr>
            </w:pPr>
            <w:r>
              <w:rPr>
                <w:rFonts w:ascii="Arial" w:cs="Arial" w:eastAsia="Arial" w:hAnsi="Arial"/>
                <w:sz w:val="18"/>
                <w:szCs w:val="18"/>
                <w:color w:val="auto"/>
              </w:rPr>
              <w:t>61,934,923</w:t>
            </w:r>
          </w:p>
        </w:tc>
        <w:tc>
          <w:tcPr>
            <w:tcW w:w="3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gridSpan w:val="5"/>
          </w:tcPr>
          <w:p>
            <w:pPr>
              <w:jc w:val="right"/>
              <w:ind w:right="140"/>
              <w:spacing w:after="0"/>
              <w:rPr>
                <w:sz w:val="20"/>
                <w:szCs w:val="20"/>
                <w:color w:val="auto"/>
              </w:rPr>
            </w:pPr>
            <w:r>
              <w:rPr>
                <w:rFonts w:ascii="Arial" w:cs="Arial" w:eastAsia="Arial" w:hAnsi="Arial"/>
                <w:sz w:val="18"/>
                <w:szCs w:val="18"/>
                <w:color w:val="auto"/>
                <w:w w:val="99"/>
              </w:rPr>
              <w:t>60,263,021</w:t>
            </w:r>
          </w:p>
        </w:tc>
        <w:tc>
          <w:tcPr>
            <w:tcW w:w="4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w w:val="88"/>
              </w:rPr>
              <w:t>61,855,783</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Diluted</w:t>
            </w:r>
          </w:p>
        </w:tc>
        <w:tc>
          <w:tcPr>
            <w:tcW w:w="11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rPr>
              <w:t>61,801,687</w:t>
            </w:r>
          </w:p>
        </w:tc>
        <w:tc>
          <w:tcPr>
            <w:tcW w:w="14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gridSpan w:val="5"/>
          </w:tcPr>
          <w:p>
            <w:pPr>
              <w:jc w:val="right"/>
              <w:ind w:right="120"/>
              <w:spacing w:after="0"/>
              <w:rPr>
                <w:sz w:val="20"/>
                <w:szCs w:val="20"/>
                <w:color w:val="auto"/>
              </w:rPr>
            </w:pPr>
            <w:r>
              <w:rPr>
                <w:rFonts w:ascii="Arial" w:cs="Arial" w:eastAsia="Arial" w:hAnsi="Arial"/>
                <w:sz w:val="18"/>
                <w:szCs w:val="18"/>
                <w:color w:val="auto"/>
              </w:rPr>
              <w:t>63,343,269</w:t>
            </w:r>
          </w:p>
        </w:tc>
        <w:tc>
          <w:tcPr>
            <w:tcW w:w="3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gridSpan w:val="5"/>
          </w:tcPr>
          <w:p>
            <w:pPr>
              <w:jc w:val="right"/>
              <w:ind w:right="140"/>
              <w:spacing w:after="0"/>
              <w:rPr>
                <w:sz w:val="20"/>
                <w:szCs w:val="20"/>
                <w:color w:val="auto"/>
              </w:rPr>
            </w:pPr>
            <w:r>
              <w:rPr>
                <w:rFonts w:ascii="Arial" w:cs="Arial" w:eastAsia="Arial" w:hAnsi="Arial"/>
                <w:sz w:val="18"/>
                <w:szCs w:val="18"/>
                <w:color w:val="auto"/>
                <w:w w:val="99"/>
              </w:rPr>
              <w:t>61,849,326</w:t>
            </w:r>
          </w:p>
        </w:tc>
        <w:tc>
          <w:tcPr>
            <w:tcW w:w="4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w w:val="88"/>
              </w:rPr>
              <w:t>63,290,292</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8620" w:type="dxa"/>
            <w:vAlign w:val="bottom"/>
          </w:tcPr>
          <w:p>
            <w:pPr>
              <w:jc w:val="center"/>
              <w:ind w:left="2670"/>
              <w:spacing w:after="0"/>
              <w:rPr>
                <w:sz w:val="20"/>
                <w:szCs w:val="20"/>
                <w:color w:val="auto"/>
              </w:rPr>
            </w:pPr>
            <w:r>
              <w:rPr>
                <w:rFonts w:ascii="Arial" w:cs="Arial" w:eastAsia="Arial" w:hAnsi="Arial"/>
                <w:sz w:val="18"/>
                <w:szCs w:val="18"/>
                <w:b w:val="1"/>
                <w:bCs w:val="1"/>
                <w:color w:val="auto"/>
                <w:w w:val="97"/>
              </w:rPr>
              <w:t>ICON plc</w:t>
            </w: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jc w:val="center"/>
              <w:ind w:left="2690"/>
              <w:spacing w:after="0"/>
              <w:rPr>
                <w:sz w:val="20"/>
                <w:szCs w:val="20"/>
                <w:color w:val="auto"/>
              </w:rPr>
            </w:pPr>
            <w:r>
              <w:rPr>
                <w:rFonts w:ascii="Arial" w:cs="Arial" w:eastAsia="Arial" w:hAnsi="Arial"/>
                <w:sz w:val="18"/>
                <w:szCs w:val="18"/>
                <w:b w:val="1"/>
                <w:bCs w:val="1"/>
                <w:color w:val="auto"/>
                <w:w w:val="98"/>
              </w:rPr>
              <w:t>CONDENSED CONSOLIDATED STATEMENTS OF CASH FLOWS</w:t>
            </w: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jc w:val="center"/>
              <w:ind w:left="2690"/>
              <w:spacing w:after="0"/>
              <w:rPr>
                <w:sz w:val="20"/>
                <w:szCs w:val="20"/>
                <w:color w:val="auto"/>
              </w:rPr>
            </w:pPr>
            <w:r>
              <w:rPr>
                <w:rFonts w:ascii="Arial" w:cs="Arial" w:eastAsia="Arial" w:hAnsi="Arial"/>
                <w:sz w:val="18"/>
                <w:szCs w:val="18"/>
                <w:b w:val="1"/>
                <w:bCs w:val="1"/>
                <w:color w:val="auto"/>
                <w:w w:val="97"/>
              </w:rPr>
              <w:t>FOR THE SIX MONTHS ENDED JUNE 30, 2015 AND JUNE 30, 2014</w:t>
            </w: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8620" w:type="dxa"/>
            <w:vAlign w:val="bottom"/>
          </w:tcPr>
          <w:p>
            <w:pPr>
              <w:jc w:val="center"/>
              <w:ind w:left="2670"/>
              <w:spacing w:after="0"/>
              <w:rPr>
                <w:sz w:val="20"/>
                <w:szCs w:val="20"/>
                <w:color w:val="auto"/>
              </w:rPr>
            </w:pPr>
            <w:r>
              <w:rPr>
                <w:rFonts w:ascii="Arial" w:cs="Arial" w:eastAsia="Arial" w:hAnsi="Arial"/>
                <w:sz w:val="18"/>
                <w:szCs w:val="18"/>
                <w:b w:val="1"/>
                <w:bCs w:val="1"/>
                <w:color w:val="auto"/>
              </w:rPr>
              <w:t>(UNAUDITED)</w:t>
            </w:r>
          </w:p>
        </w:tc>
        <w:tc>
          <w:tcPr>
            <w:tcW w:w="480" w:type="dxa"/>
            <w:vAlign w:val="bottom"/>
          </w:tcPr>
          <w:p>
            <w:pPr>
              <w:spacing w:after="0"/>
              <w:rPr>
                <w:sz w:val="20"/>
                <w:szCs w:val="20"/>
                <w:color w:val="auto"/>
              </w:rPr>
            </w:pPr>
          </w:p>
        </w:tc>
        <w:tc>
          <w:tcPr>
            <w:tcW w:w="2300" w:type="dxa"/>
            <w:vAlign w:val="bottom"/>
            <w:gridSpan w:val="3"/>
            <w:vMerge w:val="restart"/>
          </w:tcPr>
          <w:p>
            <w:pPr>
              <w:jc w:val="right"/>
              <w:ind w:right="550"/>
              <w:spacing w:after="0"/>
              <w:rPr>
                <w:sz w:val="20"/>
                <w:szCs w:val="20"/>
                <w:color w:val="auto"/>
              </w:rPr>
            </w:pPr>
            <w:r>
              <w:rPr>
                <w:rFonts w:ascii="Arial" w:cs="Arial" w:eastAsia="Arial" w:hAnsi="Arial"/>
                <w:sz w:val="18"/>
                <w:szCs w:val="18"/>
                <w:b w:val="1"/>
                <w:bCs w:val="1"/>
                <w:color w:val="auto"/>
              </w:rPr>
              <w:t>Six Months Ended</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6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300" w:type="dxa"/>
            <w:vAlign w:val="bottom"/>
            <w:gridSpan w:val="3"/>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b w:val="1"/>
                <w:bCs w:val="1"/>
                <w:color w:val="auto"/>
              </w:rPr>
              <w:t>June 30,</w:t>
            </w:r>
          </w:p>
        </w:tc>
        <w:tc>
          <w:tcPr>
            <w:tcW w:w="54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b w:val="1"/>
                <w:bCs w:val="1"/>
                <w:color w:val="auto"/>
                <w:w w:val="91"/>
              </w:rPr>
              <w:t>June 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b w:val="1"/>
                <w:bCs w:val="1"/>
                <w:color w:val="auto"/>
              </w:rPr>
              <w:t>2015</w:t>
            </w:r>
          </w:p>
        </w:tc>
        <w:tc>
          <w:tcPr>
            <w:tcW w:w="54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b w:val="1"/>
                <w:bCs w:val="1"/>
                <w:color w:val="auto"/>
              </w:rPr>
              <w:t>2014</w:t>
            </w:r>
          </w:p>
        </w:tc>
        <w:tc>
          <w:tcPr>
            <w:tcW w:w="0" w:type="dxa"/>
            <w:vAlign w:val="bottom"/>
          </w:tcPr>
          <w:p>
            <w:pPr>
              <w:spacing w:after="0"/>
              <w:rPr>
                <w:sz w:val="1"/>
                <w:szCs w:val="1"/>
                <w:color w:val="auto"/>
              </w:rPr>
            </w:pPr>
          </w:p>
        </w:tc>
      </w:tr>
      <w:tr>
        <w:trPr>
          <w:trHeight w:val="234"/>
        </w:trPr>
        <w:tc>
          <w:tcPr>
            <w:tcW w:w="86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480" w:type="dxa"/>
            <w:vAlign w:val="bottom"/>
          </w:tcPr>
          <w:p>
            <w:pPr>
              <w:spacing w:after="0"/>
              <w:rPr>
                <w:sz w:val="20"/>
                <w:szCs w:val="20"/>
                <w:color w:val="auto"/>
              </w:rPr>
            </w:pPr>
          </w:p>
        </w:tc>
        <w:tc>
          <w:tcPr>
            <w:tcW w:w="1520" w:type="dxa"/>
            <w:vAlign w:val="bottom"/>
            <w:gridSpan w:val="2"/>
          </w:tcPr>
          <w:p>
            <w:pPr>
              <w:jc w:val="right"/>
              <w:spacing w:after="0"/>
              <w:rPr>
                <w:sz w:val="20"/>
                <w:szCs w:val="20"/>
                <w:color w:val="auto"/>
              </w:rPr>
            </w:pPr>
            <w:r>
              <w:rPr>
                <w:rFonts w:ascii="Arial" w:cs="Arial" w:eastAsia="Arial" w:hAnsi="Arial"/>
                <w:sz w:val="18"/>
                <w:szCs w:val="18"/>
                <w:b w:val="1"/>
                <w:bCs w:val="1"/>
                <w:color w:val="auto"/>
              </w:rPr>
              <w:t>(in thousands)</w:t>
            </w: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40" w:type="dxa"/>
            <w:vAlign w:val="bottom"/>
            <w:gridSpan w:val="2"/>
            <w:vMerge w:val="continue"/>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48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114,454</w:t>
            </w:r>
          </w:p>
        </w:tc>
        <w:tc>
          <w:tcPr>
            <w:tcW w:w="54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76,978</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620" w:type="dxa"/>
            <w:vAlign w:val="bottom"/>
          </w:tcPr>
          <w:p>
            <w:pPr>
              <w:spacing w:after="0" w:line="201" w:lineRule="exact"/>
              <w:rPr>
                <w:sz w:val="20"/>
                <w:szCs w:val="20"/>
                <w:color w:val="auto"/>
              </w:rPr>
            </w:pPr>
            <w:r>
              <w:rPr>
                <w:rFonts w:ascii="Arial" w:cs="Arial" w:eastAsia="Arial" w:hAnsi="Arial"/>
                <w:sz w:val="18"/>
                <w:szCs w:val="18"/>
                <w:color w:val="auto"/>
              </w:rPr>
              <w:t>Adjustments to reconcile net income to net cash provided by</w:t>
            </w:r>
          </w:p>
        </w:tc>
        <w:tc>
          <w:tcPr>
            <w:tcW w:w="4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640" w:type="dxa"/>
            <w:vAlign w:val="bottom"/>
            <w:gridSpan w:val="2"/>
          </w:tcPr>
          <w:p>
            <w:pPr>
              <w:spacing w:after="0"/>
              <w:rPr>
                <w:sz w:val="20"/>
                <w:szCs w:val="20"/>
                <w:color w:val="auto"/>
              </w:rPr>
            </w:pPr>
            <w:r>
              <w:rPr>
                <w:rFonts w:ascii="Arial" w:cs="Arial" w:eastAsia="Arial" w:hAnsi="Arial"/>
                <w:sz w:val="18"/>
                <w:szCs w:val="18"/>
                <w:color w:val="auto"/>
              </w:rPr>
              <w:t>operating activities:</w:t>
            </w:r>
          </w:p>
        </w:tc>
        <w:tc>
          <w:tcPr>
            <w:tcW w:w="4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spacing w:after="0"/>
              <w:rPr>
                <w:sz w:val="20"/>
                <w:szCs w:val="20"/>
                <w:color w:val="auto"/>
              </w:rPr>
            </w:pPr>
            <w:r>
              <w:rPr>
                <w:rFonts w:ascii="Arial" w:cs="Arial" w:eastAsia="Arial" w:hAnsi="Arial"/>
                <w:sz w:val="18"/>
                <w:szCs w:val="18"/>
                <w:color w:val="auto"/>
              </w:rPr>
              <w:t>Loss on disposal of property, plant and equipment</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4</w:t>
            </w: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spacing w:after="0"/>
              <w:rPr>
                <w:sz w:val="20"/>
                <w:szCs w:val="20"/>
                <w:color w:val="auto"/>
              </w:rPr>
            </w:pPr>
            <w:r>
              <w:rPr>
                <w:rFonts w:ascii="Arial" w:cs="Arial" w:eastAsia="Arial" w:hAnsi="Arial"/>
                <w:sz w:val="18"/>
                <w:szCs w:val="18"/>
                <w:color w:val="auto"/>
              </w:rPr>
              <w:t>Depreciation expense</w:t>
            </w:r>
          </w:p>
        </w:tc>
        <w:tc>
          <w:tcPr>
            <w:tcW w:w="48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19,672</w:t>
            </w:r>
          </w:p>
        </w:tc>
        <w:tc>
          <w:tcPr>
            <w:tcW w:w="54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20,032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Amortization of intangibles</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8,497</w:t>
            </w: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4,438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spacing w:after="0"/>
              <w:rPr>
                <w:sz w:val="20"/>
                <w:szCs w:val="20"/>
                <w:color w:val="auto"/>
              </w:rPr>
            </w:pPr>
            <w:r>
              <w:rPr>
                <w:rFonts w:ascii="Arial" w:cs="Arial" w:eastAsia="Arial" w:hAnsi="Arial"/>
                <w:sz w:val="18"/>
                <w:szCs w:val="18"/>
                <w:color w:val="auto"/>
              </w:rPr>
              <w:t>Amortization of grants</w:t>
            </w:r>
          </w:p>
        </w:tc>
        <w:tc>
          <w:tcPr>
            <w:tcW w:w="4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(25)</w:t>
            </w:r>
          </w:p>
        </w:tc>
        <w:tc>
          <w:tcPr>
            <w:tcW w:w="5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Share compensation expense</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15,012</w:t>
            </w: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9,751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ind w:left="220"/>
              <w:spacing w:after="0"/>
              <w:rPr>
                <w:sz w:val="20"/>
                <w:szCs w:val="20"/>
                <w:color w:val="auto"/>
              </w:rPr>
            </w:pPr>
            <w:r>
              <w:rPr>
                <w:rFonts w:ascii="Arial" w:cs="Arial" w:eastAsia="Arial" w:hAnsi="Arial"/>
                <w:sz w:val="18"/>
                <w:szCs w:val="18"/>
                <w:color w:val="auto"/>
              </w:rPr>
              <w:t>Deferred taxes</w:t>
            </w:r>
          </w:p>
        </w:tc>
        <w:tc>
          <w:tcPr>
            <w:tcW w:w="48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2,126</w:t>
            </w:r>
          </w:p>
        </w:tc>
        <w:tc>
          <w:tcPr>
            <w:tcW w:w="54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4,361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spacing w:after="0"/>
              <w:rPr>
                <w:sz w:val="20"/>
                <w:szCs w:val="20"/>
                <w:color w:val="auto"/>
              </w:rPr>
            </w:pPr>
            <w:r>
              <w:rPr>
                <w:rFonts w:ascii="Arial" w:cs="Arial" w:eastAsia="Arial" w:hAnsi="Arial"/>
                <w:sz w:val="18"/>
                <w:szCs w:val="18"/>
                <w:color w:val="auto"/>
              </w:rPr>
              <w:t>Changes in assets and liabilities:</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ind w:left="160"/>
              <w:spacing w:after="0"/>
              <w:rPr>
                <w:sz w:val="20"/>
                <w:szCs w:val="20"/>
                <w:color w:val="auto"/>
              </w:rPr>
            </w:pPr>
            <w:r>
              <w:rPr>
                <w:rFonts w:ascii="Arial" w:cs="Arial" w:eastAsia="Arial" w:hAnsi="Arial"/>
                <w:sz w:val="18"/>
                <w:szCs w:val="18"/>
                <w:color w:val="auto"/>
              </w:rPr>
              <w:t>(Increase)/decrease in accounts receivable</w:t>
            </w:r>
          </w:p>
        </w:tc>
        <w:tc>
          <w:tcPr>
            <w:tcW w:w="48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21,362</w:t>
            </w:r>
          </w:p>
        </w:tc>
        <w:tc>
          <w:tcPr>
            <w:tcW w:w="5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(15,765)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spacing w:after="0"/>
              <w:rPr>
                <w:sz w:val="20"/>
                <w:szCs w:val="20"/>
                <w:color w:val="auto"/>
              </w:rPr>
            </w:pPr>
            <w:r>
              <w:rPr>
                <w:rFonts w:ascii="Arial" w:cs="Arial" w:eastAsia="Arial" w:hAnsi="Arial"/>
                <w:sz w:val="18"/>
                <w:szCs w:val="18"/>
                <w:color w:val="auto"/>
              </w:rPr>
              <w:t>Increase in unbilled revenue</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(28,422)</w:t>
            </w: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ind w:left="160"/>
              <w:spacing w:after="0"/>
              <w:rPr>
                <w:sz w:val="20"/>
                <w:szCs w:val="20"/>
                <w:color w:val="auto"/>
              </w:rPr>
            </w:pPr>
            <w:r>
              <w:rPr>
                <w:rFonts w:ascii="Arial" w:cs="Arial" w:eastAsia="Arial" w:hAnsi="Arial"/>
                <w:sz w:val="18"/>
                <w:szCs w:val="18"/>
                <w:color w:val="auto"/>
              </w:rPr>
              <w:t>Increase in other receivables</w:t>
            </w:r>
          </w:p>
        </w:tc>
        <w:tc>
          <w:tcPr>
            <w:tcW w:w="4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(4,398)</w:t>
            </w:r>
          </w:p>
        </w:tc>
        <w:tc>
          <w:tcPr>
            <w:tcW w:w="5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spacing w:after="0"/>
              <w:rPr>
                <w:sz w:val="20"/>
                <w:szCs w:val="20"/>
                <w:color w:val="auto"/>
              </w:rPr>
            </w:pPr>
            <w:r>
              <w:rPr>
                <w:rFonts w:ascii="Arial" w:cs="Arial" w:eastAsia="Arial" w:hAnsi="Arial"/>
                <w:sz w:val="18"/>
                <w:szCs w:val="18"/>
                <w:color w:val="auto"/>
              </w:rPr>
              <w:t>Increase in prepayments and other current assets</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(9,032)</w:t>
            </w: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ind w:left="160"/>
              <w:spacing w:after="0"/>
              <w:rPr>
                <w:sz w:val="20"/>
                <w:szCs w:val="20"/>
                <w:color w:val="auto"/>
              </w:rPr>
            </w:pPr>
            <w:r>
              <w:rPr>
                <w:rFonts w:ascii="Arial" w:cs="Arial" w:eastAsia="Arial" w:hAnsi="Arial"/>
                <w:sz w:val="18"/>
                <w:szCs w:val="18"/>
                <w:color w:val="auto"/>
              </w:rPr>
              <w:t>Increase in other non-current assets</w:t>
            </w:r>
          </w:p>
        </w:tc>
        <w:tc>
          <w:tcPr>
            <w:tcW w:w="4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(722)</w:t>
            </w:r>
          </w:p>
        </w:tc>
        <w:tc>
          <w:tcPr>
            <w:tcW w:w="5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(1,437)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Decrease in payments on account</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(15,747)</w:t>
            </w: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(37,689)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spacing w:after="0"/>
              <w:rPr>
                <w:sz w:val="20"/>
                <w:szCs w:val="20"/>
                <w:color w:val="auto"/>
              </w:rPr>
            </w:pPr>
            <w:r>
              <w:rPr>
                <w:rFonts w:ascii="Arial" w:cs="Arial" w:eastAsia="Arial" w:hAnsi="Arial"/>
                <w:sz w:val="18"/>
                <w:szCs w:val="18"/>
                <w:color w:val="auto"/>
              </w:rPr>
              <w:t>Decrease in other current liabilities</w:t>
            </w:r>
          </w:p>
        </w:tc>
        <w:tc>
          <w:tcPr>
            <w:tcW w:w="4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(40,508)</w:t>
            </w:r>
          </w:p>
        </w:tc>
        <w:tc>
          <w:tcPr>
            <w:tcW w:w="5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(50,208)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Increase in other non-current liabilities</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2,146</w:t>
            </w: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ind w:left="160"/>
              <w:spacing w:after="0"/>
              <w:rPr>
                <w:sz w:val="20"/>
                <w:szCs w:val="20"/>
                <w:color w:val="auto"/>
              </w:rPr>
            </w:pPr>
            <w:r>
              <w:rPr>
                <w:rFonts w:ascii="Arial" w:cs="Arial" w:eastAsia="Arial" w:hAnsi="Arial"/>
                <w:sz w:val="18"/>
                <w:szCs w:val="18"/>
                <w:color w:val="auto"/>
              </w:rPr>
              <w:t>Increase/(decrease) in income taxes payable</w:t>
            </w:r>
          </w:p>
        </w:tc>
        <w:tc>
          <w:tcPr>
            <w:tcW w:w="48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1,980</w:t>
            </w:r>
          </w:p>
        </w:tc>
        <w:tc>
          <w:tcPr>
            <w:tcW w:w="5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(11,504)</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2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8"/>
                <w:szCs w:val="18"/>
                <w:color w:val="auto"/>
              </w:rPr>
              <w:t>Increase/(decrease) in accounts payable</w:t>
            </w:r>
          </w:p>
        </w:tc>
        <w:tc>
          <w:tcPr>
            <w:tcW w:w="48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2,792</w:t>
            </w:r>
          </w:p>
        </w:tc>
        <w:tc>
          <w:tcPr>
            <w:tcW w:w="54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spacing w:after="0"/>
              <w:rPr>
                <w:sz w:val="20"/>
                <w:szCs w:val="20"/>
                <w:color w:val="auto"/>
              </w:rPr>
            </w:pPr>
            <w:r>
              <w:rPr>
                <w:rFonts w:ascii="Arial" w:cs="Arial" w:eastAsia="Arial" w:hAnsi="Arial"/>
                <w:sz w:val="18"/>
                <w:szCs w:val="18"/>
                <w:color w:val="auto"/>
              </w:rPr>
              <w:t>Net cash provided by /(used in) operating activities</w:t>
            </w:r>
          </w:p>
        </w:tc>
        <w:tc>
          <w:tcPr>
            <w:tcW w:w="48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89,191</w:t>
            </w:r>
          </w:p>
        </w:tc>
        <w:tc>
          <w:tcPr>
            <w:tcW w:w="5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(16,256)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620" w:type="dxa"/>
            <w:vAlign w:val="bottom"/>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spacing w:after="0"/>
              <w:rPr>
                <w:sz w:val="20"/>
                <w:szCs w:val="20"/>
                <w:color w:val="auto"/>
              </w:rPr>
            </w:pPr>
            <w:r>
              <w:rPr>
                <w:rFonts w:ascii="Arial" w:cs="Arial" w:eastAsia="Arial" w:hAnsi="Arial"/>
                <w:sz w:val="18"/>
                <w:szCs w:val="18"/>
                <w:color w:val="auto"/>
              </w:rPr>
              <w:t>Purchase of property, plant and equipment</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(24,088)</w:t>
            </w: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ind w:left="160"/>
              <w:spacing w:after="0"/>
              <w:rPr>
                <w:sz w:val="20"/>
                <w:szCs w:val="20"/>
                <w:color w:val="auto"/>
              </w:rPr>
            </w:pPr>
            <w:r>
              <w:rPr>
                <w:rFonts w:ascii="Arial" w:cs="Arial" w:eastAsia="Arial" w:hAnsi="Arial"/>
                <w:sz w:val="18"/>
                <w:szCs w:val="18"/>
                <w:color w:val="auto"/>
              </w:rPr>
              <w:t>Purchase of subsidiary undertakings</w:t>
            </w:r>
          </w:p>
        </w:tc>
        <w:tc>
          <w:tcPr>
            <w:tcW w:w="4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(103,139)</w:t>
            </w:r>
          </w:p>
        </w:tc>
        <w:tc>
          <w:tcPr>
            <w:tcW w:w="5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3"/>
              </w:rPr>
              <w:t>(121,101)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Cash acquired with subsidiary undertakings</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3,518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spacing w:after="0"/>
              <w:rPr>
                <w:sz w:val="20"/>
                <w:szCs w:val="20"/>
                <w:color w:val="auto"/>
              </w:rPr>
            </w:pPr>
            <w:r>
              <w:rPr>
                <w:rFonts w:ascii="Arial" w:cs="Arial" w:eastAsia="Arial" w:hAnsi="Arial"/>
                <w:sz w:val="18"/>
                <w:szCs w:val="18"/>
                <w:color w:val="auto"/>
              </w:rPr>
              <w:t>Purchase of short term investments</w:t>
            </w:r>
          </w:p>
        </w:tc>
        <w:tc>
          <w:tcPr>
            <w:tcW w:w="4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(636)</w:t>
            </w:r>
          </w:p>
        </w:tc>
        <w:tc>
          <w:tcPr>
            <w:tcW w:w="5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(48,972)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2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8"/>
                <w:szCs w:val="18"/>
                <w:color w:val="auto"/>
              </w:rPr>
              <w:t>Sale of short term investments</w:t>
            </w:r>
          </w:p>
        </w:tc>
        <w:tc>
          <w:tcPr>
            <w:tcW w:w="48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13,184</w:t>
            </w:r>
          </w:p>
        </w:tc>
        <w:tc>
          <w:tcPr>
            <w:tcW w:w="54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93,569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4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(114,679)</w:t>
            </w:r>
          </w:p>
        </w:tc>
        <w:tc>
          <w:tcPr>
            <w:tcW w:w="5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(85,952)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ind w:left="160"/>
              <w:spacing w:after="0"/>
              <w:rPr>
                <w:sz w:val="20"/>
                <w:szCs w:val="20"/>
                <w:color w:val="auto"/>
              </w:rPr>
            </w:pPr>
            <w:r>
              <w:rPr>
                <w:rFonts w:ascii="Arial" w:cs="Arial" w:eastAsia="Arial" w:hAnsi="Arial"/>
                <w:sz w:val="18"/>
                <w:szCs w:val="18"/>
                <w:color w:val="auto"/>
              </w:rPr>
              <w:t>Proceeds from exercise of share options &amp; restricted share units</w:t>
            </w:r>
          </w:p>
        </w:tc>
        <w:tc>
          <w:tcPr>
            <w:tcW w:w="48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11,024</w:t>
            </w:r>
          </w:p>
        </w:tc>
        <w:tc>
          <w:tcPr>
            <w:tcW w:w="54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12,272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Share issuance costs</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ind w:left="160"/>
              <w:spacing w:after="0"/>
              <w:rPr>
                <w:sz w:val="20"/>
                <w:szCs w:val="20"/>
                <w:color w:val="auto"/>
              </w:rPr>
            </w:pPr>
            <w:r>
              <w:rPr>
                <w:rFonts w:ascii="Arial" w:cs="Arial" w:eastAsia="Arial" w:hAnsi="Arial"/>
                <w:sz w:val="18"/>
                <w:szCs w:val="18"/>
                <w:color w:val="auto"/>
              </w:rPr>
              <w:t>Tax benefit from the exercise of share options</w:t>
            </w:r>
          </w:p>
        </w:tc>
        <w:tc>
          <w:tcPr>
            <w:tcW w:w="48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2,463</w:t>
            </w:r>
          </w:p>
        </w:tc>
        <w:tc>
          <w:tcPr>
            <w:tcW w:w="54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771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Repurchase of ordinary shares</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(57,892)</w:t>
            </w:r>
          </w:p>
        </w:tc>
        <w:tc>
          <w:tcPr>
            <w:tcW w:w="5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ind w:left="160"/>
              <w:spacing w:after="0"/>
              <w:rPr>
                <w:sz w:val="20"/>
                <w:szCs w:val="20"/>
                <w:color w:val="auto"/>
              </w:rPr>
            </w:pPr>
            <w:r>
              <w:rPr>
                <w:rFonts w:ascii="Arial" w:cs="Arial" w:eastAsia="Arial" w:hAnsi="Arial"/>
                <w:sz w:val="18"/>
                <w:szCs w:val="18"/>
                <w:color w:val="auto"/>
              </w:rPr>
              <w:t>Share repurchase costs</w:t>
            </w:r>
          </w:p>
        </w:tc>
        <w:tc>
          <w:tcPr>
            <w:tcW w:w="4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(289)</w:t>
            </w:r>
          </w:p>
        </w:tc>
        <w:tc>
          <w:tcPr>
            <w:tcW w:w="5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2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8"/>
                <w:szCs w:val="18"/>
                <w:color w:val="auto"/>
              </w:rPr>
              <w:t>Drawdown of bank credit lines and loan facilities</w:t>
            </w:r>
          </w:p>
        </w:tc>
        <w:tc>
          <w:tcPr>
            <w:tcW w:w="48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60,000</w:t>
            </w:r>
          </w:p>
        </w:tc>
        <w:tc>
          <w:tcPr>
            <w:tcW w:w="54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spacing w:after="0"/>
              <w:rPr>
                <w:sz w:val="20"/>
                <w:szCs w:val="20"/>
                <w:color w:val="auto"/>
              </w:rPr>
            </w:pPr>
            <w:r>
              <w:rPr>
                <w:rFonts w:ascii="Arial" w:cs="Arial" w:eastAsia="Arial" w:hAnsi="Arial"/>
                <w:sz w:val="18"/>
                <w:szCs w:val="18"/>
                <w:color w:val="auto"/>
              </w:rPr>
              <w:t>Net cash provided by financing activities</w:t>
            </w:r>
          </w:p>
        </w:tc>
        <w:tc>
          <w:tcPr>
            <w:tcW w:w="48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15,302</w:t>
            </w:r>
          </w:p>
        </w:tc>
        <w:tc>
          <w:tcPr>
            <w:tcW w:w="54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1,488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Effect of exchange rate movements on cash</w:t>
            </w:r>
          </w:p>
        </w:tc>
        <w:tc>
          <w:tcPr>
            <w:tcW w:w="48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(1,245)</w:t>
            </w:r>
          </w:p>
        </w:tc>
        <w:tc>
          <w:tcPr>
            <w:tcW w:w="54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20" w:type="dxa"/>
            <w:vAlign w:val="bottom"/>
          </w:tcPr>
          <w:p>
            <w:pPr>
              <w:spacing w:after="0"/>
              <w:rPr>
                <w:sz w:val="20"/>
                <w:szCs w:val="20"/>
                <w:color w:val="auto"/>
              </w:rPr>
            </w:pPr>
            <w:r>
              <w:rPr>
                <w:rFonts w:ascii="Arial" w:cs="Arial" w:eastAsia="Arial" w:hAnsi="Arial"/>
                <w:sz w:val="18"/>
                <w:szCs w:val="18"/>
                <w:b w:val="1"/>
                <w:bCs w:val="1"/>
                <w:color w:val="auto"/>
              </w:rPr>
              <w:t>Net (decrease)/increase in cash and cash equivalents</w:t>
            </w:r>
          </w:p>
        </w:tc>
        <w:tc>
          <w:tcPr>
            <w:tcW w:w="4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(11,431)</w:t>
            </w:r>
          </w:p>
        </w:tc>
        <w:tc>
          <w:tcPr>
            <w:tcW w:w="5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3"/>
              </w:rPr>
              <w:t>(101,206)</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Cash and cash equivalents at beginning of period</w:t>
            </w:r>
          </w:p>
        </w:tc>
        <w:tc>
          <w:tcPr>
            <w:tcW w:w="48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118,900</w:t>
            </w:r>
          </w:p>
        </w:tc>
        <w:tc>
          <w:tcPr>
            <w:tcW w:w="54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182,519</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20" w:type="dxa"/>
            <w:vAlign w:val="bottom"/>
            <w:vMerge w:val="continue"/>
          </w:tcPr>
          <w:p>
            <w:pPr>
              <w:spacing w:after="0"/>
              <w:rPr>
                <w:sz w:val="22"/>
                <w:szCs w:val="22"/>
                <w:color w:val="auto"/>
              </w:rPr>
            </w:pPr>
          </w:p>
        </w:tc>
        <w:tc>
          <w:tcPr>
            <w:tcW w:w="86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at end of period</w:t>
            </w:r>
          </w:p>
        </w:tc>
        <w:tc>
          <w:tcPr>
            <w:tcW w:w="48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107,469</w:t>
            </w:r>
          </w:p>
        </w:tc>
        <w:tc>
          <w:tcPr>
            <w:tcW w:w="54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81,313</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8620" w:type="dxa"/>
            <w:vAlign w:val="bottom"/>
          </w:tcPr>
          <w:p>
            <w:pP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tc>
        <w:tc>
          <w:tcPr>
            <w:tcW w:w="4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93"/>
        </w:trPr>
        <w:tc>
          <w:tcPr>
            <w:tcW w:w="8640" w:type="dxa"/>
            <w:vAlign w:val="bottom"/>
            <w:gridSpan w:val="2"/>
          </w:tcPr>
          <w:p>
            <w:pPr>
              <w:jc w:val="center"/>
              <w:ind w:left="2690"/>
              <w:spacing w:after="0"/>
              <w:rPr>
                <w:sz w:val="20"/>
                <w:szCs w:val="20"/>
                <w:color w:val="auto"/>
              </w:rPr>
            </w:pPr>
            <w:r>
              <w:rPr>
                <w:rFonts w:ascii="Arial" w:cs="Arial" w:eastAsia="Arial" w:hAnsi="Arial"/>
                <w:sz w:val="18"/>
                <w:szCs w:val="18"/>
                <w:color w:val="auto"/>
                <w:w w:val="99"/>
              </w:rPr>
              <w:t>5</w:t>
            </w:r>
          </w:p>
        </w:tc>
        <w:tc>
          <w:tcPr>
            <w:tcW w:w="4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620" w:type="dxa"/>
            <w:vAlign w:val="bottom"/>
            <w:tcBorders>
              <w:bottom w:val="single" w:sz="8" w:color="808080"/>
            </w:tcBorders>
          </w:tcPr>
          <w:p>
            <w:pPr>
              <w:spacing w:after="0"/>
              <w:rPr>
                <w:sz w:val="10"/>
                <w:szCs w:val="10"/>
                <w:color w:val="auto"/>
              </w:rPr>
            </w:pPr>
          </w:p>
        </w:tc>
        <w:tc>
          <w:tcPr>
            <w:tcW w:w="48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5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ICON plc</w:t>
      </w:r>
    </w:p>
    <w:p>
      <w:pPr>
        <w:spacing w:after="0" w:line="252" w:lineRule="exact"/>
        <w:rPr>
          <w:sz w:val="20"/>
          <w:szCs w:val="20"/>
          <w:color w:val="auto"/>
        </w:rPr>
      </w:pPr>
    </w:p>
    <w:p>
      <w:pPr>
        <w:jc w:val="center"/>
        <w:spacing w:after="0" w:line="282" w:lineRule="auto"/>
        <w:rPr>
          <w:sz w:val="20"/>
          <w:szCs w:val="20"/>
          <w:color w:val="auto"/>
        </w:rPr>
      </w:pPr>
      <w:r>
        <w:rPr>
          <w:rFonts w:ascii="Arial" w:cs="Arial" w:eastAsia="Arial" w:hAnsi="Arial"/>
          <w:sz w:val="18"/>
          <w:szCs w:val="18"/>
          <w:b w:val="1"/>
          <w:bCs w:val="1"/>
          <w:color w:val="auto"/>
        </w:rPr>
        <w:t>CONDENSED CONSOLIDATED STATEMENTS OF SHAREHOLDERS' EQUITY AND COMPREHENSIVE INCOME (UNAUDITED)</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33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w w:val="88"/>
              </w:rPr>
              <w:t>Accumulated</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3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w w:val="90"/>
              </w:rPr>
              <w:t>Additional</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gridSpan w:val="2"/>
          </w:tcPr>
          <w:p>
            <w:pPr>
              <w:jc w:val="right"/>
              <w:ind w:right="220"/>
              <w:spacing w:after="0" w:line="196" w:lineRule="exact"/>
              <w:rPr>
                <w:sz w:val="20"/>
                <w:szCs w:val="20"/>
                <w:color w:val="auto"/>
              </w:rPr>
            </w:pPr>
            <w:r>
              <w:rPr>
                <w:rFonts w:ascii="Arial" w:cs="Arial" w:eastAsia="Arial" w:hAnsi="Arial"/>
                <w:sz w:val="18"/>
                <w:szCs w:val="18"/>
                <w:b w:val="1"/>
                <w:bCs w:val="1"/>
                <w:color w:val="auto"/>
                <w:w w:val="89"/>
              </w:rPr>
              <w:t>Capital</w:t>
            </w:r>
          </w:p>
        </w:tc>
        <w:tc>
          <w:tcPr>
            <w:tcW w:w="1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00" w:type="dxa"/>
            <w:vAlign w:val="bottom"/>
            <w:gridSpan w:val="3"/>
          </w:tcPr>
          <w:p>
            <w:pPr>
              <w:jc w:val="right"/>
              <w:ind w:right="120"/>
              <w:spacing w:after="0" w:line="196" w:lineRule="exact"/>
              <w:rPr>
                <w:sz w:val="20"/>
                <w:szCs w:val="20"/>
                <w:color w:val="auto"/>
              </w:rPr>
            </w:pPr>
            <w:r>
              <w:rPr>
                <w:rFonts w:ascii="Arial" w:cs="Arial" w:eastAsia="Arial" w:hAnsi="Arial"/>
                <w:sz w:val="18"/>
                <w:szCs w:val="18"/>
                <w:b w:val="1"/>
                <w:bCs w:val="1"/>
                <w:color w:val="auto"/>
              </w:rPr>
              <w:t>Other</w:t>
            </w:r>
          </w:p>
        </w:tc>
        <w:tc>
          <w:tcPr>
            <w:tcW w:w="2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33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b w:val="1"/>
                <w:bCs w:val="1"/>
                <w:color w:val="auto"/>
                <w:w w:val="89"/>
              </w:rPr>
              <w:t>Paid-in</w:t>
            </w:r>
          </w:p>
        </w:tc>
        <w:tc>
          <w:tcPr>
            <w:tcW w:w="140" w:type="dxa"/>
            <w:vAlign w:val="bottom"/>
          </w:tcPr>
          <w:p>
            <w:pPr>
              <w:spacing w:after="0"/>
              <w:rPr>
                <w:sz w:val="17"/>
                <w:szCs w:val="17"/>
                <w:color w:val="auto"/>
              </w:rPr>
            </w:pPr>
          </w:p>
        </w:tc>
        <w:tc>
          <w:tcPr>
            <w:tcW w:w="1220" w:type="dxa"/>
            <w:vAlign w:val="bottom"/>
            <w:gridSpan w:val="5"/>
          </w:tcPr>
          <w:p>
            <w:pPr>
              <w:ind w:left="80"/>
              <w:spacing w:after="0" w:line="196" w:lineRule="exact"/>
              <w:rPr>
                <w:sz w:val="20"/>
                <w:szCs w:val="20"/>
                <w:color w:val="auto"/>
              </w:rPr>
            </w:pPr>
            <w:r>
              <w:rPr>
                <w:rFonts w:ascii="Arial" w:cs="Arial" w:eastAsia="Arial" w:hAnsi="Arial"/>
                <w:sz w:val="18"/>
                <w:szCs w:val="18"/>
                <w:b w:val="1"/>
                <w:bCs w:val="1"/>
                <w:color w:val="auto"/>
              </w:rPr>
              <w:t>Redemption</w:t>
            </w:r>
          </w:p>
        </w:tc>
        <w:tc>
          <w:tcPr>
            <w:tcW w:w="1320" w:type="dxa"/>
            <w:vAlign w:val="bottom"/>
            <w:gridSpan w:val="5"/>
          </w:tcPr>
          <w:p>
            <w:pPr>
              <w:spacing w:after="0" w:line="196" w:lineRule="exact"/>
              <w:rPr>
                <w:sz w:val="20"/>
                <w:szCs w:val="20"/>
                <w:color w:val="auto"/>
              </w:rPr>
            </w:pPr>
            <w:r>
              <w:rPr>
                <w:rFonts w:ascii="Arial" w:cs="Arial" w:eastAsia="Arial" w:hAnsi="Arial"/>
                <w:sz w:val="18"/>
                <w:szCs w:val="18"/>
                <w:b w:val="1"/>
                <w:bCs w:val="1"/>
                <w:color w:val="auto"/>
                <w:w w:val="96"/>
              </w:rPr>
              <w:t>Comprehensive</w:t>
            </w:r>
          </w:p>
        </w:tc>
        <w:tc>
          <w:tcPr>
            <w:tcW w:w="2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20" w:type="dxa"/>
            <w:vAlign w:val="bottom"/>
            <w:gridSpan w:val="2"/>
          </w:tcPr>
          <w:p>
            <w:pPr>
              <w:jc w:val="right"/>
              <w:ind w:right="120"/>
              <w:spacing w:after="0" w:line="196" w:lineRule="exact"/>
              <w:rPr>
                <w:sz w:val="20"/>
                <w:szCs w:val="20"/>
                <w:color w:val="auto"/>
              </w:rPr>
            </w:pPr>
            <w:r>
              <w:rPr>
                <w:rFonts w:ascii="Arial" w:cs="Arial" w:eastAsia="Arial" w:hAnsi="Arial"/>
                <w:sz w:val="18"/>
                <w:szCs w:val="18"/>
                <w:b w:val="1"/>
                <w:bCs w:val="1"/>
                <w:color w:val="auto"/>
                <w:w w:val="89"/>
              </w:rPr>
              <w:t>Retained</w:t>
            </w: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3340" w:type="dxa"/>
            <w:vAlign w:val="bottom"/>
          </w:tcPr>
          <w:p>
            <w:pPr>
              <w:spacing w:after="0"/>
              <w:rPr>
                <w:sz w:val="17"/>
                <w:szCs w:val="17"/>
                <w:color w:val="auto"/>
              </w:rPr>
            </w:pPr>
          </w:p>
        </w:tc>
        <w:tc>
          <w:tcPr>
            <w:tcW w:w="1060" w:type="dxa"/>
            <w:vAlign w:val="bottom"/>
            <w:gridSpan w:val="3"/>
          </w:tcPr>
          <w:p>
            <w:pPr>
              <w:jc w:val="right"/>
              <w:ind w:right="140"/>
              <w:spacing w:after="0" w:line="196" w:lineRule="exact"/>
              <w:rPr>
                <w:sz w:val="20"/>
                <w:szCs w:val="20"/>
                <w:color w:val="auto"/>
              </w:rPr>
            </w:pPr>
            <w:r>
              <w:rPr>
                <w:rFonts w:ascii="Arial" w:cs="Arial" w:eastAsia="Arial" w:hAnsi="Arial"/>
                <w:sz w:val="18"/>
                <w:szCs w:val="18"/>
                <w:b w:val="1"/>
                <w:bCs w:val="1"/>
                <w:color w:val="auto"/>
              </w:rPr>
              <w:t>Shares</w:t>
            </w:r>
          </w:p>
        </w:tc>
        <w:tc>
          <w:tcPr>
            <w:tcW w:w="340" w:type="dxa"/>
            <w:vAlign w:val="bottom"/>
          </w:tcPr>
          <w:p>
            <w:pPr>
              <w:spacing w:after="0"/>
              <w:rPr>
                <w:sz w:val="17"/>
                <w:szCs w:val="17"/>
                <w:color w:val="auto"/>
              </w:rPr>
            </w:pPr>
          </w:p>
        </w:tc>
        <w:tc>
          <w:tcPr>
            <w:tcW w:w="780" w:type="dxa"/>
            <w:vAlign w:val="bottom"/>
            <w:gridSpan w:val="2"/>
          </w:tcPr>
          <w:p>
            <w:pPr>
              <w:jc w:val="right"/>
              <w:ind w:right="140"/>
              <w:spacing w:after="0" w:line="196" w:lineRule="exact"/>
              <w:rPr>
                <w:sz w:val="20"/>
                <w:szCs w:val="20"/>
                <w:color w:val="auto"/>
              </w:rPr>
            </w:pPr>
            <w:r>
              <w:rPr>
                <w:rFonts w:ascii="Arial" w:cs="Arial" w:eastAsia="Arial" w:hAnsi="Arial"/>
                <w:sz w:val="18"/>
                <w:szCs w:val="18"/>
                <w:b w:val="1"/>
                <w:bCs w:val="1"/>
                <w:color w:val="auto"/>
                <w:w w:val="91"/>
              </w:rPr>
              <w:t>Amount</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00" w:type="dxa"/>
            <w:vAlign w:val="bottom"/>
            <w:gridSpan w:val="2"/>
          </w:tcPr>
          <w:p>
            <w:pPr>
              <w:jc w:val="right"/>
              <w:ind w:right="140"/>
              <w:spacing w:after="0" w:line="196" w:lineRule="exact"/>
              <w:rPr>
                <w:sz w:val="20"/>
                <w:szCs w:val="20"/>
                <w:color w:val="auto"/>
              </w:rPr>
            </w:pPr>
            <w:r>
              <w:rPr>
                <w:rFonts w:ascii="Arial" w:cs="Arial" w:eastAsia="Arial" w:hAnsi="Arial"/>
                <w:sz w:val="18"/>
                <w:szCs w:val="18"/>
                <w:b w:val="1"/>
                <w:bCs w:val="1"/>
                <w:color w:val="auto"/>
                <w:w w:val="89"/>
              </w:rPr>
              <w:t>Capital</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gridSpan w:val="3"/>
          </w:tcPr>
          <w:p>
            <w:pPr>
              <w:jc w:val="right"/>
              <w:ind w:right="220"/>
              <w:spacing w:after="0" w:line="196" w:lineRule="exact"/>
              <w:rPr>
                <w:sz w:val="20"/>
                <w:szCs w:val="20"/>
                <w:color w:val="auto"/>
              </w:rPr>
            </w:pPr>
            <w:r>
              <w:rPr>
                <w:rFonts w:ascii="Arial" w:cs="Arial" w:eastAsia="Arial" w:hAnsi="Arial"/>
                <w:sz w:val="18"/>
                <w:szCs w:val="18"/>
                <w:b w:val="1"/>
                <w:bCs w:val="1"/>
                <w:color w:val="auto"/>
                <w:w w:val="99"/>
              </w:rPr>
              <w:t>Reserve</w:t>
            </w:r>
          </w:p>
        </w:tc>
        <w:tc>
          <w:tcPr>
            <w:tcW w:w="180" w:type="dxa"/>
            <w:vAlign w:val="bottom"/>
          </w:tcPr>
          <w:p>
            <w:pPr>
              <w:spacing w:after="0"/>
              <w:rPr>
                <w:sz w:val="17"/>
                <w:szCs w:val="17"/>
                <w:color w:val="auto"/>
              </w:rPr>
            </w:pPr>
          </w:p>
        </w:tc>
        <w:tc>
          <w:tcPr>
            <w:tcW w:w="1140" w:type="dxa"/>
            <w:vAlign w:val="bottom"/>
            <w:gridSpan w:val="4"/>
          </w:tcPr>
          <w:p>
            <w:pPr>
              <w:jc w:val="right"/>
              <w:ind w:right="120"/>
              <w:spacing w:after="0" w:line="196" w:lineRule="exact"/>
              <w:rPr>
                <w:sz w:val="20"/>
                <w:szCs w:val="20"/>
                <w:color w:val="auto"/>
              </w:rPr>
            </w:pPr>
            <w:r>
              <w:rPr>
                <w:rFonts w:ascii="Arial" w:cs="Arial" w:eastAsia="Arial" w:hAnsi="Arial"/>
                <w:sz w:val="18"/>
                <w:szCs w:val="18"/>
                <w:b w:val="1"/>
                <w:bCs w:val="1"/>
                <w:color w:val="auto"/>
              </w:rPr>
              <w:t>Income</w:t>
            </w:r>
          </w:p>
        </w:tc>
        <w:tc>
          <w:tcPr>
            <w:tcW w:w="240" w:type="dxa"/>
            <w:vAlign w:val="bottom"/>
          </w:tcPr>
          <w:p>
            <w:pPr>
              <w:spacing w:after="0"/>
              <w:rPr>
                <w:sz w:val="17"/>
                <w:szCs w:val="17"/>
                <w:color w:val="auto"/>
              </w:rPr>
            </w:pPr>
          </w:p>
        </w:tc>
        <w:tc>
          <w:tcPr>
            <w:tcW w:w="880" w:type="dxa"/>
            <w:vAlign w:val="bottom"/>
            <w:gridSpan w:val="3"/>
          </w:tcPr>
          <w:p>
            <w:pPr>
              <w:jc w:val="right"/>
              <w:ind w:right="120"/>
              <w:spacing w:after="0" w:line="196" w:lineRule="exact"/>
              <w:rPr>
                <w:sz w:val="20"/>
                <w:szCs w:val="20"/>
                <w:color w:val="auto"/>
              </w:rPr>
            </w:pPr>
            <w:r>
              <w:rPr>
                <w:rFonts w:ascii="Arial" w:cs="Arial" w:eastAsia="Arial" w:hAnsi="Arial"/>
                <w:sz w:val="18"/>
                <w:szCs w:val="18"/>
                <w:b w:val="1"/>
                <w:bCs w:val="1"/>
                <w:color w:val="auto"/>
                <w:w w:val="96"/>
              </w:rPr>
              <w:t>Earnings</w:t>
            </w: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500" w:type="dxa"/>
            <w:vAlign w:val="bottom"/>
            <w:gridSpan w:val="2"/>
          </w:tcPr>
          <w:p>
            <w:pPr>
              <w:jc w:val="right"/>
              <w:ind w:right="100"/>
              <w:spacing w:after="0" w:line="196" w:lineRule="exact"/>
              <w:rPr>
                <w:sz w:val="20"/>
                <w:szCs w:val="20"/>
                <w:color w:val="auto"/>
              </w:rPr>
            </w:pPr>
            <w:r>
              <w:rPr>
                <w:rFonts w:ascii="Arial" w:cs="Arial" w:eastAsia="Arial" w:hAnsi="Arial"/>
                <w:sz w:val="18"/>
                <w:szCs w:val="18"/>
                <w:b w:val="1"/>
                <w:bCs w:val="1"/>
                <w:color w:val="auto"/>
                <w:w w:val="88"/>
              </w:rPr>
              <w:t>Total</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360" w:type="dxa"/>
            <w:vAlign w:val="bottom"/>
            <w:tcBorders>
              <w:right w:val="single" w:sz="8" w:color="auto"/>
            </w:tcBorders>
            <w:gridSpan w:val="2"/>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40" w:type="dxa"/>
            <w:vAlign w:val="bottom"/>
            <w:gridSpan w:val="3"/>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20" w:type="dxa"/>
            <w:vAlign w:val="bottom"/>
            <w:gridSpan w:val="13"/>
          </w:tcPr>
          <w:p>
            <w:pPr>
              <w:jc w:val="right"/>
              <w:ind w:right="300"/>
              <w:spacing w:after="0"/>
              <w:rPr>
                <w:sz w:val="20"/>
                <w:szCs w:val="20"/>
                <w:color w:val="auto"/>
              </w:rPr>
            </w:pPr>
            <w:r>
              <w:rPr>
                <w:rFonts w:ascii="Arial" w:cs="Arial" w:eastAsia="Arial" w:hAnsi="Arial"/>
                <w:sz w:val="18"/>
                <w:szCs w:val="18"/>
                <w:b w:val="1"/>
                <w:bCs w:val="1"/>
                <w:color w:val="auto"/>
                <w:w w:val="88"/>
              </w:rPr>
              <w:t>(dollars in thousands, except share data)</w:t>
            </w: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3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vMerge w:val="continue"/>
          </w:tcPr>
          <w:p>
            <w:pPr>
              <w:spacing w:after="0"/>
              <w:rPr>
                <w:sz w:val="19"/>
                <w:szCs w:val="19"/>
                <w:color w:val="auto"/>
              </w:rPr>
            </w:pPr>
          </w:p>
        </w:tc>
        <w:tc>
          <w:tcPr>
            <w:tcW w:w="33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Balance at December 31, 2014</w:t>
            </w:r>
          </w:p>
        </w:tc>
        <w:tc>
          <w:tcPr>
            <w:tcW w:w="1060" w:type="dxa"/>
            <w:vAlign w:val="bottom"/>
            <w:tcBorders>
              <w:bottom w:val="single" w:sz="8" w:color="auto"/>
            </w:tcBorders>
            <w:gridSpan w:val="3"/>
            <w:shd w:val="clear" w:color="auto" w:fill="CCEEFF"/>
          </w:tcPr>
          <w:p>
            <w:pPr>
              <w:jc w:val="right"/>
              <w:ind w:right="140"/>
              <w:spacing w:after="0"/>
              <w:rPr>
                <w:sz w:val="20"/>
                <w:szCs w:val="20"/>
                <w:color w:val="auto"/>
              </w:rPr>
            </w:pPr>
            <w:r>
              <w:rPr>
                <w:rFonts w:ascii="Arial" w:cs="Arial" w:eastAsia="Arial" w:hAnsi="Arial"/>
                <w:sz w:val="18"/>
                <w:szCs w:val="18"/>
                <w:color w:val="auto"/>
                <w:w w:val="99"/>
              </w:rPr>
              <w:t>60,106,780</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5,037</w:t>
            </w:r>
          </w:p>
        </w:tc>
        <w:tc>
          <w:tcPr>
            <w:tcW w:w="140" w:type="dxa"/>
            <w:vAlign w:val="bottom"/>
            <w:tcBorders>
              <w:bottom w:val="single" w:sz="8" w:color="auto"/>
            </w:tcBorders>
            <w:shd w:val="clear" w:color="auto" w:fill="CCEEFF"/>
          </w:tcPr>
          <w:p>
            <w:pPr>
              <w:spacing w:after="0"/>
              <w:rPr>
                <w:sz w:val="19"/>
                <w:szCs w:val="19"/>
                <w:color w:val="auto"/>
              </w:rPr>
            </w:pPr>
          </w:p>
        </w:tc>
        <w:tc>
          <w:tcPr>
            <w:tcW w:w="2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327,234</w:t>
            </w:r>
          </w:p>
        </w:tc>
        <w:tc>
          <w:tcPr>
            <w:tcW w:w="140" w:type="dxa"/>
            <w:vAlign w:val="bottom"/>
            <w:tcBorders>
              <w:bottom w:val="single" w:sz="8" w:color="auto"/>
            </w:tcBorders>
            <w:shd w:val="clear" w:color="auto" w:fill="CCEEFF"/>
          </w:tcPr>
          <w:p>
            <w:pPr>
              <w:spacing w:after="0"/>
              <w:rPr>
                <w:sz w:val="19"/>
                <w:szCs w:val="19"/>
                <w:color w:val="auto"/>
              </w:rPr>
            </w:pPr>
          </w:p>
        </w:tc>
        <w:tc>
          <w:tcPr>
            <w:tcW w:w="280" w:type="dxa"/>
            <w:vAlign w:val="bottom"/>
            <w:tcBorders>
              <w:bottom w:val="single" w:sz="8" w:color="auto"/>
            </w:tcBorders>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305</w:t>
            </w:r>
          </w:p>
        </w:tc>
        <w:tc>
          <w:tcPr>
            <w:tcW w:w="220" w:type="dxa"/>
            <w:vAlign w:val="bottom"/>
            <w:tcBorders>
              <w:left w:val="single" w:sz="8" w:color="CCEEFF"/>
              <w:bottom w:val="single" w:sz="8" w:color="auto"/>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(37,555)</w:t>
            </w:r>
          </w:p>
        </w:tc>
        <w:tc>
          <w:tcPr>
            <w:tcW w:w="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655,185</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950,206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3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4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tcBorders>
              <w:lef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Net income</w:t>
            </w:r>
          </w:p>
        </w:tc>
        <w:tc>
          <w:tcPr>
            <w:tcW w:w="1060" w:type="dxa"/>
            <w:vAlign w:val="bottom"/>
            <w:gridSpan w:val="3"/>
          </w:tcPr>
          <w:p>
            <w:pPr>
              <w:jc w:val="right"/>
              <w:ind w:right="14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3"/>
          </w:tcPr>
          <w:p>
            <w:pPr>
              <w:jc w:val="right"/>
              <w:ind w:right="120"/>
              <w:spacing w:after="0"/>
              <w:rPr>
                <w:sz w:val="20"/>
                <w:szCs w:val="20"/>
                <w:color w:val="auto"/>
              </w:rPr>
            </w:pPr>
            <w:r>
              <w:rPr>
                <w:rFonts w:ascii="Arial" w:cs="Arial" w:eastAsia="Arial" w:hAnsi="Arial"/>
                <w:sz w:val="18"/>
                <w:szCs w:val="18"/>
                <w:color w:val="auto"/>
              </w:rPr>
              <w:t>114,454</w:t>
            </w:r>
          </w:p>
        </w:tc>
        <w:tc>
          <w:tcPr>
            <w:tcW w:w="220" w:type="dxa"/>
            <w:vAlign w:val="bottom"/>
          </w:tcPr>
          <w:p>
            <w:pPr>
              <w:spacing w:after="0"/>
              <w:rPr>
                <w:sz w:val="18"/>
                <w:szCs w:val="18"/>
                <w:color w:val="auto"/>
              </w:rPr>
            </w:pPr>
          </w:p>
        </w:tc>
        <w:tc>
          <w:tcPr>
            <w:tcW w:w="880" w:type="dxa"/>
            <w:vAlign w:val="bottom"/>
            <w:gridSpan w:val="3"/>
          </w:tcPr>
          <w:p>
            <w:pPr>
              <w:jc w:val="right"/>
              <w:ind w:right="100"/>
              <w:spacing w:after="0"/>
              <w:rPr>
                <w:sz w:val="20"/>
                <w:szCs w:val="20"/>
                <w:color w:val="auto"/>
              </w:rPr>
            </w:pPr>
            <w:r>
              <w:rPr>
                <w:rFonts w:ascii="Arial" w:cs="Arial" w:eastAsia="Arial" w:hAnsi="Arial"/>
                <w:sz w:val="18"/>
                <w:szCs w:val="18"/>
                <w:color w:val="auto"/>
              </w:rPr>
              <w:t>114,454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Currency translation adjustment</w:t>
            </w:r>
          </w:p>
        </w:tc>
        <w:tc>
          <w:tcPr>
            <w:tcW w:w="10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lef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4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(22,152)</w:t>
            </w:r>
          </w:p>
        </w:tc>
        <w:tc>
          <w:tcPr>
            <w:tcW w:w="24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(22,152)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Currency impact of long term funding</w:t>
            </w:r>
          </w:p>
        </w:tc>
        <w:tc>
          <w:tcPr>
            <w:tcW w:w="1060" w:type="dxa"/>
            <w:vAlign w:val="bottom"/>
            <w:gridSpan w:val="3"/>
          </w:tcPr>
          <w:p>
            <w:pPr>
              <w:jc w:val="right"/>
              <w:ind w:right="14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gridSpan w:val="3"/>
          </w:tcPr>
          <w:p>
            <w:pPr>
              <w:jc w:val="right"/>
              <w:spacing w:after="0"/>
              <w:rPr>
                <w:sz w:val="20"/>
                <w:szCs w:val="20"/>
                <w:color w:val="auto"/>
              </w:rPr>
            </w:pPr>
            <w:r>
              <w:rPr>
                <w:rFonts w:ascii="Arial" w:cs="Arial" w:eastAsia="Arial" w:hAnsi="Arial"/>
                <w:sz w:val="18"/>
                <w:szCs w:val="18"/>
                <w:color w:val="auto"/>
              </w:rPr>
              <w:t>9,236</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80" w:type="dxa"/>
            <w:vAlign w:val="bottom"/>
            <w:gridSpan w:val="3"/>
          </w:tcPr>
          <w:p>
            <w:pPr>
              <w:jc w:val="right"/>
              <w:ind w:right="100"/>
              <w:spacing w:after="0"/>
              <w:rPr>
                <w:sz w:val="20"/>
                <w:szCs w:val="20"/>
                <w:color w:val="auto"/>
              </w:rPr>
            </w:pPr>
            <w:r>
              <w:rPr>
                <w:rFonts w:ascii="Arial" w:cs="Arial" w:eastAsia="Arial" w:hAnsi="Arial"/>
                <w:sz w:val="18"/>
                <w:szCs w:val="18"/>
                <w:color w:val="auto"/>
              </w:rPr>
              <w:t>9,236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w w:val="94"/>
              </w:rPr>
              <w:t>Tax on currency impact of long term funding</w:t>
            </w:r>
          </w:p>
        </w:tc>
        <w:tc>
          <w:tcPr>
            <w:tcW w:w="10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lef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4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(21)</w:t>
            </w:r>
          </w:p>
        </w:tc>
        <w:tc>
          <w:tcPr>
            <w:tcW w:w="24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Unrealized capital gain - investments</w:t>
            </w:r>
          </w:p>
        </w:tc>
        <w:tc>
          <w:tcPr>
            <w:tcW w:w="1060" w:type="dxa"/>
            <w:vAlign w:val="bottom"/>
            <w:tcBorders>
              <w:bottom w:val="single" w:sz="8" w:color="auto"/>
            </w:tcBorders>
            <w:gridSpan w:val="3"/>
          </w:tcPr>
          <w:p>
            <w:pPr>
              <w:jc w:val="right"/>
              <w:ind w:right="14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175</w:t>
            </w:r>
          </w:p>
        </w:tc>
        <w:tc>
          <w:tcPr>
            <w:tcW w:w="1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8"/>
                <w:szCs w:val="18"/>
                <w:color w:val="auto"/>
              </w:rPr>
              <w:t>176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3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tcBorders>
              <w:lef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vMerge w:val="continue"/>
          </w:tcPr>
          <w:p>
            <w:pPr>
              <w:spacing w:after="0"/>
              <w:rPr>
                <w:sz w:val="19"/>
                <w:szCs w:val="19"/>
                <w:color w:val="auto"/>
              </w:rPr>
            </w:pPr>
          </w:p>
        </w:tc>
        <w:tc>
          <w:tcPr>
            <w:tcW w:w="3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Total comprehensive income</w:t>
            </w:r>
          </w:p>
        </w:tc>
        <w:tc>
          <w:tcPr>
            <w:tcW w:w="1060" w:type="dxa"/>
            <w:vAlign w:val="bottom"/>
            <w:tcBorders>
              <w:bottom w:val="single" w:sz="8" w:color="auto"/>
            </w:tcBorders>
            <w:gridSpan w:val="3"/>
          </w:tcPr>
          <w:p>
            <w:pPr>
              <w:jc w:val="right"/>
              <w:ind w:right="14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gridSpan w:val="4"/>
          </w:tcPr>
          <w:p>
            <w:pPr>
              <w:jc w:val="right"/>
              <w:ind w:right="60"/>
              <w:spacing w:after="0"/>
              <w:rPr>
                <w:sz w:val="20"/>
                <w:szCs w:val="20"/>
                <w:color w:val="auto"/>
              </w:rPr>
            </w:pPr>
            <w:r>
              <w:rPr>
                <w:rFonts w:ascii="Arial" w:cs="Arial" w:eastAsia="Arial" w:hAnsi="Arial"/>
                <w:sz w:val="18"/>
                <w:szCs w:val="18"/>
                <w:color w:val="auto"/>
              </w:rPr>
              <w:t>(12,762)</w:t>
            </w: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8"/>
                <w:szCs w:val="18"/>
                <w:color w:val="auto"/>
              </w:rPr>
              <w:t>114,454</w:t>
            </w:r>
          </w:p>
        </w:tc>
        <w:tc>
          <w:tcPr>
            <w:tcW w:w="22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8"/>
                <w:szCs w:val="18"/>
                <w:color w:val="auto"/>
              </w:rPr>
              <w:t>101,692</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3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tcBorders>
              <w:lef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Exercise of share options</w:t>
            </w:r>
          </w:p>
        </w:tc>
        <w:tc>
          <w:tcPr>
            <w:tcW w:w="1060" w:type="dxa"/>
            <w:vAlign w:val="bottom"/>
            <w:gridSpan w:val="3"/>
          </w:tcPr>
          <w:p>
            <w:pPr>
              <w:jc w:val="right"/>
              <w:ind w:right="140"/>
              <w:spacing w:after="0"/>
              <w:rPr>
                <w:sz w:val="20"/>
                <w:szCs w:val="20"/>
                <w:color w:val="auto"/>
              </w:rPr>
            </w:pPr>
            <w:r>
              <w:rPr>
                <w:rFonts w:ascii="Arial" w:cs="Arial" w:eastAsia="Arial" w:hAnsi="Arial"/>
                <w:sz w:val="18"/>
                <w:szCs w:val="18"/>
                <w:color w:val="auto"/>
              </w:rPr>
              <w:t>422,255</w:t>
            </w:r>
          </w:p>
        </w:tc>
        <w:tc>
          <w:tcPr>
            <w:tcW w:w="3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29</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3"/>
          </w:tcPr>
          <w:p>
            <w:pPr>
              <w:jc w:val="right"/>
              <w:ind w:right="140"/>
              <w:spacing w:after="0"/>
              <w:rPr>
                <w:sz w:val="20"/>
                <w:szCs w:val="20"/>
                <w:color w:val="auto"/>
              </w:rPr>
            </w:pPr>
            <w:r>
              <w:rPr>
                <w:rFonts w:ascii="Arial" w:cs="Arial" w:eastAsia="Arial" w:hAnsi="Arial"/>
                <w:sz w:val="18"/>
                <w:szCs w:val="18"/>
                <w:color w:val="auto"/>
              </w:rPr>
              <w:t>10,980</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80" w:type="dxa"/>
            <w:vAlign w:val="bottom"/>
            <w:gridSpan w:val="3"/>
          </w:tcPr>
          <w:p>
            <w:pPr>
              <w:jc w:val="right"/>
              <w:ind w:right="100"/>
              <w:spacing w:after="0"/>
              <w:rPr>
                <w:sz w:val="20"/>
                <w:szCs w:val="20"/>
                <w:color w:val="auto"/>
              </w:rPr>
            </w:pPr>
            <w:r>
              <w:rPr>
                <w:rFonts w:ascii="Arial" w:cs="Arial" w:eastAsia="Arial" w:hAnsi="Arial"/>
                <w:sz w:val="18"/>
                <w:szCs w:val="18"/>
                <w:color w:val="auto"/>
              </w:rPr>
              <w:t>11,009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Issue of restricted share units</w:t>
            </w:r>
          </w:p>
        </w:tc>
        <w:tc>
          <w:tcPr>
            <w:tcW w:w="10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222,805</w:t>
            </w:r>
          </w:p>
        </w:tc>
        <w:tc>
          <w:tcPr>
            <w:tcW w:w="3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lef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Share issuance costs</w:t>
            </w:r>
          </w:p>
        </w:tc>
        <w:tc>
          <w:tcPr>
            <w:tcW w:w="1060" w:type="dxa"/>
            <w:vAlign w:val="bottom"/>
            <w:gridSpan w:val="3"/>
          </w:tcPr>
          <w:p>
            <w:pPr>
              <w:jc w:val="right"/>
              <w:ind w:right="14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3"/>
          </w:tcPr>
          <w:p>
            <w:pPr>
              <w:jc w:val="right"/>
              <w:ind w:right="80"/>
              <w:spacing w:after="0"/>
              <w:rPr>
                <w:sz w:val="20"/>
                <w:szCs w:val="20"/>
                <w:color w:val="auto"/>
              </w:rPr>
            </w:pPr>
            <w:r>
              <w:rPr>
                <w:rFonts w:ascii="Arial" w:cs="Arial" w:eastAsia="Arial" w:hAnsi="Arial"/>
                <w:sz w:val="18"/>
                <w:szCs w:val="18"/>
                <w:color w:val="auto"/>
              </w:rPr>
              <w:t>(4)</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80" w:type="dxa"/>
            <w:vAlign w:val="bottom"/>
            <w:gridSpan w:val="3"/>
          </w:tcPr>
          <w:p>
            <w:pPr>
              <w:jc w:val="right"/>
              <w:ind w:right="4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Non-cash stock compensation expense</w:t>
            </w:r>
          </w:p>
        </w:tc>
        <w:tc>
          <w:tcPr>
            <w:tcW w:w="10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15,012</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lef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15,012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Share Repurchase Programme</w:t>
            </w:r>
          </w:p>
        </w:tc>
        <w:tc>
          <w:tcPr>
            <w:tcW w:w="1060" w:type="dxa"/>
            <w:vAlign w:val="bottom"/>
            <w:gridSpan w:val="3"/>
          </w:tcPr>
          <w:p>
            <w:pPr>
              <w:jc w:val="right"/>
              <w:ind w:right="80"/>
              <w:spacing w:after="0"/>
              <w:rPr>
                <w:sz w:val="20"/>
                <w:szCs w:val="20"/>
                <w:color w:val="auto"/>
              </w:rPr>
            </w:pPr>
            <w:r>
              <w:rPr>
                <w:rFonts w:ascii="Arial" w:cs="Arial" w:eastAsia="Arial" w:hAnsi="Arial"/>
                <w:sz w:val="18"/>
                <w:szCs w:val="18"/>
                <w:color w:val="auto"/>
              </w:rPr>
              <w:t>(882,419)</w:t>
            </w:r>
          </w:p>
        </w:tc>
        <w:tc>
          <w:tcPr>
            <w:tcW w:w="34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(58)</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58</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3"/>
          </w:tcPr>
          <w:p>
            <w:pPr>
              <w:jc w:val="right"/>
              <w:ind w:right="60"/>
              <w:spacing w:after="0"/>
              <w:rPr>
                <w:sz w:val="20"/>
                <w:szCs w:val="20"/>
                <w:color w:val="auto"/>
              </w:rPr>
            </w:pPr>
            <w:r>
              <w:rPr>
                <w:rFonts w:ascii="Arial" w:cs="Arial" w:eastAsia="Arial" w:hAnsi="Arial"/>
                <w:sz w:val="18"/>
                <w:szCs w:val="18"/>
                <w:color w:val="auto"/>
              </w:rPr>
              <w:t>(57,892)</w:t>
            </w:r>
          </w:p>
        </w:tc>
        <w:tc>
          <w:tcPr>
            <w:tcW w:w="220" w:type="dxa"/>
            <w:vAlign w:val="bottom"/>
          </w:tcPr>
          <w:p>
            <w:pPr>
              <w:spacing w:after="0"/>
              <w:rPr>
                <w:sz w:val="18"/>
                <w:szCs w:val="18"/>
                <w:color w:val="auto"/>
              </w:rPr>
            </w:pPr>
          </w:p>
        </w:tc>
        <w:tc>
          <w:tcPr>
            <w:tcW w:w="880" w:type="dxa"/>
            <w:vAlign w:val="bottom"/>
            <w:gridSpan w:val="3"/>
          </w:tcPr>
          <w:p>
            <w:pPr>
              <w:jc w:val="right"/>
              <w:ind w:right="40"/>
              <w:spacing w:after="0"/>
              <w:rPr>
                <w:sz w:val="20"/>
                <w:szCs w:val="20"/>
                <w:color w:val="auto"/>
              </w:rPr>
            </w:pPr>
            <w:r>
              <w:rPr>
                <w:rFonts w:ascii="Arial" w:cs="Arial" w:eastAsia="Arial" w:hAnsi="Arial"/>
                <w:sz w:val="18"/>
                <w:szCs w:val="18"/>
                <w:color w:val="auto"/>
              </w:rPr>
              <w:t>(57,892)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Share Repurchase Costs</w:t>
            </w:r>
          </w:p>
        </w:tc>
        <w:tc>
          <w:tcPr>
            <w:tcW w:w="4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tcBorders>
              <w:lef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(289)</w:t>
            </w:r>
          </w:p>
        </w:tc>
        <w:tc>
          <w:tcPr>
            <w:tcW w:w="2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(289)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Tax benefit on exercise of options</w:t>
            </w:r>
          </w:p>
        </w:tc>
        <w:tc>
          <w:tcPr>
            <w:tcW w:w="1060" w:type="dxa"/>
            <w:vAlign w:val="bottom"/>
            <w:tcBorders>
              <w:bottom w:val="single" w:sz="8" w:color="auto"/>
            </w:tcBorders>
            <w:gridSpan w:val="3"/>
          </w:tcPr>
          <w:p>
            <w:pPr>
              <w:jc w:val="right"/>
              <w:ind w:right="14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2,463</w:t>
            </w:r>
          </w:p>
        </w:tc>
        <w:tc>
          <w:tcPr>
            <w:tcW w:w="1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8"/>
                <w:szCs w:val="18"/>
                <w:color w:val="auto"/>
              </w:rPr>
              <w:t>2,463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3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tcBorders>
              <w:lef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Balance at June 30, 2015</w:t>
            </w:r>
          </w:p>
        </w:tc>
        <w:tc>
          <w:tcPr>
            <w:tcW w:w="1060" w:type="dxa"/>
            <w:vAlign w:val="bottom"/>
            <w:tcBorders>
              <w:bottom w:val="single" w:sz="8" w:color="auto"/>
            </w:tcBorders>
            <w:gridSpan w:val="3"/>
          </w:tcPr>
          <w:p>
            <w:pPr>
              <w:jc w:val="right"/>
              <w:ind w:right="140"/>
              <w:spacing w:after="0"/>
              <w:rPr>
                <w:sz w:val="20"/>
                <w:szCs w:val="20"/>
                <w:color w:val="auto"/>
              </w:rPr>
            </w:pPr>
            <w:r>
              <w:rPr>
                <w:rFonts w:ascii="Arial" w:cs="Arial" w:eastAsia="Arial" w:hAnsi="Arial"/>
                <w:sz w:val="18"/>
                <w:szCs w:val="18"/>
                <w:color w:val="auto"/>
                <w:w w:val="99"/>
              </w:rPr>
              <w:t>59,869,421</w:t>
            </w:r>
          </w:p>
        </w:tc>
        <w:tc>
          <w:tcPr>
            <w:tcW w:w="3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5,008</w:t>
            </w:r>
          </w:p>
        </w:tc>
        <w:tc>
          <w:tcPr>
            <w:tcW w:w="14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355,700</w:t>
            </w:r>
          </w:p>
        </w:tc>
        <w:tc>
          <w:tcPr>
            <w:tcW w:w="14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gridSpan w:val="2"/>
          </w:tcPr>
          <w:p>
            <w:pPr>
              <w:ind w:left="80"/>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363</w:t>
            </w:r>
          </w:p>
        </w:tc>
        <w:tc>
          <w:tcPr>
            <w:tcW w:w="2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gridSpan w:val="4"/>
          </w:tcPr>
          <w:p>
            <w:pPr>
              <w:jc w:val="right"/>
              <w:ind w:right="60"/>
              <w:spacing w:after="0"/>
              <w:rPr>
                <w:sz w:val="20"/>
                <w:szCs w:val="20"/>
                <w:color w:val="auto"/>
              </w:rPr>
            </w:pPr>
            <w:r>
              <w:rPr>
                <w:rFonts w:ascii="Arial" w:cs="Arial" w:eastAsia="Arial" w:hAnsi="Arial"/>
                <w:sz w:val="18"/>
                <w:szCs w:val="18"/>
                <w:color w:val="auto"/>
              </w:rPr>
              <w:t>(50,317)</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8"/>
                <w:szCs w:val="18"/>
                <w:color w:val="auto"/>
              </w:rPr>
              <w:t>711,458</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8"/>
                <w:szCs w:val="18"/>
                <w:color w:val="auto"/>
                <w:w w:val="94"/>
              </w:rPr>
              <w:t>1,022,212</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760" w:type="dxa"/>
            <w:vAlign w:val="bottom"/>
            <w:tcBorders>
              <w:bottom w:val="single" w:sz="8" w:color="auto"/>
            </w:tcBorders>
            <w:gridSpan w:val="2"/>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gridSpan w:val="3"/>
          </w:tcPr>
          <w:p>
            <w:pPr>
              <w:spacing w:after="0" w:line="20" w:lineRule="exact"/>
              <w:rPr>
                <w:sz w:val="1"/>
                <w:szCs w:val="1"/>
                <w:color w:val="auto"/>
              </w:rPr>
            </w:pPr>
          </w:p>
        </w:tc>
        <w:tc>
          <w:tcPr>
            <w:tcW w:w="300" w:type="dxa"/>
            <w:vAlign w:val="bottom"/>
            <w:tcBorders>
              <w:bottom w:val="single" w:sz="8" w:color="auto"/>
            </w:tcBorders>
            <w:gridSpan w:val="2"/>
          </w:tcPr>
          <w:p>
            <w:pPr>
              <w:spacing w:after="0" w:line="20" w:lineRule="exact"/>
              <w:rPr>
                <w:sz w:val="1"/>
                <w:szCs w:val="1"/>
                <w:color w:val="auto"/>
              </w:rPr>
            </w:pPr>
          </w:p>
        </w:tc>
        <w:tc>
          <w:tcPr>
            <w:tcW w:w="260" w:type="dxa"/>
            <w:vAlign w:val="bottom"/>
            <w:tcBorders>
              <w:bottom w:val="single" w:sz="8" w:color="auto"/>
            </w:tcBorders>
            <w:gridSpan w:val="2"/>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gridSpan w:val="2"/>
          </w:tcPr>
          <w:p>
            <w:pPr>
              <w:spacing w:after="0" w:line="20" w:lineRule="exact"/>
              <w:rPr>
                <w:sz w:val="1"/>
                <w:szCs w:val="1"/>
                <w:color w:val="auto"/>
              </w:rPr>
            </w:pPr>
          </w:p>
        </w:tc>
        <w:tc>
          <w:tcPr>
            <w:tcW w:w="360" w:type="dxa"/>
            <w:vAlign w:val="bottom"/>
            <w:tcBorders>
              <w:bottom w:val="single" w:sz="8" w:color="auto"/>
            </w:tcBorders>
            <w:gridSpan w:val="2"/>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7860" w:type="dxa"/>
            <w:vAlign w:val="bottom"/>
            <w:gridSpan w:val="17"/>
          </w:tcPr>
          <w:p>
            <w:pPr>
              <w:jc w:val="right"/>
              <w:ind w:right="460"/>
              <w:spacing w:after="0"/>
              <w:rPr>
                <w:sz w:val="20"/>
                <w:szCs w:val="20"/>
                <w:color w:val="auto"/>
              </w:rPr>
            </w:pPr>
            <w:r>
              <w:rPr>
                <w:rFonts w:ascii="Arial" w:cs="Arial" w:eastAsia="Arial" w:hAnsi="Arial"/>
                <w:sz w:val="18"/>
                <w:szCs w:val="18"/>
                <w:color w:val="auto"/>
                <w:w w:val="92"/>
              </w:rPr>
              <w:t>The accompanying notes are an integral part of these condensed consolidated financial statements.</w:t>
            </w:r>
          </w:p>
        </w:tc>
        <w:tc>
          <w:tcPr>
            <w:tcW w:w="1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93"/>
        </w:trPr>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6</w:t>
            </w:r>
          </w:p>
        </w:tc>
        <w:tc>
          <w:tcPr>
            <w:tcW w:w="1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3340" w:type="dxa"/>
            <w:vAlign w:val="bottom"/>
            <w:tcBorders>
              <w:bottom w:val="single" w:sz="8" w:color="808080"/>
            </w:tcBorders>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50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56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56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44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46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7" w:name="page8"/>
    <w:bookmarkEnd w:id="7"/>
    <w:p>
      <w:pPr>
        <w:jc w:val="center"/>
        <w:ind w:left="320"/>
        <w:spacing w:after="0"/>
        <w:rPr>
          <w:sz w:val="20"/>
          <w:szCs w:val="20"/>
          <w:color w:val="auto"/>
        </w:rPr>
      </w:pPr>
      <w:r>
        <w:rPr>
          <w:rFonts w:ascii="Arial" w:cs="Arial" w:eastAsia="Arial" w:hAnsi="Arial"/>
          <w:sz w:val="18"/>
          <w:szCs w:val="18"/>
          <w:b w:val="1"/>
          <w:bCs w:val="1"/>
          <w:color w:val="auto"/>
        </w:rPr>
        <w:t>ICON plc</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June 30, 2015</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w:t>
      </w:r>
    </w:p>
    <w:p>
      <w:pPr>
        <w:spacing w:after="0" w:line="256"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These condensed consolidated financial statements, which have been prepared in accordance with United States generally accepted accounting principles (“US GAAP”), have not been audited. The condensed consolidated financial statements reflect all adjustments, which are, in the opinion of management, necessary to present a fair statement of the operating results and financial position for the periods presented. The preparation of the condensed consolidated financial statements in conformity with US GAAP requires management to make estimates and assumptions that affect reported amounts and disclosures in the condensed consolidated financial statements. Actual results could differ from those estimates.</w:t>
      </w:r>
    </w:p>
    <w:p>
      <w:pPr>
        <w:spacing w:after="0" w:line="20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condensed consolidated financial statements should be read in conjunction with the accounting policies and notes to the consolidated financial statements included in ICON’s Form 20-F for the year ended December 31, 2014. Operating results for the three and six months ended June 30, 2015 are not necessarily indicative of the results that may be expected for the fiscal period ending December 31, 2015.</w:t>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140" w:type="dxa"/>
            <w:vAlign w:val="bottom"/>
            <w:gridSpan w:val="2"/>
          </w:tcPr>
          <w:p>
            <w:pPr>
              <w:spacing w:after="0"/>
              <w:rPr>
                <w:sz w:val="20"/>
                <w:szCs w:val="20"/>
                <w:color w:val="auto"/>
              </w:rPr>
            </w:pPr>
            <w:r>
              <w:rPr>
                <w:rFonts w:ascii="Arial" w:cs="Arial" w:eastAsia="Arial" w:hAnsi="Arial"/>
                <w:sz w:val="18"/>
                <w:szCs w:val="18"/>
                <w:b w:val="1"/>
                <w:bCs w:val="1"/>
                <w:color w:val="auto"/>
              </w:rPr>
              <w:t>2. Goodwill</w:t>
            </w:r>
          </w:p>
        </w:tc>
        <w:tc>
          <w:tcPr>
            <w:tcW w:w="4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9"/>
        </w:trPr>
        <w:tc>
          <w:tcPr>
            <w:tcW w:w="2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4960" w:type="dxa"/>
            <w:vAlign w:val="bottom"/>
          </w:tcPr>
          <w:p>
            <w:pPr>
              <w:spacing w:after="0"/>
              <w:rPr>
                <w:sz w:val="24"/>
                <w:szCs w:val="24"/>
                <w:color w:val="auto"/>
              </w:rPr>
            </w:pPr>
          </w:p>
        </w:tc>
        <w:tc>
          <w:tcPr>
            <w:tcW w:w="1000" w:type="dxa"/>
            <w:vAlign w:val="bottom"/>
            <w:gridSpan w:val="5"/>
          </w:tcPr>
          <w:p>
            <w:pPr>
              <w:jc w:val="right"/>
              <w:ind w:right="140"/>
              <w:spacing w:after="0"/>
              <w:rPr>
                <w:sz w:val="20"/>
                <w:szCs w:val="20"/>
                <w:color w:val="auto"/>
              </w:rPr>
            </w:pPr>
            <w:r>
              <w:rPr>
                <w:rFonts w:ascii="Arial" w:cs="Arial" w:eastAsia="Arial" w:hAnsi="Arial"/>
                <w:sz w:val="18"/>
                <w:szCs w:val="18"/>
                <w:b w:val="1"/>
                <w:bCs w:val="1"/>
                <w:color w:val="auto"/>
                <w:w w:val="86"/>
              </w:rPr>
              <w:t>Six months</w:t>
            </w: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4120" w:type="dxa"/>
            <w:vAlign w:val="bottom"/>
          </w:tcPr>
          <w:p>
            <w:pPr>
              <w:spacing w:after="0"/>
              <w:rPr>
                <w:sz w:val="17"/>
                <w:szCs w:val="17"/>
                <w:color w:val="auto"/>
              </w:rPr>
            </w:pPr>
          </w:p>
        </w:tc>
        <w:tc>
          <w:tcPr>
            <w:tcW w:w="49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gridSpan w:val="3"/>
          </w:tcPr>
          <w:p>
            <w:pPr>
              <w:jc w:val="right"/>
              <w:ind w:right="140"/>
              <w:spacing w:after="0" w:line="196" w:lineRule="exact"/>
              <w:rPr>
                <w:sz w:val="20"/>
                <w:szCs w:val="20"/>
                <w:color w:val="auto"/>
              </w:rPr>
            </w:pPr>
            <w:r>
              <w:rPr>
                <w:rFonts w:ascii="Arial" w:cs="Arial" w:eastAsia="Arial" w:hAnsi="Arial"/>
                <w:sz w:val="18"/>
                <w:szCs w:val="18"/>
                <w:b w:val="1"/>
                <w:bCs w:val="1"/>
                <w:color w:val="auto"/>
                <w:w w:val="82"/>
              </w:rPr>
              <w:t>ended</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gridSpan w:val="3"/>
          </w:tcPr>
          <w:p>
            <w:pPr>
              <w:jc w:val="right"/>
              <w:ind w:right="100"/>
              <w:spacing w:after="0" w:line="196" w:lineRule="exact"/>
              <w:rPr>
                <w:sz w:val="20"/>
                <w:szCs w:val="20"/>
                <w:color w:val="auto"/>
              </w:rPr>
            </w:pPr>
            <w:r>
              <w:rPr>
                <w:rFonts w:ascii="Arial" w:cs="Arial" w:eastAsia="Arial" w:hAnsi="Arial"/>
                <w:sz w:val="18"/>
                <w:szCs w:val="18"/>
                <w:b w:val="1"/>
                <w:bCs w:val="1"/>
                <w:color w:val="auto"/>
                <w:w w:val="88"/>
              </w:rPr>
              <w:t>Year ended</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4120" w:type="dxa"/>
            <w:vAlign w:val="bottom"/>
          </w:tcPr>
          <w:p>
            <w:pPr>
              <w:spacing w:after="0"/>
              <w:rPr>
                <w:sz w:val="17"/>
                <w:szCs w:val="17"/>
                <w:color w:val="auto"/>
              </w:rPr>
            </w:pPr>
          </w:p>
        </w:tc>
        <w:tc>
          <w:tcPr>
            <w:tcW w:w="49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4"/>
          </w:tcPr>
          <w:p>
            <w:pPr>
              <w:jc w:val="right"/>
              <w:ind w:right="140"/>
              <w:spacing w:after="0" w:line="196" w:lineRule="exact"/>
              <w:rPr>
                <w:sz w:val="20"/>
                <w:szCs w:val="20"/>
                <w:color w:val="auto"/>
              </w:rPr>
            </w:pPr>
            <w:r>
              <w:rPr>
                <w:rFonts w:ascii="Arial" w:cs="Arial" w:eastAsia="Arial" w:hAnsi="Arial"/>
                <w:sz w:val="18"/>
                <w:szCs w:val="18"/>
                <w:b w:val="1"/>
                <w:bCs w:val="1"/>
                <w:color w:val="auto"/>
                <w:w w:val="85"/>
              </w:rPr>
              <w:t>June 30,</w:t>
            </w:r>
          </w:p>
        </w:tc>
        <w:tc>
          <w:tcPr>
            <w:tcW w:w="160" w:type="dxa"/>
            <w:vAlign w:val="bottom"/>
          </w:tcPr>
          <w:p>
            <w:pPr>
              <w:spacing w:after="0"/>
              <w:rPr>
                <w:sz w:val="17"/>
                <w:szCs w:val="17"/>
                <w:color w:val="auto"/>
              </w:rPr>
            </w:pPr>
          </w:p>
        </w:tc>
        <w:tc>
          <w:tcPr>
            <w:tcW w:w="116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w w:val="88"/>
              </w:rPr>
              <w:t>December 31,</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120" w:type="dxa"/>
            <w:vAlign w:val="bottom"/>
          </w:tcPr>
          <w:p>
            <w:pPr>
              <w:spacing w:after="0"/>
              <w:rPr>
                <w:sz w:val="17"/>
                <w:szCs w:val="17"/>
                <w:color w:val="auto"/>
              </w:rPr>
            </w:pPr>
          </w:p>
        </w:tc>
        <w:tc>
          <w:tcPr>
            <w:tcW w:w="49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Borders>
              <w:top w:val="single" w:sz="8" w:color="auto"/>
            </w:tcBorders>
            <w:gridSpan w:val="2"/>
          </w:tcPr>
          <w:p>
            <w:pPr>
              <w:spacing w:after="0"/>
              <w:rPr>
                <w:sz w:val="17"/>
                <w:szCs w:val="17"/>
                <w:color w:val="auto"/>
              </w:rPr>
            </w:pPr>
          </w:p>
        </w:tc>
        <w:tc>
          <w:tcPr>
            <w:tcW w:w="36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w w:val="84"/>
              </w:rPr>
              <w:t>2015</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gridSpan w:val="2"/>
          </w:tcPr>
          <w:p>
            <w:pPr>
              <w:jc w:val="right"/>
              <w:spacing w:after="0" w:line="196" w:lineRule="exact"/>
              <w:rPr>
                <w:sz w:val="20"/>
                <w:szCs w:val="20"/>
                <w:color w:val="auto"/>
              </w:rPr>
            </w:pPr>
            <w:r>
              <w:rPr>
                <w:rFonts w:ascii="Arial" w:cs="Arial" w:eastAsia="Arial" w:hAnsi="Arial"/>
                <w:sz w:val="18"/>
                <w:szCs w:val="18"/>
                <w:b w:val="1"/>
                <w:bCs w:val="1"/>
                <w:color w:val="auto"/>
              </w:rPr>
              <w:t>2014</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0" w:type="dxa"/>
            <w:vAlign w:val="bottom"/>
            <w:gridSpan w:val="4"/>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tcPr>
          <w:p>
            <w:pPr>
              <w:spacing w:after="0"/>
              <w:rPr>
                <w:sz w:val="20"/>
                <w:szCs w:val="20"/>
                <w:color w:val="auto"/>
              </w:rPr>
            </w:pPr>
          </w:p>
        </w:tc>
        <w:tc>
          <w:tcPr>
            <w:tcW w:w="4120" w:type="dxa"/>
            <w:vAlign w:val="bottom"/>
          </w:tcPr>
          <w:p>
            <w:pPr>
              <w:spacing w:after="0"/>
              <w:rPr>
                <w:sz w:val="20"/>
                <w:szCs w:val="20"/>
                <w:color w:val="auto"/>
              </w:rPr>
            </w:pPr>
          </w:p>
        </w:tc>
        <w:tc>
          <w:tcPr>
            <w:tcW w:w="4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920" w:type="dxa"/>
            <w:vAlign w:val="bottom"/>
            <w:gridSpan w:val="8"/>
          </w:tcPr>
          <w:p>
            <w:pPr>
              <w:jc w:val="right"/>
              <w:ind w:right="800"/>
              <w:spacing w:after="0"/>
              <w:rPr>
                <w:sz w:val="20"/>
                <w:szCs w:val="20"/>
                <w:color w:val="auto"/>
              </w:rPr>
            </w:pPr>
            <w:r>
              <w:rPr>
                <w:rFonts w:ascii="Arial" w:cs="Arial" w:eastAsia="Arial" w:hAnsi="Arial"/>
                <w:sz w:val="18"/>
                <w:szCs w:val="18"/>
                <w:b w:val="1"/>
                <w:bCs w:val="1"/>
                <w:color w:val="auto"/>
                <w:w w:val="88"/>
              </w:rPr>
              <w:t>(in thousands)</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120" w:type="dxa"/>
            <w:vAlign w:val="bottom"/>
          </w:tcPr>
          <w:p>
            <w:pPr>
              <w:spacing w:after="0"/>
              <w:rPr>
                <w:sz w:val="18"/>
                <w:szCs w:val="18"/>
                <w:color w:val="auto"/>
              </w:rPr>
            </w:pPr>
          </w:p>
        </w:tc>
        <w:tc>
          <w:tcPr>
            <w:tcW w:w="4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Opening balance</w:t>
            </w:r>
          </w:p>
        </w:tc>
        <w:tc>
          <w:tcPr>
            <w:tcW w:w="496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8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463,324</w:t>
            </w:r>
          </w:p>
        </w:tc>
        <w:tc>
          <w:tcPr>
            <w:tcW w:w="14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357,523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tcPr>
          <w:p>
            <w:pPr>
              <w:spacing w:after="0"/>
              <w:rPr>
                <w:sz w:val="20"/>
                <w:szCs w:val="20"/>
                <w:color w:val="auto"/>
              </w:rPr>
            </w:pPr>
            <w:r>
              <w:rPr>
                <w:rFonts w:ascii="Arial" w:cs="Arial" w:eastAsia="Arial" w:hAnsi="Arial"/>
                <w:sz w:val="18"/>
                <w:szCs w:val="18"/>
                <w:color w:val="auto"/>
              </w:rPr>
              <w:t>Current period acquisitions (Note 3)</w:t>
            </w:r>
          </w:p>
        </w:tc>
        <w:tc>
          <w:tcPr>
            <w:tcW w:w="4960" w:type="dxa"/>
            <w:vAlign w:val="bottom"/>
          </w:tcPr>
          <w:p>
            <w:pPr>
              <w:spacing w:after="0"/>
              <w:rPr>
                <w:sz w:val="18"/>
                <w:szCs w:val="18"/>
                <w:color w:val="auto"/>
              </w:rPr>
            </w:pPr>
          </w:p>
        </w:tc>
        <w:tc>
          <w:tcPr>
            <w:tcW w:w="1000" w:type="dxa"/>
            <w:vAlign w:val="bottom"/>
            <w:gridSpan w:val="5"/>
          </w:tcPr>
          <w:p>
            <w:pPr>
              <w:jc w:val="right"/>
              <w:ind w:right="140"/>
              <w:spacing w:after="0"/>
              <w:rPr>
                <w:sz w:val="20"/>
                <w:szCs w:val="20"/>
                <w:color w:val="auto"/>
              </w:rPr>
            </w:pPr>
            <w:r>
              <w:rPr>
                <w:rFonts w:ascii="Arial" w:cs="Arial" w:eastAsia="Arial" w:hAnsi="Arial"/>
                <w:sz w:val="18"/>
                <w:szCs w:val="18"/>
                <w:color w:val="auto"/>
              </w:rPr>
              <w:t>115,208</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gridSpan w:val="3"/>
          </w:tcPr>
          <w:p>
            <w:pPr>
              <w:jc w:val="right"/>
              <w:ind w:right="100"/>
              <w:spacing w:after="0"/>
              <w:rPr>
                <w:sz w:val="20"/>
                <w:szCs w:val="20"/>
                <w:color w:val="auto"/>
              </w:rPr>
            </w:pPr>
            <w:r>
              <w:rPr>
                <w:rFonts w:ascii="Arial" w:cs="Arial" w:eastAsia="Arial" w:hAnsi="Arial"/>
                <w:sz w:val="18"/>
                <w:szCs w:val="18"/>
                <w:color w:val="auto"/>
              </w:rPr>
              <w:t>121,209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Prior period acquisitions (Note 3)</w:t>
            </w:r>
          </w:p>
        </w:tc>
        <w:tc>
          <w:tcPr>
            <w:tcW w:w="4960" w:type="dxa"/>
            <w:vAlign w:val="bottom"/>
            <w:shd w:val="clear" w:color="auto" w:fill="CCEEFF"/>
          </w:tcPr>
          <w:p>
            <w:pPr>
              <w:spacing w:after="0"/>
              <w:rPr>
                <w:sz w:val="18"/>
                <w:szCs w:val="18"/>
                <w:color w:val="auto"/>
              </w:rPr>
            </w:pPr>
          </w:p>
        </w:tc>
        <w:tc>
          <w:tcPr>
            <w:tcW w:w="8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4,418</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1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Foreign exchange movement</w:t>
            </w:r>
          </w:p>
        </w:tc>
        <w:tc>
          <w:tcPr>
            <w:tcW w:w="49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gridSpan w:val="5"/>
          </w:tcPr>
          <w:p>
            <w:pPr>
              <w:jc w:val="right"/>
              <w:ind w:right="80"/>
              <w:spacing w:after="0"/>
              <w:rPr>
                <w:sz w:val="20"/>
                <w:szCs w:val="20"/>
                <w:color w:val="auto"/>
              </w:rPr>
            </w:pPr>
            <w:r>
              <w:rPr>
                <w:rFonts w:ascii="Arial" w:cs="Arial" w:eastAsia="Arial" w:hAnsi="Arial"/>
                <w:sz w:val="18"/>
                <w:szCs w:val="18"/>
                <w:color w:val="auto"/>
              </w:rPr>
              <w:t>(4,914)</w:t>
            </w:r>
          </w:p>
        </w:tc>
        <w:tc>
          <w:tcPr>
            <w:tcW w:w="16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8"/>
                <w:szCs w:val="18"/>
                <w:color w:val="auto"/>
              </w:rPr>
              <w:t>(15,408)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120" w:type="dxa"/>
            <w:vAlign w:val="bottom"/>
            <w:shd w:val="clear" w:color="auto" w:fill="CCEEFF"/>
          </w:tcPr>
          <w:p>
            <w:pPr>
              <w:spacing w:after="0"/>
              <w:rPr>
                <w:sz w:val="18"/>
                <w:szCs w:val="18"/>
                <w:color w:val="auto"/>
              </w:rPr>
            </w:pPr>
          </w:p>
        </w:tc>
        <w:tc>
          <w:tcPr>
            <w:tcW w:w="49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Closing balance</w:t>
            </w:r>
          </w:p>
        </w:tc>
        <w:tc>
          <w:tcPr>
            <w:tcW w:w="49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rPr>
              <w:t>578,036</w:t>
            </w:r>
          </w:p>
        </w:tc>
        <w:tc>
          <w:tcPr>
            <w:tcW w:w="14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gridSpan w:val="2"/>
          </w:tcPr>
          <w:p>
            <w:pPr>
              <w:jc w:val="right"/>
              <w:ind w:right="9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8"/>
                <w:szCs w:val="18"/>
                <w:color w:val="auto"/>
              </w:rPr>
              <w:t>463,324</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120" w:type="dxa"/>
            <w:vAlign w:val="bottom"/>
            <w:tcBorders>
              <w:bottom w:val="single" w:sz="8" w:color="auto"/>
            </w:tcBorders>
          </w:tcPr>
          <w:p>
            <w:pPr>
              <w:spacing w:after="0" w:line="20" w:lineRule="exact"/>
              <w:rPr>
                <w:sz w:val="1"/>
                <w:szCs w:val="1"/>
                <w:color w:val="auto"/>
              </w:rPr>
            </w:pPr>
          </w:p>
        </w:tc>
        <w:tc>
          <w:tcPr>
            <w:tcW w:w="49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01"/>
        </w:trPr>
        <w:tc>
          <w:tcPr>
            <w:tcW w:w="2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4960" w:type="dxa"/>
            <w:vAlign w:val="bottom"/>
          </w:tcPr>
          <w:p>
            <w:pPr>
              <w:jc w:val="right"/>
              <w:ind w:right="3250"/>
              <w:spacing w:after="0"/>
              <w:rPr>
                <w:sz w:val="20"/>
                <w:szCs w:val="20"/>
                <w:color w:val="auto"/>
              </w:rPr>
            </w:pPr>
            <w:r>
              <w:rPr>
                <w:rFonts w:ascii="Arial" w:cs="Arial" w:eastAsia="Arial" w:hAnsi="Arial"/>
                <w:sz w:val="18"/>
                <w:szCs w:val="18"/>
                <w:color w:val="auto"/>
              </w:rPr>
              <w:t>7</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4120" w:type="dxa"/>
            <w:vAlign w:val="bottom"/>
            <w:tcBorders>
              <w:bottom w:val="single" w:sz="8" w:color="808080"/>
            </w:tcBorders>
          </w:tcPr>
          <w:p>
            <w:pPr>
              <w:spacing w:after="0"/>
              <w:rPr>
                <w:sz w:val="10"/>
                <w:szCs w:val="10"/>
                <w:color w:val="auto"/>
              </w:rPr>
            </w:pPr>
          </w:p>
        </w:tc>
        <w:tc>
          <w:tcPr>
            <w:tcW w:w="496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3. Business Combinations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Acquisitions - MediMedia Pharma Solutions.</w:t>
      </w:r>
    </w:p>
    <w:p>
      <w:pPr>
        <w:spacing w:after="0" w:line="25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February 27, 2015 the Company acquired MediMedia Pharma Solutions for a total cash consideration of $120.0 million including certain payments to be made on behalf of the company on completion totalling $11.3 million. Headquartered in Yardley, Pennsylvania, MediMedia Pharma Solutions includes MediMedia Managed Markets and Complete Healthcare Communications. MediMedia Managed Markets is a leading provider of strategic payer-validated market access solutions. Complete Healthcare Communications is one of the leading medical and scientific communication agencies working with medical affairs, commercial and brand development teams within life science companies. The acquisition agreement also provides for certain working capital targets to be achieved by MediMedia Pharma Solutions on acquisition. The Company has withheld a provisional amount of $3.6 million pending completion of this review.</w:t>
      </w:r>
    </w:p>
    <w:p>
      <w:pPr>
        <w:spacing w:after="0" w:line="216"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The acquisition of MediMedia Pharma Solutions has been accounted for as a business combination in accordance with FASB ASC 805 Business Combinations. The following table summarizes the Company’s provisional estimates of the fair values of the assets acquired and liabilities assumed: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420" w:type="dxa"/>
            <w:vAlign w:val="bottom"/>
          </w:tcPr>
          <w:p>
            <w:pPr>
              <w:spacing w:after="0"/>
              <w:rPr>
                <w:sz w:val="18"/>
                <w:szCs w:val="18"/>
                <w:color w:val="auto"/>
              </w:rPr>
            </w:pPr>
          </w:p>
        </w:tc>
        <w:tc>
          <w:tcPr>
            <w:tcW w:w="3880" w:type="dxa"/>
            <w:vAlign w:val="bottom"/>
          </w:tcPr>
          <w:p>
            <w:pPr>
              <w:spacing w:after="0"/>
              <w:rPr>
                <w:sz w:val="18"/>
                <w:szCs w:val="18"/>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b w:val="1"/>
                <w:bCs w:val="1"/>
                <w:color w:val="auto"/>
                <w:w w:val="95"/>
              </w:rPr>
              <w:t>February 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tcPr>
          <w:p>
            <w:pPr>
              <w:spacing w:after="0"/>
              <w:rPr>
                <w:sz w:val="18"/>
                <w:szCs w:val="18"/>
                <w:color w:val="auto"/>
              </w:rPr>
            </w:pPr>
          </w:p>
        </w:tc>
        <w:tc>
          <w:tcPr>
            <w:tcW w:w="3880" w:type="dxa"/>
            <w:vAlign w:val="bottom"/>
          </w:tcPr>
          <w:p>
            <w:pPr>
              <w:spacing w:after="0"/>
              <w:rPr>
                <w:sz w:val="18"/>
                <w:szCs w:val="18"/>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420" w:type="dxa"/>
            <w:vAlign w:val="bottom"/>
          </w:tcPr>
          <w:p>
            <w:pPr>
              <w:spacing w:after="0"/>
              <w:rPr>
                <w:sz w:val="20"/>
                <w:szCs w:val="20"/>
                <w:color w:val="auto"/>
              </w:rPr>
            </w:pPr>
          </w:p>
        </w:tc>
        <w:tc>
          <w:tcPr>
            <w:tcW w:w="4980" w:type="dxa"/>
            <w:vAlign w:val="bottom"/>
            <w:gridSpan w:val="2"/>
          </w:tcPr>
          <w:p>
            <w:pPr>
              <w:ind w:left="3760"/>
              <w:spacing w:after="0"/>
              <w:rPr>
                <w:sz w:val="20"/>
                <w:szCs w:val="20"/>
                <w:color w:val="auto"/>
              </w:rPr>
            </w:pPr>
            <w:r>
              <w:rPr>
                <w:rFonts w:ascii="Arial" w:cs="Arial" w:eastAsia="Arial" w:hAnsi="Arial"/>
                <w:sz w:val="18"/>
                <w:szCs w:val="18"/>
                <w:b w:val="1"/>
                <w:bCs w:val="1"/>
                <w:color w:val="auto"/>
                <w:w w:val="96"/>
              </w:rPr>
              <w:t>(In thousands)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Property, plant and equipment</w:t>
            </w:r>
          </w:p>
        </w:tc>
        <w:tc>
          <w:tcPr>
            <w:tcW w:w="3880" w:type="dxa"/>
            <w:vAlign w:val="bottom"/>
            <w:shd w:val="clear" w:color="auto" w:fill="CCEEFF"/>
          </w:tcPr>
          <w:p>
            <w:pPr>
              <w:ind w:left="374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tcPr>
          <w:p>
            <w:pPr>
              <w:spacing w:after="0"/>
              <w:rPr>
                <w:sz w:val="20"/>
                <w:szCs w:val="20"/>
                <w:color w:val="auto"/>
              </w:rPr>
            </w:pPr>
            <w:r>
              <w:rPr>
                <w:rFonts w:ascii="Arial" w:cs="Arial" w:eastAsia="Arial" w:hAnsi="Arial"/>
                <w:sz w:val="18"/>
                <w:szCs w:val="18"/>
                <w:color w:val="auto"/>
              </w:rPr>
              <w:t>Goodwill*</w:t>
            </w:r>
          </w:p>
        </w:tc>
        <w:tc>
          <w:tcPr>
            <w:tcW w:w="3880" w:type="dxa"/>
            <w:vAlign w:val="bottom"/>
          </w:tcPr>
          <w:p>
            <w:pPr>
              <w:spacing w:after="0"/>
              <w:rPr>
                <w:sz w:val="18"/>
                <w:szCs w:val="18"/>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115,208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Accounts receivable</w:t>
            </w:r>
          </w:p>
        </w:tc>
        <w:tc>
          <w:tcPr>
            <w:tcW w:w="388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5,240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tcPr>
          <w:p>
            <w:pPr>
              <w:spacing w:after="0"/>
              <w:rPr>
                <w:sz w:val="20"/>
                <w:szCs w:val="20"/>
                <w:color w:val="auto"/>
              </w:rPr>
            </w:pPr>
            <w:r>
              <w:rPr>
                <w:rFonts w:ascii="Arial" w:cs="Arial" w:eastAsia="Arial" w:hAnsi="Arial"/>
                <w:sz w:val="18"/>
                <w:szCs w:val="18"/>
                <w:color w:val="auto"/>
              </w:rPr>
              <w:t>Unbilled Revenue</w:t>
            </w:r>
          </w:p>
        </w:tc>
        <w:tc>
          <w:tcPr>
            <w:tcW w:w="3880" w:type="dxa"/>
            <w:vAlign w:val="bottom"/>
          </w:tcPr>
          <w:p>
            <w:pPr>
              <w:spacing w:after="0"/>
              <w:rPr>
                <w:sz w:val="18"/>
                <w:szCs w:val="18"/>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4,324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Prepayments and other current assets</w:t>
            </w:r>
          </w:p>
        </w:tc>
        <w:tc>
          <w:tcPr>
            <w:tcW w:w="388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tcPr>
          <w:p>
            <w:pPr>
              <w:spacing w:after="0"/>
              <w:rPr>
                <w:sz w:val="20"/>
                <w:szCs w:val="20"/>
                <w:color w:val="auto"/>
              </w:rPr>
            </w:pPr>
            <w:r>
              <w:rPr>
                <w:rFonts w:ascii="Arial" w:cs="Arial" w:eastAsia="Arial" w:hAnsi="Arial"/>
                <w:sz w:val="18"/>
                <w:szCs w:val="18"/>
                <w:color w:val="auto"/>
              </w:rPr>
              <w:t>Accounts payable</w:t>
            </w:r>
          </w:p>
        </w:tc>
        <w:tc>
          <w:tcPr>
            <w:tcW w:w="38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Payments on account</w:t>
            </w:r>
          </w:p>
        </w:tc>
        <w:tc>
          <w:tcPr>
            <w:tcW w:w="388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(4,186)</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4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Other liabilities</w:t>
            </w:r>
          </w:p>
        </w:tc>
        <w:tc>
          <w:tcPr>
            <w:tcW w:w="388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(16,405)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420" w:type="dxa"/>
            <w:vAlign w:val="bottom"/>
            <w:shd w:val="clear" w:color="auto" w:fill="CCEEFF"/>
          </w:tcPr>
          <w:p>
            <w:pPr>
              <w:spacing w:after="0"/>
              <w:rPr>
                <w:sz w:val="18"/>
                <w:szCs w:val="18"/>
                <w:color w:val="auto"/>
              </w:rPr>
            </w:pPr>
          </w:p>
        </w:tc>
        <w:tc>
          <w:tcPr>
            <w:tcW w:w="38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4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Net assets acquired</w:t>
            </w:r>
          </w:p>
        </w:tc>
        <w:tc>
          <w:tcPr>
            <w:tcW w:w="3880" w:type="dxa"/>
            <w:vAlign w:val="bottom"/>
            <w:tcBorders>
              <w:bottom w:val="single" w:sz="8" w:color="auto"/>
            </w:tcBorders>
          </w:tcPr>
          <w:p>
            <w:pPr>
              <w:ind w:left="374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105,102</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6420" w:type="dxa"/>
            <w:vAlign w:val="bottom"/>
            <w:tcBorders>
              <w:bottom w:val="single" w:sz="8" w:color="auto"/>
            </w:tcBorders>
          </w:tcPr>
          <w:p>
            <w:pPr>
              <w:spacing w:after="0" w:line="20" w:lineRule="exact"/>
              <w:rPr>
                <w:sz w:val="1"/>
                <w:szCs w:val="1"/>
                <w:color w:val="auto"/>
              </w:rPr>
            </w:pPr>
          </w:p>
        </w:tc>
        <w:tc>
          <w:tcPr>
            <w:tcW w:w="38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420" w:type="dxa"/>
            <w:vAlign w:val="bottom"/>
            <w:shd w:val="clear" w:color="auto" w:fill="CCEEFF"/>
          </w:tcPr>
          <w:p>
            <w:pPr>
              <w:spacing w:after="0"/>
              <w:rPr>
                <w:sz w:val="18"/>
                <w:szCs w:val="18"/>
                <w:color w:val="auto"/>
              </w:rPr>
            </w:pPr>
          </w:p>
        </w:tc>
        <w:tc>
          <w:tcPr>
            <w:tcW w:w="38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420" w:type="dxa"/>
            <w:vAlign w:val="bottom"/>
          </w:tcPr>
          <w:p>
            <w:pPr>
              <w:spacing w:after="0"/>
              <w:rPr>
                <w:sz w:val="20"/>
                <w:szCs w:val="20"/>
                <w:color w:val="auto"/>
              </w:rPr>
            </w:pPr>
            <w:r>
              <w:rPr>
                <w:rFonts w:ascii="Arial" w:cs="Arial" w:eastAsia="Arial" w:hAnsi="Arial"/>
                <w:sz w:val="18"/>
                <w:szCs w:val="18"/>
                <w:color w:val="auto"/>
              </w:rPr>
              <w:t>Cash consideration</w:t>
            </w:r>
          </w:p>
        </w:tc>
        <w:tc>
          <w:tcPr>
            <w:tcW w:w="3880" w:type="dxa"/>
            <w:vAlign w:val="bottom"/>
          </w:tcPr>
          <w:p>
            <w:pPr>
              <w:ind w:left="374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120,000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cash consideration **</w:t>
            </w:r>
          </w:p>
        </w:tc>
        <w:tc>
          <w:tcPr>
            <w:tcW w:w="388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(11,283)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4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Working capital adjustment</w:t>
            </w:r>
          </w:p>
        </w:tc>
        <w:tc>
          <w:tcPr>
            <w:tcW w:w="388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(3,615)</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64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Net purchase consideration</w:t>
            </w:r>
          </w:p>
        </w:tc>
        <w:tc>
          <w:tcPr>
            <w:tcW w:w="3880" w:type="dxa"/>
            <w:vAlign w:val="bottom"/>
            <w:tcBorders>
              <w:bottom w:val="single" w:sz="8" w:color="auto"/>
            </w:tcBorders>
            <w:shd w:val="clear" w:color="auto" w:fill="CCEEFF"/>
          </w:tcPr>
          <w:p>
            <w:pPr>
              <w:ind w:left="374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105,102</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500" w:hanging="492"/>
        <w:spacing w:after="0"/>
        <w:tabs>
          <w:tab w:leader="none" w:pos="500" w:val="left"/>
        </w:tabs>
        <w:numPr>
          <w:ilvl w:val="0"/>
          <w:numId w:val="1"/>
        </w:numPr>
        <w:rPr>
          <w:rFonts w:ascii="Arial" w:cs="Arial" w:eastAsia="Arial" w:hAnsi="Arial"/>
          <w:sz w:val="16"/>
          <w:szCs w:val="16"/>
          <w:color w:val="auto"/>
        </w:rPr>
      </w:pPr>
      <w:r>
        <w:rPr>
          <w:rFonts w:ascii="Arial" w:cs="Arial" w:eastAsia="Arial" w:hAnsi="Arial"/>
          <w:sz w:val="16"/>
          <w:szCs w:val="16"/>
          <w:color w:val="auto"/>
        </w:rPr>
        <w:t>Goodwill represents the acquisition of an established workforce with experience in the provision of strategic payer-validated market access solutions</w:t>
      </w:r>
    </w:p>
    <w:p>
      <w:pPr>
        <w:spacing w:after="0" w:line="46" w:lineRule="exact"/>
        <w:rPr>
          <w:sz w:val="20"/>
          <w:szCs w:val="20"/>
          <w:color w:val="auto"/>
        </w:rPr>
      </w:pPr>
    </w:p>
    <w:p>
      <w:pPr>
        <w:ind w:left="500"/>
        <w:spacing w:after="0" w:line="250" w:lineRule="auto"/>
        <w:rPr>
          <w:sz w:val="20"/>
          <w:szCs w:val="20"/>
          <w:color w:val="auto"/>
        </w:rPr>
      </w:pPr>
      <w:r>
        <w:rPr>
          <w:rFonts w:ascii="Arial" w:cs="Arial" w:eastAsia="Arial" w:hAnsi="Arial"/>
          <w:sz w:val="18"/>
          <w:szCs w:val="18"/>
          <w:color w:val="auto"/>
        </w:rPr>
        <w:t>while the acquisition of Complete Healthcare Communications comprises an established workforce with significant communication experience working with medical affairs, commercial and brand development teams within the life science industry.</w:t>
      </w:r>
    </w:p>
    <w:p>
      <w:pPr>
        <w:spacing w:after="0" w:line="1" w:lineRule="exact"/>
        <w:rPr>
          <w:sz w:val="20"/>
          <w:szCs w:val="20"/>
          <w:color w:val="auto"/>
        </w:rPr>
      </w:pPr>
    </w:p>
    <w:p>
      <w:pPr>
        <w:ind w:left="500" w:hanging="492"/>
        <w:spacing w:after="0"/>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Adjustments to cash consideration represents certain one-time liabilities at the acquisition date which have subsequently been paid.</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Prior Period Acquisitions – Aptiv Solutions</w:t>
      </w:r>
    </w:p>
    <w:p>
      <w:pPr>
        <w:spacing w:after="0" w:line="252"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On May 7, 2014 the Company acquired 100% of the common stock of Aptiv Solutions (“Aptiv”), a global biopharmaceutical and medical device development services company and leader in adaptive clinical trials for a cash consideration of $143.5 million including certain payments to be made on behalf of the company on completion totalling $22.4 million. Aptiv offers full-service clinical trial consulting and regulatory support for drugs, medical devices and diagnostics with a specific focus on strategy to increase product development efficiency and productivity. It is a market leader in the integrated design and execution of adaptive clinical trials for exploratory and late phase development as well as being an industry leader in medical device and diagnostic development in key medical technology segments. The acquisition agreement also provided for certain working capital targets to be achieved by Aptiv on completion. On March 25, 2015 the Company received $1.9 million on completion of this review.</w:t>
      </w: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9" w:name="page10"/>
    <w:bookmarkEnd w:id="9"/>
    <w:p>
      <w:pPr>
        <w:ind w:right="600"/>
        <w:spacing w:after="0" w:line="258" w:lineRule="auto"/>
        <w:rPr>
          <w:sz w:val="20"/>
          <w:szCs w:val="20"/>
          <w:color w:val="auto"/>
        </w:rPr>
      </w:pPr>
      <w:r>
        <w:rPr>
          <w:rFonts w:ascii="Arial" w:cs="Arial" w:eastAsia="Arial" w:hAnsi="Arial"/>
          <w:sz w:val="18"/>
          <w:szCs w:val="18"/>
          <w:color w:val="auto"/>
        </w:rPr>
        <w:t>The acquisition of Aptiv Solutions has been accounted for as a business combination in accordance with FASB ASC 805 Business Combinations. The following table summarizes the estimated fair values of the assets acquired and the liabilities assumed:</w:t>
      </w:r>
    </w:p>
    <w:tbl>
      <w:tblPr>
        <w:tblLayout w:type="fixed"/>
        <w:tblInd w:w="0" w:type="dxa"/>
        <w:tblCellMar>
          <w:top w:w="0" w:type="dxa"/>
          <w:left w:w="0" w:type="dxa"/>
          <w:bottom w:w="0" w:type="dxa"/>
          <w:right w:w="0" w:type="dxa"/>
        </w:tblCellMar>
      </w:tblPr>
      <w:tr>
        <w:trPr>
          <w:trHeight w:val="199"/>
        </w:trPr>
        <w:tc>
          <w:tcPr>
            <w:tcW w:w="20" w:type="dxa"/>
            <w:vAlign w:val="bottom"/>
          </w:tcPr>
          <w:p>
            <w:pPr>
              <w:spacing w:after="0"/>
              <w:rPr>
                <w:sz w:val="17"/>
                <w:szCs w:val="17"/>
                <w:color w:val="auto"/>
              </w:rPr>
            </w:pPr>
          </w:p>
        </w:tc>
        <w:tc>
          <w:tcPr>
            <w:tcW w:w="6540" w:type="dxa"/>
            <w:vAlign w:val="bottom"/>
          </w:tcPr>
          <w:p>
            <w:pPr>
              <w:spacing w:after="0"/>
              <w:rPr>
                <w:sz w:val="17"/>
                <w:szCs w:val="17"/>
                <w:color w:val="auto"/>
              </w:rPr>
            </w:pPr>
          </w:p>
        </w:tc>
        <w:tc>
          <w:tcPr>
            <w:tcW w:w="3940" w:type="dxa"/>
            <w:vAlign w:val="bottom"/>
          </w:tcPr>
          <w:p>
            <w:pPr>
              <w:spacing w:after="0"/>
              <w:rPr>
                <w:sz w:val="17"/>
                <w:szCs w:val="17"/>
                <w:color w:val="auto"/>
              </w:rPr>
            </w:pPr>
          </w:p>
        </w:tc>
        <w:tc>
          <w:tcPr>
            <w:tcW w:w="920" w:type="dxa"/>
            <w:vAlign w:val="bottom"/>
          </w:tcPr>
          <w:p>
            <w:pPr>
              <w:jc w:val="right"/>
              <w:ind w:right="10"/>
              <w:spacing w:after="0" w:line="200" w:lineRule="exact"/>
              <w:rPr>
                <w:sz w:val="20"/>
                <w:szCs w:val="20"/>
                <w:color w:val="auto"/>
              </w:rPr>
            </w:pPr>
            <w:r>
              <w:rPr>
                <w:rFonts w:ascii="Arial" w:cs="Arial" w:eastAsia="Arial" w:hAnsi="Arial"/>
                <w:sz w:val="18"/>
                <w:szCs w:val="18"/>
                <w:b w:val="1"/>
                <w:bCs w:val="1"/>
                <w:color w:val="auto"/>
              </w:rPr>
              <w:t>May 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spacing w:after="0"/>
              <w:rPr>
                <w:sz w:val="18"/>
                <w:szCs w:val="18"/>
                <w:color w:val="auto"/>
              </w:rPr>
            </w:pPr>
          </w:p>
        </w:tc>
        <w:tc>
          <w:tcPr>
            <w:tcW w:w="3940" w:type="dxa"/>
            <w:vAlign w:val="bottom"/>
          </w:tcPr>
          <w:p>
            <w:pPr>
              <w:spacing w:after="0"/>
              <w:rPr>
                <w:sz w:val="18"/>
                <w:szCs w:val="18"/>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b w:val="1"/>
                <w:bCs w:val="1"/>
                <w:color w:val="auto"/>
              </w:rPr>
              <w:t>2014</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540" w:type="dxa"/>
            <w:vAlign w:val="bottom"/>
          </w:tcPr>
          <w:p>
            <w:pPr>
              <w:spacing w:after="0"/>
              <w:rPr>
                <w:sz w:val="20"/>
                <w:szCs w:val="20"/>
                <w:color w:val="auto"/>
              </w:rPr>
            </w:pPr>
          </w:p>
        </w:tc>
        <w:tc>
          <w:tcPr>
            <w:tcW w:w="4860" w:type="dxa"/>
            <w:vAlign w:val="bottom"/>
            <w:gridSpan w:val="2"/>
          </w:tcPr>
          <w:p>
            <w:pPr>
              <w:jc w:val="right"/>
              <w:ind w:right="10"/>
              <w:spacing w:after="0"/>
              <w:rPr>
                <w:sz w:val="20"/>
                <w:szCs w:val="20"/>
                <w:color w:val="auto"/>
              </w:rPr>
            </w:pPr>
            <w:r>
              <w:rPr>
                <w:rFonts w:ascii="Arial" w:cs="Arial" w:eastAsia="Arial" w:hAnsi="Arial"/>
                <w:sz w:val="18"/>
                <w:szCs w:val="18"/>
                <w:b w:val="1"/>
                <w:bCs w:val="1"/>
                <w:color w:val="auto"/>
              </w:rPr>
              <w:t>(in thousands)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Property, plant and equipment</w:t>
            </w:r>
          </w:p>
        </w:tc>
        <w:tc>
          <w:tcPr>
            <w:tcW w:w="39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6,924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spacing w:after="0"/>
              <w:rPr>
                <w:sz w:val="20"/>
                <w:szCs w:val="20"/>
                <w:color w:val="auto"/>
              </w:rPr>
            </w:pPr>
            <w:r>
              <w:rPr>
                <w:rFonts w:ascii="Arial" w:cs="Arial" w:eastAsia="Arial" w:hAnsi="Arial"/>
                <w:sz w:val="18"/>
                <w:szCs w:val="18"/>
                <w:color w:val="auto"/>
              </w:rPr>
              <w:t>Goodwill*</w:t>
            </w:r>
          </w:p>
        </w:tc>
        <w:tc>
          <w:tcPr>
            <w:tcW w:w="3940" w:type="dxa"/>
            <w:vAlign w:val="bottom"/>
          </w:tcPr>
          <w:p>
            <w:pPr>
              <w:spacing w:after="0"/>
              <w:rPr>
                <w:sz w:val="18"/>
                <w:szCs w:val="18"/>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125,627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Intangible asset – customer relationships</w:t>
            </w:r>
          </w:p>
        </w:tc>
        <w:tc>
          <w:tcPr>
            <w:tcW w:w="39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21,400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spacing w:after="0"/>
              <w:rPr>
                <w:sz w:val="20"/>
                <w:szCs w:val="20"/>
                <w:color w:val="auto"/>
              </w:rPr>
            </w:pPr>
            <w:r>
              <w:rPr>
                <w:rFonts w:ascii="Arial" w:cs="Arial" w:eastAsia="Arial" w:hAnsi="Arial"/>
                <w:sz w:val="18"/>
                <w:szCs w:val="18"/>
                <w:color w:val="auto"/>
              </w:rPr>
              <w:t>Intangible asset – order backlog</w:t>
            </w:r>
          </w:p>
        </w:tc>
        <w:tc>
          <w:tcPr>
            <w:tcW w:w="3940" w:type="dxa"/>
            <w:vAlign w:val="bottom"/>
          </w:tcPr>
          <w:p>
            <w:pPr>
              <w:spacing w:after="0"/>
              <w:rPr>
                <w:sz w:val="18"/>
                <w:szCs w:val="18"/>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7,900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39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3,484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spacing w:after="0"/>
              <w:rPr>
                <w:sz w:val="20"/>
                <w:szCs w:val="20"/>
                <w:color w:val="auto"/>
              </w:rPr>
            </w:pPr>
            <w:r>
              <w:rPr>
                <w:rFonts w:ascii="Arial" w:cs="Arial" w:eastAsia="Arial" w:hAnsi="Arial"/>
                <w:sz w:val="18"/>
                <w:szCs w:val="18"/>
                <w:color w:val="auto"/>
              </w:rPr>
              <w:t>Accounts receivable</w:t>
            </w:r>
          </w:p>
        </w:tc>
        <w:tc>
          <w:tcPr>
            <w:tcW w:w="3940" w:type="dxa"/>
            <w:vAlign w:val="bottom"/>
          </w:tcPr>
          <w:p>
            <w:pPr>
              <w:spacing w:after="0"/>
              <w:rPr>
                <w:sz w:val="18"/>
                <w:szCs w:val="18"/>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25,091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Unbilled revenue</w:t>
            </w:r>
          </w:p>
        </w:tc>
        <w:tc>
          <w:tcPr>
            <w:tcW w:w="39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21,154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spacing w:after="0"/>
              <w:rPr>
                <w:sz w:val="20"/>
                <w:szCs w:val="20"/>
                <w:color w:val="auto"/>
              </w:rPr>
            </w:pPr>
            <w:r>
              <w:rPr>
                <w:rFonts w:ascii="Arial" w:cs="Arial" w:eastAsia="Arial" w:hAnsi="Arial"/>
                <w:sz w:val="18"/>
                <w:szCs w:val="18"/>
                <w:color w:val="auto"/>
              </w:rPr>
              <w:t>Prepayments and other current assets</w:t>
            </w:r>
          </w:p>
        </w:tc>
        <w:tc>
          <w:tcPr>
            <w:tcW w:w="3940" w:type="dxa"/>
            <w:vAlign w:val="bottom"/>
          </w:tcPr>
          <w:p>
            <w:pPr>
              <w:spacing w:after="0"/>
              <w:rPr>
                <w:sz w:val="18"/>
                <w:szCs w:val="18"/>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4,180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Non-current assets</w:t>
            </w:r>
          </w:p>
        </w:tc>
        <w:tc>
          <w:tcPr>
            <w:tcW w:w="39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2,911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spacing w:after="0"/>
              <w:rPr>
                <w:sz w:val="20"/>
                <w:szCs w:val="20"/>
                <w:color w:val="auto"/>
              </w:rPr>
            </w:pPr>
            <w:r>
              <w:rPr>
                <w:rFonts w:ascii="Arial" w:cs="Arial" w:eastAsia="Arial" w:hAnsi="Arial"/>
                <w:sz w:val="18"/>
                <w:szCs w:val="18"/>
                <w:color w:val="auto"/>
              </w:rPr>
              <w:t>Accounts payable</w:t>
            </w:r>
          </w:p>
        </w:tc>
        <w:tc>
          <w:tcPr>
            <w:tcW w:w="39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(9,565)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Other liabilities</w:t>
            </w:r>
          </w:p>
        </w:tc>
        <w:tc>
          <w:tcPr>
            <w:tcW w:w="39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spacing w:after="0"/>
              <w:rPr>
                <w:sz w:val="20"/>
                <w:szCs w:val="20"/>
                <w:color w:val="auto"/>
              </w:rPr>
            </w:pPr>
            <w:r>
              <w:rPr>
                <w:rFonts w:ascii="Arial" w:cs="Arial" w:eastAsia="Arial" w:hAnsi="Arial"/>
                <w:sz w:val="18"/>
                <w:szCs w:val="18"/>
                <w:color w:val="auto"/>
              </w:rPr>
              <w:t>Payments on account</w:t>
            </w:r>
          </w:p>
        </w:tc>
        <w:tc>
          <w:tcPr>
            <w:tcW w:w="39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(31,094)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Non-current other liabilities</w:t>
            </w:r>
          </w:p>
        </w:tc>
        <w:tc>
          <w:tcPr>
            <w:tcW w:w="39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(11,303)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Loan notes payable</w:t>
            </w:r>
          </w:p>
        </w:tc>
        <w:tc>
          <w:tcPr>
            <w:tcW w:w="39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(20,790)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540" w:type="dxa"/>
            <w:vAlign w:val="bottom"/>
            <w:shd w:val="clear" w:color="auto" w:fill="CCEEFF"/>
          </w:tcPr>
          <w:p>
            <w:pPr>
              <w:spacing w:after="0"/>
              <w:rPr>
                <w:sz w:val="18"/>
                <w:szCs w:val="18"/>
                <w:color w:val="auto"/>
              </w:rPr>
            </w:pPr>
          </w:p>
        </w:tc>
        <w:tc>
          <w:tcPr>
            <w:tcW w:w="39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Net assets acquired</w:t>
            </w:r>
          </w:p>
        </w:tc>
        <w:tc>
          <w:tcPr>
            <w:tcW w:w="39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119,137</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6540" w:type="dxa"/>
            <w:vAlign w:val="bottom"/>
            <w:tcBorders>
              <w:bottom w:val="single" w:sz="8" w:color="auto"/>
            </w:tcBorders>
          </w:tcPr>
          <w:p>
            <w:pPr>
              <w:spacing w:after="0" w:line="20" w:lineRule="exact"/>
              <w:rPr>
                <w:sz w:val="1"/>
                <w:szCs w:val="1"/>
                <w:color w:val="auto"/>
              </w:rPr>
            </w:pPr>
          </w:p>
        </w:tc>
        <w:tc>
          <w:tcPr>
            <w:tcW w:w="39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540" w:type="dxa"/>
            <w:vAlign w:val="bottom"/>
            <w:shd w:val="clear" w:color="auto" w:fill="CCEEFF"/>
          </w:tcPr>
          <w:p>
            <w:pPr>
              <w:spacing w:after="0"/>
              <w:rPr>
                <w:sz w:val="18"/>
                <w:szCs w:val="18"/>
                <w:color w:val="auto"/>
              </w:rPr>
            </w:pPr>
          </w:p>
        </w:tc>
        <w:tc>
          <w:tcPr>
            <w:tcW w:w="39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540" w:type="dxa"/>
            <w:vAlign w:val="bottom"/>
          </w:tcPr>
          <w:p>
            <w:pPr>
              <w:spacing w:after="0"/>
              <w:rPr>
                <w:sz w:val="20"/>
                <w:szCs w:val="20"/>
                <w:color w:val="auto"/>
              </w:rPr>
            </w:pPr>
            <w:r>
              <w:rPr>
                <w:rFonts w:ascii="Arial" w:cs="Arial" w:eastAsia="Arial" w:hAnsi="Arial"/>
                <w:sz w:val="18"/>
                <w:szCs w:val="18"/>
                <w:color w:val="auto"/>
              </w:rPr>
              <w:t>Cash consideration</w:t>
            </w:r>
          </w:p>
        </w:tc>
        <w:tc>
          <w:tcPr>
            <w:tcW w:w="394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143,500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cash consideration**</w:t>
            </w:r>
          </w:p>
        </w:tc>
        <w:tc>
          <w:tcPr>
            <w:tcW w:w="39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(22,399)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Working capital adjustment</w:t>
            </w:r>
          </w:p>
        </w:tc>
        <w:tc>
          <w:tcPr>
            <w:tcW w:w="39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(1,964)</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65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Net purchase consideration</w:t>
            </w:r>
          </w:p>
        </w:tc>
        <w:tc>
          <w:tcPr>
            <w:tcW w:w="39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119,137</w:t>
            </w:r>
          </w:p>
        </w:tc>
        <w:tc>
          <w:tcPr>
            <w:tcW w:w="0" w:type="dxa"/>
            <w:vAlign w:val="bottom"/>
          </w:tcPr>
          <w:p>
            <w:pPr>
              <w:spacing w:after="0"/>
              <w:rPr>
                <w:sz w:val="1"/>
                <w:szCs w:val="1"/>
                <w:color w:val="auto"/>
              </w:rPr>
            </w:pPr>
          </w:p>
        </w:tc>
      </w:tr>
    </w:tbl>
    <w:p>
      <w:pPr>
        <w:spacing w:after="0" w:line="229" w:lineRule="exact"/>
        <w:rPr>
          <w:sz w:val="20"/>
          <w:szCs w:val="20"/>
          <w:color w:val="auto"/>
        </w:rPr>
      </w:pPr>
    </w:p>
    <w:p>
      <w:pPr>
        <w:jc w:val="both"/>
        <w:ind w:left="340" w:hanging="332"/>
        <w:spacing w:after="0" w:line="256"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Goodwill represents the acquisition of an established workforce with experience in clinical trial consulting and regulatory support for the development of drugs, medical devices and diagnostics, with a specific focus on strategy to increase efficiency and productivity in product development. Goodwill related to the US portion of the business acquired is tax deductible.</w:t>
      </w:r>
    </w:p>
    <w:p>
      <w:pPr>
        <w:ind w:left="340" w:hanging="332"/>
        <w:spacing w:after="0" w:line="261"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Adjustments to cash consideration represent certain one-time liabilities (including loan notes) identified at the acquisition date which have subsequently been paid.</w:t>
      </w: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234"/>
        </w:trPr>
        <w:tc>
          <w:tcPr>
            <w:tcW w:w="4000" w:type="dxa"/>
            <w:vAlign w:val="bottom"/>
          </w:tcPr>
          <w:p>
            <w:pPr>
              <w:spacing w:after="0"/>
              <w:rPr>
                <w:sz w:val="20"/>
                <w:szCs w:val="20"/>
                <w:color w:val="auto"/>
              </w:rPr>
            </w:pPr>
            <w:r>
              <w:rPr>
                <w:rFonts w:ascii="Arial" w:cs="Arial" w:eastAsia="Arial" w:hAnsi="Arial"/>
                <w:sz w:val="18"/>
                <w:szCs w:val="18"/>
                <w:b w:val="1"/>
                <w:bCs w:val="1"/>
                <w:color w:val="auto"/>
              </w:rPr>
              <w:t>4. Income Taxes</w:t>
            </w:r>
          </w:p>
        </w:tc>
        <w:tc>
          <w:tcPr>
            <w:tcW w:w="24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59"/>
        </w:trPr>
        <w:tc>
          <w:tcPr>
            <w:tcW w:w="6460" w:type="dxa"/>
            <w:vAlign w:val="bottom"/>
            <w:gridSpan w:val="2"/>
          </w:tcPr>
          <w:p>
            <w:pPr>
              <w:spacing w:after="0"/>
              <w:rPr>
                <w:sz w:val="20"/>
                <w:szCs w:val="20"/>
                <w:color w:val="auto"/>
              </w:rPr>
            </w:pPr>
            <w:r>
              <w:rPr>
                <w:rFonts w:ascii="Arial" w:cs="Arial" w:eastAsia="Arial" w:hAnsi="Arial"/>
                <w:sz w:val="18"/>
                <w:szCs w:val="18"/>
                <w:color w:val="auto"/>
                <w:w w:val="90"/>
              </w:rPr>
              <w:t>Income taxes recognized during the three and six months ended June 30, 2015 comprise:</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9"/>
        </w:trPr>
        <w:tc>
          <w:tcPr>
            <w:tcW w:w="400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40" w:type="dxa"/>
            <w:vAlign w:val="bottom"/>
            <w:tcBorders>
              <w:bottom w:val="single" w:sz="8" w:color="auto"/>
            </w:tcBorders>
            <w:gridSpan w:val="6"/>
          </w:tcPr>
          <w:p>
            <w:pPr>
              <w:jc w:val="center"/>
              <w:spacing w:after="0"/>
              <w:rPr>
                <w:sz w:val="20"/>
                <w:szCs w:val="20"/>
                <w:color w:val="auto"/>
              </w:rPr>
            </w:pPr>
            <w:r>
              <w:rPr>
                <w:rFonts w:ascii="Arial" w:cs="Arial" w:eastAsia="Arial" w:hAnsi="Arial"/>
                <w:sz w:val="18"/>
                <w:szCs w:val="18"/>
                <w:b w:val="1"/>
                <w:bCs w:val="1"/>
                <w:color w:val="auto"/>
                <w:w w:val="92"/>
              </w:rPr>
              <w:t>Three Months Ended</w:t>
            </w:r>
          </w:p>
        </w:tc>
        <w:tc>
          <w:tcPr>
            <w:tcW w:w="560" w:type="dxa"/>
            <w:vAlign w:val="bottom"/>
            <w:gridSpan w:val="3"/>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20" w:type="dxa"/>
            <w:vAlign w:val="bottom"/>
            <w:tcBorders>
              <w:bottom w:val="single" w:sz="8" w:color="auto"/>
            </w:tcBorders>
            <w:gridSpan w:val="6"/>
          </w:tcPr>
          <w:p>
            <w:pPr>
              <w:jc w:val="center"/>
              <w:spacing w:after="0"/>
              <w:rPr>
                <w:sz w:val="20"/>
                <w:szCs w:val="20"/>
                <w:color w:val="auto"/>
              </w:rPr>
            </w:pPr>
            <w:r>
              <w:rPr>
                <w:rFonts w:ascii="Arial" w:cs="Arial" w:eastAsia="Arial" w:hAnsi="Arial"/>
                <w:sz w:val="18"/>
                <w:szCs w:val="18"/>
                <w:b w:val="1"/>
                <w:bCs w:val="1"/>
                <w:color w:val="auto"/>
                <w:w w:val="90"/>
              </w:rPr>
              <w:t>Six Months Ended</w:t>
            </w:r>
          </w:p>
        </w:tc>
        <w:tc>
          <w:tcPr>
            <w:tcW w:w="640" w:type="dxa"/>
            <w:vAlign w:val="bottom"/>
            <w:gridSpan w:val="3"/>
          </w:tcPr>
          <w:p>
            <w:pPr>
              <w:spacing w:after="0"/>
              <w:rPr>
                <w:sz w:val="24"/>
                <w:szCs w:val="24"/>
                <w:color w:val="auto"/>
              </w:rPr>
            </w:pPr>
          </w:p>
        </w:tc>
      </w:tr>
      <w:tr>
        <w:trPr>
          <w:trHeight w:val="196"/>
        </w:trPr>
        <w:tc>
          <w:tcPr>
            <w:tcW w:w="400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w w:val="85"/>
              </w:rPr>
              <w:t>June 30,</w:t>
            </w:r>
          </w:p>
        </w:tc>
        <w:tc>
          <w:tcPr>
            <w:tcW w:w="700" w:type="dxa"/>
            <w:vAlign w:val="bottom"/>
          </w:tcPr>
          <w:p>
            <w:pPr>
              <w:spacing w:after="0"/>
              <w:rPr>
                <w:sz w:val="17"/>
                <w:szCs w:val="17"/>
                <w:color w:val="auto"/>
              </w:rPr>
            </w:pPr>
          </w:p>
        </w:tc>
        <w:tc>
          <w:tcPr>
            <w:tcW w:w="780" w:type="dxa"/>
            <w:vAlign w:val="bottom"/>
            <w:gridSpan w:val="5"/>
          </w:tcPr>
          <w:p>
            <w:pPr>
              <w:ind w:left="40"/>
              <w:spacing w:after="0" w:line="196" w:lineRule="exact"/>
              <w:rPr>
                <w:sz w:val="20"/>
                <w:szCs w:val="20"/>
                <w:color w:val="auto"/>
              </w:rPr>
            </w:pPr>
            <w:r>
              <w:rPr>
                <w:rFonts w:ascii="Arial" w:cs="Arial" w:eastAsia="Arial" w:hAnsi="Arial"/>
                <w:sz w:val="18"/>
                <w:szCs w:val="18"/>
                <w:b w:val="1"/>
                <w:bCs w:val="1"/>
                <w:color w:val="auto"/>
                <w:w w:val="99"/>
              </w:rPr>
              <w:t>June 30,</w:t>
            </w:r>
          </w:p>
        </w:tc>
        <w:tc>
          <w:tcPr>
            <w:tcW w:w="600" w:type="dxa"/>
            <w:vAlign w:val="bottom"/>
          </w:tcPr>
          <w:p>
            <w:pPr>
              <w:spacing w:after="0"/>
              <w:rPr>
                <w:sz w:val="17"/>
                <w:szCs w:val="17"/>
                <w:color w:val="auto"/>
              </w:rPr>
            </w:pPr>
          </w:p>
        </w:tc>
        <w:tc>
          <w:tcPr>
            <w:tcW w:w="74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w w:val="85"/>
              </w:rPr>
              <w:t>June 30,</w:t>
            </w:r>
          </w:p>
        </w:tc>
        <w:tc>
          <w:tcPr>
            <w:tcW w:w="580" w:type="dxa"/>
            <w:vAlign w:val="bottom"/>
          </w:tcPr>
          <w:p>
            <w:pPr>
              <w:spacing w:after="0"/>
              <w:rPr>
                <w:sz w:val="17"/>
                <w:szCs w:val="17"/>
                <w:color w:val="auto"/>
              </w:rPr>
            </w:pPr>
          </w:p>
        </w:tc>
        <w:tc>
          <w:tcPr>
            <w:tcW w:w="780" w:type="dxa"/>
            <w:vAlign w:val="bottom"/>
            <w:gridSpan w:val="5"/>
          </w:tcPr>
          <w:p>
            <w:pPr>
              <w:ind w:left="40"/>
              <w:spacing w:after="0" w:line="196" w:lineRule="exact"/>
              <w:rPr>
                <w:sz w:val="20"/>
                <w:szCs w:val="20"/>
                <w:color w:val="auto"/>
              </w:rPr>
            </w:pPr>
            <w:r>
              <w:rPr>
                <w:rFonts w:ascii="Arial" w:cs="Arial" w:eastAsia="Arial" w:hAnsi="Arial"/>
                <w:sz w:val="18"/>
                <w:szCs w:val="18"/>
                <w:b w:val="1"/>
                <w:bCs w:val="1"/>
                <w:color w:val="auto"/>
                <w:w w:val="99"/>
              </w:rPr>
              <w:t>June 30,</w:t>
            </w:r>
          </w:p>
        </w:tc>
      </w:tr>
      <w:tr>
        <w:trPr>
          <w:trHeight w:val="20"/>
        </w:trPr>
        <w:tc>
          <w:tcPr>
            <w:tcW w:w="40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400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140" w:type="dxa"/>
            <w:vAlign w:val="bottom"/>
            <w:gridSpan w:val="2"/>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2015</w:t>
            </w:r>
          </w:p>
        </w:tc>
        <w:tc>
          <w:tcPr>
            <w:tcW w:w="7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4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2014</w:t>
            </w: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74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rPr>
              <w:t>2015</w:t>
            </w:r>
          </w:p>
        </w:tc>
        <w:tc>
          <w:tcPr>
            <w:tcW w:w="580" w:type="dxa"/>
            <w:vAlign w:val="bottom"/>
          </w:tcPr>
          <w:p>
            <w:pPr>
              <w:spacing w:after="0"/>
              <w:rPr>
                <w:sz w:val="17"/>
                <w:szCs w:val="17"/>
                <w:color w:val="auto"/>
              </w:rPr>
            </w:pPr>
          </w:p>
        </w:tc>
        <w:tc>
          <w:tcPr>
            <w:tcW w:w="780" w:type="dxa"/>
            <w:vAlign w:val="bottom"/>
            <w:gridSpan w:val="5"/>
          </w:tcPr>
          <w:p>
            <w:pPr>
              <w:jc w:val="right"/>
              <w:ind w:right="100"/>
              <w:spacing w:after="0" w:line="196" w:lineRule="exact"/>
              <w:rPr>
                <w:sz w:val="20"/>
                <w:szCs w:val="20"/>
                <w:color w:val="auto"/>
              </w:rPr>
            </w:pPr>
            <w:r>
              <w:rPr>
                <w:rFonts w:ascii="Arial" w:cs="Arial" w:eastAsia="Arial" w:hAnsi="Arial"/>
                <w:sz w:val="18"/>
                <w:szCs w:val="18"/>
                <w:b w:val="1"/>
                <w:bCs w:val="1"/>
                <w:color w:val="auto"/>
              </w:rPr>
              <w:t>2014</w:t>
            </w:r>
          </w:p>
        </w:tc>
      </w:tr>
      <w:tr>
        <w:trPr>
          <w:trHeight w:val="20"/>
        </w:trPr>
        <w:tc>
          <w:tcPr>
            <w:tcW w:w="40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7"/>
        </w:trPr>
        <w:tc>
          <w:tcPr>
            <w:tcW w:w="4000" w:type="dxa"/>
            <w:vAlign w:val="bottom"/>
          </w:tcPr>
          <w:p>
            <w:pPr>
              <w:spacing w:after="0"/>
              <w:rPr>
                <w:sz w:val="20"/>
                <w:szCs w:val="20"/>
                <w:color w:val="auto"/>
              </w:rPr>
            </w:pPr>
          </w:p>
        </w:tc>
        <w:tc>
          <w:tcPr>
            <w:tcW w:w="24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340" w:type="dxa"/>
            <w:vAlign w:val="bottom"/>
            <w:gridSpan w:val="3"/>
          </w:tcPr>
          <w:p>
            <w:pPr>
              <w:jc w:val="center"/>
              <w:ind w:left="50"/>
              <w:spacing w:after="0"/>
              <w:rPr>
                <w:sz w:val="20"/>
                <w:szCs w:val="20"/>
                <w:color w:val="auto"/>
              </w:rPr>
            </w:pPr>
            <w:r>
              <w:rPr>
                <w:rFonts w:ascii="Arial" w:cs="Arial" w:eastAsia="Arial" w:hAnsi="Arial"/>
                <w:sz w:val="18"/>
                <w:szCs w:val="18"/>
                <w:b w:val="1"/>
                <w:bCs w:val="1"/>
                <w:color w:val="auto"/>
                <w:w w:val="90"/>
              </w:rPr>
              <w:t>(In thousands)</w:t>
            </w: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80" w:type="dxa"/>
            <w:vAlign w:val="bottom"/>
            <w:gridSpan w:val="4"/>
          </w:tcPr>
          <w:p>
            <w:pPr>
              <w:jc w:val="center"/>
              <w:ind w:left="50"/>
              <w:spacing w:after="0"/>
              <w:rPr>
                <w:sz w:val="20"/>
                <w:szCs w:val="20"/>
                <w:color w:val="auto"/>
              </w:rPr>
            </w:pPr>
            <w:r>
              <w:rPr>
                <w:rFonts w:ascii="Arial" w:cs="Arial" w:eastAsia="Arial" w:hAnsi="Arial"/>
                <w:sz w:val="18"/>
                <w:szCs w:val="18"/>
                <w:b w:val="1"/>
                <w:bCs w:val="1"/>
                <w:color w:val="auto"/>
                <w:w w:val="88"/>
              </w:rPr>
              <w:t>(In thousands)</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73"/>
        </w:trPr>
        <w:tc>
          <w:tcPr>
            <w:tcW w:w="40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246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b w:val="1"/>
                <w:bCs w:val="1"/>
                <w:color w:val="auto"/>
              </w:rPr>
              <w:t>$</w:t>
            </w:r>
          </w:p>
        </w:tc>
        <w:tc>
          <w:tcPr>
            <w:tcW w:w="78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b w:val="1"/>
                <w:bCs w:val="1"/>
                <w:color w:val="auto"/>
              </w:rPr>
              <w:t>9,537</w:t>
            </w:r>
          </w:p>
        </w:tc>
        <w:tc>
          <w:tcPr>
            <w:tcW w:w="70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w:t>
            </w:r>
          </w:p>
        </w:tc>
        <w:tc>
          <w:tcPr>
            <w:tcW w:w="780" w:type="dxa"/>
            <w:vAlign w:val="bottom"/>
            <w:tcBorders>
              <w:bottom w:val="single" w:sz="8" w:color="auto"/>
            </w:tcBorders>
            <w:gridSpan w:val="5"/>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7,467</w:t>
            </w:r>
          </w:p>
        </w:tc>
        <w:tc>
          <w:tcPr>
            <w:tcW w:w="600" w:type="dxa"/>
            <w:vAlign w:val="bottom"/>
            <w:tcBorders>
              <w:bottom w:val="single" w:sz="8" w:color="auto"/>
            </w:tcBorders>
            <w:shd w:val="clear" w:color="auto" w:fill="CCEEFF"/>
          </w:tcPr>
          <w:p>
            <w:pPr>
              <w:jc w:val="right"/>
              <w:ind w:right="310"/>
              <w:spacing w:after="0"/>
              <w:rPr>
                <w:sz w:val="20"/>
                <w:szCs w:val="20"/>
                <w:color w:val="auto"/>
              </w:rPr>
            </w:pPr>
            <w:r>
              <w:rPr>
                <w:rFonts w:ascii="Arial" w:cs="Arial" w:eastAsia="Arial" w:hAnsi="Arial"/>
                <w:sz w:val="18"/>
                <w:szCs w:val="18"/>
                <w:b w:val="1"/>
                <w:bCs w:val="1"/>
                <w:color w:val="auto"/>
              </w:rPr>
              <w:t>$</w:t>
            </w:r>
          </w:p>
        </w:tc>
        <w:tc>
          <w:tcPr>
            <w:tcW w:w="740" w:type="dxa"/>
            <w:vAlign w:val="bottom"/>
            <w:tcBorders>
              <w:bottom w:val="single" w:sz="8" w:color="auto"/>
            </w:tcBorders>
            <w:gridSpan w:val="4"/>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20,338</w:t>
            </w:r>
          </w:p>
        </w:tc>
        <w:tc>
          <w:tcPr>
            <w:tcW w:w="58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w:t>
            </w:r>
          </w:p>
        </w:tc>
        <w:tc>
          <w:tcPr>
            <w:tcW w:w="780" w:type="dxa"/>
            <w:vAlign w:val="bottom"/>
            <w:tcBorders>
              <w:bottom w:val="single" w:sz="8" w:color="auto"/>
            </w:tcBorders>
            <w:gridSpan w:val="5"/>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14,361</w:t>
            </w:r>
          </w:p>
        </w:tc>
      </w:tr>
    </w:tbl>
    <w:p>
      <w:pPr>
        <w:spacing w:after="0" w:line="229" w:lineRule="exact"/>
        <w:rPr>
          <w:sz w:val="20"/>
          <w:szCs w:val="20"/>
          <w:color w:val="auto"/>
        </w:rPr>
      </w:pPr>
    </w:p>
    <w:p>
      <w:pPr>
        <w:jc w:val="both"/>
        <w:ind w:right="20"/>
        <w:spacing w:after="0" w:line="312" w:lineRule="auto"/>
        <w:rPr>
          <w:sz w:val="20"/>
          <w:szCs w:val="20"/>
          <w:color w:val="auto"/>
        </w:rPr>
      </w:pPr>
      <w:r>
        <w:rPr>
          <w:rFonts w:ascii="Arial" w:cs="Arial" w:eastAsia="Arial" w:hAnsi="Arial"/>
          <w:sz w:val="16"/>
          <w:szCs w:val="16"/>
          <w:color w:val="auto"/>
        </w:rPr>
        <w:t>As at June 30, 2015 the Company maintains a $28.2 million liability (December 31, 2014: $25.6 million) for unrecognized tax benefit, which is comprised of $25.4 million (December 31, 2014: $23.2 million) related to items generating unrecognized tax benefits and $2.8 million (December 31, 2014: $2.4 million) for interest and related penalties to such items. The Company recognizes interest accrued on unrecognized tax benefits as an additional income tax expense.</w:t>
      </w:r>
    </w:p>
    <w:p>
      <w:pPr>
        <w:spacing w:after="0" w:line="174"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Company has analyzed filing positions in all of the significant federal, state and foreign jurisdictions where it is required to file income tax returns, as well as open tax years in these jurisdictions. The only periods subject to examination by the major tax jurisdictions where the Company does business are 2009 through 2014 tax years. The Company does not believe that the outcome of any examination will have a material impact on its financial statements.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Net income per ordinary share</w:t>
      </w:r>
    </w:p>
    <w:p>
      <w:pPr>
        <w:spacing w:after="0" w:line="25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Basic net income per ordinary share has been computed by dividing net income available to ordinary shareholders by the weighted average number of ordinary shares outstanding during the period. Diluted net income per ordinary share is computed by adjusting the weighted average number of ordinary shares outstanding during the period for all potentially dilutive ordinary shares outstanding during the period and adjusting net income for any changes in income or loss that would result from the conversion of such potential ordinary shares. There is no difference in net income used for basic and diluted net income per ordinary share.</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The reconciliation of the number of shares used in the computation of basic and diluted net income per ordinary share is as follows: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8"/>
                <w:szCs w:val="18"/>
                <w:color w:val="auto"/>
              </w:rPr>
            </w:pPr>
          </w:p>
        </w:tc>
        <w:tc>
          <w:tcPr>
            <w:tcW w:w="4080" w:type="dxa"/>
            <w:vAlign w:val="bottom"/>
          </w:tcPr>
          <w:p>
            <w:pPr>
              <w:spacing w:after="0"/>
              <w:rPr>
                <w:sz w:val="18"/>
                <w:szCs w:val="18"/>
                <w:color w:val="auto"/>
              </w:rPr>
            </w:pPr>
          </w:p>
        </w:tc>
        <w:tc>
          <w:tcPr>
            <w:tcW w:w="2420" w:type="dxa"/>
            <w:vAlign w:val="bottom"/>
          </w:tcPr>
          <w:p>
            <w:pPr>
              <w:spacing w:after="0"/>
              <w:rPr>
                <w:sz w:val="18"/>
                <w:szCs w:val="18"/>
                <w:color w:val="auto"/>
              </w:rPr>
            </w:pPr>
          </w:p>
        </w:tc>
        <w:tc>
          <w:tcPr>
            <w:tcW w:w="1640" w:type="dxa"/>
            <w:vAlign w:val="bottom"/>
            <w:tcBorders>
              <w:bottom w:val="single" w:sz="8" w:color="auto"/>
            </w:tcBorders>
            <w:gridSpan w:val="6"/>
          </w:tcPr>
          <w:p>
            <w:pPr>
              <w:spacing w:after="0"/>
              <w:rPr>
                <w:sz w:val="20"/>
                <w:szCs w:val="20"/>
                <w:color w:val="auto"/>
              </w:rPr>
            </w:pPr>
            <w:r>
              <w:rPr>
                <w:rFonts w:ascii="Arial" w:cs="Arial" w:eastAsia="Arial" w:hAnsi="Arial"/>
                <w:sz w:val="18"/>
                <w:szCs w:val="18"/>
                <w:b w:val="1"/>
                <w:bCs w:val="1"/>
                <w:color w:val="auto"/>
                <w:w w:val="90"/>
              </w:rPr>
              <w:t>Three Months Ended</w:t>
            </w:r>
          </w:p>
        </w:tc>
        <w:tc>
          <w:tcPr>
            <w:tcW w:w="720" w:type="dxa"/>
            <w:vAlign w:val="bottom"/>
            <w:gridSpan w:val="3"/>
          </w:tcPr>
          <w:p>
            <w:pPr>
              <w:spacing w:after="0"/>
              <w:rPr>
                <w:sz w:val="18"/>
                <w:szCs w:val="18"/>
                <w:color w:val="auto"/>
              </w:rPr>
            </w:pPr>
          </w:p>
        </w:tc>
        <w:tc>
          <w:tcPr>
            <w:tcW w:w="440" w:type="dxa"/>
            <w:vAlign w:val="bottom"/>
          </w:tcPr>
          <w:p>
            <w:pPr>
              <w:spacing w:after="0"/>
              <w:rPr>
                <w:sz w:val="18"/>
                <w:szCs w:val="18"/>
                <w:color w:val="auto"/>
              </w:rPr>
            </w:pPr>
          </w:p>
        </w:tc>
        <w:tc>
          <w:tcPr>
            <w:tcW w:w="2100" w:type="dxa"/>
            <w:vAlign w:val="bottom"/>
            <w:gridSpan w:val="7"/>
          </w:tcPr>
          <w:p>
            <w:pPr>
              <w:ind w:left="40"/>
              <w:spacing w:after="0"/>
              <w:rPr>
                <w:sz w:val="20"/>
                <w:szCs w:val="20"/>
                <w:color w:val="auto"/>
              </w:rPr>
            </w:pPr>
            <w:r>
              <w:rPr>
                <w:rFonts w:ascii="Arial" w:cs="Arial" w:eastAsia="Arial" w:hAnsi="Arial"/>
                <w:sz w:val="18"/>
                <w:szCs w:val="18"/>
                <w:b w:val="1"/>
                <w:bCs w:val="1"/>
                <w:color w:val="auto"/>
              </w:rPr>
              <w:t>Six Months Ended</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080" w:type="dxa"/>
            <w:vAlign w:val="bottom"/>
          </w:tcPr>
          <w:p>
            <w:pPr>
              <w:spacing w:after="0"/>
              <w:rPr>
                <w:sz w:val="17"/>
                <w:szCs w:val="17"/>
                <w:color w:val="auto"/>
              </w:rPr>
            </w:pPr>
          </w:p>
        </w:tc>
        <w:tc>
          <w:tcPr>
            <w:tcW w:w="24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w w:val="85"/>
              </w:rPr>
              <w:t>June 30,</w:t>
            </w:r>
          </w:p>
        </w:tc>
        <w:tc>
          <w:tcPr>
            <w:tcW w:w="280" w:type="dxa"/>
            <w:vAlign w:val="bottom"/>
          </w:tcPr>
          <w:p>
            <w:pPr>
              <w:spacing w:after="0"/>
              <w:rPr>
                <w:sz w:val="17"/>
                <w:szCs w:val="17"/>
                <w:color w:val="auto"/>
              </w:rPr>
            </w:pPr>
          </w:p>
        </w:tc>
        <w:tc>
          <w:tcPr>
            <w:tcW w:w="1360" w:type="dxa"/>
            <w:vAlign w:val="bottom"/>
            <w:gridSpan w:val="5"/>
          </w:tcPr>
          <w:p>
            <w:pPr>
              <w:ind w:left="460"/>
              <w:spacing w:after="0" w:line="196" w:lineRule="exact"/>
              <w:rPr>
                <w:sz w:val="20"/>
                <w:szCs w:val="20"/>
                <w:color w:val="auto"/>
              </w:rPr>
            </w:pPr>
            <w:r>
              <w:rPr>
                <w:rFonts w:ascii="Arial" w:cs="Arial" w:eastAsia="Arial" w:hAnsi="Arial"/>
                <w:sz w:val="18"/>
                <w:szCs w:val="18"/>
                <w:b w:val="1"/>
                <w:bCs w:val="1"/>
                <w:color w:val="auto"/>
              </w:rPr>
              <w:t>June 30,</w:t>
            </w:r>
          </w:p>
        </w:tc>
        <w:tc>
          <w:tcPr>
            <w:tcW w:w="440" w:type="dxa"/>
            <w:vAlign w:val="bottom"/>
          </w:tcPr>
          <w:p>
            <w:pPr>
              <w:spacing w:after="0"/>
              <w:rPr>
                <w:sz w:val="17"/>
                <w:szCs w:val="17"/>
                <w:color w:val="auto"/>
              </w:rPr>
            </w:pPr>
          </w:p>
        </w:tc>
        <w:tc>
          <w:tcPr>
            <w:tcW w:w="920" w:type="dxa"/>
            <w:vAlign w:val="bottom"/>
            <w:gridSpan w:val="3"/>
          </w:tcPr>
          <w:p>
            <w:pPr>
              <w:jc w:val="right"/>
              <w:ind w:right="280"/>
              <w:spacing w:after="0" w:line="196" w:lineRule="exact"/>
              <w:rPr>
                <w:sz w:val="20"/>
                <w:szCs w:val="20"/>
                <w:color w:val="auto"/>
              </w:rPr>
            </w:pPr>
            <w:r>
              <w:rPr>
                <w:rFonts w:ascii="Arial" w:cs="Arial" w:eastAsia="Arial" w:hAnsi="Arial"/>
                <w:sz w:val="18"/>
                <w:szCs w:val="18"/>
                <w:b w:val="1"/>
                <w:bCs w:val="1"/>
                <w:color w:val="auto"/>
                <w:w w:val="85"/>
              </w:rPr>
              <w:t>June 30,</w:t>
            </w:r>
          </w:p>
        </w:tc>
        <w:tc>
          <w:tcPr>
            <w:tcW w:w="1180" w:type="dxa"/>
            <w:vAlign w:val="bottom"/>
            <w:gridSpan w:val="4"/>
          </w:tcPr>
          <w:p>
            <w:pPr>
              <w:ind w:left="440"/>
              <w:spacing w:after="0" w:line="196" w:lineRule="exact"/>
              <w:rPr>
                <w:sz w:val="20"/>
                <w:szCs w:val="20"/>
                <w:color w:val="auto"/>
              </w:rPr>
            </w:pPr>
            <w:r>
              <w:rPr>
                <w:rFonts w:ascii="Arial" w:cs="Arial" w:eastAsia="Arial" w:hAnsi="Arial"/>
                <w:sz w:val="18"/>
                <w:szCs w:val="18"/>
                <w:b w:val="1"/>
                <w:bCs w:val="1"/>
                <w:color w:val="auto"/>
                <w:w w:val="99"/>
              </w:rPr>
              <w:t>June 30,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c>
          <w:tcPr>
            <w:tcW w:w="2500" w:type="dxa"/>
            <w:vAlign w:val="bottom"/>
            <w:gridSpan w:val="2"/>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4080" w:type="dxa"/>
            <w:vAlign w:val="bottom"/>
          </w:tcPr>
          <w:p>
            <w:pPr>
              <w:spacing w:after="0"/>
              <w:rPr>
                <w:sz w:val="17"/>
                <w:szCs w:val="17"/>
                <w:color w:val="auto"/>
              </w:rPr>
            </w:pPr>
          </w:p>
        </w:tc>
        <w:tc>
          <w:tcPr>
            <w:tcW w:w="2500" w:type="dxa"/>
            <w:vAlign w:val="bottom"/>
            <w:gridSpan w:val="2"/>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2015</w:t>
            </w:r>
          </w:p>
        </w:tc>
        <w:tc>
          <w:tcPr>
            <w:tcW w:w="2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4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2014</w:t>
            </w:r>
          </w:p>
        </w:tc>
        <w:tc>
          <w:tcPr>
            <w:tcW w:w="2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20" w:type="dxa"/>
            <w:vAlign w:val="bottom"/>
            <w:gridSpan w:val="3"/>
          </w:tcPr>
          <w:p>
            <w:pPr>
              <w:jc w:val="right"/>
              <w:ind w:right="280"/>
              <w:spacing w:after="0" w:line="196" w:lineRule="exact"/>
              <w:rPr>
                <w:sz w:val="20"/>
                <w:szCs w:val="20"/>
                <w:color w:val="auto"/>
              </w:rPr>
            </w:pPr>
            <w:r>
              <w:rPr>
                <w:rFonts w:ascii="Arial" w:cs="Arial" w:eastAsia="Arial" w:hAnsi="Arial"/>
                <w:sz w:val="18"/>
                <w:szCs w:val="18"/>
                <w:b w:val="1"/>
                <w:bCs w:val="1"/>
                <w:color w:val="auto"/>
              </w:rPr>
              <w:t>2015</w:t>
            </w:r>
          </w:p>
        </w:tc>
        <w:tc>
          <w:tcPr>
            <w:tcW w:w="118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rPr>
              <w:t>2014</w:t>
            </w: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Borders>
              <w:top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top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Borders>
              <w:top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Borders>
              <w:top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20" w:type="dxa"/>
            <w:vAlign w:val="bottom"/>
            <w:vMerge w:val="continue"/>
          </w:tcPr>
          <w:p>
            <w:pPr>
              <w:spacing w:after="0"/>
              <w:rPr>
                <w:sz w:val="17"/>
                <w:szCs w:val="17"/>
                <w:color w:val="auto"/>
              </w:rPr>
            </w:pPr>
          </w:p>
        </w:tc>
        <w:tc>
          <w:tcPr>
            <w:tcW w:w="40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Weighted average number of</w:t>
            </w:r>
          </w:p>
        </w:tc>
        <w:tc>
          <w:tcPr>
            <w:tcW w:w="24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ordinary shares outstanding for</w:t>
            </w:r>
          </w:p>
        </w:tc>
        <w:tc>
          <w:tcPr>
            <w:tcW w:w="2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basic net income per ordinary share</w:t>
            </w:r>
          </w:p>
        </w:tc>
        <w:tc>
          <w:tcPr>
            <w:tcW w:w="3420" w:type="dxa"/>
            <w:vAlign w:val="bottom"/>
            <w:gridSpan w:val="5"/>
            <w:shd w:val="clear" w:color="auto" w:fill="CCEEFF"/>
          </w:tcPr>
          <w:p>
            <w:pPr>
              <w:jc w:val="right"/>
              <w:ind w:right="280"/>
              <w:spacing w:after="0"/>
              <w:rPr>
                <w:sz w:val="20"/>
                <w:szCs w:val="20"/>
                <w:color w:val="auto"/>
              </w:rPr>
            </w:pPr>
            <w:r>
              <w:rPr>
                <w:rFonts w:ascii="Arial" w:cs="Arial" w:eastAsia="Arial" w:hAnsi="Arial"/>
                <w:sz w:val="18"/>
                <w:szCs w:val="18"/>
                <w:color w:val="auto"/>
              </w:rPr>
              <w:t>60,244,982</w:t>
            </w:r>
          </w:p>
        </w:tc>
        <w:tc>
          <w:tcPr>
            <w:tcW w:w="1360" w:type="dxa"/>
            <w:vAlign w:val="bottom"/>
            <w:gridSpan w:val="5"/>
            <w:shd w:val="clear" w:color="auto" w:fill="CCEEFF"/>
          </w:tcPr>
          <w:p>
            <w:pPr>
              <w:jc w:val="right"/>
              <w:ind w:right="260"/>
              <w:spacing w:after="0"/>
              <w:rPr>
                <w:sz w:val="20"/>
                <w:szCs w:val="20"/>
                <w:color w:val="auto"/>
              </w:rPr>
            </w:pPr>
            <w:r>
              <w:rPr>
                <w:rFonts w:ascii="Arial" w:cs="Arial" w:eastAsia="Arial" w:hAnsi="Arial"/>
                <w:sz w:val="18"/>
                <w:szCs w:val="18"/>
                <w:color w:val="auto"/>
              </w:rPr>
              <w:t>61,934,923</w:t>
            </w: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60,263,021</w:t>
            </w:r>
          </w:p>
        </w:tc>
        <w:tc>
          <w:tcPr>
            <w:tcW w:w="118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61,855,783</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080" w:type="dxa"/>
            <w:vAlign w:val="bottom"/>
          </w:tcPr>
          <w:p>
            <w:pPr>
              <w:spacing w:after="0" w:line="201" w:lineRule="exact"/>
              <w:rPr>
                <w:sz w:val="20"/>
                <w:szCs w:val="20"/>
                <w:color w:val="auto"/>
              </w:rPr>
            </w:pPr>
            <w:r>
              <w:rPr>
                <w:rFonts w:ascii="Arial" w:cs="Arial" w:eastAsia="Arial" w:hAnsi="Arial"/>
                <w:sz w:val="18"/>
                <w:szCs w:val="18"/>
                <w:color w:val="auto"/>
              </w:rPr>
              <w:t>Effect of dilutive share options</w:t>
            </w:r>
          </w:p>
        </w:tc>
        <w:tc>
          <w:tcPr>
            <w:tcW w:w="24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4100" w:type="dxa"/>
            <w:vAlign w:val="bottom"/>
            <w:gridSpan w:val="2"/>
          </w:tcPr>
          <w:p>
            <w:pPr>
              <w:spacing w:after="0"/>
              <w:rPr>
                <w:sz w:val="20"/>
                <w:szCs w:val="20"/>
                <w:color w:val="auto"/>
              </w:rPr>
            </w:pPr>
            <w:r>
              <w:rPr>
                <w:rFonts w:ascii="Arial" w:cs="Arial" w:eastAsia="Arial" w:hAnsi="Arial"/>
                <w:sz w:val="18"/>
                <w:szCs w:val="18"/>
                <w:color w:val="auto"/>
              </w:rPr>
              <w:t>outstanding</w:t>
            </w:r>
          </w:p>
        </w:tc>
        <w:tc>
          <w:tcPr>
            <w:tcW w:w="3140" w:type="dxa"/>
            <w:vAlign w:val="bottom"/>
            <w:gridSpan w:val="4"/>
          </w:tcPr>
          <w:p>
            <w:pPr>
              <w:jc w:val="right"/>
              <w:spacing w:after="0"/>
              <w:rPr>
                <w:sz w:val="20"/>
                <w:szCs w:val="20"/>
                <w:color w:val="auto"/>
              </w:rPr>
            </w:pPr>
            <w:r>
              <w:rPr>
                <w:rFonts w:ascii="Arial" w:cs="Arial" w:eastAsia="Arial" w:hAnsi="Arial"/>
                <w:sz w:val="18"/>
                <w:szCs w:val="18"/>
                <w:color w:val="auto"/>
              </w:rPr>
              <w:t>1,556,705</w:t>
            </w:r>
          </w:p>
        </w:tc>
        <w:tc>
          <w:tcPr>
            <w:tcW w:w="280" w:type="dxa"/>
            <w:vAlign w:val="bottom"/>
          </w:tcPr>
          <w:p>
            <w:pPr>
              <w:spacing w:after="0"/>
              <w:rPr>
                <w:sz w:val="20"/>
                <w:szCs w:val="20"/>
                <w:color w:val="auto"/>
              </w:rPr>
            </w:pPr>
          </w:p>
        </w:tc>
        <w:tc>
          <w:tcPr>
            <w:tcW w:w="1100" w:type="dxa"/>
            <w:vAlign w:val="bottom"/>
            <w:gridSpan w:val="4"/>
          </w:tcPr>
          <w:p>
            <w:pPr>
              <w:jc w:val="right"/>
              <w:spacing w:after="0"/>
              <w:rPr>
                <w:sz w:val="20"/>
                <w:szCs w:val="20"/>
                <w:color w:val="auto"/>
              </w:rPr>
            </w:pPr>
            <w:r>
              <w:rPr>
                <w:rFonts w:ascii="Arial" w:cs="Arial" w:eastAsia="Arial" w:hAnsi="Arial"/>
                <w:sz w:val="18"/>
                <w:szCs w:val="18"/>
                <w:color w:val="auto"/>
              </w:rPr>
              <w:t>1,408,346</w:t>
            </w:r>
          </w:p>
        </w:tc>
        <w:tc>
          <w:tcPr>
            <w:tcW w:w="260" w:type="dxa"/>
            <w:vAlign w:val="bottom"/>
          </w:tcPr>
          <w:p>
            <w:pPr>
              <w:spacing w:after="0"/>
              <w:rPr>
                <w:sz w:val="20"/>
                <w:szCs w:val="20"/>
                <w:color w:val="auto"/>
              </w:rPr>
            </w:pPr>
          </w:p>
        </w:tc>
        <w:tc>
          <w:tcPr>
            <w:tcW w:w="1360" w:type="dxa"/>
            <w:vAlign w:val="bottom"/>
            <w:gridSpan w:val="4"/>
          </w:tcPr>
          <w:p>
            <w:pPr>
              <w:jc w:val="right"/>
              <w:ind w:right="280"/>
              <w:spacing w:after="0"/>
              <w:rPr>
                <w:sz w:val="20"/>
                <w:szCs w:val="20"/>
                <w:color w:val="auto"/>
              </w:rPr>
            </w:pPr>
            <w:r>
              <w:rPr>
                <w:rFonts w:ascii="Arial" w:cs="Arial" w:eastAsia="Arial" w:hAnsi="Arial"/>
                <w:sz w:val="18"/>
                <w:szCs w:val="18"/>
                <w:color w:val="auto"/>
              </w:rPr>
              <w:t>1,586,305</w:t>
            </w:r>
          </w:p>
        </w:tc>
        <w:tc>
          <w:tcPr>
            <w:tcW w:w="1180" w:type="dxa"/>
            <w:vAlign w:val="bottom"/>
            <w:gridSpan w:val="4"/>
          </w:tcPr>
          <w:p>
            <w:pPr>
              <w:jc w:val="right"/>
              <w:ind w:right="100"/>
              <w:spacing w:after="0"/>
              <w:rPr>
                <w:sz w:val="20"/>
                <w:szCs w:val="20"/>
                <w:color w:val="auto"/>
              </w:rPr>
            </w:pPr>
            <w:r>
              <w:rPr>
                <w:rFonts w:ascii="Arial" w:cs="Arial" w:eastAsia="Arial" w:hAnsi="Arial"/>
                <w:sz w:val="18"/>
                <w:szCs w:val="18"/>
                <w:color w:val="auto"/>
              </w:rPr>
              <w:t>1,434,509</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080" w:type="dxa"/>
            <w:vAlign w:val="bottom"/>
            <w:tcBorders>
              <w:top w:val="single" w:sz="8" w:color="auto"/>
            </w:tcBorders>
            <w:shd w:val="clear" w:color="auto" w:fill="CCEEFF"/>
          </w:tcPr>
          <w:p>
            <w:pPr>
              <w:spacing w:after="0" w:line="201" w:lineRule="exact"/>
              <w:rPr>
                <w:sz w:val="20"/>
                <w:szCs w:val="20"/>
                <w:color w:val="auto"/>
              </w:rPr>
            </w:pPr>
            <w:r>
              <w:rPr>
                <w:rFonts w:ascii="Arial" w:cs="Arial" w:eastAsia="Arial" w:hAnsi="Arial"/>
                <w:sz w:val="18"/>
                <w:szCs w:val="18"/>
                <w:color w:val="auto"/>
              </w:rPr>
              <w:t>Weighted average number of</w:t>
            </w:r>
          </w:p>
        </w:tc>
        <w:tc>
          <w:tcPr>
            <w:tcW w:w="242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46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ordinary shares for diluted net</w:t>
            </w:r>
          </w:p>
        </w:tc>
        <w:tc>
          <w:tcPr>
            <w:tcW w:w="2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1"/>
        </w:trPr>
        <w:tc>
          <w:tcPr>
            <w:tcW w:w="20" w:type="dxa"/>
            <w:vAlign w:val="bottom"/>
          </w:tcPr>
          <w:p>
            <w:pPr>
              <w:spacing w:after="0"/>
              <w:rPr>
                <w:sz w:val="23"/>
                <w:szCs w:val="23"/>
                <w:color w:val="auto"/>
              </w:rPr>
            </w:pPr>
          </w:p>
        </w:tc>
        <w:tc>
          <w:tcPr>
            <w:tcW w:w="40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income per ordinary share</w:t>
            </w:r>
          </w:p>
        </w:tc>
        <w:tc>
          <w:tcPr>
            <w:tcW w:w="314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61,801,687</w:t>
            </w:r>
          </w:p>
        </w:tc>
        <w:tc>
          <w:tcPr>
            <w:tcW w:w="28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gridSpan w:val="5"/>
            <w:shd w:val="clear" w:color="auto" w:fill="CCEEFF"/>
          </w:tcPr>
          <w:p>
            <w:pPr>
              <w:jc w:val="right"/>
              <w:ind w:right="260"/>
              <w:spacing w:after="0"/>
              <w:rPr>
                <w:sz w:val="20"/>
                <w:szCs w:val="20"/>
                <w:color w:val="auto"/>
              </w:rPr>
            </w:pPr>
            <w:r>
              <w:rPr>
                <w:rFonts w:ascii="Arial" w:cs="Arial" w:eastAsia="Arial" w:hAnsi="Arial"/>
                <w:sz w:val="18"/>
                <w:szCs w:val="18"/>
                <w:color w:val="auto"/>
              </w:rPr>
              <w:t>63,343,269</w:t>
            </w:r>
          </w:p>
        </w:tc>
        <w:tc>
          <w:tcPr>
            <w:tcW w:w="1360" w:type="dxa"/>
            <w:vAlign w:val="bottom"/>
            <w:tcBorders>
              <w:bottom w:val="single" w:sz="8" w:color="auto"/>
            </w:tcBorders>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61,849,326</w:t>
            </w:r>
          </w:p>
        </w:tc>
        <w:tc>
          <w:tcPr>
            <w:tcW w:w="1180" w:type="dxa"/>
            <w:vAlign w:val="bottom"/>
            <w:tcBorders>
              <w:bottom w:val="single" w:sz="8" w:color="auto"/>
            </w:tcBorders>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63,290,292</w:t>
            </w:r>
          </w:p>
        </w:tc>
        <w:tc>
          <w:tcPr>
            <w:tcW w:w="0" w:type="dxa"/>
            <w:vAlign w:val="bottom"/>
          </w:tcPr>
          <w:p>
            <w:pPr>
              <w:spacing w:after="0"/>
              <w:rPr>
                <w:sz w:val="1"/>
                <w:szCs w:val="1"/>
                <w:color w:val="auto"/>
              </w:rPr>
            </w:pPr>
          </w:p>
        </w:tc>
      </w:tr>
      <w:tr>
        <w:trPr>
          <w:trHeight w:val="601"/>
        </w:trPr>
        <w:tc>
          <w:tcPr>
            <w:tcW w:w="2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2420" w:type="dxa"/>
            <w:vAlign w:val="bottom"/>
          </w:tcPr>
          <w:p>
            <w:pPr>
              <w:jc w:val="right"/>
              <w:ind w:right="630"/>
              <w:spacing w:after="0"/>
              <w:rPr>
                <w:sz w:val="20"/>
                <w:szCs w:val="20"/>
                <w:color w:val="auto"/>
              </w:rPr>
            </w:pPr>
            <w:r>
              <w:rPr>
                <w:rFonts w:ascii="Arial" w:cs="Arial" w:eastAsia="Arial" w:hAnsi="Arial"/>
                <w:sz w:val="18"/>
                <w:szCs w:val="18"/>
                <w:color w:val="auto"/>
              </w:rPr>
              <w:t>10</w:t>
            </w: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4080" w:type="dxa"/>
            <w:vAlign w:val="bottom"/>
            <w:tcBorders>
              <w:bottom w:val="single" w:sz="8" w:color="808080"/>
            </w:tcBorders>
          </w:tcPr>
          <w:p>
            <w:pPr>
              <w:spacing w:after="0"/>
              <w:rPr>
                <w:sz w:val="10"/>
                <w:szCs w:val="10"/>
                <w:color w:val="auto"/>
              </w:rPr>
            </w:pPr>
          </w:p>
        </w:tc>
        <w:tc>
          <w:tcPr>
            <w:tcW w:w="242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46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440" w:type="dxa"/>
            <w:vAlign w:val="bottom"/>
            <w:tcBorders>
              <w:bottom w:val="single" w:sz="8" w:color="808080"/>
            </w:tcBorders>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440" w:type="dxa"/>
            <w:vAlign w:val="bottom"/>
            <w:tcBorders>
              <w:bottom w:val="single" w:sz="8" w:color="808080"/>
            </w:tcBorders>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6. Share-based Awards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Share Options</w:t>
      </w:r>
    </w:p>
    <w:p>
      <w:pPr>
        <w:spacing w:after="0" w:line="252"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On July 21, 2008 the Company adopted the Employee Share Option Plan 2008 (the “2008 Employee Plan”) pursuant to which the Compensation and Organization Committee of the Company’s Board of Directors may grant options to any employee, or any director holding a salaried office or employment with the Company or a Subsidiary for the purchase of ordinary shares. On the same date, the Company also adopted the Consultants Share Option Plan 2008 (the “2008 Consultants Plan”), pursuant to which the Compensation and Organization Committee of the Company’s Board of Directors may grant options to any consultant, adviser or non-executive director retained by the Company or any Subsidiary for the purchase of ordinary shares.</w:t>
      </w:r>
    </w:p>
    <w:p>
      <w:pPr>
        <w:spacing w:after="0" w:line="18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Each option granted under the 2008 Employee Plan or the 2008 Consultants Plan (together the “2008 Option Plans”) will be an employee stock option, or NSO, as described in Section 422 or 423 of the Internal Revenue Code. Each grant of an option under the 2008 Options Plans will be evidenced by a Stock Option Agreement between the optionee and the Company. The exercise price will be specified in each Stock Option Agreement, however option prices will not be less than 100% of the fair market value of an ordinary share on the date the option is granted.</w:t>
      </w:r>
    </w:p>
    <w:p>
      <w:pPr>
        <w:spacing w:after="0" w:line="214"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An aggregate of 6.0 million ordinary shares have been reserved under the 2008 Employee Plan, as reduced by any shares issued or to be issued pursuant to options granted under the 2008 Consultants Plan, under which a limit of 400,000 shares applies. Further, the maximum number of ordinary shares with respect to which options may be granted under the 2008 Employee Option Plan, during any calendar year to any employee shall be 400,000 ordinary shares. There is no individual limit under the 2008 Consultants Plan. No options may be granted under the 2008 Option Plans after July 21, 2018.</w:t>
      </w:r>
    </w:p>
    <w:p>
      <w:pPr>
        <w:spacing w:after="0" w:line="18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January 17, 2003 the Company adopted the Share Option Plan 2003 (the “2003 Share Option Plan”) pursuant to which the Compensation and Organization Committee of the Board could grant options to officers and other employees of the Company or its subsidiaries for the purchase of ordinary shares. An aggregate of 6.0 million ordinary shares were reserved under the 2003 Share Option Plan; and, in no event could the number of ordinary shares issued pursuant to options awarded under this plan exceed 10% of the outstanding shares, as defined in the 2003 Share Option Plan, at the time of the grant, unless the Board expressly determined otherwise. Further, the maximum number of ordinary shares with respect to which options could be granted under the 2003 Share Option Plan during any calendar year to any employee was 400,000 ordinary shares. The 2003 Share Option Plan expired on January 17, 2013. No new options may be granted under this plan.</w:t>
      </w:r>
    </w:p>
    <w:p>
      <w:pPr>
        <w:spacing w:after="0" w:line="21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Share option awards are granted with an exercise price equal to the market price of the Company’s shares at date of grant. Share options typically vest over a period of five years from date of grant and expire eight years from date of grant. The maximum contractual term of options outstanding at March 31, 2015 is eight years.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option activity for the six months ended June 30, 2015:</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060" w:type="dxa"/>
            <w:vAlign w:val="bottom"/>
          </w:tcPr>
          <w:p>
            <w:pPr>
              <w:spacing w:after="0"/>
              <w:rPr>
                <w:sz w:val="18"/>
                <w:szCs w:val="18"/>
                <w:color w:val="auto"/>
              </w:rPr>
            </w:pPr>
          </w:p>
        </w:tc>
        <w:tc>
          <w:tcPr>
            <w:tcW w:w="3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Weighted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tcPr>
          <w:p>
            <w:pPr>
              <w:spacing w:after="0"/>
              <w:rPr>
                <w:sz w:val="18"/>
                <w:szCs w:val="18"/>
                <w:color w:val="auto"/>
              </w:rPr>
            </w:pPr>
          </w:p>
        </w:tc>
        <w:tc>
          <w:tcPr>
            <w:tcW w:w="3300" w:type="dxa"/>
            <w:vAlign w:val="bottom"/>
          </w:tcPr>
          <w:p>
            <w:pPr>
              <w:jc w:val="right"/>
              <w:ind w:right="50"/>
              <w:spacing w:after="0"/>
              <w:rPr>
                <w:sz w:val="20"/>
                <w:szCs w:val="20"/>
                <w:color w:val="auto"/>
              </w:rPr>
            </w:pPr>
            <w:r>
              <w:rPr>
                <w:rFonts w:ascii="Arial" w:cs="Arial" w:eastAsia="Arial" w:hAnsi="Arial"/>
                <w:sz w:val="18"/>
                <w:szCs w:val="18"/>
                <w:b w:val="1"/>
                <w:bCs w:val="1"/>
                <w:color w:val="auto"/>
              </w:rPr>
              <w:t>Options</w:t>
            </w:r>
          </w:p>
        </w:tc>
        <w:tc>
          <w:tcPr>
            <w:tcW w:w="340" w:type="dxa"/>
            <w:vAlign w:val="bottom"/>
          </w:tcPr>
          <w:p>
            <w:pPr>
              <w:spacing w:after="0"/>
              <w:rPr>
                <w:sz w:val="18"/>
                <w:szCs w:val="18"/>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b w:val="1"/>
                <w:bCs w:val="1"/>
                <w:color w:val="auto"/>
              </w:rPr>
              <w:t>Weighted</w:t>
            </w: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Average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tcPr>
          <w:p>
            <w:pPr>
              <w:spacing w:after="0"/>
              <w:rPr>
                <w:sz w:val="18"/>
                <w:szCs w:val="18"/>
                <w:color w:val="auto"/>
              </w:rPr>
            </w:pPr>
          </w:p>
        </w:tc>
        <w:tc>
          <w:tcPr>
            <w:tcW w:w="3300" w:type="dxa"/>
            <w:vAlign w:val="bottom"/>
          </w:tcPr>
          <w:p>
            <w:pPr>
              <w:jc w:val="right"/>
              <w:ind w:right="50"/>
              <w:spacing w:after="0"/>
              <w:rPr>
                <w:sz w:val="20"/>
                <w:szCs w:val="20"/>
                <w:color w:val="auto"/>
              </w:rPr>
            </w:pPr>
            <w:r>
              <w:rPr>
                <w:rFonts w:ascii="Arial" w:cs="Arial" w:eastAsia="Arial" w:hAnsi="Arial"/>
                <w:sz w:val="18"/>
                <w:szCs w:val="18"/>
                <w:b w:val="1"/>
                <w:bCs w:val="1"/>
                <w:color w:val="auto"/>
              </w:rPr>
              <w:t>Outstanding</w:t>
            </w:r>
          </w:p>
        </w:tc>
        <w:tc>
          <w:tcPr>
            <w:tcW w:w="340" w:type="dxa"/>
            <w:vAlign w:val="bottom"/>
          </w:tcPr>
          <w:p>
            <w:pPr>
              <w:spacing w:after="0"/>
              <w:rPr>
                <w:sz w:val="18"/>
                <w:szCs w:val="18"/>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b w:val="1"/>
                <w:bCs w:val="1"/>
                <w:color w:val="auto"/>
              </w:rPr>
              <w:t>Average</w:t>
            </w:r>
          </w:p>
        </w:tc>
        <w:tc>
          <w:tcPr>
            <w:tcW w:w="320" w:type="dxa"/>
            <w:vAlign w:val="bottom"/>
          </w:tcPr>
          <w:p>
            <w:pPr>
              <w:spacing w:after="0"/>
              <w:rPr>
                <w:sz w:val="18"/>
                <w:szCs w:val="18"/>
                <w:color w:val="auto"/>
              </w:rPr>
            </w:pPr>
          </w:p>
        </w:tc>
        <w:tc>
          <w:tcPr>
            <w:tcW w:w="1140" w:type="dxa"/>
            <w:vAlign w:val="bottom"/>
          </w:tcPr>
          <w:p>
            <w:pPr>
              <w:jc w:val="right"/>
              <w:ind w:right="130"/>
              <w:spacing w:after="0"/>
              <w:rPr>
                <w:sz w:val="20"/>
                <w:szCs w:val="20"/>
                <w:color w:val="auto"/>
              </w:rPr>
            </w:pPr>
            <w:r>
              <w:rPr>
                <w:rFonts w:ascii="Arial" w:cs="Arial" w:eastAsia="Arial" w:hAnsi="Arial"/>
                <w:sz w:val="18"/>
                <w:szCs w:val="18"/>
                <w:b w:val="1"/>
                <w:bCs w:val="1"/>
                <w:color w:val="auto"/>
              </w:rPr>
              <w:t>Weighted</w:t>
            </w: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Remaining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tcPr>
          <w:p>
            <w:pPr>
              <w:spacing w:after="0"/>
              <w:rPr>
                <w:sz w:val="18"/>
                <w:szCs w:val="18"/>
                <w:color w:val="auto"/>
              </w:rPr>
            </w:pPr>
          </w:p>
        </w:tc>
        <w:tc>
          <w:tcPr>
            <w:tcW w:w="3300" w:type="dxa"/>
            <w:vAlign w:val="bottom"/>
          </w:tcPr>
          <w:p>
            <w:pPr>
              <w:jc w:val="right"/>
              <w:ind w:right="50"/>
              <w:spacing w:after="0"/>
              <w:rPr>
                <w:sz w:val="20"/>
                <w:szCs w:val="20"/>
                <w:color w:val="auto"/>
              </w:rPr>
            </w:pPr>
            <w:r>
              <w:rPr>
                <w:rFonts w:ascii="Arial" w:cs="Arial" w:eastAsia="Arial" w:hAnsi="Arial"/>
                <w:sz w:val="18"/>
                <w:szCs w:val="18"/>
                <w:b w:val="1"/>
                <w:bCs w:val="1"/>
                <w:color w:val="auto"/>
              </w:rPr>
              <w:t>Number of</w:t>
            </w:r>
          </w:p>
        </w:tc>
        <w:tc>
          <w:tcPr>
            <w:tcW w:w="340" w:type="dxa"/>
            <w:vAlign w:val="bottom"/>
          </w:tcPr>
          <w:p>
            <w:pPr>
              <w:spacing w:after="0"/>
              <w:rPr>
                <w:sz w:val="18"/>
                <w:szCs w:val="18"/>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b w:val="1"/>
                <w:bCs w:val="1"/>
                <w:color w:val="auto"/>
              </w:rPr>
              <w:t>Exercise</w:t>
            </w:r>
          </w:p>
        </w:tc>
        <w:tc>
          <w:tcPr>
            <w:tcW w:w="320" w:type="dxa"/>
            <w:vAlign w:val="bottom"/>
          </w:tcPr>
          <w:p>
            <w:pPr>
              <w:spacing w:after="0"/>
              <w:rPr>
                <w:sz w:val="18"/>
                <w:szCs w:val="18"/>
                <w:color w:val="auto"/>
              </w:rPr>
            </w:pPr>
          </w:p>
        </w:tc>
        <w:tc>
          <w:tcPr>
            <w:tcW w:w="1140" w:type="dxa"/>
            <w:vAlign w:val="bottom"/>
          </w:tcPr>
          <w:p>
            <w:pPr>
              <w:jc w:val="right"/>
              <w:ind w:right="130"/>
              <w:spacing w:after="0"/>
              <w:rPr>
                <w:sz w:val="20"/>
                <w:szCs w:val="20"/>
                <w:color w:val="auto"/>
              </w:rPr>
            </w:pPr>
            <w:r>
              <w:rPr>
                <w:rFonts w:ascii="Arial" w:cs="Arial" w:eastAsia="Arial" w:hAnsi="Arial"/>
                <w:sz w:val="18"/>
                <w:szCs w:val="18"/>
                <w:b w:val="1"/>
                <w:bCs w:val="1"/>
                <w:color w:val="auto"/>
              </w:rPr>
              <w:t>Average</w:t>
            </w: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Contractual</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060" w:type="dxa"/>
            <w:vAlign w:val="bottom"/>
          </w:tcPr>
          <w:p>
            <w:pPr>
              <w:spacing w:after="0"/>
              <w:rPr>
                <w:sz w:val="20"/>
                <w:szCs w:val="20"/>
                <w:color w:val="auto"/>
              </w:rPr>
            </w:pPr>
          </w:p>
        </w:tc>
        <w:tc>
          <w:tcPr>
            <w:tcW w:w="3300" w:type="dxa"/>
            <w:vAlign w:val="bottom"/>
          </w:tcPr>
          <w:p>
            <w:pPr>
              <w:jc w:val="right"/>
              <w:ind w:right="50"/>
              <w:spacing w:after="0"/>
              <w:rPr>
                <w:sz w:val="20"/>
                <w:szCs w:val="20"/>
                <w:color w:val="auto"/>
              </w:rPr>
            </w:pPr>
            <w:r>
              <w:rPr>
                <w:rFonts w:ascii="Arial" w:cs="Arial" w:eastAsia="Arial" w:hAnsi="Arial"/>
                <w:sz w:val="18"/>
                <w:szCs w:val="18"/>
                <w:b w:val="1"/>
                <w:bCs w:val="1"/>
                <w:color w:val="auto"/>
              </w:rPr>
              <w:t>Shares</w:t>
            </w:r>
          </w:p>
        </w:tc>
        <w:tc>
          <w:tcPr>
            <w:tcW w:w="340" w:type="dxa"/>
            <w:vAlign w:val="bottom"/>
          </w:tcPr>
          <w:p>
            <w:pPr>
              <w:spacing w:after="0"/>
              <w:rPr>
                <w:sz w:val="20"/>
                <w:szCs w:val="20"/>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b w:val="1"/>
                <w:bCs w:val="1"/>
                <w:color w:val="auto"/>
              </w:rPr>
              <w:t>Price</w:t>
            </w:r>
          </w:p>
        </w:tc>
        <w:tc>
          <w:tcPr>
            <w:tcW w:w="320" w:type="dxa"/>
            <w:vAlign w:val="bottom"/>
          </w:tcPr>
          <w:p>
            <w:pPr>
              <w:spacing w:after="0"/>
              <w:rPr>
                <w:sz w:val="20"/>
                <w:szCs w:val="20"/>
                <w:color w:val="auto"/>
              </w:rPr>
            </w:pPr>
          </w:p>
        </w:tc>
        <w:tc>
          <w:tcPr>
            <w:tcW w:w="1140" w:type="dxa"/>
            <w:vAlign w:val="bottom"/>
          </w:tcPr>
          <w:p>
            <w:pPr>
              <w:jc w:val="right"/>
              <w:ind w:right="130"/>
              <w:spacing w:after="0"/>
              <w:rPr>
                <w:sz w:val="20"/>
                <w:szCs w:val="20"/>
                <w:color w:val="auto"/>
              </w:rPr>
            </w:pPr>
            <w:r>
              <w:rPr>
                <w:rFonts w:ascii="Arial" w:cs="Arial" w:eastAsia="Arial" w:hAnsi="Arial"/>
                <w:sz w:val="18"/>
                <w:szCs w:val="18"/>
                <w:b w:val="1"/>
                <w:bCs w:val="1"/>
                <w:color w:val="auto"/>
              </w:rPr>
              <w:t>Fair Value</w:t>
            </w: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Life</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060" w:type="dxa"/>
            <w:vAlign w:val="bottom"/>
          </w:tcPr>
          <w:p>
            <w:pPr>
              <w:spacing w:after="0"/>
              <w:rPr>
                <w:sz w:val="18"/>
                <w:szCs w:val="18"/>
                <w:color w:val="auto"/>
              </w:rPr>
            </w:pPr>
          </w:p>
        </w:tc>
        <w:tc>
          <w:tcPr>
            <w:tcW w:w="3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vMerge w:val="continue"/>
          </w:tcPr>
          <w:p>
            <w:pPr>
              <w:spacing w:after="0"/>
              <w:rPr>
                <w:sz w:val="19"/>
                <w:szCs w:val="19"/>
                <w:color w:val="auto"/>
              </w:rPr>
            </w:pPr>
          </w:p>
        </w:tc>
        <w:tc>
          <w:tcPr>
            <w:tcW w:w="40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Outstanding at December 31, 2014</w:t>
            </w:r>
          </w:p>
        </w:tc>
        <w:tc>
          <w:tcPr>
            <w:tcW w:w="33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2,227,700</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28.00</w:t>
            </w:r>
          </w:p>
        </w:tc>
        <w:tc>
          <w:tcPr>
            <w:tcW w:w="3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10.40</w:t>
            </w:r>
          </w:p>
        </w:tc>
        <w:tc>
          <w:tcPr>
            <w:tcW w:w="1240" w:type="dxa"/>
            <w:vAlign w:val="bottom"/>
            <w:tcBorders>
              <w:bottom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060" w:type="dxa"/>
            <w:vAlign w:val="bottom"/>
          </w:tcPr>
          <w:p>
            <w:pPr>
              <w:spacing w:after="0"/>
              <w:rPr>
                <w:sz w:val="18"/>
                <w:szCs w:val="18"/>
                <w:color w:val="auto"/>
              </w:rPr>
            </w:pPr>
          </w:p>
        </w:tc>
        <w:tc>
          <w:tcPr>
            <w:tcW w:w="3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8"/>
                <w:szCs w:val="18"/>
                <w:color w:val="auto"/>
              </w:rPr>
              <w:t>Granted</w:t>
            </w:r>
          </w:p>
        </w:tc>
        <w:tc>
          <w:tcPr>
            <w:tcW w:w="33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259,059</w:t>
            </w:r>
          </w:p>
        </w:tc>
        <w:tc>
          <w:tcPr>
            <w:tcW w:w="3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68.25</w:t>
            </w:r>
          </w:p>
        </w:tc>
        <w:tc>
          <w:tcPr>
            <w:tcW w:w="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19.75</w:t>
            </w:r>
          </w:p>
        </w:tc>
        <w:tc>
          <w:tcPr>
            <w:tcW w:w="12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tcPr>
          <w:p>
            <w:pPr>
              <w:spacing w:after="0"/>
              <w:rPr>
                <w:sz w:val="20"/>
                <w:szCs w:val="20"/>
                <w:color w:val="auto"/>
              </w:rPr>
            </w:pPr>
            <w:r>
              <w:rPr>
                <w:rFonts w:ascii="Arial" w:cs="Arial" w:eastAsia="Arial" w:hAnsi="Arial"/>
                <w:sz w:val="18"/>
                <w:szCs w:val="18"/>
                <w:color w:val="auto"/>
              </w:rPr>
              <w:t>Exercised</w:t>
            </w:r>
          </w:p>
        </w:tc>
        <w:tc>
          <w:tcPr>
            <w:tcW w:w="3300" w:type="dxa"/>
            <w:vAlign w:val="bottom"/>
          </w:tcPr>
          <w:p>
            <w:pPr>
              <w:jc w:val="right"/>
              <w:spacing w:after="0"/>
              <w:rPr>
                <w:sz w:val="20"/>
                <w:szCs w:val="20"/>
                <w:color w:val="auto"/>
              </w:rPr>
            </w:pPr>
            <w:r>
              <w:rPr>
                <w:rFonts w:ascii="Arial" w:cs="Arial" w:eastAsia="Arial" w:hAnsi="Arial"/>
                <w:sz w:val="18"/>
                <w:szCs w:val="18"/>
                <w:color w:val="auto"/>
              </w:rPr>
              <w:t>(422,255)</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26.07</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130"/>
              <w:spacing w:after="0"/>
              <w:rPr>
                <w:sz w:val="20"/>
                <w:szCs w:val="20"/>
                <w:color w:val="auto"/>
              </w:rPr>
            </w:pPr>
            <w:r>
              <w:rPr>
                <w:rFonts w:ascii="Arial" w:cs="Arial" w:eastAsia="Arial" w:hAnsi="Arial"/>
                <w:sz w:val="18"/>
                <w:szCs w:val="18"/>
                <w:color w:val="auto"/>
              </w:rPr>
              <w:t>10.03</w:t>
            </w: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0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Forfeited</w:t>
            </w:r>
          </w:p>
        </w:tc>
        <w:tc>
          <w:tcPr>
            <w:tcW w:w="3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(46,648)</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23.97</w:t>
            </w:r>
          </w:p>
        </w:tc>
        <w:tc>
          <w:tcPr>
            <w:tcW w:w="3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9.45</w:t>
            </w:r>
          </w:p>
        </w:tc>
        <w:tc>
          <w:tcPr>
            <w:tcW w:w="1240" w:type="dxa"/>
            <w:vAlign w:val="bottom"/>
            <w:tcBorders>
              <w:bottom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060" w:type="dxa"/>
            <w:vAlign w:val="bottom"/>
          </w:tcPr>
          <w:p>
            <w:pPr>
              <w:spacing w:after="0"/>
              <w:rPr>
                <w:sz w:val="18"/>
                <w:szCs w:val="18"/>
                <w:color w:val="auto"/>
              </w:rPr>
            </w:pPr>
          </w:p>
        </w:tc>
        <w:tc>
          <w:tcPr>
            <w:tcW w:w="3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20" w:type="dxa"/>
            <w:vAlign w:val="bottom"/>
            <w:vMerge w:val="continue"/>
          </w:tcPr>
          <w:p>
            <w:pPr>
              <w:spacing w:after="0"/>
              <w:rPr>
                <w:sz w:val="22"/>
                <w:szCs w:val="22"/>
                <w:color w:val="auto"/>
              </w:rPr>
            </w:pPr>
          </w:p>
        </w:tc>
        <w:tc>
          <w:tcPr>
            <w:tcW w:w="40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Outstanding at June 30, 2015</w:t>
            </w:r>
          </w:p>
        </w:tc>
        <w:tc>
          <w:tcPr>
            <w:tcW w:w="33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2,017,856</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33.67</w:t>
            </w:r>
          </w:p>
        </w:tc>
        <w:tc>
          <w:tcPr>
            <w:tcW w:w="3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11.70</w:t>
            </w:r>
          </w:p>
        </w:tc>
        <w:tc>
          <w:tcPr>
            <w:tcW w:w="12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4.85</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060" w:type="dxa"/>
            <w:vAlign w:val="bottom"/>
          </w:tcPr>
          <w:p>
            <w:pPr>
              <w:spacing w:after="0"/>
              <w:rPr>
                <w:sz w:val="18"/>
                <w:szCs w:val="18"/>
                <w:color w:val="auto"/>
              </w:rPr>
            </w:pPr>
          </w:p>
        </w:tc>
        <w:tc>
          <w:tcPr>
            <w:tcW w:w="3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20" w:type="dxa"/>
            <w:vAlign w:val="bottom"/>
            <w:vMerge w:val="continue"/>
          </w:tcPr>
          <w:p>
            <w:pPr>
              <w:spacing w:after="0"/>
              <w:rPr>
                <w:sz w:val="22"/>
                <w:szCs w:val="22"/>
                <w:color w:val="auto"/>
              </w:rPr>
            </w:pPr>
          </w:p>
        </w:tc>
        <w:tc>
          <w:tcPr>
            <w:tcW w:w="40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Exercisable at June 30, 2015</w:t>
            </w:r>
          </w:p>
        </w:tc>
        <w:tc>
          <w:tcPr>
            <w:tcW w:w="33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962,227</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25.88</w:t>
            </w:r>
          </w:p>
        </w:tc>
        <w:tc>
          <w:tcPr>
            <w:tcW w:w="3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9.91</w:t>
            </w:r>
          </w:p>
        </w:tc>
        <w:tc>
          <w:tcPr>
            <w:tcW w:w="12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3.51</w:t>
            </w:r>
          </w:p>
        </w:tc>
        <w:tc>
          <w:tcPr>
            <w:tcW w:w="0" w:type="dxa"/>
            <w:vAlign w:val="bottom"/>
          </w:tcPr>
          <w:p>
            <w:pPr>
              <w:spacing w:after="0"/>
              <w:rPr>
                <w:sz w:val="1"/>
                <w:szCs w:val="1"/>
                <w:color w:val="auto"/>
              </w:rPr>
            </w:pPr>
          </w:p>
        </w:tc>
      </w:tr>
      <w:tr>
        <w:trPr>
          <w:trHeight w:val="601"/>
        </w:trPr>
        <w:tc>
          <w:tcPr>
            <w:tcW w:w="20" w:type="dxa"/>
            <w:vAlign w:val="bottom"/>
          </w:tcPr>
          <w:p>
            <w:pPr>
              <w:spacing w:after="0"/>
              <w:rPr>
                <w:sz w:val="24"/>
                <w:szCs w:val="24"/>
                <w:color w:val="auto"/>
              </w:rPr>
            </w:pPr>
          </w:p>
        </w:tc>
        <w:tc>
          <w:tcPr>
            <w:tcW w:w="4060" w:type="dxa"/>
            <w:vAlign w:val="bottom"/>
          </w:tcPr>
          <w:p>
            <w:pPr>
              <w:spacing w:after="0"/>
              <w:rPr>
                <w:sz w:val="24"/>
                <w:szCs w:val="24"/>
                <w:color w:val="auto"/>
              </w:rPr>
            </w:pPr>
          </w:p>
        </w:tc>
        <w:tc>
          <w:tcPr>
            <w:tcW w:w="3300" w:type="dxa"/>
            <w:vAlign w:val="bottom"/>
          </w:tcPr>
          <w:p>
            <w:pPr>
              <w:jc w:val="right"/>
              <w:ind w:right="1490"/>
              <w:spacing w:after="0"/>
              <w:rPr>
                <w:sz w:val="20"/>
                <w:szCs w:val="20"/>
                <w:color w:val="auto"/>
              </w:rPr>
            </w:pPr>
            <w:r>
              <w:rPr>
                <w:rFonts w:ascii="Arial" w:cs="Arial" w:eastAsia="Arial" w:hAnsi="Arial"/>
                <w:sz w:val="18"/>
                <w:szCs w:val="18"/>
                <w:color w:val="auto"/>
              </w:rPr>
              <w:t>11</w:t>
            </w:r>
          </w:p>
        </w:tc>
        <w:tc>
          <w:tcPr>
            <w:tcW w:w="3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4060" w:type="dxa"/>
            <w:vAlign w:val="bottom"/>
            <w:tcBorders>
              <w:bottom w:val="single" w:sz="8" w:color="808080"/>
            </w:tcBorders>
          </w:tcPr>
          <w:p>
            <w:pPr>
              <w:spacing w:after="0"/>
              <w:rPr>
                <w:sz w:val="10"/>
                <w:szCs w:val="10"/>
                <w:color w:val="auto"/>
              </w:rPr>
            </w:pPr>
          </w:p>
        </w:tc>
        <w:tc>
          <w:tcPr>
            <w:tcW w:w="3300" w:type="dxa"/>
            <w:vAlign w:val="bottom"/>
            <w:tcBorders>
              <w:bottom w:val="single" w:sz="8" w:color="808080"/>
            </w:tcBorders>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32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2" w:name="page13"/>
    <w:bookmarkEnd w:id="12"/>
    <w:p>
      <w:pPr>
        <w:jc w:val="both"/>
        <w:spacing w:after="0" w:line="257" w:lineRule="auto"/>
        <w:rPr>
          <w:sz w:val="20"/>
          <w:szCs w:val="20"/>
          <w:color w:val="auto"/>
        </w:rPr>
      </w:pPr>
      <w:r>
        <w:rPr>
          <w:rFonts w:ascii="Arial" w:cs="Arial" w:eastAsia="Arial" w:hAnsi="Arial"/>
          <w:sz w:val="18"/>
          <w:szCs w:val="18"/>
          <w:color w:val="auto"/>
        </w:rPr>
        <w:t>The Company has outstanding options with fair values ranging from $5.88 to $19.78 per option or a weighted average fair value of $11.70 per option. The Company issues ordinary shares for all options exercised. The total amount of fully vested share options which remained outstanding at June 30, 2015, was 962,227. Fully vested share options at June 30, 2015, have an average remaining contractual term of 3.51 years, an average exercise price of $25.88 and a total intrinsic value of $39.9 million. The total intrinsic value of options exercised during the six months ended June 30, 2015 was $12.6 million (June 30, 2014: $10.9 million).</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movement in non-vested share options for the six months ended June 30, 2015:</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460" w:type="dxa"/>
            <w:vAlign w:val="bottom"/>
          </w:tcPr>
          <w:p>
            <w:pPr>
              <w:spacing w:after="0"/>
              <w:rPr>
                <w:sz w:val="18"/>
                <w:szCs w:val="18"/>
                <w:color w:val="auto"/>
              </w:rPr>
            </w:pPr>
          </w:p>
        </w:tc>
        <w:tc>
          <w:tcPr>
            <w:tcW w:w="3260" w:type="dxa"/>
            <w:vAlign w:val="bottom"/>
          </w:tcPr>
          <w:p>
            <w:pPr>
              <w:jc w:val="right"/>
              <w:ind w:right="50"/>
              <w:spacing w:after="0"/>
              <w:rPr>
                <w:sz w:val="20"/>
                <w:szCs w:val="20"/>
                <w:color w:val="auto"/>
              </w:rPr>
            </w:pPr>
            <w:r>
              <w:rPr>
                <w:rFonts w:ascii="Arial" w:cs="Arial" w:eastAsia="Arial" w:hAnsi="Arial"/>
                <w:sz w:val="18"/>
                <w:szCs w:val="18"/>
                <w:b w:val="1"/>
                <w:bCs w:val="1"/>
                <w:color w:val="auto"/>
              </w:rPr>
              <w:t>Options</w:t>
            </w:r>
          </w:p>
        </w:tc>
        <w:tc>
          <w:tcPr>
            <w:tcW w:w="3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tcPr>
          <w:p>
            <w:pPr>
              <w:spacing w:after="0"/>
              <w:rPr>
                <w:sz w:val="18"/>
                <w:szCs w:val="18"/>
                <w:color w:val="auto"/>
              </w:rPr>
            </w:pPr>
          </w:p>
        </w:tc>
        <w:tc>
          <w:tcPr>
            <w:tcW w:w="3260" w:type="dxa"/>
            <w:vAlign w:val="bottom"/>
          </w:tcPr>
          <w:p>
            <w:pPr>
              <w:jc w:val="right"/>
              <w:ind w:right="50"/>
              <w:spacing w:after="0"/>
              <w:rPr>
                <w:sz w:val="20"/>
                <w:szCs w:val="20"/>
                <w:color w:val="auto"/>
              </w:rPr>
            </w:pPr>
            <w:r>
              <w:rPr>
                <w:rFonts w:ascii="Arial" w:cs="Arial" w:eastAsia="Arial" w:hAnsi="Arial"/>
                <w:sz w:val="18"/>
                <w:szCs w:val="18"/>
                <w:b w:val="1"/>
                <w:bCs w:val="1"/>
                <w:color w:val="auto"/>
              </w:rPr>
              <w:t>Outstanding</w:t>
            </w:r>
          </w:p>
        </w:tc>
        <w:tc>
          <w:tcPr>
            <w:tcW w:w="340" w:type="dxa"/>
            <w:vAlign w:val="bottom"/>
          </w:tcPr>
          <w:p>
            <w:pPr>
              <w:spacing w:after="0"/>
              <w:rPr>
                <w:sz w:val="18"/>
                <w:szCs w:val="18"/>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b w:val="1"/>
                <w:bCs w:val="1"/>
                <w:color w:val="auto"/>
              </w:rPr>
              <w:t>Weighted</w:t>
            </w:r>
          </w:p>
        </w:tc>
        <w:tc>
          <w:tcPr>
            <w:tcW w:w="32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b w:val="1"/>
                <w:bCs w:val="1"/>
                <w:color w:val="auto"/>
              </w:rPr>
              <w:t>Weighted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tcPr>
          <w:p>
            <w:pPr>
              <w:spacing w:after="0"/>
              <w:rPr>
                <w:sz w:val="18"/>
                <w:szCs w:val="18"/>
                <w:color w:val="auto"/>
              </w:rPr>
            </w:pPr>
          </w:p>
        </w:tc>
        <w:tc>
          <w:tcPr>
            <w:tcW w:w="3260" w:type="dxa"/>
            <w:vAlign w:val="bottom"/>
          </w:tcPr>
          <w:p>
            <w:pPr>
              <w:jc w:val="right"/>
              <w:ind w:right="50"/>
              <w:spacing w:after="0"/>
              <w:rPr>
                <w:sz w:val="20"/>
                <w:szCs w:val="20"/>
                <w:color w:val="auto"/>
              </w:rPr>
            </w:pPr>
            <w:r>
              <w:rPr>
                <w:rFonts w:ascii="Arial" w:cs="Arial" w:eastAsia="Arial" w:hAnsi="Arial"/>
                <w:sz w:val="18"/>
                <w:szCs w:val="18"/>
                <w:b w:val="1"/>
                <w:bCs w:val="1"/>
                <w:color w:val="auto"/>
              </w:rPr>
              <w:t>Number of</w:t>
            </w:r>
          </w:p>
        </w:tc>
        <w:tc>
          <w:tcPr>
            <w:tcW w:w="340" w:type="dxa"/>
            <w:vAlign w:val="bottom"/>
          </w:tcPr>
          <w:p>
            <w:pPr>
              <w:spacing w:after="0"/>
              <w:rPr>
                <w:sz w:val="18"/>
                <w:szCs w:val="18"/>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b w:val="1"/>
                <w:bCs w:val="1"/>
                <w:color w:val="auto"/>
              </w:rPr>
              <w:t>Average</w:t>
            </w:r>
          </w:p>
        </w:tc>
        <w:tc>
          <w:tcPr>
            <w:tcW w:w="32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b w:val="1"/>
                <w:bCs w:val="1"/>
                <w:color w:val="auto"/>
              </w:rPr>
              <w:t>Average</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460" w:type="dxa"/>
            <w:vAlign w:val="bottom"/>
          </w:tcPr>
          <w:p>
            <w:pPr>
              <w:spacing w:after="0"/>
              <w:rPr>
                <w:sz w:val="20"/>
                <w:szCs w:val="20"/>
                <w:color w:val="auto"/>
              </w:rPr>
            </w:pPr>
          </w:p>
        </w:tc>
        <w:tc>
          <w:tcPr>
            <w:tcW w:w="3260" w:type="dxa"/>
            <w:vAlign w:val="bottom"/>
          </w:tcPr>
          <w:p>
            <w:pPr>
              <w:jc w:val="right"/>
              <w:ind w:right="50"/>
              <w:spacing w:after="0"/>
              <w:rPr>
                <w:sz w:val="20"/>
                <w:szCs w:val="20"/>
                <w:color w:val="auto"/>
              </w:rPr>
            </w:pPr>
            <w:r>
              <w:rPr>
                <w:rFonts w:ascii="Arial" w:cs="Arial" w:eastAsia="Arial" w:hAnsi="Arial"/>
                <w:sz w:val="18"/>
                <w:szCs w:val="18"/>
                <w:b w:val="1"/>
                <w:bCs w:val="1"/>
                <w:color w:val="auto"/>
              </w:rPr>
              <w:t>Shares</w:t>
            </w:r>
          </w:p>
        </w:tc>
        <w:tc>
          <w:tcPr>
            <w:tcW w:w="1320" w:type="dxa"/>
            <w:vAlign w:val="bottom"/>
            <w:gridSpan w:val="2"/>
          </w:tcPr>
          <w:p>
            <w:pPr>
              <w:jc w:val="right"/>
              <w:ind w:right="10"/>
              <w:spacing w:after="0"/>
              <w:rPr>
                <w:sz w:val="20"/>
                <w:szCs w:val="20"/>
                <w:color w:val="auto"/>
              </w:rPr>
            </w:pPr>
            <w:r>
              <w:rPr>
                <w:rFonts w:ascii="Arial" w:cs="Arial" w:eastAsia="Arial" w:hAnsi="Arial"/>
                <w:sz w:val="18"/>
                <w:szCs w:val="18"/>
                <w:b w:val="1"/>
                <w:bCs w:val="1"/>
                <w:color w:val="auto"/>
                <w:w w:val="97"/>
              </w:rPr>
              <w:t>Exercise Price</w:t>
            </w:r>
          </w:p>
        </w:tc>
        <w:tc>
          <w:tcPr>
            <w:tcW w:w="320" w:type="dxa"/>
            <w:vAlign w:val="bottom"/>
          </w:tcPr>
          <w:p>
            <w:pPr>
              <w:spacing w:after="0"/>
              <w:rPr>
                <w:sz w:val="20"/>
                <w:szCs w:val="20"/>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b w:val="1"/>
                <w:bCs w:val="1"/>
                <w:color w:val="auto"/>
              </w:rPr>
              <w:t>Fair Value</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46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vMerge w:val="continue"/>
          </w:tcPr>
          <w:p>
            <w:pPr>
              <w:spacing w:after="0"/>
              <w:rPr>
                <w:sz w:val="19"/>
                <w:szCs w:val="19"/>
                <w:color w:val="auto"/>
              </w:rPr>
            </w:pPr>
          </w:p>
        </w:tc>
        <w:tc>
          <w:tcPr>
            <w:tcW w:w="54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Non vested outstanding at December 31, 2014</w:t>
            </w:r>
          </w:p>
        </w:tc>
        <w:tc>
          <w:tcPr>
            <w:tcW w:w="3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1,203,150</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30.54</w:t>
            </w:r>
          </w:p>
        </w:tc>
        <w:tc>
          <w:tcPr>
            <w:tcW w:w="3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10.98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46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Granted</w:t>
            </w:r>
          </w:p>
        </w:tc>
        <w:tc>
          <w:tcPr>
            <w:tcW w:w="3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259,059</w:t>
            </w:r>
          </w:p>
        </w:tc>
        <w:tc>
          <w:tcPr>
            <w:tcW w:w="3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68.25</w:t>
            </w:r>
          </w:p>
        </w:tc>
        <w:tc>
          <w:tcPr>
            <w:tcW w:w="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19.75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tcPr>
          <w:p>
            <w:pPr>
              <w:spacing w:after="0"/>
              <w:rPr>
                <w:sz w:val="20"/>
                <w:szCs w:val="20"/>
                <w:color w:val="auto"/>
              </w:rPr>
            </w:pPr>
            <w:r>
              <w:rPr>
                <w:rFonts w:ascii="Arial" w:cs="Arial" w:eastAsia="Arial" w:hAnsi="Arial"/>
                <w:sz w:val="18"/>
                <w:szCs w:val="18"/>
                <w:color w:val="auto"/>
              </w:rPr>
              <w:t>Vested</w:t>
            </w:r>
          </w:p>
        </w:tc>
        <w:tc>
          <w:tcPr>
            <w:tcW w:w="3260" w:type="dxa"/>
            <w:vAlign w:val="bottom"/>
          </w:tcPr>
          <w:p>
            <w:pPr>
              <w:jc w:val="right"/>
              <w:spacing w:after="0"/>
              <w:rPr>
                <w:sz w:val="20"/>
                <w:szCs w:val="20"/>
                <w:color w:val="auto"/>
              </w:rPr>
            </w:pPr>
            <w:r>
              <w:rPr>
                <w:rFonts w:ascii="Arial" w:cs="Arial" w:eastAsia="Arial" w:hAnsi="Arial"/>
                <w:sz w:val="18"/>
                <w:szCs w:val="18"/>
                <w:color w:val="auto"/>
              </w:rPr>
              <w:t>(377,436)</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28.22</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10.48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4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Forfeited</w:t>
            </w:r>
          </w:p>
        </w:tc>
        <w:tc>
          <w:tcPr>
            <w:tcW w:w="3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(29,144)</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25.19</w:t>
            </w:r>
          </w:p>
        </w:tc>
        <w:tc>
          <w:tcPr>
            <w:tcW w:w="3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10.20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46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20" w:type="dxa"/>
            <w:vAlign w:val="bottom"/>
            <w:vMerge w:val="continue"/>
          </w:tcPr>
          <w:p>
            <w:pPr>
              <w:spacing w:after="0"/>
              <w:rPr>
                <w:sz w:val="22"/>
                <w:szCs w:val="22"/>
                <w:color w:val="auto"/>
              </w:rPr>
            </w:pPr>
          </w:p>
        </w:tc>
        <w:tc>
          <w:tcPr>
            <w:tcW w:w="54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Non vested outstanding at June 30, 2015</w:t>
            </w:r>
          </w:p>
        </w:tc>
        <w:tc>
          <w:tcPr>
            <w:tcW w:w="3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1,055,629</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40.77</w:t>
            </w:r>
          </w:p>
        </w:tc>
        <w:tc>
          <w:tcPr>
            <w:tcW w:w="3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13.33</w:t>
            </w:r>
          </w:p>
        </w:tc>
        <w:tc>
          <w:tcPr>
            <w:tcW w:w="0" w:type="dxa"/>
            <w:vAlign w:val="bottom"/>
          </w:tcPr>
          <w:p>
            <w:pPr>
              <w:spacing w:after="0"/>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 of Stock Options Assumptions</w:t>
      </w:r>
    </w:p>
    <w:p>
      <w:pPr>
        <w:spacing w:after="0" w:line="25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weighted average fair value of options granted during the six months ended June 30, 2015 and June 30, 2014 was calculated using the Black-Scholes option pricing model. The weighted average fair values and assumptions used were as follows: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380" w:type="dxa"/>
            <w:vAlign w:val="bottom"/>
          </w:tcPr>
          <w:p>
            <w:pPr>
              <w:spacing w:after="0"/>
              <w:rPr>
                <w:sz w:val="17"/>
                <w:szCs w:val="17"/>
                <w:color w:val="auto"/>
              </w:rPr>
            </w:pPr>
          </w:p>
        </w:tc>
        <w:tc>
          <w:tcPr>
            <w:tcW w:w="38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20" w:type="dxa"/>
            <w:vAlign w:val="bottom"/>
            <w:tcBorders>
              <w:bottom w:val="single" w:sz="8" w:color="auto"/>
            </w:tcBorders>
            <w:gridSpan w:val="6"/>
          </w:tcPr>
          <w:p>
            <w:pPr>
              <w:spacing w:after="0"/>
              <w:rPr>
                <w:sz w:val="20"/>
                <w:szCs w:val="20"/>
                <w:color w:val="auto"/>
              </w:rPr>
            </w:pPr>
            <w:r>
              <w:rPr>
                <w:rFonts w:ascii="Arial" w:cs="Arial" w:eastAsia="Arial" w:hAnsi="Arial"/>
                <w:sz w:val="18"/>
                <w:szCs w:val="18"/>
                <w:b w:val="1"/>
                <w:bCs w:val="1"/>
                <w:color w:val="auto"/>
                <w:w w:val="89"/>
              </w:rPr>
              <w:t>Six Months Ended</w:t>
            </w:r>
          </w:p>
        </w:tc>
        <w:tc>
          <w:tcPr>
            <w:tcW w:w="72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380" w:type="dxa"/>
            <w:vAlign w:val="bottom"/>
          </w:tcPr>
          <w:p>
            <w:pPr>
              <w:spacing w:after="0"/>
              <w:rPr>
                <w:sz w:val="17"/>
                <w:szCs w:val="17"/>
                <w:color w:val="auto"/>
              </w:rPr>
            </w:pPr>
          </w:p>
        </w:tc>
        <w:tc>
          <w:tcPr>
            <w:tcW w:w="3840" w:type="dxa"/>
            <w:vAlign w:val="bottom"/>
          </w:tcPr>
          <w:p>
            <w:pPr>
              <w:spacing w:after="0"/>
              <w:rPr>
                <w:sz w:val="17"/>
                <w:szCs w:val="17"/>
                <w:color w:val="auto"/>
              </w:rPr>
            </w:pPr>
          </w:p>
        </w:tc>
        <w:tc>
          <w:tcPr>
            <w:tcW w:w="64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w w:val="85"/>
              </w:rPr>
              <w:t>June 30,</w:t>
            </w: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0" w:type="dxa"/>
            <w:vAlign w:val="bottom"/>
            <w:gridSpan w:val="5"/>
          </w:tcPr>
          <w:p>
            <w:pPr>
              <w:jc w:val="right"/>
              <w:ind w:right="160"/>
              <w:spacing w:after="0" w:line="196" w:lineRule="exact"/>
              <w:rPr>
                <w:sz w:val="20"/>
                <w:szCs w:val="20"/>
                <w:color w:val="auto"/>
              </w:rPr>
            </w:pPr>
            <w:r>
              <w:rPr>
                <w:rFonts w:ascii="Arial" w:cs="Arial" w:eastAsia="Arial" w:hAnsi="Arial"/>
                <w:sz w:val="18"/>
                <w:szCs w:val="18"/>
                <w:b w:val="1"/>
                <w:bCs w:val="1"/>
                <w:color w:val="auto"/>
              </w:rPr>
              <w:t>June 30,</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380" w:type="dxa"/>
            <w:vAlign w:val="bottom"/>
          </w:tcPr>
          <w:p>
            <w:pPr>
              <w:spacing w:after="0"/>
              <w:rPr>
                <w:sz w:val="17"/>
                <w:szCs w:val="17"/>
                <w:color w:val="auto"/>
              </w:rPr>
            </w:pPr>
          </w:p>
        </w:tc>
        <w:tc>
          <w:tcPr>
            <w:tcW w:w="3840" w:type="dxa"/>
            <w:vAlign w:val="bottom"/>
          </w:tcPr>
          <w:p>
            <w:pPr>
              <w:spacing w:after="0"/>
              <w:rPr>
                <w:sz w:val="17"/>
                <w:szCs w:val="17"/>
                <w:color w:val="auto"/>
              </w:rPr>
            </w:pPr>
          </w:p>
        </w:tc>
        <w:tc>
          <w:tcPr>
            <w:tcW w:w="640" w:type="dxa"/>
            <w:vAlign w:val="bottom"/>
            <w:tcBorders>
              <w:top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rPr>
              <w:t>2015</w:t>
            </w: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0" w:type="dxa"/>
            <w:vAlign w:val="bottom"/>
            <w:tcBorders>
              <w:top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rPr>
              <w:t>2014</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20" w:type="dxa"/>
            <w:vAlign w:val="bottom"/>
            <w:vMerge w:val="restart"/>
          </w:tcPr>
          <w:p>
            <w:pPr>
              <w:spacing w:after="0"/>
              <w:rPr>
                <w:sz w:val="20"/>
                <w:szCs w:val="20"/>
                <w:color w:val="auto"/>
              </w:rPr>
            </w:pPr>
          </w:p>
        </w:tc>
        <w:tc>
          <w:tcPr>
            <w:tcW w:w="980" w:type="dxa"/>
            <w:vAlign w:val="bottom"/>
          </w:tcPr>
          <w:p>
            <w:pPr>
              <w:spacing w:after="0"/>
              <w:rPr>
                <w:sz w:val="20"/>
                <w:szCs w:val="20"/>
                <w:color w:val="auto"/>
              </w:rPr>
            </w:pPr>
          </w:p>
        </w:tc>
        <w:tc>
          <w:tcPr>
            <w:tcW w:w="4380" w:type="dxa"/>
            <w:vAlign w:val="bottom"/>
          </w:tcPr>
          <w:p>
            <w:pPr>
              <w:spacing w:after="0"/>
              <w:rPr>
                <w:sz w:val="20"/>
                <w:szCs w:val="20"/>
                <w:color w:val="auto"/>
              </w:rPr>
            </w:pPr>
          </w:p>
        </w:tc>
        <w:tc>
          <w:tcPr>
            <w:tcW w:w="38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7"/>
        </w:trPr>
        <w:tc>
          <w:tcPr>
            <w:tcW w:w="20" w:type="dxa"/>
            <w:vAlign w:val="bottom"/>
            <w:vMerge w:val="continue"/>
          </w:tcPr>
          <w:p>
            <w:pPr>
              <w:spacing w:after="0"/>
              <w:rPr>
                <w:sz w:val="22"/>
                <w:szCs w:val="22"/>
                <w:color w:val="auto"/>
              </w:rPr>
            </w:pPr>
          </w:p>
        </w:tc>
        <w:tc>
          <w:tcPr>
            <w:tcW w:w="536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Weighted average fair value</w:t>
            </w:r>
          </w:p>
        </w:tc>
        <w:tc>
          <w:tcPr>
            <w:tcW w:w="3840" w:type="dxa"/>
            <w:vAlign w:val="bottom"/>
            <w:tcBorders>
              <w:bottom w:val="single" w:sz="8" w:color="auto"/>
            </w:tcBorders>
            <w:shd w:val="clear" w:color="auto" w:fill="CCEEFF"/>
          </w:tcPr>
          <w:p>
            <w:pPr>
              <w:jc w:val="right"/>
              <w:ind w:right="330"/>
              <w:spacing w:after="0"/>
              <w:rPr>
                <w:sz w:val="20"/>
                <w:szCs w:val="20"/>
                <w:color w:val="auto"/>
              </w:rPr>
            </w:pPr>
            <w:r>
              <w:rPr>
                <w:rFonts w:ascii="Arial" w:cs="Arial" w:eastAsia="Arial" w:hAnsi="Arial"/>
                <w:sz w:val="18"/>
                <w:szCs w:val="18"/>
                <w:color w:val="auto"/>
              </w:rPr>
              <w:t>$</w:t>
            </w:r>
          </w:p>
        </w:tc>
        <w:tc>
          <w:tcPr>
            <w:tcW w:w="64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19.75</w:t>
            </w:r>
          </w:p>
        </w:tc>
        <w:tc>
          <w:tcPr>
            <w:tcW w:w="200" w:type="dxa"/>
            <w:vAlign w:val="bottom"/>
            <w:tcBorders>
              <w:bottom w:val="single" w:sz="8" w:color="auto"/>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gridSpan w:val="5"/>
            <w:shd w:val="clear" w:color="auto" w:fill="CCEEFF"/>
          </w:tcPr>
          <w:p>
            <w:pPr>
              <w:jc w:val="right"/>
              <w:ind w:right="160"/>
              <w:spacing w:after="0"/>
              <w:rPr>
                <w:sz w:val="20"/>
                <w:szCs w:val="20"/>
                <w:color w:val="auto"/>
              </w:rPr>
            </w:pPr>
            <w:r>
              <w:rPr>
                <w:rFonts w:ascii="Arial" w:cs="Arial" w:eastAsia="Arial" w:hAnsi="Arial"/>
                <w:sz w:val="18"/>
                <w:szCs w:val="18"/>
                <w:color w:val="auto"/>
              </w:rPr>
              <w:t>12.24</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980" w:type="dxa"/>
            <w:vAlign w:val="bottom"/>
          </w:tcPr>
          <w:p>
            <w:pPr>
              <w:spacing w:after="0"/>
              <w:rPr>
                <w:sz w:val="18"/>
                <w:szCs w:val="18"/>
                <w:color w:val="auto"/>
              </w:rPr>
            </w:pPr>
          </w:p>
        </w:tc>
        <w:tc>
          <w:tcPr>
            <w:tcW w:w="4380" w:type="dxa"/>
            <w:vAlign w:val="bottom"/>
          </w:tcPr>
          <w:p>
            <w:pPr>
              <w:spacing w:after="0"/>
              <w:rPr>
                <w:sz w:val="18"/>
                <w:szCs w:val="18"/>
                <w:color w:val="auto"/>
              </w:rPr>
            </w:pPr>
          </w:p>
        </w:tc>
        <w:tc>
          <w:tcPr>
            <w:tcW w:w="38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vMerge w:val="continue"/>
          </w:tcPr>
          <w:p>
            <w:pPr>
              <w:spacing w:after="0"/>
              <w:rPr>
                <w:sz w:val="17"/>
                <w:szCs w:val="17"/>
                <w:color w:val="auto"/>
              </w:rPr>
            </w:pPr>
          </w:p>
        </w:tc>
        <w:tc>
          <w:tcPr>
            <w:tcW w:w="980" w:type="dxa"/>
            <w:vAlign w:val="bottom"/>
            <w:tcBorders>
              <w:bottom w:val="single" w:sz="8" w:color="auto"/>
            </w:tcBorders>
            <w:shd w:val="clear" w:color="auto" w:fill="CCEEFF"/>
          </w:tcPr>
          <w:p>
            <w:pPr>
              <w:spacing w:after="0" w:line="176" w:lineRule="exact"/>
              <w:rPr>
                <w:sz w:val="20"/>
                <w:szCs w:val="20"/>
                <w:color w:val="auto"/>
              </w:rPr>
            </w:pPr>
            <w:r>
              <w:rPr>
                <w:rFonts w:ascii="Arial" w:cs="Arial" w:eastAsia="Arial" w:hAnsi="Arial"/>
                <w:sz w:val="18"/>
                <w:szCs w:val="18"/>
                <w:color w:val="auto"/>
                <w:w w:val="88"/>
              </w:rPr>
              <w:t>Assumptions:</w:t>
            </w:r>
          </w:p>
        </w:tc>
        <w:tc>
          <w:tcPr>
            <w:tcW w:w="4380" w:type="dxa"/>
            <w:vAlign w:val="bottom"/>
            <w:tcBorders>
              <w:bottom w:val="single" w:sz="8" w:color="CCEEFF"/>
            </w:tcBorders>
            <w:shd w:val="clear" w:color="auto" w:fill="CCEEFF"/>
          </w:tcPr>
          <w:p>
            <w:pPr>
              <w:spacing w:after="0"/>
              <w:rPr>
                <w:sz w:val="17"/>
                <w:szCs w:val="17"/>
                <w:color w:val="auto"/>
              </w:rPr>
            </w:pPr>
          </w:p>
        </w:tc>
        <w:tc>
          <w:tcPr>
            <w:tcW w:w="3840" w:type="dxa"/>
            <w:vAlign w:val="bottom"/>
            <w:tcBorders>
              <w:bottom w:val="single" w:sz="8" w:color="CCEEFF"/>
            </w:tcBorders>
            <w:shd w:val="clear" w:color="auto" w:fill="CCEEFF"/>
          </w:tcPr>
          <w:p>
            <w:pPr>
              <w:spacing w:after="0"/>
              <w:rPr>
                <w:sz w:val="17"/>
                <w:szCs w:val="17"/>
                <w:color w:val="auto"/>
              </w:rPr>
            </w:pPr>
          </w:p>
        </w:tc>
        <w:tc>
          <w:tcPr>
            <w:tcW w:w="6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36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36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36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gridSpan w:val="2"/>
          </w:tcPr>
          <w:p>
            <w:pPr>
              <w:spacing w:after="0"/>
              <w:rPr>
                <w:sz w:val="20"/>
                <w:szCs w:val="20"/>
                <w:color w:val="auto"/>
              </w:rPr>
            </w:pPr>
            <w:r>
              <w:rPr>
                <w:rFonts w:ascii="Arial" w:cs="Arial" w:eastAsia="Arial" w:hAnsi="Arial"/>
                <w:sz w:val="18"/>
                <w:szCs w:val="18"/>
                <w:color w:val="auto"/>
              </w:rPr>
              <w:t>Expected volatility</w:t>
            </w:r>
          </w:p>
        </w:tc>
        <w:tc>
          <w:tcPr>
            <w:tcW w:w="3840" w:type="dxa"/>
            <w:vAlign w:val="bottom"/>
          </w:tcPr>
          <w:p>
            <w:pPr>
              <w:spacing w:after="0"/>
              <w:rPr>
                <w:sz w:val="18"/>
                <w:szCs w:val="18"/>
                <w:color w:val="auto"/>
              </w:rPr>
            </w:pPr>
          </w:p>
        </w:tc>
        <w:tc>
          <w:tcPr>
            <w:tcW w:w="840" w:type="dxa"/>
            <w:vAlign w:val="bottom"/>
            <w:gridSpan w:val="4"/>
          </w:tcPr>
          <w:p>
            <w:pPr>
              <w:jc w:val="right"/>
              <w:ind w:right="60"/>
              <w:spacing w:after="0"/>
              <w:rPr>
                <w:sz w:val="20"/>
                <w:szCs w:val="20"/>
                <w:color w:val="auto"/>
              </w:rPr>
            </w:pPr>
            <w:r>
              <w:rPr>
                <w:rFonts w:ascii="Arial" w:cs="Arial" w:eastAsia="Arial" w:hAnsi="Arial"/>
                <w:sz w:val="18"/>
                <w:szCs w:val="18"/>
                <w:color w:val="auto"/>
              </w:rPr>
              <w:t>30%</w:t>
            </w:r>
          </w:p>
        </w:tc>
        <w:tc>
          <w:tcPr>
            <w:tcW w:w="360" w:type="dxa"/>
            <w:vAlign w:val="bottom"/>
          </w:tcPr>
          <w:p>
            <w:pPr>
              <w:spacing w:after="0"/>
              <w:rPr>
                <w:sz w:val="18"/>
                <w:szCs w:val="18"/>
                <w:color w:val="auto"/>
              </w:rPr>
            </w:pPr>
          </w:p>
        </w:tc>
        <w:tc>
          <w:tcPr>
            <w:tcW w:w="1000" w:type="dxa"/>
            <w:vAlign w:val="bottom"/>
            <w:gridSpan w:val="5"/>
          </w:tcPr>
          <w:p>
            <w:pPr>
              <w:jc w:val="right"/>
              <w:ind w:right="20"/>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Dividend yield</w:t>
            </w:r>
          </w:p>
        </w:tc>
        <w:tc>
          <w:tcPr>
            <w:tcW w:w="3840" w:type="dxa"/>
            <w:vAlign w:val="bottom"/>
            <w:shd w:val="clear" w:color="auto" w:fill="CCEEFF"/>
          </w:tcPr>
          <w:p>
            <w:pPr>
              <w:spacing w:after="0"/>
              <w:rPr>
                <w:sz w:val="18"/>
                <w:szCs w:val="18"/>
                <w:color w:val="auto"/>
              </w:rPr>
            </w:pPr>
          </w:p>
        </w:tc>
        <w:tc>
          <w:tcPr>
            <w:tcW w:w="84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0%</w:t>
            </w:r>
          </w:p>
        </w:tc>
        <w:tc>
          <w:tcPr>
            <w:tcW w:w="360" w:type="dxa"/>
            <w:vAlign w:val="bottom"/>
            <w:shd w:val="clear" w:color="auto" w:fill="CCEEFF"/>
          </w:tcPr>
          <w:p>
            <w:pPr>
              <w:spacing w:after="0"/>
              <w:rPr>
                <w:sz w:val="18"/>
                <w:szCs w:val="18"/>
                <w:color w:val="auto"/>
              </w:rPr>
            </w:pPr>
          </w:p>
        </w:tc>
        <w:tc>
          <w:tcPr>
            <w:tcW w:w="1000" w:type="dxa"/>
            <w:vAlign w:val="bottom"/>
            <w:gridSpan w:val="5"/>
            <w:shd w:val="clear" w:color="auto" w:fill="CCEEFF"/>
          </w:tcPr>
          <w:p>
            <w:pPr>
              <w:jc w:val="right"/>
              <w:ind w:right="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gridSpan w:val="2"/>
          </w:tcPr>
          <w:p>
            <w:pPr>
              <w:spacing w:after="0"/>
              <w:rPr>
                <w:sz w:val="20"/>
                <w:szCs w:val="20"/>
                <w:color w:val="auto"/>
              </w:rPr>
            </w:pPr>
            <w:r>
              <w:rPr>
                <w:rFonts w:ascii="Arial" w:cs="Arial" w:eastAsia="Arial" w:hAnsi="Arial"/>
                <w:sz w:val="18"/>
                <w:szCs w:val="18"/>
                <w:color w:val="auto"/>
              </w:rPr>
              <w:t>Risk-free interest rate</w:t>
            </w:r>
          </w:p>
        </w:tc>
        <w:tc>
          <w:tcPr>
            <w:tcW w:w="3840" w:type="dxa"/>
            <w:vAlign w:val="bottom"/>
          </w:tcPr>
          <w:p>
            <w:pPr>
              <w:spacing w:after="0"/>
              <w:rPr>
                <w:sz w:val="18"/>
                <w:szCs w:val="18"/>
                <w:color w:val="auto"/>
              </w:rPr>
            </w:pPr>
          </w:p>
        </w:tc>
        <w:tc>
          <w:tcPr>
            <w:tcW w:w="840" w:type="dxa"/>
            <w:vAlign w:val="bottom"/>
            <w:gridSpan w:val="4"/>
          </w:tcPr>
          <w:p>
            <w:pPr>
              <w:jc w:val="right"/>
              <w:ind w:right="60"/>
              <w:spacing w:after="0"/>
              <w:rPr>
                <w:sz w:val="20"/>
                <w:szCs w:val="20"/>
                <w:color w:val="auto"/>
              </w:rPr>
            </w:pPr>
            <w:r>
              <w:rPr>
                <w:rFonts w:ascii="Arial" w:cs="Arial" w:eastAsia="Arial" w:hAnsi="Arial"/>
                <w:sz w:val="18"/>
                <w:szCs w:val="18"/>
                <w:color w:val="auto"/>
              </w:rPr>
              <w:t>1.58%</w:t>
            </w:r>
          </w:p>
        </w:tc>
        <w:tc>
          <w:tcPr>
            <w:tcW w:w="360" w:type="dxa"/>
            <w:vAlign w:val="bottom"/>
          </w:tcPr>
          <w:p>
            <w:pPr>
              <w:spacing w:after="0"/>
              <w:rPr>
                <w:sz w:val="18"/>
                <w:szCs w:val="18"/>
                <w:color w:val="auto"/>
              </w:rPr>
            </w:pPr>
          </w:p>
        </w:tc>
        <w:tc>
          <w:tcPr>
            <w:tcW w:w="1000" w:type="dxa"/>
            <w:vAlign w:val="bottom"/>
            <w:gridSpan w:val="5"/>
          </w:tcPr>
          <w:p>
            <w:pPr>
              <w:jc w:val="right"/>
              <w:ind w:right="20"/>
              <w:spacing w:after="0"/>
              <w:rPr>
                <w:sz w:val="20"/>
                <w:szCs w:val="20"/>
                <w:color w:val="auto"/>
              </w:rPr>
            </w:pPr>
            <w:r>
              <w:rPr>
                <w:rFonts w:ascii="Arial" w:cs="Arial" w:eastAsia="Arial" w:hAnsi="Arial"/>
                <w:sz w:val="18"/>
                <w:szCs w:val="18"/>
                <w:color w:val="auto"/>
              </w:rPr>
              <w:t>1.54%</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536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Expected life</w:t>
            </w:r>
          </w:p>
        </w:tc>
        <w:tc>
          <w:tcPr>
            <w:tcW w:w="3840" w:type="dxa"/>
            <w:vAlign w:val="bottom"/>
            <w:tcBorders>
              <w:bottom w:val="single" w:sz="8" w:color="auto"/>
            </w:tcBorders>
            <w:shd w:val="clear" w:color="auto" w:fill="CCEEFF"/>
          </w:tcPr>
          <w:p>
            <w:pPr>
              <w:spacing w:after="0"/>
              <w:rPr>
                <w:sz w:val="22"/>
                <w:szCs w:val="22"/>
                <w:color w:val="auto"/>
              </w:rPr>
            </w:pPr>
          </w:p>
        </w:tc>
        <w:tc>
          <w:tcPr>
            <w:tcW w:w="60" w:type="dxa"/>
            <w:vAlign w:val="bottom"/>
            <w:tcBorders>
              <w:bottom w:val="single" w:sz="8" w:color="auto"/>
            </w:tcBorders>
            <w:shd w:val="clear" w:color="auto" w:fill="CCEEFF"/>
          </w:tcPr>
          <w:p>
            <w:pPr>
              <w:spacing w:after="0"/>
              <w:rPr>
                <w:sz w:val="22"/>
                <w:szCs w:val="22"/>
                <w:color w:val="auto"/>
              </w:rPr>
            </w:pPr>
          </w:p>
        </w:tc>
        <w:tc>
          <w:tcPr>
            <w:tcW w:w="780" w:type="dxa"/>
            <w:vAlign w:val="bottom"/>
            <w:tcBorders>
              <w:bottom w:val="single" w:sz="8" w:color="auto"/>
            </w:tcBorders>
            <w:gridSpan w:val="3"/>
            <w:shd w:val="clear" w:color="auto" w:fill="CCEEFF"/>
          </w:tcPr>
          <w:p>
            <w:pPr>
              <w:jc w:val="right"/>
              <w:ind w:right="200"/>
              <w:spacing w:after="0"/>
              <w:rPr>
                <w:sz w:val="20"/>
                <w:szCs w:val="20"/>
                <w:color w:val="auto"/>
              </w:rPr>
            </w:pPr>
            <w:r>
              <w:rPr>
                <w:rFonts w:ascii="Arial" w:cs="Arial" w:eastAsia="Arial" w:hAnsi="Arial"/>
                <w:sz w:val="18"/>
                <w:szCs w:val="18"/>
                <w:color w:val="auto"/>
                <w:w w:val="94"/>
              </w:rPr>
              <w:t>5 years</w:t>
            </w:r>
          </w:p>
        </w:tc>
        <w:tc>
          <w:tcPr>
            <w:tcW w:w="360" w:type="dxa"/>
            <w:vAlign w:val="bottom"/>
            <w:tcBorders>
              <w:bottom w:val="single" w:sz="8" w:color="auto"/>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8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w w:val="91"/>
              </w:rPr>
              <w:t>5 years</w:t>
            </w:r>
          </w:p>
        </w:tc>
        <w:tc>
          <w:tcPr>
            <w:tcW w:w="0" w:type="dxa"/>
            <w:vAlign w:val="bottom"/>
          </w:tcPr>
          <w:p>
            <w:pPr>
              <w:spacing w:after="0"/>
              <w:rPr>
                <w:sz w:val="1"/>
                <w:szCs w:val="1"/>
                <w:color w:val="auto"/>
              </w:rPr>
            </w:pPr>
          </w:p>
        </w:tc>
      </w:tr>
    </w:tbl>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Expected volatility is based on the historical volatility of our common stock over a period equal to the expected term of the options; the expected life represents the weighted average period of time that options granted are expected to be outstanding given consideration to vesting schedules and our historical experience of past vesting and termination patterns. The risk-free rate is based on the U.S. government zero-coupon bonds yield curve in effect at time of the grant for periods corresponding with the expected life of the option.</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Share Units and Performance Share Units</w:t>
      </w:r>
    </w:p>
    <w:p>
      <w:pPr>
        <w:spacing w:after="0" w:line="25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July 21, 2008 the Company adopted the 2008 Employees Restricted Share Unit Plan (the “2008 RSU Plan”) pursuant to which the Compensation and Organization Committee of the Company’s Board of Directors may select any employee, or any director holding a salaried office or employment with the Company, or a Subsidiary to receive an award under the plan. An aggregate of 1.0 million ordinary shares have been reserved for issuance under the 2008 RSU Plan.</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3" w:name="page14"/>
    <w:bookmarkEnd w:id="13"/>
    <w:p>
      <w:pPr>
        <w:jc w:val="both"/>
        <w:spacing w:after="0" w:line="273" w:lineRule="auto"/>
        <w:rPr>
          <w:sz w:val="20"/>
          <w:szCs w:val="20"/>
          <w:color w:val="auto"/>
        </w:rPr>
      </w:pPr>
      <w:r>
        <w:rPr>
          <w:rFonts w:ascii="Arial" w:cs="Arial" w:eastAsia="Arial" w:hAnsi="Arial"/>
          <w:sz w:val="17"/>
          <w:szCs w:val="17"/>
          <w:color w:val="auto"/>
        </w:rPr>
        <w:t>On April 23, 2013 the Company adopted the 2013 Employees Restricted Share Unit Plan (the “2013 RSU Plan”) pursuant to which the Compensation and Organization Committee of the Company’s Board of Directors may select any employee, or any director holding a salaried office or employment with the Company, or a Subsidiary to receive Restricted Share Units (“RSUs”) and/or Performance Share Units (“PSUs”) under the plan. On May 11, 2015 the 2013 RSU Plan was amended and restated in order to increase the number of shares that can be issued under the RSU Plan by 2.5 million shares. Accordingly, an aggregate of 4.1 million ordinary shares have been reserved for issuance under the 2013 RSU Plan. The shares are awarded at par value and vest over a service period. Awards under the 2013 RSU Plan may be settled in cash or shares at the option of the Company.</w:t>
      </w:r>
    </w:p>
    <w:p>
      <w:pPr>
        <w:spacing w:after="0" w:line="205"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The Company has awarded RSUs and PSUs to certain key individuals of the Group. The following table summarizes RSU and PSU activity for the six months ended June 30, 2015:</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340" w:type="dxa"/>
            <w:vAlign w:val="bottom"/>
          </w:tcPr>
          <w:p>
            <w:pPr>
              <w:jc w:val="right"/>
              <w:ind w:right="110"/>
              <w:spacing w:after="0"/>
              <w:rPr>
                <w:sz w:val="20"/>
                <w:szCs w:val="20"/>
                <w:color w:val="auto"/>
              </w:rPr>
            </w:pPr>
            <w:r>
              <w:rPr>
                <w:rFonts w:ascii="Arial" w:cs="Arial" w:eastAsia="Arial" w:hAnsi="Arial"/>
                <w:sz w:val="18"/>
                <w:szCs w:val="18"/>
                <w:b w:val="1"/>
                <w:bCs w:val="1"/>
                <w:color w:val="auto"/>
              </w:rPr>
              <w:t>PSU</w:t>
            </w:r>
          </w:p>
        </w:tc>
        <w:tc>
          <w:tcPr>
            <w:tcW w:w="1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RSU</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20" w:type="dxa"/>
            <w:vAlign w:val="bottom"/>
          </w:tcPr>
          <w:p>
            <w:pPr>
              <w:jc w:val="right"/>
              <w:ind w:right="130"/>
              <w:spacing w:after="0"/>
              <w:rPr>
                <w:sz w:val="20"/>
                <w:szCs w:val="20"/>
                <w:color w:val="auto"/>
              </w:rPr>
            </w:pPr>
            <w:r>
              <w:rPr>
                <w:rFonts w:ascii="Arial" w:cs="Arial" w:eastAsia="Arial" w:hAnsi="Arial"/>
                <w:sz w:val="18"/>
                <w:szCs w:val="18"/>
                <w:b w:val="1"/>
                <w:bCs w:val="1"/>
                <w:color w:val="auto"/>
              </w:rPr>
              <w:t>PSU</w:t>
            </w:r>
          </w:p>
        </w:tc>
        <w:tc>
          <w:tcPr>
            <w:tcW w:w="1340" w:type="dxa"/>
            <w:vAlign w:val="bottom"/>
          </w:tcPr>
          <w:p>
            <w:pPr>
              <w:jc w:val="right"/>
              <w:ind w:right="110"/>
              <w:spacing w:after="0"/>
              <w:rPr>
                <w:sz w:val="20"/>
                <w:szCs w:val="20"/>
                <w:color w:val="auto"/>
              </w:rPr>
            </w:pPr>
            <w:r>
              <w:rPr>
                <w:rFonts w:ascii="Arial" w:cs="Arial" w:eastAsia="Arial" w:hAnsi="Arial"/>
                <w:sz w:val="18"/>
                <w:szCs w:val="18"/>
                <w:b w:val="1"/>
                <w:bCs w:val="1"/>
                <w:color w:val="auto"/>
              </w:rPr>
              <w:t>Weighted</w:t>
            </w:r>
          </w:p>
        </w:tc>
        <w:tc>
          <w:tcPr>
            <w:tcW w:w="1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Weighted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1620" w:type="dxa"/>
            <w:vAlign w:val="bottom"/>
          </w:tcPr>
          <w:p>
            <w:pPr>
              <w:jc w:val="right"/>
              <w:ind w:right="50"/>
              <w:spacing w:after="0"/>
              <w:rPr>
                <w:sz w:val="20"/>
                <w:szCs w:val="20"/>
                <w:color w:val="auto"/>
              </w:rPr>
            </w:pPr>
            <w:r>
              <w:rPr>
                <w:rFonts w:ascii="Arial" w:cs="Arial" w:eastAsia="Arial" w:hAnsi="Arial"/>
                <w:sz w:val="18"/>
                <w:szCs w:val="18"/>
                <w:b w:val="1"/>
                <w:bCs w:val="1"/>
                <w:color w:val="auto"/>
              </w:rPr>
              <w:t>PSU</w:t>
            </w:r>
          </w:p>
        </w:tc>
        <w:tc>
          <w:tcPr>
            <w:tcW w:w="360" w:type="dxa"/>
            <w:vAlign w:val="bottom"/>
          </w:tcPr>
          <w:p>
            <w:pPr>
              <w:spacing w:after="0"/>
              <w:rPr>
                <w:sz w:val="18"/>
                <w:szCs w:val="18"/>
                <w:color w:val="auto"/>
              </w:rPr>
            </w:pPr>
          </w:p>
        </w:tc>
        <w:tc>
          <w:tcPr>
            <w:tcW w:w="1120" w:type="dxa"/>
            <w:vAlign w:val="bottom"/>
          </w:tcPr>
          <w:p>
            <w:pPr>
              <w:jc w:val="right"/>
              <w:ind w:right="130"/>
              <w:spacing w:after="0"/>
              <w:rPr>
                <w:sz w:val="20"/>
                <w:szCs w:val="20"/>
                <w:color w:val="auto"/>
              </w:rPr>
            </w:pPr>
            <w:r>
              <w:rPr>
                <w:rFonts w:ascii="Arial" w:cs="Arial" w:eastAsia="Arial" w:hAnsi="Arial"/>
                <w:sz w:val="18"/>
                <w:szCs w:val="18"/>
                <w:b w:val="1"/>
                <w:bCs w:val="1"/>
                <w:color w:val="auto"/>
              </w:rPr>
              <w:t>Weighted</w:t>
            </w:r>
          </w:p>
        </w:tc>
        <w:tc>
          <w:tcPr>
            <w:tcW w:w="1340" w:type="dxa"/>
            <w:vAlign w:val="bottom"/>
          </w:tcPr>
          <w:p>
            <w:pPr>
              <w:jc w:val="right"/>
              <w:ind w:right="110"/>
              <w:spacing w:after="0"/>
              <w:rPr>
                <w:sz w:val="20"/>
                <w:szCs w:val="20"/>
                <w:color w:val="auto"/>
              </w:rPr>
            </w:pPr>
            <w:r>
              <w:rPr>
                <w:rFonts w:ascii="Arial" w:cs="Arial" w:eastAsia="Arial" w:hAnsi="Arial"/>
                <w:sz w:val="18"/>
                <w:szCs w:val="18"/>
                <w:b w:val="1"/>
                <w:bCs w:val="1"/>
                <w:color w:val="auto"/>
              </w:rPr>
              <w:t>Average</w:t>
            </w:r>
          </w:p>
        </w:tc>
        <w:tc>
          <w:tcPr>
            <w:tcW w:w="1280" w:type="dxa"/>
            <w:vAlign w:val="bottom"/>
          </w:tcPr>
          <w:p>
            <w:pPr>
              <w:jc w:val="right"/>
              <w:ind w:right="30"/>
              <w:spacing w:after="0"/>
              <w:rPr>
                <w:sz w:val="20"/>
                <w:szCs w:val="20"/>
                <w:color w:val="auto"/>
              </w:rPr>
            </w:pPr>
            <w:r>
              <w:rPr>
                <w:rFonts w:ascii="Arial" w:cs="Arial" w:eastAsia="Arial" w:hAnsi="Arial"/>
                <w:sz w:val="18"/>
                <w:szCs w:val="18"/>
                <w:b w:val="1"/>
                <w:bCs w:val="1"/>
                <w:color w:val="auto"/>
              </w:rPr>
              <w:t>RSU</w:t>
            </w:r>
          </w:p>
        </w:tc>
        <w:tc>
          <w:tcPr>
            <w:tcW w:w="300" w:type="dxa"/>
            <w:vAlign w:val="bottom"/>
          </w:tcPr>
          <w:p>
            <w:pPr>
              <w:spacing w:after="0"/>
              <w:rPr>
                <w:sz w:val="18"/>
                <w:szCs w:val="18"/>
                <w:color w:val="auto"/>
              </w:rPr>
            </w:pPr>
          </w:p>
        </w:tc>
        <w:tc>
          <w:tcPr>
            <w:tcW w:w="1140" w:type="dxa"/>
            <w:vAlign w:val="bottom"/>
          </w:tcPr>
          <w:p>
            <w:pPr>
              <w:jc w:val="right"/>
              <w:ind w:right="130"/>
              <w:spacing w:after="0"/>
              <w:rPr>
                <w:sz w:val="20"/>
                <w:szCs w:val="20"/>
                <w:color w:val="auto"/>
              </w:rPr>
            </w:pPr>
            <w:r>
              <w:rPr>
                <w:rFonts w:ascii="Arial" w:cs="Arial" w:eastAsia="Arial" w:hAnsi="Arial"/>
                <w:sz w:val="18"/>
                <w:szCs w:val="18"/>
                <w:b w:val="1"/>
                <w:bCs w:val="1"/>
                <w:color w:val="auto"/>
              </w:rPr>
              <w:t>RSU</w:t>
            </w: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Average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1620" w:type="dxa"/>
            <w:vAlign w:val="bottom"/>
          </w:tcPr>
          <w:p>
            <w:pPr>
              <w:jc w:val="right"/>
              <w:ind w:right="50"/>
              <w:spacing w:after="0"/>
              <w:rPr>
                <w:sz w:val="20"/>
                <w:szCs w:val="20"/>
                <w:color w:val="auto"/>
              </w:rPr>
            </w:pPr>
            <w:r>
              <w:rPr>
                <w:rFonts w:ascii="Arial" w:cs="Arial" w:eastAsia="Arial" w:hAnsi="Arial"/>
                <w:sz w:val="18"/>
                <w:szCs w:val="18"/>
                <w:b w:val="1"/>
                <w:bCs w:val="1"/>
                <w:color w:val="auto"/>
              </w:rPr>
              <w:t>Outstanding</w:t>
            </w:r>
          </w:p>
        </w:tc>
        <w:tc>
          <w:tcPr>
            <w:tcW w:w="360" w:type="dxa"/>
            <w:vAlign w:val="bottom"/>
          </w:tcPr>
          <w:p>
            <w:pPr>
              <w:spacing w:after="0"/>
              <w:rPr>
                <w:sz w:val="18"/>
                <w:szCs w:val="18"/>
                <w:color w:val="auto"/>
              </w:rPr>
            </w:pPr>
          </w:p>
        </w:tc>
        <w:tc>
          <w:tcPr>
            <w:tcW w:w="1120" w:type="dxa"/>
            <w:vAlign w:val="bottom"/>
          </w:tcPr>
          <w:p>
            <w:pPr>
              <w:jc w:val="right"/>
              <w:ind w:right="130"/>
              <w:spacing w:after="0"/>
              <w:rPr>
                <w:sz w:val="20"/>
                <w:szCs w:val="20"/>
                <w:color w:val="auto"/>
              </w:rPr>
            </w:pPr>
            <w:r>
              <w:rPr>
                <w:rFonts w:ascii="Arial" w:cs="Arial" w:eastAsia="Arial" w:hAnsi="Arial"/>
                <w:sz w:val="18"/>
                <w:szCs w:val="18"/>
                <w:b w:val="1"/>
                <w:bCs w:val="1"/>
                <w:color w:val="auto"/>
              </w:rPr>
              <w:t>Average</w:t>
            </w:r>
          </w:p>
        </w:tc>
        <w:tc>
          <w:tcPr>
            <w:tcW w:w="1340" w:type="dxa"/>
            <w:vAlign w:val="bottom"/>
          </w:tcPr>
          <w:p>
            <w:pPr>
              <w:jc w:val="right"/>
              <w:ind w:right="110"/>
              <w:spacing w:after="0"/>
              <w:rPr>
                <w:sz w:val="20"/>
                <w:szCs w:val="20"/>
                <w:color w:val="auto"/>
              </w:rPr>
            </w:pPr>
            <w:r>
              <w:rPr>
                <w:rFonts w:ascii="Arial" w:cs="Arial" w:eastAsia="Arial" w:hAnsi="Arial"/>
                <w:sz w:val="18"/>
                <w:szCs w:val="18"/>
                <w:b w:val="1"/>
                <w:bCs w:val="1"/>
                <w:color w:val="auto"/>
              </w:rPr>
              <w:t>Remaining</w:t>
            </w:r>
          </w:p>
        </w:tc>
        <w:tc>
          <w:tcPr>
            <w:tcW w:w="1280" w:type="dxa"/>
            <w:vAlign w:val="bottom"/>
          </w:tcPr>
          <w:p>
            <w:pPr>
              <w:jc w:val="right"/>
              <w:ind w:right="30"/>
              <w:spacing w:after="0"/>
              <w:rPr>
                <w:sz w:val="20"/>
                <w:szCs w:val="20"/>
                <w:color w:val="auto"/>
              </w:rPr>
            </w:pPr>
            <w:r>
              <w:rPr>
                <w:rFonts w:ascii="Arial" w:cs="Arial" w:eastAsia="Arial" w:hAnsi="Arial"/>
                <w:sz w:val="18"/>
                <w:szCs w:val="18"/>
                <w:b w:val="1"/>
                <w:bCs w:val="1"/>
                <w:color w:val="auto"/>
              </w:rPr>
              <w:t>Outstanding</w:t>
            </w:r>
          </w:p>
        </w:tc>
        <w:tc>
          <w:tcPr>
            <w:tcW w:w="300" w:type="dxa"/>
            <w:vAlign w:val="bottom"/>
          </w:tcPr>
          <w:p>
            <w:pPr>
              <w:spacing w:after="0"/>
              <w:rPr>
                <w:sz w:val="18"/>
                <w:szCs w:val="18"/>
                <w:color w:val="auto"/>
              </w:rPr>
            </w:pPr>
          </w:p>
        </w:tc>
        <w:tc>
          <w:tcPr>
            <w:tcW w:w="1140" w:type="dxa"/>
            <w:vAlign w:val="bottom"/>
          </w:tcPr>
          <w:p>
            <w:pPr>
              <w:jc w:val="right"/>
              <w:ind w:right="130"/>
              <w:spacing w:after="0"/>
              <w:rPr>
                <w:sz w:val="20"/>
                <w:szCs w:val="20"/>
                <w:color w:val="auto"/>
              </w:rPr>
            </w:pPr>
            <w:r>
              <w:rPr>
                <w:rFonts w:ascii="Arial" w:cs="Arial" w:eastAsia="Arial" w:hAnsi="Arial"/>
                <w:sz w:val="18"/>
                <w:szCs w:val="18"/>
                <w:b w:val="1"/>
                <w:bCs w:val="1"/>
                <w:color w:val="auto"/>
              </w:rPr>
              <w:t>Weighted</w:t>
            </w: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Remaining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1620" w:type="dxa"/>
            <w:vAlign w:val="bottom"/>
          </w:tcPr>
          <w:p>
            <w:pPr>
              <w:jc w:val="right"/>
              <w:ind w:right="50"/>
              <w:spacing w:after="0"/>
              <w:rPr>
                <w:sz w:val="20"/>
                <w:szCs w:val="20"/>
                <w:color w:val="auto"/>
              </w:rPr>
            </w:pPr>
            <w:r>
              <w:rPr>
                <w:rFonts w:ascii="Arial" w:cs="Arial" w:eastAsia="Arial" w:hAnsi="Arial"/>
                <w:sz w:val="18"/>
                <w:szCs w:val="18"/>
                <w:b w:val="1"/>
                <w:bCs w:val="1"/>
                <w:color w:val="auto"/>
              </w:rPr>
              <w:t>Number of</w:t>
            </w:r>
          </w:p>
        </w:tc>
        <w:tc>
          <w:tcPr>
            <w:tcW w:w="360" w:type="dxa"/>
            <w:vAlign w:val="bottom"/>
          </w:tcPr>
          <w:p>
            <w:pPr>
              <w:spacing w:after="0"/>
              <w:rPr>
                <w:sz w:val="18"/>
                <w:szCs w:val="18"/>
                <w:color w:val="auto"/>
              </w:rPr>
            </w:pPr>
          </w:p>
        </w:tc>
        <w:tc>
          <w:tcPr>
            <w:tcW w:w="1120" w:type="dxa"/>
            <w:vAlign w:val="bottom"/>
          </w:tcPr>
          <w:p>
            <w:pPr>
              <w:jc w:val="right"/>
              <w:ind w:right="130"/>
              <w:spacing w:after="0"/>
              <w:rPr>
                <w:sz w:val="20"/>
                <w:szCs w:val="20"/>
                <w:color w:val="auto"/>
              </w:rPr>
            </w:pPr>
            <w:r>
              <w:rPr>
                <w:rFonts w:ascii="Arial" w:cs="Arial" w:eastAsia="Arial" w:hAnsi="Arial"/>
                <w:sz w:val="18"/>
                <w:szCs w:val="18"/>
                <w:b w:val="1"/>
                <w:bCs w:val="1"/>
                <w:color w:val="auto"/>
              </w:rPr>
              <w:t>Fair</w:t>
            </w:r>
          </w:p>
        </w:tc>
        <w:tc>
          <w:tcPr>
            <w:tcW w:w="1340" w:type="dxa"/>
            <w:vAlign w:val="bottom"/>
          </w:tcPr>
          <w:p>
            <w:pPr>
              <w:jc w:val="right"/>
              <w:ind w:right="110"/>
              <w:spacing w:after="0"/>
              <w:rPr>
                <w:sz w:val="20"/>
                <w:szCs w:val="20"/>
                <w:color w:val="auto"/>
              </w:rPr>
            </w:pPr>
            <w:r>
              <w:rPr>
                <w:rFonts w:ascii="Arial" w:cs="Arial" w:eastAsia="Arial" w:hAnsi="Arial"/>
                <w:sz w:val="18"/>
                <w:szCs w:val="18"/>
                <w:b w:val="1"/>
                <w:bCs w:val="1"/>
                <w:color w:val="auto"/>
              </w:rPr>
              <w:t>Contractual</w:t>
            </w:r>
          </w:p>
        </w:tc>
        <w:tc>
          <w:tcPr>
            <w:tcW w:w="1280" w:type="dxa"/>
            <w:vAlign w:val="bottom"/>
          </w:tcPr>
          <w:p>
            <w:pPr>
              <w:jc w:val="right"/>
              <w:ind w:right="30"/>
              <w:spacing w:after="0"/>
              <w:rPr>
                <w:sz w:val="20"/>
                <w:szCs w:val="20"/>
                <w:color w:val="auto"/>
              </w:rPr>
            </w:pPr>
            <w:r>
              <w:rPr>
                <w:rFonts w:ascii="Arial" w:cs="Arial" w:eastAsia="Arial" w:hAnsi="Arial"/>
                <w:sz w:val="18"/>
                <w:szCs w:val="18"/>
                <w:b w:val="1"/>
                <w:bCs w:val="1"/>
                <w:color w:val="auto"/>
              </w:rPr>
              <w:t>Number of</w:t>
            </w:r>
          </w:p>
        </w:tc>
        <w:tc>
          <w:tcPr>
            <w:tcW w:w="300" w:type="dxa"/>
            <w:vAlign w:val="bottom"/>
          </w:tcPr>
          <w:p>
            <w:pPr>
              <w:spacing w:after="0"/>
              <w:rPr>
                <w:sz w:val="18"/>
                <w:szCs w:val="18"/>
                <w:color w:val="auto"/>
              </w:rPr>
            </w:pPr>
          </w:p>
        </w:tc>
        <w:tc>
          <w:tcPr>
            <w:tcW w:w="1140" w:type="dxa"/>
            <w:vAlign w:val="bottom"/>
          </w:tcPr>
          <w:p>
            <w:pPr>
              <w:jc w:val="right"/>
              <w:ind w:right="130"/>
              <w:spacing w:after="0"/>
              <w:rPr>
                <w:sz w:val="20"/>
                <w:szCs w:val="20"/>
                <w:color w:val="auto"/>
              </w:rPr>
            </w:pPr>
            <w:r>
              <w:rPr>
                <w:rFonts w:ascii="Arial" w:cs="Arial" w:eastAsia="Arial" w:hAnsi="Arial"/>
                <w:sz w:val="18"/>
                <w:szCs w:val="18"/>
                <w:b w:val="1"/>
                <w:bCs w:val="1"/>
                <w:color w:val="auto"/>
              </w:rPr>
              <w:t>Average</w:t>
            </w: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Contractual</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000" w:type="dxa"/>
            <w:vAlign w:val="bottom"/>
          </w:tcPr>
          <w:p>
            <w:pPr>
              <w:spacing w:after="0"/>
              <w:rPr>
                <w:sz w:val="20"/>
                <w:szCs w:val="20"/>
                <w:color w:val="auto"/>
              </w:rPr>
            </w:pPr>
          </w:p>
        </w:tc>
        <w:tc>
          <w:tcPr>
            <w:tcW w:w="1620" w:type="dxa"/>
            <w:vAlign w:val="bottom"/>
          </w:tcPr>
          <w:p>
            <w:pPr>
              <w:jc w:val="right"/>
              <w:ind w:right="50"/>
              <w:spacing w:after="0"/>
              <w:rPr>
                <w:sz w:val="20"/>
                <w:szCs w:val="20"/>
                <w:color w:val="auto"/>
              </w:rPr>
            </w:pPr>
            <w:r>
              <w:rPr>
                <w:rFonts w:ascii="Arial" w:cs="Arial" w:eastAsia="Arial" w:hAnsi="Arial"/>
                <w:sz w:val="18"/>
                <w:szCs w:val="18"/>
                <w:b w:val="1"/>
                <w:bCs w:val="1"/>
                <w:color w:val="auto"/>
              </w:rPr>
              <w:t>Shares</w:t>
            </w:r>
          </w:p>
        </w:tc>
        <w:tc>
          <w:tcPr>
            <w:tcW w:w="360" w:type="dxa"/>
            <w:vAlign w:val="bottom"/>
          </w:tcPr>
          <w:p>
            <w:pPr>
              <w:spacing w:after="0"/>
              <w:rPr>
                <w:sz w:val="20"/>
                <w:szCs w:val="20"/>
                <w:color w:val="auto"/>
              </w:rPr>
            </w:pPr>
          </w:p>
        </w:tc>
        <w:tc>
          <w:tcPr>
            <w:tcW w:w="1120" w:type="dxa"/>
            <w:vAlign w:val="bottom"/>
          </w:tcPr>
          <w:p>
            <w:pPr>
              <w:jc w:val="right"/>
              <w:ind w:right="130"/>
              <w:spacing w:after="0"/>
              <w:rPr>
                <w:sz w:val="20"/>
                <w:szCs w:val="20"/>
                <w:color w:val="auto"/>
              </w:rPr>
            </w:pPr>
            <w:r>
              <w:rPr>
                <w:rFonts w:ascii="Arial" w:cs="Arial" w:eastAsia="Arial" w:hAnsi="Arial"/>
                <w:sz w:val="18"/>
                <w:szCs w:val="18"/>
                <w:b w:val="1"/>
                <w:bCs w:val="1"/>
                <w:color w:val="auto"/>
              </w:rPr>
              <w:t>Value</w:t>
            </w:r>
          </w:p>
        </w:tc>
        <w:tc>
          <w:tcPr>
            <w:tcW w:w="1340" w:type="dxa"/>
            <w:vAlign w:val="bottom"/>
          </w:tcPr>
          <w:p>
            <w:pPr>
              <w:jc w:val="right"/>
              <w:ind w:right="110"/>
              <w:spacing w:after="0"/>
              <w:rPr>
                <w:sz w:val="20"/>
                <w:szCs w:val="20"/>
                <w:color w:val="auto"/>
              </w:rPr>
            </w:pPr>
            <w:r>
              <w:rPr>
                <w:rFonts w:ascii="Arial" w:cs="Arial" w:eastAsia="Arial" w:hAnsi="Arial"/>
                <w:sz w:val="18"/>
                <w:szCs w:val="18"/>
                <w:b w:val="1"/>
                <w:bCs w:val="1"/>
                <w:color w:val="auto"/>
              </w:rPr>
              <w:t>Life</w:t>
            </w:r>
          </w:p>
        </w:tc>
        <w:tc>
          <w:tcPr>
            <w:tcW w:w="1280" w:type="dxa"/>
            <w:vAlign w:val="bottom"/>
          </w:tcPr>
          <w:p>
            <w:pPr>
              <w:jc w:val="right"/>
              <w:ind w:right="30"/>
              <w:spacing w:after="0"/>
              <w:rPr>
                <w:sz w:val="20"/>
                <w:szCs w:val="20"/>
                <w:color w:val="auto"/>
              </w:rPr>
            </w:pPr>
            <w:r>
              <w:rPr>
                <w:rFonts w:ascii="Arial" w:cs="Arial" w:eastAsia="Arial" w:hAnsi="Arial"/>
                <w:sz w:val="18"/>
                <w:szCs w:val="18"/>
                <w:b w:val="1"/>
                <w:bCs w:val="1"/>
                <w:color w:val="auto"/>
              </w:rPr>
              <w:t>Shares</w:t>
            </w:r>
          </w:p>
        </w:tc>
        <w:tc>
          <w:tcPr>
            <w:tcW w:w="300" w:type="dxa"/>
            <w:vAlign w:val="bottom"/>
          </w:tcPr>
          <w:p>
            <w:pPr>
              <w:spacing w:after="0"/>
              <w:rPr>
                <w:sz w:val="20"/>
                <w:szCs w:val="20"/>
                <w:color w:val="auto"/>
              </w:rPr>
            </w:pPr>
          </w:p>
        </w:tc>
        <w:tc>
          <w:tcPr>
            <w:tcW w:w="1140" w:type="dxa"/>
            <w:vAlign w:val="bottom"/>
          </w:tcPr>
          <w:p>
            <w:pPr>
              <w:jc w:val="right"/>
              <w:ind w:right="130"/>
              <w:spacing w:after="0"/>
              <w:rPr>
                <w:sz w:val="20"/>
                <w:szCs w:val="20"/>
                <w:color w:val="auto"/>
              </w:rPr>
            </w:pPr>
            <w:r>
              <w:rPr>
                <w:rFonts w:ascii="Arial" w:cs="Arial" w:eastAsia="Arial" w:hAnsi="Arial"/>
                <w:sz w:val="18"/>
                <w:szCs w:val="18"/>
                <w:b w:val="1"/>
                <w:bCs w:val="1"/>
                <w:color w:val="auto"/>
              </w:rPr>
              <w:t>Fair Value</w:t>
            </w: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Life</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00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vMerge w:val="continue"/>
          </w:tcPr>
          <w:p>
            <w:pPr>
              <w:spacing w:after="0"/>
              <w:rPr>
                <w:sz w:val="19"/>
                <w:szCs w:val="19"/>
                <w:color w:val="auto"/>
              </w:rPr>
            </w:pPr>
          </w:p>
        </w:tc>
        <w:tc>
          <w:tcPr>
            <w:tcW w:w="30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Outstanding at December 31, 2014</w:t>
            </w:r>
          </w:p>
        </w:tc>
        <w:tc>
          <w:tcPr>
            <w:tcW w:w="16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669,171</w:t>
            </w:r>
          </w:p>
        </w:tc>
        <w:tc>
          <w:tcPr>
            <w:tcW w:w="3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39.78</w:t>
            </w:r>
          </w:p>
        </w:tc>
        <w:tc>
          <w:tcPr>
            <w:tcW w:w="134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1.77</w:t>
            </w:r>
          </w:p>
        </w:tc>
        <w:tc>
          <w:tcPr>
            <w:tcW w:w="12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1,038,996</w:t>
            </w:r>
          </w:p>
        </w:tc>
        <w:tc>
          <w:tcPr>
            <w:tcW w:w="3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35.19</w:t>
            </w:r>
          </w:p>
        </w:tc>
        <w:tc>
          <w:tcPr>
            <w:tcW w:w="12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1.67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00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00" w:type="dxa"/>
            <w:vAlign w:val="bottom"/>
            <w:shd w:val="clear" w:color="auto" w:fill="CCEEFF"/>
          </w:tcPr>
          <w:p>
            <w:pPr>
              <w:spacing w:after="0"/>
              <w:rPr>
                <w:sz w:val="20"/>
                <w:szCs w:val="20"/>
                <w:color w:val="auto"/>
              </w:rPr>
            </w:pPr>
            <w:r>
              <w:rPr>
                <w:rFonts w:ascii="Arial" w:cs="Arial" w:eastAsia="Arial" w:hAnsi="Arial"/>
                <w:sz w:val="18"/>
                <w:szCs w:val="18"/>
                <w:color w:val="auto"/>
              </w:rPr>
              <w:t>Granted</w:t>
            </w:r>
          </w:p>
        </w:tc>
        <w:tc>
          <w:tcPr>
            <w:tcW w:w="16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269,875</w:t>
            </w:r>
          </w:p>
        </w:tc>
        <w:tc>
          <w:tcPr>
            <w:tcW w:w="3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68.07</w:t>
            </w:r>
          </w:p>
        </w:tc>
        <w:tc>
          <w:tcPr>
            <w:tcW w:w="1340" w:type="dxa"/>
            <w:vAlign w:val="bottom"/>
            <w:shd w:val="clear" w:color="auto" w:fill="CCEEFF"/>
          </w:tcPr>
          <w:p>
            <w:pPr>
              <w:spacing w:after="0"/>
              <w:rPr>
                <w:sz w:val="18"/>
                <w:szCs w:val="18"/>
                <w:color w:val="auto"/>
              </w:rPr>
            </w:pPr>
          </w:p>
        </w:tc>
        <w:tc>
          <w:tcPr>
            <w:tcW w:w="12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378,804</w:t>
            </w:r>
          </w:p>
        </w:tc>
        <w:tc>
          <w:tcPr>
            <w:tcW w:w="3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66.85</w:t>
            </w:r>
          </w:p>
        </w:tc>
        <w:tc>
          <w:tcPr>
            <w:tcW w:w="12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tcPr>
          <w:p>
            <w:pPr>
              <w:spacing w:after="0"/>
              <w:rPr>
                <w:sz w:val="20"/>
                <w:szCs w:val="20"/>
                <w:color w:val="auto"/>
              </w:rPr>
            </w:pPr>
            <w:r>
              <w:rPr>
                <w:rFonts w:ascii="Arial" w:cs="Arial" w:eastAsia="Arial" w:hAnsi="Arial"/>
                <w:sz w:val="18"/>
                <w:szCs w:val="18"/>
                <w:color w:val="auto"/>
              </w:rPr>
              <w:t>Shares vested</w:t>
            </w:r>
          </w:p>
        </w:tc>
        <w:tc>
          <w:tcPr>
            <w:tcW w:w="16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112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(222,805)</w:t>
            </w:r>
          </w:p>
        </w:tc>
        <w:tc>
          <w:tcPr>
            <w:tcW w:w="3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130"/>
              <w:spacing w:after="0"/>
              <w:rPr>
                <w:sz w:val="20"/>
                <w:szCs w:val="20"/>
                <w:color w:val="auto"/>
              </w:rPr>
            </w:pPr>
            <w:r>
              <w:rPr>
                <w:rFonts w:ascii="Arial" w:cs="Arial" w:eastAsia="Arial" w:hAnsi="Arial"/>
                <w:sz w:val="18"/>
                <w:szCs w:val="18"/>
                <w:color w:val="auto"/>
              </w:rPr>
              <w:t>25.36</w:t>
            </w: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0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Forfeited</w:t>
            </w: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(3,981)</w:t>
            </w:r>
          </w:p>
        </w:tc>
        <w:tc>
          <w:tcPr>
            <w:tcW w:w="3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31.49</w:t>
            </w:r>
          </w:p>
        </w:tc>
        <w:tc>
          <w:tcPr>
            <w:tcW w:w="134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(39,677)</w:t>
            </w:r>
          </w:p>
        </w:tc>
        <w:tc>
          <w:tcPr>
            <w:tcW w:w="3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39.26</w:t>
            </w:r>
          </w:p>
        </w:tc>
        <w:tc>
          <w:tcPr>
            <w:tcW w:w="1240" w:type="dxa"/>
            <w:vAlign w:val="bottom"/>
            <w:tcBorders>
              <w:bottom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00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20" w:type="dxa"/>
            <w:vAlign w:val="bottom"/>
            <w:vMerge w:val="continue"/>
          </w:tcPr>
          <w:p>
            <w:pPr>
              <w:spacing w:after="0"/>
              <w:rPr>
                <w:sz w:val="22"/>
                <w:szCs w:val="22"/>
                <w:color w:val="auto"/>
              </w:rPr>
            </w:pPr>
          </w:p>
        </w:tc>
        <w:tc>
          <w:tcPr>
            <w:tcW w:w="30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Outstanding at June 30, 2015</w:t>
            </w:r>
          </w:p>
        </w:tc>
        <w:tc>
          <w:tcPr>
            <w:tcW w:w="16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935,065</w:t>
            </w:r>
          </w:p>
        </w:tc>
        <w:tc>
          <w:tcPr>
            <w:tcW w:w="3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47.24</w:t>
            </w:r>
          </w:p>
        </w:tc>
        <w:tc>
          <w:tcPr>
            <w:tcW w:w="134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1.72</w:t>
            </w:r>
          </w:p>
        </w:tc>
        <w:tc>
          <w:tcPr>
            <w:tcW w:w="12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1,155,318</w:t>
            </w:r>
          </w:p>
        </w:tc>
        <w:tc>
          <w:tcPr>
            <w:tcW w:w="3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47.32</w:t>
            </w:r>
          </w:p>
        </w:tc>
        <w:tc>
          <w:tcPr>
            <w:tcW w:w="12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1.92</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PSUs were awarded to certain key executives of the Company during the six months ended 30 June, 2015. PSUs vest based upon both a service basis and performance basis. The performance element is contingent upon cumulative EPS performance of the Company over a three year period (i.e. for the three year financial period ending December 31, 2018). PSUs with similar EPS performance targets were awarded during the years ended December 31, 2013 and December 31, 2014. 460,553 of the 935,065 PSUs outstanding at June 30, 2015 vest upon the achievement of EPS performance targets.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Non-cash stock compensation expense</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Non-cash stock compensation expense for the three and six months ended June 30, 2015 has been allocated as follows: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30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1840" w:type="dxa"/>
            <w:vAlign w:val="bottom"/>
            <w:gridSpan w:val="7"/>
          </w:tcPr>
          <w:p>
            <w:pPr>
              <w:jc w:val="center"/>
              <w:ind w:left="70"/>
              <w:spacing w:after="0"/>
              <w:rPr>
                <w:sz w:val="20"/>
                <w:szCs w:val="20"/>
                <w:color w:val="auto"/>
              </w:rPr>
            </w:pPr>
            <w:r>
              <w:rPr>
                <w:rFonts w:ascii="Arial" w:cs="Arial" w:eastAsia="Arial" w:hAnsi="Arial"/>
                <w:sz w:val="18"/>
                <w:szCs w:val="18"/>
                <w:b w:val="1"/>
                <w:bCs w:val="1"/>
                <w:color w:val="auto"/>
                <w:w w:val="92"/>
              </w:rPr>
              <w:t>Three Months Ended</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80" w:type="dxa"/>
            <w:vAlign w:val="bottom"/>
            <w:gridSpan w:val="6"/>
          </w:tcPr>
          <w:p>
            <w:pPr>
              <w:jc w:val="center"/>
              <w:ind w:right="60"/>
              <w:spacing w:after="0"/>
              <w:rPr>
                <w:sz w:val="20"/>
                <w:szCs w:val="20"/>
                <w:color w:val="auto"/>
              </w:rPr>
            </w:pPr>
            <w:r>
              <w:rPr>
                <w:rFonts w:ascii="Arial" w:cs="Arial" w:eastAsia="Arial" w:hAnsi="Arial"/>
                <w:sz w:val="18"/>
                <w:szCs w:val="18"/>
                <w:b w:val="1"/>
                <w:bCs w:val="1"/>
                <w:color w:val="auto"/>
                <w:w w:val="90"/>
              </w:rPr>
              <w:t>Six Months Ended</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196"/>
        </w:trPr>
        <w:tc>
          <w:tcPr>
            <w:tcW w:w="4300" w:type="dxa"/>
            <w:vAlign w:val="bottom"/>
          </w:tcPr>
          <w:p>
            <w:pPr>
              <w:spacing w:after="0"/>
              <w:rPr>
                <w:sz w:val="17"/>
                <w:szCs w:val="17"/>
                <w:color w:val="auto"/>
              </w:rPr>
            </w:pPr>
          </w:p>
        </w:tc>
        <w:tc>
          <w:tcPr>
            <w:tcW w:w="20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360" w:type="dxa"/>
            <w:vAlign w:val="bottom"/>
            <w:tcBorders>
              <w:top w:val="single" w:sz="8" w:color="auto"/>
            </w:tcBorders>
            <w:gridSpan w:val="2"/>
          </w:tcPr>
          <w:p>
            <w:pPr>
              <w:jc w:val="right"/>
              <w:spacing w:after="0" w:line="196" w:lineRule="exact"/>
              <w:rPr>
                <w:sz w:val="20"/>
                <w:szCs w:val="20"/>
                <w:color w:val="auto"/>
              </w:rPr>
            </w:pPr>
            <w:r>
              <w:rPr>
                <w:rFonts w:ascii="Arial" w:cs="Arial" w:eastAsia="Arial" w:hAnsi="Arial"/>
                <w:sz w:val="18"/>
                <w:szCs w:val="18"/>
                <w:b w:val="1"/>
                <w:bCs w:val="1"/>
                <w:color w:val="auto"/>
                <w:w w:val="80"/>
              </w:rPr>
              <w:t>June</w:t>
            </w:r>
          </w:p>
        </w:tc>
        <w:tc>
          <w:tcPr>
            <w:tcW w:w="12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w w:val="80"/>
              </w:rPr>
              <w:t>June</w:t>
            </w:r>
          </w:p>
        </w:tc>
        <w:tc>
          <w:tcPr>
            <w:tcW w:w="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700" w:type="dxa"/>
            <w:vAlign w:val="bottom"/>
            <w:tcBorders>
              <w:top w:val="single" w:sz="8" w:color="auto"/>
            </w:tcBorders>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rPr>
              <w:t>June</w:t>
            </w:r>
          </w:p>
        </w:tc>
        <w:tc>
          <w:tcPr>
            <w:tcW w:w="72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60" w:type="dxa"/>
            <w:vAlign w:val="bottom"/>
            <w:gridSpan w:val="3"/>
          </w:tcPr>
          <w:p>
            <w:pPr>
              <w:spacing w:after="0" w:line="196" w:lineRule="exact"/>
              <w:rPr>
                <w:sz w:val="20"/>
                <w:szCs w:val="20"/>
                <w:color w:val="auto"/>
              </w:rPr>
            </w:pPr>
            <w:r>
              <w:rPr>
                <w:rFonts w:ascii="Arial" w:cs="Arial" w:eastAsia="Arial" w:hAnsi="Arial"/>
                <w:sz w:val="18"/>
                <w:szCs w:val="18"/>
                <w:b w:val="1"/>
                <w:bCs w:val="1"/>
                <w:color w:val="auto"/>
              </w:rPr>
              <w:t>June</w:t>
            </w:r>
          </w:p>
        </w:tc>
      </w:tr>
      <w:tr>
        <w:trPr>
          <w:trHeight w:val="20"/>
        </w:trPr>
        <w:tc>
          <w:tcPr>
            <w:tcW w:w="430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540" w:type="dxa"/>
            <w:vAlign w:val="bottom"/>
            <w:tcBorders>
              <w:right w:val="single" w:sz="8" w:color="auto"/>
            </w:tcBorders>
            <w:gridSpan w:val="2"/>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60" w:type="dxa"/>
            <w:vAlign w:val="bottom"/>
            <w:tcBorders>
              <w:right w:val="single" w:sz="8" w:color="auto"/>
            </w:tcBorders>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4300" w:type="dxa"/>
            <w:vAlign w:val="bottom"/>
          </w:tcPr>
          <w:p>
            <w:pPr>
              <w:spacing w:after="0"/>
              <w:rPr>
                <w:sz w:val="17"/>
                <w:szCs w:val="17"/>
                <w:color w:val="auto"/>
              </w:rPr>
            </w:pPr>
          </w:p>
        </w:tc>
        <w:tc>
          <w:tcPr>
            <w:tcW w:w="2040" w:type="dxa"/>
            <w:vAlign w:val="bottom"/>
          </w:tcPr>
          <w:p>
            <w:pPr>
              <w:spacing w:after="0"/>
              <w:rPr>
                <w:sz w:val="17"/>
                <w:szCs w:val="17"/>
                <w:color w:val="auto"/>
              </w:rPr>
            </w:pPr>
          </w:p>
        </w:tc>
        <w:tc>
          <w:tcPr>
            <w:tcW w:w="540" w:type="dxa"/>
            <w:vAlign w:val="bottom"/>
            <w:gridSpan w:val="2"/>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jc w:val="right"/>
              <w:spacing w:after="0" w:line="196" w:lineRule="exact"/>
              <w:rPr>
                <w:sz w:val="20"/>
                <w:szCs w:val="20"/>
                <w:color w:val="auto"/>
              </w:rPr>
            </w:pPr>
            <w:r>
              <w:rPr>
                <w:rFonts w:ascii="Arial" w:cs="Arial" w:eastAsia="Arial" w:hAnsi="Arial"/>
                <w:sz w:val="18"/>
                <w:szCs w:val="18"/>
                <w:b w:val="1"/>
                <w:bCs w:val="1"/>
                <w:color w:val="auto"/>
                <w:w w:val="87"/>
              </w:rPr>
              <w:t>30,</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jc w:val="right"/>
              <w:spacing w:after="0" w:line="196" w:lineRule="exact"/>
              <w:rPr>
                <w:sz w:val="20"/>
                <w:szCs w:val="20"/>
                <w:color w:val="auto"/>
              </w:rPr>
            </w:pPr>
            <w:r>
              <w:rPr>
                <w:rFonts w:ascii="Arial" w:cs="Arial" w:eastAsia="Arial" w:hAnsi="Arial"/>
                <w:sz w:val="18"/>
                <w:szCs w:val="18"/>
                <w:b w:val="1"/>
                <w:bCs w:val="1"/>
                <w:color w:val="auto"/>
                <w:w w:val="87"/>
              </w:rPr>
              <w:t>30,</w:t>
            </w:r>
          </w:p>
        </w:tc>
        <w:tc>
          <w:tcPr>
            <w:tcW w:w="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40" w:type="dxa"/>
            <w:vAlign w:val="bottom"/>
            <w:gridSpan w:val="3"/>
          </w:tcPr>
          <w:p>
            <w:pPr>
              <w:jc w:val="right"/>
              <w:ind w:right="100"/>
              <w:spacing w:after="0" w:line="196" w:lineRule="exact"/>
              <w:rPr>
                <w:sz w:val="20"/>
                <w:szCs w:val="20"/>
                <w:color w:val="auto"/>
              </w:rPr>
            </w:pPr>
            <w:r>
              <w:rPr>
                <w:rFonts w:ascii="Arial" w:cs="Arial" w:eastAsia="Arial" w:hAnsi="Arial"/>
                <w:sz w:val="18"/>
                <w:szCs w:val="18"/>
                <w:b w:val="1"/>
                <w:bCs w:val="1"/>
                <w:color w:val="auto"/>
              </w:rPr>
              <w:t>30,</w:t>
            </w:r>
          </w:p>
        </w:tc>
        <w:tc>
          <w:tcPr>
            <w:tcW w:w="7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8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rPr>
              <w:t>30,</w:t>
            </w:r>
          </w:p>
        </w:tc>
      </w:tr>
      <w:tr>
        <w:trPr>
          <w:trHeight w:val="20"/>
        </w:trPr>
        <w:tc>
          <w:tcPr>
            <w:tcW w:w="430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4300" w:type="dxa"/>
            <w:vAlign w:val="bottom"/>
          </w:tcPr>
          <w:p>
            <w:pPr>
              <w:spacing w:after="0"/>
              <w:rPr>
                <w:sz w:val="17"/>
                <w:szCs w:val="17"/>
                <w:color w:val="auto"/>
              </w:rPr>
            </w:pPr>
          </w:p>
        </w:tc>
        <w:tc>
          <w:tcPr>
            <w:tcW w:w="2040" w:type="dxa"/>
            <w:vAlign w:val="bottom"/>
          </w:tcPr>
          <w:p>
            <w:pPr>
              <w:spacing w:after="0"/>
              <w:rPr>
                <w:sz w:val="17"/>
                <w:szCs w:val="17"/>
                <w:color w:val="auto"/>
              </w:rPr>
            </w:pPr>
          </w:p>
        </w:tc>
        <w:tc>
          <w:tcPr>
            <w:tcW w:w="900" w:type="dxa"/>
            <w:vAlign w:val="bottom"/>
            <w:gridSpan w:val="4"/>
          </w:tcPr>
          <w:p>
            <w:pPr>
              <w:jc w:val="right"/>
              <w:spacing w:after="0" w:line="196" w:lineRule="exact"/>
              <w:rPr>
                <w:sz w:val="20"/>
                <w:szCs w:val="20"/>
                <w:color w:val="auto"/>
              </w:rPr>
            </w:pPr>
            <w:r>
              <w:rPr>
                <w:rFonts w:ascii="Arial" w:cs="Arial" w:eastAsia="Arial" w:hAnsi="Arial"/>
                <w:sz w:val="18"/>
                <w:szCs w:val="18"/>
                <w:b w:val="1"/>
                <w:bCs w:val="1"/>
                <w:color w:val="auto"/>
              </w:rPr>
              <w:t>2015</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4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2014</w:t>
            </w:r>
          </w:p>
        </w:tc>
        <w:tc>
          <w:tcPr>
            <w:tcW w:w="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70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rPr>
              <w:t>2015</w:t>
            </w:r>
          </w:p>
        </w:tc>
        <w:tc>
          <w:tcPr>
            <w:tcW w:w="7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8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rPr>
              <w:t>2014</w:t>
            </w:r>
          </w:p>
        </w:tc>
      </w:tr>
      <w:tr>
        <w:trPr>
          <w:trHeight w:val="20"/>
        </w:trPr>
        <w:tc>
          <w:tcPr>
            <w:tcW w:w="430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60" w:type="dxa"/>
            <w:vAlign w:val="bottom"/>
            <w:gridSpan w:val="2"/>
            <w:shd w:val="clear" w:color="auto" w:fill="000000"/>
          </w:tcPr>
          <w:p>
            <w:pPr>
              <w:spacing w:after="0" w:line="20" w:lineRule="exact"/>
              <w:rPr>
                <w:sz w:val="1"/>
                <w:szCs w:val="1"/>
                <w:color w:val="auto"/>
              </w:rPr>
            </w:pPr>
          </w:p>
        </w:tc>
        <w:tc>
          <w:tcPr>
            <w:tcW w:w="9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gridSpan w:val="2"/>
            <w:shd w:val="clear" w:color="auto" w:fill="000000"/>
          </w:tcPr>
          <w:p>
            <w:pPr>
              <w:spacing w:after="0" w:line="20" w:lineRule="exact"/>
              <w:rPr>
                <w:sz w:val="1"/>
                <w:szCs w:val="1"/>
                <w:color w:val="auto"/>
              </w:rPr>
            </w:pPr>
          </w:p>
        </w:tc>
        <w:tc>
          <w:tcPr>
            <w:tcW w:w="8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7"/>
        </w:trPr>
        <w:tc>
          <w:tcPr>
            <w:tcW w:w="4300" w:type="dxa"/>
            <w:vAlign w:val="bottom"/>
          </w:tcPr>
          <w:p>
            <w:pPr>
              <w:spacing w:after="0"/>
              <w:rPr>
                <w:sz w:val="20"/>
                <w:szCs w:val="20"/>
                <w:color w:val="auto"/>
              </w:rPr>
            </w:pPr>
          </w:p>
        </w:tc>
        <w:tc>
          <w:tcPr>
            <w:tcW w:w="20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60" w:type="dxa"/>
            <w:vAlign w:val="bottom"/>
            <w:gridSpan w:val="6"/>
          </w:tcPr>
          <w:p>
            <w:pPr>
              <w:jc w:val="center"/>
              <w:ind w:right="20"/>
              <w:spacing w:after="0"/>
              <w:rPr>
                <w:sz w:val="20"/>
                <w:szCs w:val="20"/>
                <w:color w:val="auto"/>
              </w:rPr>
            </w:pPr>
            <w:r>
              <w:rPr>
                <w:rFonts w:ascii="Arial" w:cs="Arial" w:eastAsia="Arial" w:hAnsi="Arial"/>
                <w:sz w:val="18"/>
                <w:szCs w:val="18"/>
                <w:b w:val="1"/>
                <w:bCs w:val="1"/>
                <w:color w:val="auto"/>
                <w:w w:val="90"/>
              </w:rPr>
              <w:t>(In thousands)</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480" w:type="dxa"/>
            <w:vAlign w:val="bottom"/>
            <w:gridSpan w:val="6"/>
          </w:tcPr>
          <w:p>
            <w:pPr>
              <w:jc w:val="center"/>
              <w:ind w:right="60"/>
              <w:spacing w:after="0"/>
              <w:rPr>
                <w:sz w:val="20"/>
                <w:szCs w:val="20"/>
                <w:color w:val="auto"/>
              </w:rPr>
            </w:pPr>
            <w:r>
              <w:rPr>
                <w:rFonts w:ascii="Arial" w:cs="Arial" w:eastAsia="Arial" w:hAnsi="Arial"/>
                <w:sz w:val="18"/>
                <w:szCs w:val="18"/>
                <w:b w:val="1"/>
                <w:bCs w:val="1"/>
                <w:color w:val="auto"/>
                <w:w w:val="88"/>
              </w:rPr>
              <w:t>(In thousands)</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16"/>
        </w:trPr>
        <w:tc>
          <w:tcPr>
            <w:tcW w:w="4300" w:type="dxa"/>
            <w:vAlign w:val="bottom"/>
            <w:shd w:val="clear" w:color="auto" w:fill="CCEEFF"/>
          </w:tcPr>
          <w:p>
            <w:pPr>
              <w:spacing w:after="0"/>
              <w:rPr>
                <w:sz w:val="20"/>
                <w:szCs w:val="20"/>
                <w:color w:val="auto"/>
              </w:rPr>
            </w:pPr>
            <w:r>
              <w:rPr>
                <w:rFonts w:ascii="Arial" w:cs="Arial" w:eastAsia="Arial" w:hAnsi="Arial"/>
                <w:sz w:val="18"/>
                <w:szCs w:val="18"/>
                <w:color w:val="auto"/>
              </w:rPr>
              <w:t>Direct costs</w:t>
            </w:r>
          </w:p>
        </w:tc>
        <w:tc>
          <w:tcPr>
            <w:tcW w:w="204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4,636</w:t>
            </w: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51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54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w w:val="93"/>
              </w:rPr>
              <w:t>3,144</w:t>
            </w:r>
          </w:p>
        </w:tc>
        <w:tc>
          <w:tcPr>
            <w:tcW w:w="64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w:t>
            </w:r>
          </w:p>
        </w:tc>
        <w:tc>
          <w:tcPr>
            <w:tcW w:w="70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7,966</w:t>
            </w:r>
          </w:p>
        </w:tc>
        <w:tc>
          <w:tcPr>
            <w:tcW w:w="720" w:type="dxa"/>
            <w:vAlign w:val="bottom"/>
            <w:shd w:val="clear" w:color="auto" w:fill="CCEEFF"/>
          </w:tcPr>
          <w:p>
            <w:pPr>
              <w:jc w:val="right"/>
              <w:ind w:right="43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58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5,373</w:t>
            </w:r>
          </w:p>
        </w:tc>
      </w:tr>
      <w:tr>
        <w:trPr>
          <w:trHeight w:val="216"/>
        </w:trPr>
        <w:tc>
          <w:tcPr>
            <w:tcW w:w="43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Selling, general and administrative</w:t>
            </w:r>
          </w:p>
        </w:tc>
        <w:tc>
          <w:tcPr>
            <w:tcW w:w="20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rPr>
              <w:t>4,333</w:t>
            </w:r>
          </w:p>
        </w:tc>
        <w:tc>
          <w:tcPr>
            <w:tcW w:w="1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8"/>
                <w:szCs w:val="18"/>
                <w:color w:val="auto"/>
                <w:w w:val="93"/>
              </w:rPr>
              <w:t>2,562</w:t>
            </w:r>
          </w:p>
        </w:tc>
        <w:tc>
          <w:tcPr>
            <w:tcW w:w="6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8"/>
                <w:szCs w:val="18"/>
                <w:color w:val="auto"/>
              </w:rPr>
              <w:t>7,046</w:t>
            </w:r>
          </w:p>
        </w:tc>
        <w:tc>
          <w:tcPr>
            <w:tcW w:w="72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8"/>
                <w:szCs w:val="18"/>
                <w:color w:val="auto"/>
              </w:rPr>
              <w:t>4,378</w:t>
            </w:r>
          </w:p>
        </w:tc>
      </w:tr>
      <w:tr>
        <w:trPr>
          <w:trHeight w:val="21"/>
        </w:trPr>
        <w:tc>
          <w:tcPr>
            <w:tcW w:w="4300" w:type="dxa"/>
            <w:vAlign w:val="bottom"/>
            <w:tcBorders>
              <w:bottom w:val="single" w:sz="8" w:color="auto"/>
            </w:tcBorders>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r>
      <w:tr>
        <w:trPr>
          <w:trHeight w:val="210"/>
        </w:trPr>
        <w:tc>
          <w:tcPr>
            <w:tcW w:w="4300" w:type="dxa"/>
            <w:vAlign w:val="bottom"/>
            <w:shd w:val="clear" w:color="auto" w:fill="CCEEFF"/>
          </w:tcPr>
          <w:p>
            <w:pPr>
              <w:spacing w:after="0"/>
              <w:rPr>
                <w:sz w:val="18"/>
                <w:szCs w:val="18"/>
                <w:color w:val="auto"/>
              </w:rPr>
            </w:pPr>
          </w:p>
        </w:tc>
        <w:tc>
          <w:tcPr>
            <w:tcW w:w="20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300" w:type="dxa"/>
            <w:vAlign w:val="bottom"/>
            <w:tcBorders>
              <w:bottom w:val="single" w:sz="8" w:color="auto"/>
            </w:tcBorders>
          </w:tcPr>
          <w:p>
            <w:pPr>
              <w:spacing w:after="0"/>
              <w:rPr>
                <w:sz w:val="18"/>
                <w:szCs w:val="18"/>
                <w:color w:val="auto"/>
              </w:rPr>
            </w:pPr>
          </w:p>
        </w:tc>
        <w:tc>
          <w:tcPr>
            <w:tcW w:w="204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rPr>
              <w:t>8,969</w:t>
            </w:r>
          </w:p>
        </w:tc>
        <w:tc>
          <w:tcPr>
            <w:tcW w:w="1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color w:val="auto"/>
              </w:rPr>
              <w:t>$</w:t>
            </w:r>
          </w:p>
        </w:tc>
        <w:tc>
          <w:tcPr>
            <w:tcW w:w="2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8"/>
                <w:szCs w:val="18"/>
                <w:color w:val="auto"/>
                <w:w w:val="93"/>
              </w:rPr>
              <w:t>5,706</w:t>
            </w:r>
          </w:p>
        </w:tc>
        <w:tc>
          <w:tcPr>
            <w:tcW w:w="64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color w:val="auto"/>
              </w:rPr>
              <w:t>$</w:t>
            </w:r>
          </w:p>
        </w:tc>
        <w:tc>
          <w:tcPr>
            <w:tcW w:w="70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8"/>
                <w:szCs w:val="18"/>
                <w:color w:val="auto"/>
              </w:rPr>
              <w:t>15,012</w:t>
            </w:r>
          </w:p>
        </w:tc>
        <w:tc>
          <w:tcPr>
            <w:tcW w:w="72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w:t>
            </w:r>
          </w:p>
        </w:tc>
        <w:tc>
          <w:tcPr>
            <w:tcW w:w="6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8"/>
                <w:szCs w:val="18"/>
                <w:color w:val="auto"/>
              </w:rPr>
              <w:t>9,751</w:t>
            </w:r>
          </w:p>
        </w:tc>
      </w:tr>
      <w:tr>
        <w:trPr>
          <w:trHeight w:val="21"/>
        </w:trPr>
        <w:tc>
          <w:tcPr>
            <w:tcW w:w="4300" w:type="dxa"/>
            <w:vAlign w:val="bottom"/>
            <w:tcBorders>
              <w:bottom w:val="single" w:sz="8" w:color="auto"/>
            </w:tcBorders>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Total non-cash stock compensation expense not yet recognized at June 30, 2015 amounted to $83.4 million. The weighted average period over which this is expected to be recognized is 2.4 years. Total tax benefit recognized in additional paid in capital related to the non-cash compensation expense amounted to $2.5 million for the six months ended June 30, 2015 (June 30, 2014: $0.8 million).</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7. Share Capital</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Share Repurchase Program</w:t>
      </w:r>
    </w:p>
    <w:p>
      <w:pPr>
        <w:spacing w:after="0" w:line="25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May 1, 2015 the Company commenced a repurchase program under which the Company could acquire its outstanding ordinary shares (by way of redemption), in accordance with Irish law, the United States securities laws and the Company’s constitutional documents through open market share acquisitions.</w:t>
      </w:r>
    </w:p>
    <w:p>
      <w:pPr>
        <w:spacing w:after="0" w:line="20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repurchase program gave a broker authority to acquire the Company’s ordinary shares from time to time on the open market in accordance with agreed terms and limitations. The acquisition of shares pursuant to the repurchase program was effected by way of redemption and cancellation of the shares, in accordance with the Constitution of the Company.</w:t>
      </w:r>
    </w:p>
    <w:p>
      <w:pPr>
        <w:spacing w:after="0" w:line="208"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During the six months ended June 30, 2015, 882,419 ordinary shares were redeemed by the Company under the repurchase program for a total consideration of $57.9 million. All ordinary shares that were redeemed under the repurchase program were cancelled in accordance with the Constitution of the Company and the nominal value of these shares transferred to a capital redemption reserve fund as required under Irish Company Law.</w:t>
      </w:r>
    </w:p>
    <w:p>
      <w:pPr>
        <w:spacing w:after="0" w:line="3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8. Business Segment Information</w:t>
      </w:r>
    </w:p>
    <w:p>
      <w:pPr>
        <w:spacing w:after="0" w:line="25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The Company determines and presents operating segments based on the information that is internally provided to the Chief Executive Officer, Chief Operating Officer and Chief Financial Officer, who together are considered the Company’s chief operating decision makers, in accordance with FASB ASC 280-10 </w:t>
      </w:r>
      <w:r>
        <w:rPr>
          <w:rFonts w:ascii="Arial" w:cs="Arial" w:eastAsia="Arial" w:hAnsi="Arial"/>
          <w:sz w:val="18"/>
          <w:szCs w:val="18"/>
          <w:i w:val="1"/>
          <w:iCs w:val="1"/>
          <w:color w:val="auto"/>
        </w:rPr>
        <w:t>Disclosures about Segments of an Enterprise and Related Information</w:t>
      </w:r>
      <w:r>
        <w:rPr>
          <w:rFonts w:ascii="Arial" w:cs="Arial" w:eastAsia="Arial" w:hAnsi="Arial"/>
          <w:sz w:val="18"/>
          <w:szCs w:val="18"/>
          <w:color w:val="auto"/>
        </w:rPr>
        <w:t>.</w:t>
      </w:r>
    </w:p>
    <w:p>
      <w:pPr>
        <w:spacing w:after="0" w:line="208"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Company is a contract research organization (“CRO”), providing outsourced development services on a global basis to the pharmaceutical, biotechnology and medical device industries. It specializes in the strategic development, management and analysis of programs that support all stages of the clinical development process - from compound selection to Phase I-IV clinical studies. The Company has the expertise and capability to conduct clinical trials in most major therapeutic areas on a global basis and has the operational flexibility to provide development services on a stand-alone basis or as part of an integrated “full service” solution. The Company has expanded predominately through internal growth, together with a number of strategic acquisitions to enhance its expertise and capabilities in certain areas of the clinical development process.</w:t>
      </w:r>
    </w:p>
    <w:p>
      <w:pPr>
        <w:spacing w:after="0" w:line="20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is generally awarded projects based upon responses to requests for proposals received from companies in the pharmaceutical, biotechnology and medical device industries or work orders executed under our strategic partnership arrangements. Contracts with customer are generally entered into centrally, in most cases with ICON Clinical Research Limited (“ICON Ireland”), the Company’s principal operating subsidiary in Ireland. Revenues, which consist primarily of fees earned under these contracts, are allocated to individual entities within the Group, based on where the work is performed in accordance with the Company’s global transfer pricing model.</w:t>
      </w:r>
    </w:p>
    <w:p>
      <w:pPr>
        <w:spacing w:after="0" w:line="21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ICON Ireland acts as the group entrepreneur under the Company’s global transfer pricing model given its role in the development and management of the group, it’s ownership of key intellectual property and customer relationships, its key role in the mitigation of risks faced by the group and its responsibility for maintaining the Company’s global network. As such it enters into the majority of the Company’s customer contracts.</w:t>
      </w:r>
    </w:p>
    <w:p>
      <w:pPr>
        <w:spacing w:after="0" w:line="193"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ICON Ireland remunerates other operating entities in the ICON Group on the basis of a guaranteed cost plus mark up for the services they perform in each of their local territories. The cost plus mark up for each ICON entity is established to ensure that each of ICON Ireland and the ICON entities that are involved in the conduct of services for customers, earn an appropriate arms-length return having regard to the assets owned, risks borne, and functions performed by each entity from these intercompany transactions. The cost plus mark-up policy is reviewed annually to ensure that it is market appropriate.</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geographic split of revenue disclosed for each region outside Ireland is the cost plus revenue attributable to these entities. The residual revenues of the Group, once each ICON entity has been paid its respective intercompany service fee, generally fall to be retained by ICON Ireland. As such revenues and income from operations in Ireland are a function of this global transfer pricing model and comprise net revenues of the Group after deducting the cost plus revenues attributable to the activities performed outside Ireland.</w:t>
      </w:r>
    </w:p>
    <w:p>
      <w:pPr>
        <w:spacing w:after="0" w:line="214"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Company's areas of operation outside of Ireland include the United States, United Kingdom, France, Germany, Italy, Spain, The Netherlands, Sweden, Turkey, Poland, Czech Republic, Latvia, Russia, Ukraine, Hungary, Israel, Romania, Switzerland, Canada, Mexico, Brazil, Colombia, Argentina, Chile, Peru, India, China, South Korea, Japan, Thailand, Taiwan, Singapore, The Philippines, Australia, New Zealand, and South Africa.</w:t>
      </w:r>
    </w:p>
    <w:p>
      <w:pPr>
        <w:spacing w:after="0" w:line="193" w:lineRule="exact"/>
        <w:rPr>
          <w:sz w:val="20"/>
          <w:szCs w:val="20"/>
          <w:color w:val="auto"/>
        </w:rPr>
      </w:pPr>
    </w:p>
    <w:p>
      <w:pPr>
        <w:spacing w:after="0"/>
        <w:rPr>
          <w:sz w:val="20"/>
          <w:szCs w:val="20"/>
          <w:color w:val="auto"/>
        </w:rPr>
      </w:pPr>
      <w:r>
        <w:rPr>
          <w:rFonts w:ascii="Arial" w:cs="Arial" w:eastAsia="Arial" w:hAnsi="Arial"/>
          <w:sz w:val="16"/>
          <w:szCs w:val="16"/>
          <w:color w:val="auto"/>
        </w:rPr>
        <w:t>Segment information as at June 30, 2015 and December 31, 2014 and for the three and six months ended June 30, 2015 and June 30, 2014 is as follows:</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230"/>
        </w:trPr>
        <w:tc>
          <w:tcPr>
            <w:tcW w:w="5600" w:type="dxa"/>
            <w:vAlign w:val="bottom"/>
            <w:gridSpan w:val="2"/>
          </w:tcPr>
          <w:p>
            <w:pPr>
              <w:spacing w:after="0"/>
              <w:rPr>
                <w:sz w:val="20"/>
                <w:szCs w:val="20"/>
                <w:color w:val="auto"/>
              </w:rPr>
            </w:pPr>
            <w:r>
              <w:rPr>
                <w:rFonts w:ascii="Arial" w:cs="Arial" w:eastAsia="Arial" w:hAnsi="Arial"/>
                <w:sz w:val="18"/>
                <w:szCs w:val="18"/>
                <w:color w:val="auto"/>
                <w:w w:val="99"/>
              </w:rPr>
              <w:t>a) The distribution of net revenue by geographical area was as follows:</w:t>
            </w:r>
          </w:p>
        </w:tc>
        <w:tc>
          <w:tcPr>
            <w:tcW w:w="7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9"/>
        </w:trPr>
        <w:tc>
          <w:tcPr>
            <w:tcW w:w="20" w:type="dxa"/>
            <w:vAlign w:val="bottom"/>
          </w:tcPr>
          <w:p>
            <w:pPr>
              <w:spacing w:after="0"/>
              <w:rPr>
                <w:sz w:val="24"/>
                <w:szCs w:val="24"/>
                <w:color w:val="auto"/>
              </w:rPr>
            </w:pPr>
          </w:p>
        </w:tc>
        <w:tc>
          <w:tcPr>
            <w:tcW w:w="55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0" w:type="dxa"/>
            <w:vAlign w:val="bottom"/>
            <w:tcBorders>
              <w:bottom w:val="single" w:sz="8" w:color="auto"/>
            </w:tcBorders>
            <w:gridSpan w:val="7"/>
          </w:tcPr>
          <w:p>
            <w:pPr>
              <w:spacing w:after="0"/>
              <w:rPr>
                <w:sz w:val="20"/>
                <w:szCs w:val="20"/>
                <w:color w:val="auto"/>
              </w:rPr>
            </w:pPr>
            <w:r>
              <w:rPr>
                <w:rFonts w:ascii="Arial" w:cs="Arial" w:eastAsia="Arial" w:hAnsi="Arial"/>
                <w:sz w:val="18"/>
                <w:szCs w:val="18"/>
                <w:b w:val="1"/>
                <w:bCs w:val="1"/>
                <w:color w:val="auto"/>
                <w:w w:val="89"/>
              </w:rPr>
              <w:t>Three Months ended</w:t>
            </w:r>
          </w:p>
        </w:tc>
        <w:tc>
          <w:tcPr>
            <w:tcW w:w="580" w:type="dxa"/>
            <w:vAlign w:val="bottom"/>
            <w:gridSpan w:val="3"/>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20" w:type="dxa"/>
            <w:vAlign w:val="bottom"/>
            <w:tcBorders>
              <w:bottom w:val="single" w:sz="8" w:color="auto"/>
            </w:tcBorders>
            <w:gridSpan w:val="6"/>
          </w:tcPr>
          <w:p>
            <w:pPr>
              <w:spacing w:after="0"/>
              <w:rPr>
                <w:sz w:val="20"/>
                <w:szCs w:val="20"/>
                <w:color w:val="auto"/>
              </w:rPr>
            </w:pPr>
            <w:r>
              <w:rPr>
                <w:rFonts w:ascii="Arial" w:cs="Arial" w:eastAsia="Arial" w:hAnsi="Arial"/>
                <w:sz w:val="18"/>
                <w:szCs w:val="18"/>
                <w:b w:val="1"/>
                <w:bCs w:val="1"/>
                <w:color w:val="auto"/>
                <w:w w:val="89"/>
              </w:rPr>
              <w:t>Six Months Ended</w:t>
            </w:r>
          </w:p>
        </w:tc>
        <w:tc>
          <w:tcPr>
            <w:tcW w:w="64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5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w w:val="85"/>
              </w:rPr>
              <w:t>June 30,</w:t>
            </w: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00" w:type="dxa"/>
            <w:vAlign w:val="bottom"/>
            <w:gridSpan w:val="5"/>
          </w:tcPr>
          <w:p>
            <w:pPr>
              <w:ind w:left="60"/>
              <w:spacing w:after="0" w:line="196" w:lineRule="exact"/>
              <w:rPr>
                <w:sz w:val="20"/>
                <w:szCs w:val="20"/>
                <w:color w:val="auto"/>
              </w:rPr>
            </w:pPr>
            <w:r>
              <w:rPr>
                <w:rFonts w:ascii="Arial" w:cs="Arial" w:eastAsia="Arial" w:hAnsi="Arial"/>
                <w:sz w:val="18"/>
                <w:szCs w:val="18"/>
                <w:b w:val="1"/>
                <w:bCs w:val="1"/>
                <w:color w:val="auto"/>
                <w:w w:val="99"/>
              </w:rPr>
              <w:t>June 30,</w:t>
            </w:r>
          </w:p>
        </w:tc>
        <w:tc>
          <w:tcPr>
            <w:tcW w:w="600" w:type="dxa"/>
            <w:vAlign w:val="bottom"/>
          </w:tcPr>
          <w:p>
            <w:pPr>
              <w:spacing w:after="0"/>
              <w:rPr>
                <w:sz w:val="17"/>
                <w:szCs w:val="17"/>
                <w:color w:val="auto"/>
              </w:rPr>
            </w:pPr>
          </w:p>
        </w:tc>
        <w:tc>
          <w:tcPr>
            <w:tcW w:w="74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w w:val="85"/>
              </w:rPr>
              <w:t>June 30,</w:t>
            </w:r>
          </w:p>
        </w:tc>
        <w:tc>
          <w:tcPr>
            <w:tcW w:w="400" w:type="dxa"/>
            <w:vAlign w:val="bottom"/>
          </w:tcPr>
          <w:p>
            <w:pPr>
              <w:spacing w:after="0"/>
              <w:rPr>
                <w:sz w:val="17"/>
                <w:szCs w:val="17"/>
                <w:color w:val="auto"/>
              </w:rPr>
            </w:pPr>
          </w:p>
        </w:tc>
        <w:tc>
          <w:tcPr>
            <w:tcW w:w="960" w:type="dxa"/>
            <w:vAlign w:val="bottom"/>
            <w:gridSpan w:val="5"/>
          </w:tcPr>
          <w:p>
            <w:pPr>
              <w:ind w:left="220"/>
              <w:spacing w:after="0" w:line="196" w:lineRule="exact"/>
              <w:rPr>
                <w:sz w:val="20"/>
                <w:szCs w:val="20"/>
                <w:color w:val="auto"/>
              </w:rPr>
            </w:pPr>
            <w:r>
              <w:rPr>
                <w:rFonts w:ascii="Arial" w:cs="Arial" w:eastAsia="Arial" w:hAnsi="Arial"/>
                <w:sz w:val="18"/>
                <w:szCs w:val="18"/>
                <w:b w:val="1"/>
                <w:bCs w:val="1"/>
                <w:color w:val="auto"/>
                <w:w w:val="99"/>
              </w:rPr>
              <w:t>June 30,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55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40" w:type="dxa"/>
            <w:vAlign w:val="bottom"/>
            <w:gridSpan w:val="2"/>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2015</w:t>
            </w: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4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2014</w:t>
            </w: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74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rPr>
              <w:t>2015</w:t>
            </w:r>
          </w:p>
        </w:tc>
        <w:tc>
          <w:tcPr>
            <w:tcW w:w="400" w:type="dxa"/>
            <w:vAlign w:val="bottom"/>
          </w:tcPr>
          <w:p>
            <w:pPr>
              <w:spacing w:after="0"/>
              <w:rPr>
                <w:sz w:val="17"/>
                <w:szCs w:val="17"/>
                <w:color w:val="auto"/>
              </w:rPr>
            </w:pPr>
          </w:p>
        </w:tc>
        <w:tc>
          <w:tcPr>
            <w:tcW w:w="960" w:type="dxa"/>
            <w:vAlign w:val="bottom"/>
            <w:gridSpan w:val="5"/>
          </w:tcPr>
          <w:p>
            <w:pPr>
              <w:jc w:val="right"/>
              <w:ind w:right="100"/>
              <w:spacing w:after="0" w:line="196" w:lineRule="exact"/>
              <w:rPr>
                <w:sz w:val="20"/>
                <w:szCs w:val="20"/>
                <w:color w:val="auto"/>
              </w:rPr>
            </w:pPr>
            <w:r>
              <w:rPr>
                <w:rFonts w:ascii="Arial" w:cs="Arial" w:eastAsia="Arial" w:hAnsi="Arial"/>
                <w:sz w:val="18"/>
                <w:szCs w:val="18"/>
                <w:b w:val="1"/>
                <w:bCs w:val="1"/>
                <w:color w:val="auto"/>
              </w:rPr>
              <w:t>2014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tcPr>
          <w:p>
            <w:pPr>
              <w:spacing w:after="0"/>
              <w:rPr>
                <w:sz w:val="20"/>
                <w:szCs w:val="20"/>
                <w:color w:val="auto"/>
              </w:rPr>
            </w:pPr>
          </w:p>
        </w:tc>
        <w:tc>
          <w:tcPr>
            <w:tcW w:w="55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320" w:type="dxa"/>
            <w:vAlign w:val="bottom"/>
            <w:gridSpan w:val="4"/>
          </w:tcPr>
          <w:p>
            <w:pPr>
              <w:jc w:val="right"/>
              <w:spacing w:after="0"/>
              <w:rPr>
                <w:sz w:val="20"/>
                <w:szCs w:val="20"/>
                <w:color w:val="auto"/>
              </w:rPr>
            </w:pPr>
            <w:r>
              <w:rPr>
                <w:rFonts w:ascii="Arial" w:cs="Arial" w:eastAsia="Arial" w:hAnsi="Arial"/>
                <w:sz w:val="18"/>
                <w:szCs w:val="18"/>
                <w:b w:val="1"/>
                <w:bCs w:val="1"/>
                <w:color w:val="auto"/>
              </w:rPr>
              <w:t>(in thousands)</w:t>
            </w: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spacing w:after="0"/>
              <w:rPr>
                <w:sz w:val="20"/>
                <w:szCs w:val="20"/>
                <w:color w:val="auto"/>
              </w:rPr>
            </w:pPr>
            <w:r>
              <w:rPr>
                <w:rFonts w:ascii="Arial" w:cs="Arial" w:eastAsia="Arial" w:hAnsi="Arial"/>
                <w:sz w:val="18"/>
                <w:szCs w:val="18"/>
                <w:color w:val="auto"/>
              </w:rPr>
              <w:t>Ireland</w:t>
            </w:r>
          </w:p>
        </w:tc>
        <w:tc>
          <w:tcPr>
            <w:tcW w:w="76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8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105,413</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80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88,724</w:t>
            </w:r>
          </w:p>
        </w:tc>
        <w:tc>
          <w:tcPr>
            <w:tcW w:w="6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74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w w:val="95"/>
              </w:rPr>
              <w:t>219,503</w:t>
            </w:r>
          </w:p>
        </w:tc>
        <w:tc>
          <w:tcPr>
            <w:tcW w:w="4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96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174,085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spacing w:after="0"/>
              <w:rPr>
                <w:sz w:val="20"/>
                <w:szCs w:val="20"/>
                <w:color w:val="auto"/>
              </w:rPr>
            </w:pPr>
            <w:r>
              <w:rPr>
                <w:rFonts w:ascii="Arial" w:cs="Arial" w:eastAsia="Arial" w:hAnsi="Arial"/>
                <w:sz w:val="18"/>
                <w:szCs w:val="18"/>
                <w:color w:val="auto"/>
              </w:rPr>
              <w:t>Rest of Europe</w:t>
            </w:r>
          </w:p>
        </w:tc>
        <w:tc>
          <w:tcPr>
            <w:tcW w:w="760" w:type="dxa"/>
            <w:vAlign w:val="bottom"/>
          </w:tcPr>
          <w:p>
            <w:pPr>
              <w:spacing w:after="0"/>
              <w:rPr>
                <w:sz w:val="18"/>
                <w:szCs w:val="18"/>
                <w:color w:val="auto"/>
              </w:rPr>
            </w:pPr>
          </w:p>
        </w:tc>
        <w:tc>
          <w:tcPr>
            <w:tcW w:w="1000" w:type="dxa"/>
            <w:vAlign w:val="bottom"/>
            <w:gridSpan w:val="5"/>
          </w:tcPr>
          <w:p>
            <w:pPr>
              <w:jc w:val="right"/>
              <w:ind w:right="120"/>
              <w:spacing w:after="0"/>
              <w:rPr>
                <w:sz w:val="20"/>
                <w:szCs w:val="20"/>
                <w:color w:val="auto"/>
              </w:rPr>
            </w:pPr>
            <w:r>
              <w:rPr>
                <w:rFonts w:ascii="Arial" w:cs="Arial" w:eastAsia="Arial" w:hAnsi="Arial"/>
                <w:sz w:val="18"/>
                <w:szCs w:val="18"/>
                <w:color w:val="auto"/>
              </w:rPr>
              <w:t>78,540</w:t>
            </w:r>
          </w:p>
        </w:tc>
        <w:tc>
          <w:tcPr>
            <w:tcW w:w="560" w:type="dxa"/>
            <w:vAlign w:val="bottom"/>
          </w:tcPr>
          <w:p>
            <w:pPr>
              <w:spacing w:after="0"/>
              <w:rPr>
                <w:sz w:val="18"/>
                <w:szCs w:val="18"/>
                <w:color w:val="auto"/>
              </w:rPr>
            </w:pPr>
          </w:p>
        </w:tc>
        <w:tc>
          <w:tcPr>
            <w:tcW w:w="800" w:type="dxa"/>
            <w:vAlign w:val="bottom"/>
            <w:gridSpan w:val="5"/>
          </w:tcPr>
          <w:p>
            <w:pPr>
              <w:jc w:val="right"/>
              <w:ind w:right="100"/>
              <w:spacing w:after="0"/>
              <w:rPr>
                <w:sz w:val="20"/>
                <w:szCs w:val="20"/>
                <w:color w:val="auto"/>
              </w:rPr>
            </w:pPr>
            <w:r>
              <w:rPr>
                <w:rFonts w:ascii="Arial" w:cs="Arial" w:eastAsia="Arial" w:hAnsi="Arial"/>
                <w:sz w:val="18"/>
                <w:szCs w:val="18"/>
                <w:color w:val="auto"/>
              </w:rPr>
              <w:t>98,130</w:t>
            </w:r>
          </w:p>
        </w:tc>
        <w:tc>
          <w:tcPr>
            <w:tcW w:w="600" w:type="dxa"/>
            <w:vAlign w:val="bottom"/>
          </w:tcPr>
          <w:p>
            <w:pPr>
              <w:spacing w:after="0"/>
              <w:rPr>
                <w:sz w:val="18"/>
                <w:szCs w:val="18"/>
                <w:color w:val="auto"/>
              </w:rPr>
            </w:pPr>
          </w:p>
        </w:tc>
        <w:tc>
          <w:tcPr>
            <w:tcW w:w="740" w:type="dxa"/>
            <w:vAlign w:val="bottom"/>
            <w:gridSpan w:val="4"/>
          </w:tcPr>
          <w:p>
            <w:pPr>
              <w:jc w:val="right"/>
              <w:ind w:right="100"/>
              <w:spacing w:after="0"/>
              <w:rPr>
                <w:sz w:val="20"/>
                <w:szCs w:val="20"/>
                <w:color w:val="auto"/>
              </w:rPr>
            </w:pPr>
            <w:r>
              <w:rPr>
                <w:rFonts w:ascii="Arial" w:cs="Arial" w:eastAsia="Arial" w:hAnsi="Arial"/>
                <w:sz w:val="18"/>
                <w:szCs w:val="18"/>
                <w:color w:val="auto"/>
                <w:w w:val="95"/>
              </w:rPr>
              <w:t>162,628</w:t>
            </w:r>
          </w:p>
        </w:tc>
        <w:tc>
          <w:tcPr>
            <w:tcW w:w="400" w:type="dxa"/>
            <w:vAlign w:val="bottom"/>
          </w:tcPr>
          <w:p>
            <w:pPr>
              <w:spacing w:after="0"/>
              <w:rPr>
                <w:sz w:val="18"/>
                <w:szCs w:val="18"/>
                <w:color w:val="auto"/>
              </w:rPr>
            </w:pPr>
          </w:p>
        </w:tc>
        <w:tc>
          <w:tcPr>
            <w:tcW w:w="960" w:type="dxa"/>
            <w:vAlign w:val="bottom"/>
            <w:gridSpan w:val="5"/>
          </w:tcPr>
          <w:p>
            <w:pPr>
              <w:jc w:val="right"/>
              <w:ind w:right="100"/>
              <w:spacing w:after="0"/>
              <w:rPr>
                <w:sz w:val="20"/>
                <w:szCs w:val="20"/>
                <w:color w:val="auto"/>
              </w:rPr>
            </w:pPr>
            <w:r>
              <w:rPr>
                <w:rFonts w:ascii="Arial" w:cs="Arial" w:eastAsia="Arial" w:hAnsi="Arial"/>
                <w:sz w:val="18"/>
                <w:szCs w:val="18"/>
                <w:color w:val="auto"/>
              </w:rPr>
              <w:t>184,531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spacing w:after="0"/>
              <w:rPr>
                <w:sz w:val="20"/>
                <w:szCs w:val="20"/>
                <w:color w:val="auto"/>
              </w:rPr>
            </w:pPr>
            <w:r>
              <w:rPr>
                <w:rFonts w:ascii="Arial" w:cs="Arial" w:eastAsia="Arial" w:hAnsi="Arial"/>
                <w:sz w:val="18"/>
                <w:szCs w:val="18"/>
                <w:color w:val="auto"/>
              </w:rPr>
              <w:t>U.S.</w:t>
            </w:r>
          </w:p>
        </w:tc>
        <w:tc>
          <w:tcPr>
            <w:tcW w:w="760" w:type="dxa"/>
            <w:vAlign w:val="bottom"/>
            <w:shd w:val="clear" w:color="auto" w:fill="CCEEFF"/>
          </w:tcPr>
          <w:p>
            <w:pPr>
              <w:spacing w:after="0"/>
              <w:rPr>
                <w:sz w:val="18"/>
                <w:szCs w:val="18"/>
                <w:color w:val="auto"/>
              </w:rPr>
            </w:pPr>
          </w:p>
        </w:tc>
        <w:tc>
          <w:tcPr>
            <w:tcW w:w="8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164,300</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80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147,370</w:t>
            </w:r>
          </w:p>
        </w:tc>
        <w:tc>
          <w:tcPr>
            <w:tcW w:w="600" w:type="dxa"/>
            <w:vAlign w:val="bottom"/>
            <w:shd w:val="clear" w:color="auto" w:fill="CCEEFF"/>
          </w:tcPr>
          <w:p>
            <w:pPr>
              <w:spacing w:after="0"/>
              <w:rPr>
                <w:sz w:val="18"/>
                <w:szCs w:val="18"/>
                <w:color w:val="auto"/>
              </w:rPr>
            </w:pPr>
          </w:p>
        </w:tc>
        <w:tc>
          <w:tcPr>
            <w:tcW w:w="74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w w:val="95"/>
              </w:rPr>
              <w:t>314,364</w:t>
            </w:r>
          </w:p>
        </w:tc>
        <w:tc>
          <w:tcPr>
            <w:tcW w:w="400" w:type="dxa"/>
            <w:vAlign w:val="bottom"/>
            <w:shd w:val="clear" w:color="auto" w:fill="CCEEFF"/>
          </w:tcPr>
          <w:p>
            <w:pPr>
              <w:spacing w:after="0"/>
              <w:rPr>
                <w:sz w:val="18"/>
                <w:szCs w:val="18"/>
                <w:color w:val="auto"/>
              </w:rPr>
            </w:pPr>
          </w:p>
        </w:tc>
        <w:tc>
          <w:tcPr>
            <w:tcW w:w="96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289,049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5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Rest of World</w:t>
            </w:r>
          </w:p>
        </w:tc>
        <w:tc>
          <w:tcPr>
            <w:tcW w:w="7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gridSpan w:val="5"/>
          </w:tcPr>
          <w:p>
            <w:pPr>
              <w:jc w:val="right"/>
              <w:ind w:right="120"/>
              <w:spacing w:after="0"/>
              <w:rPr>
                <w:sz w:val="20"/>
                <w:szCs w:val="20"/>
                <w:color w:val="auto"/>
              </w:rPr>
            </w:pPr>
            <w:r>
              <w:rPr>
                <w:rFonts w:ascii="Arial" w:cs="Arial" w:eastAsia="Arial" w:hAnsi="Arial"/>
                <w:sz w:val="18"/>
                <w:szCs w:val="18"/>
                <w:color w:val="auto"/>
              </w:rPr>
              <w:t>40,404</w:t>
            </w:r>
          </w:p>
        </w:tc>
        <w:tc>
          <w:tcPr>
            <w:tcW w:w="56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41,796</w:t>
            </w:r>
          </w:p>
        </w:tc>
        <w:tc>
          <w:tcPr>
            <w:tcW w:w="6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8"/>
                <w:szCs w:val="18"/>
                <w:color w:val="auto"/>
              </w:rPr>
              <w:t>80,393</w:t>
            </w:r>
          </w:p>
        </w:tc>
        <w:tc>
          <w:tcPr>
            <w:tcW w:w="4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77,989</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5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Borders>
              <w:bottom w:val="single" w:sz="8" w:color="auto"/>
            </w:tcBorders>
            <w:vMerge w:val="continue"/>
          </w:tcPr>
          <w:p>
            <w:pPr>
              <w:spacing w:after="0"/>
              <w:rPr>
                <w:sz w:val="18"/>
                <w:szCs w:val="18"/>
                <w:color w:val="auto"/>
              </w:rPr>
            </w:pPr>
          </w:p>
        </w:tc>
        <w:tc>
          <w:tcPr>
            <w:tcW w:w="55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Total</w:t>
            </w:r>
          </w:p>
        </w:tc>
        <w:tc>
          <w:tcPr>
            <w:tcW w:w="7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rPr>
              <w:t>388,657</w:t>
            </w:r>
          </w:p>
        </w:tc>
        <w:tc>
          <w:tcPr>
            <w:tcW w:w="12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376,020</w:t>
            </w:r>
          </w:p>
        </w:tc>
        <w:tc>
          <w:tcPr>
            <w:tcW w:w="6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w:t>
            </w:r>
          </w:p>
        </w:tc>
        <w:tc>
          <w:tcPr>
            <w:tcW w:w="74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8"/>
                <w:szCs w:val="18"/>
                <w:color w:val="auto"/>
                <w:w w:val="95"/>
              </w:rPr>
              <w:t>776,888</w:t>
            </w:r>
          </w:p>
        </w:tc>
        <w:tc>
          <w:tcPr>
            <w:tcW w:w="4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725,654</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5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ind w:left="800" w:hanging="144"/>
        <w:spacing w:after="0"/>
        <w:tabs>
          <w:tab w:leader="none" w:pos="800" w:val="left"/>
        </w:tabs>
        <w:numPr>
          <w:ilvl w:val="1"/>
          <w:numId w:val="5"/>
        </w:numPr>
        <w:rPr>
          <w:rFonts w:ascii="Arial" w:cs="Arial" w:eastAsia="Arial" w:hAnsi="Arial"/>
          <w:sz w:val="18"/>
          <w:szCs w:val="18"/>
          <w:color w:val="auto"/>
        </w:rPr>
      </w:pPr>
      <w:r>
        <w:rPr>
          <w:rFonts w:ascii="Arial" w:cs="Arial" w:eastAsia="Arial" w:hAnsi="Arial"/>
          <w:sz w:val="18"/>
          <w:szCs w:val="18"/>
          <w:color w:val="auto"/>
        </w:rPr>
        <w:t>All sales shown for Ireland are export sales.</w:t>
      </w:r>
    </w:p>
    <w:p>
      <w:pPr>
        <w:spacing w:after="0" w:line="237" w:lineRule="exact"/>
        <w:rPr>
          <w:rFonts w:ascii="Arial" w:cs="Arial" w:eastAsia="Arial" w:hAnsi="Arial"/>
          <w:sz w:val="18"/>
          <w:szCs w:val="18"/>
          <w:color w:val="auto"/>
        </w:rPr>
      </w:pPr>
    </w:p>
    <w:p>
      <w:pPr>
        <w:ind w:left="200" w:hanging="192"/>
        <w:spacing w:after="0"/>
        <w:tabs>
          <w:tab w:leader="none" w:pos="20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distribution of income from operations by geographical area was as follows: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356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40" w:type="dxa"/>
            <w:vAlign w:val="bottom"/>
            <w:tcBorders>
              <w:bottom w:val="single" w:sz="8" w:color="auto"/>
            </w:tcBorders>
            <w:gridSpan w:val="7"/>
          </w:tcPr>
          <w:p>
            <w:pPr>
              <w:spacing w:after="0"/>
              <w:rPr>
                <w:sz w:val="20"/>
                <w:szCs w:val="20"/>
                <w:color w:val="auto"/>
              </w:rPr>
            </w:pPr>
            <w:r>
              <w:rPr>
                <w:rFonts w:ascii="Arial" w:cs="Arial" w:eastAsia="Arial" w:hAnsi="Arial"/>
                <w:sz w:val="18"/>
                <w:szCs w:val="18"/>
                <w:b w:val="1"/>
                <w:bCs w:val="1"/>
                <w:color w:val="auto"/>
                <w:w w:val="90"/>
              </w:rPr>
              <w:t>Three Months Ended</w:t>
            </w:r>
          </w:p>
        </w:tc>
        <w:tc>
          <w:tcPr>
            <w:tcW w:w="560" w:type="dxa"/>
            <w:vAlign w:val="bottom"/>
            <w:gridSpan w:val="3"/>
          </w:tcPr>
          <w:p>
            <w:pPr>
              <w:spacing w:after="0"/>
              <w:rPr>
                <w:sz w:val="17"/>
                <w:szCs w:val="17"/>
                <w:color w:val="auto"/>
              </w:rPr>
            </w:pPr>
          </w:p>
        </w:tc>
        <w:tc>
          <w:tcPr>
            <w:tcW w:w="6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20" w:type="dxa"/>
            <w:vAlign w:val="bottom"/>
            <w:tcBorders>
              <w:bottom w:val="single" w:sz="8" w:color="auto"/>
            </w:tcBorders>
            <w:gridSpan w:val="6"/>
          </w:tcPr>
          <w:p>
            <w:pPr>
              <w:spacing w:after="0"/>
              <w:rPr>
                <w:sz w:val="20"/>
                <w:szCs w:val="20"/>
                <w:color w:val="auto"/>
              </w:rPr>
            </w:pPr>
            <w:r>
              <w:rPr>
                <w:rFonts w:ascii="Arial" w:cs="Arial" w:eastAsia="Arial" w:hAnsi="Arial"/>
                <w:sz w:val="18"/>
                <w:szCs w:val="18"/>
                <w:b w:val="1"/>
                <w:bCs w:val="1"/>
                <w:color w:val="auto"/>
                <w:w w:val="89"/>
              </w:rPr>
              <w:t>Six Months Ended</w:t>
            </w:r>
          </w:p>
        </w:tc>
        <w:tc>
          <w:tcPr>
            <w:tcW w:w="64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56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w w:val="85"/>
              </w:rPr>
              <w:t>June 30,</w:t>
            </w: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00" w:type="dxa"/>
            <w:vAlign w:val="bottom"/>
            <w:gridSpan w:val="5"/>
          </w:tcPr>
          <w:p>
            <w:pPr>
              <w:ind w:left="60"/>
              <w:spacing w:after="0" w:line="196" w:lineRule="exact"/>
              <w:rPr>
                <w:sz w:val="20"/>
                <w:szCs w:val="20"/>
                <w:color w:val="auto"/>
              </w:rPr>
            </w:pPr>
            <w:r>
              <w:rPr>
                <w:rFonts w:ascii="Arial" w:cs="Arial" w:eastAsia="Arial" w:hAnsi="Arial"/>
                <w:sz w:val="18"/>
                <w:szCs w:val="18"/>
                <w:b w:val="1"/>
                <w:bCs w:val="1"/>
                <w:color w:val="auto"/>
                <w:w w:val="99"/>
              </w:rPr>
              <w:t>June 30,</w:t>
            </w:r>
          </w:p>
        </w:tc>
        <w:tc>
          <w:tcPr>
            <w:tcW w:w="600" w:type="dxa"/>
            <w:vAlign w:val="bottom"/>
          </w:tcPr>
          <w:p>
            <w:pPr>
              <w:spacing w:after="0"/>
              <w:rPr>
                <w:sz w:val="17"/>
                <w:szCs w:val="17"/>
                <w:color w:val="auto"/>
              </w:rPr>
            </w:pPr>
          </w:p>
        </w:tc>
        <w:tc>
          <w:tcPr>
            <w:tcW w:w="74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w w:val="85"/>
              </w:rPr>
              <w:t>June 30,</w:t>
            </w:r>
          </w:p>
        </w:tc>
        <w:tc>
          <w:tcPr>
            <w:tcW w:w="580" w:type="dxa"/>
            <w:vAlign w:val="bottom"/>
          </w:tcPr>
          <w:p>
            <w:pPr>
              <w:spacing w:after="0"/>
              <w:rPr>
                <w:sz w:val="17"/>
                <w:szCs w:val="17"/>
                <w:color w:val="auto"/>
              </w:rPr>
            </w:pPr>
          </w:p>
        </w:tc>
        <w:tc>
          <w:tcPr>
            <w:tcW w:w="780" w:type="dxa"/>
            <w:vAlign w:val="bottom"/>
            <w:gridSpan w:val="5"/>
          </w:tcPr>
          <w:p>
            <w:pPr>
              <w:ind w:left="40"/>
              <w:spacing w:after="0" w:line="196" w:lineRule="exact"/>
              <w:rPr>
                <w:sz w:val="20"/>
                <w:szCs w:val="20"/>
                <w:color w:val="auto"/>
              </w:rPr>
            </w:pPr>
            <w:r>
              <w:rPr>
                <w:rFonts w:ascii="Arial" w:cs="Arial" w:eastAsia="Arial" w:hAnsi="Arial"/>
                <w:sz w:val="18"/>
                <w:szCs w:val="18"/>
                <w:b w:val="1"/>
                <w:bCs w:val="1"/>
                <w:color w:val="auto"/>
                <w:w w:val="99"/>
              </w:rPr>
              <w:t>June 30,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356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260" w:type="dxa"/>
            <w:vAlign w:val="bottom"/>
            <w:gridSpan w:val="2"/>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2015</w:t>
            </w: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40" w:type="dxa"/>
            <w:vAlign w:val="bottom"/>
            <w:gridSpan w:val="3"/>
          </w:tcPr>
          <w:p>
            <w:pPr>
              <w:jc w:val="right"/>
              <w:spacing w:after="0" w:line="196" w:lineRule="exact"/>
              <w:rPr>
                <w:sz w:val="20"/>
                <w:szCs w:val="20"/>
                <w:color w:val="auto"/>
              </w:rPr>
            </w:pPr>
            <w:r>
              <w:rPr>
                <w:rFonts w:ascii="Arial" w:cs="Arial" w:eastAsia="Arial" w:hAnsi="Arial"/>
                <w:sz w:val="18"/>
                <w:szCs w:val="18"/>
                <w:b w:val="1"/>
                <w:bCs w:val="1"/>
                <w:color w:val="auto"/>
              </w:rPr>
              <w:t>2014</w:t>
            </w: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740" w:type="dxa"/>
            <w:vAlign w:val="bottom"/>
            <w:gridSpan w:val="4"/>
          </w:tcPr>
          <w:p>
            <w:pPr>
              <w:jc w:val="right"/>
              <w:ind w:right="100"/>
              <w:spacing w:after="0" w:line="196" w:lineRule="exact"/>
              <w:rPr>
                <w:sz w:val="20"/>
                <w:szCs w:val="20"/>
                <w:color w:val="auto"/>
              </w:rPr>
            </w:pPr>
            <w:r>
              <w:rPr>
                <w:rFonts w:ascii="Arial" w:cs="Arial" w:eastAsia="Arial" w:hAnsi="Arial"/>
                <w:sz w:val="18"/>
                <w:szCs w:val="18"/>
                <w:b w:val="1"/>
                <w:bCs w:val="1"/>
                <w:color w:val="auto"/>
              </w:rPr>
              <w:t>2015</w:t>
            </w:r>
          </w:p>
        </w:tc>
        <w:tc>
          <w:tcPr>
            <w:tcW w:w="580" w:type="dxa"/>
            <w:vAlign w:val="bottom"/>
          </w:tcPr>
          <w:p>
            <w:pPr>
              <w:spacing w:after="0"/>
              <w:rPr>
                <w:sz w:val="17"/>
                <w:szCs w:val="17"/>
                <w:color w:val="auto"/>
              </w:rPr>
            </w:pPr>
          </w:p>
        </w:tc>
        <w:tc>
          <w:tcPr>
            <w:tcW w:w="780" w:type="dxa"/>
            <w:vAlign w:val="bottom"/>
            <w:gridSpan w:val="5"/>
          </w:tcPr>
          <w:p>
            <w:pPr>
              <w:jc w:val="right"/>
              <w:ind w:right="100"/>
              <w:spacing w:after="0" w:line="196" w:lineRule="exact"/>
              <w:rPr>
                <w:sz w:val="20"/>
                <w:szCs w:val="20"/>
                <w:color w:val="auto"/>
              </w:rPr>
            </w:pPr>
            <w:r>
              <w:rPr>
                <w:rFonts w:ascii="Arial" w:cs="Arial" w:eastAsia="Arial" w:hAnsi="Arial"/>
                <w:sz w:val="18"/>
                <w:szCs w:val="18"/>
                <w:b w:val="1"/>
                <w:bCs w:val="1"/>
                <w:color w:val="auto"/>
              </w:rPr>
              <w:t>2014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tcPr>
          <w:p>
            <w:pPr>
              <w:spacing w:after="0"/>
              <w:rPr>
                <w:sz w:val="20"/>
                <w:szCs w:val="20"/>
                <w:color w:val="auto"/>
              </w:rPr>
            </w:pPr>
          </w:p>
        </w:tc>
        <w:tc>
          <w:tcPr>
            <w:tcW w:w="3560" w:type="dxa"/>
            <w:vAlign w:val="bottom"/>
          </w:tcPr>
          <w:p>
            <w:pPr>
              <w:spacing w:after="0"/>
              <w:rPr>
                <w:sz w:val="20"/>
                <w:szCs w:val="20"/>
                <w:color w:val="auto"/>
              </w:rPr>
            </w:pPr>
          </w:p>
        </w:tc>
        <w:tc>
          <w:tcPr>
            <w:tcW w:w="27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320" w:type="dxa"/>
            <w:vAlign w:val="bottom"/>
            <w:gridSpan w:val="4"/>
          </w:tcPr>
          <w:p>
            <w:pPr>
              <w:jc w:val="right"/>
              <w:spacing w:after="0"/>
              <w:rPr>
                <w:sz w:val="20"/>
                <w:szCs w:val="20"/>
                <w:color w:val="auto"/>
              </w:rPr>
            </w:pPr>
            <w:r>
              <w:rPr>
                <w:rFonts w:ascii="Arial" w:cs="Arial" w:eastAsia="Arial" w:hAnsi="Arial"/>
                <w:sz w:val="18"/>
                <w:szCs w:val="18"/>
                <w:b w:val="1"/>
                <w:bCs w:val="1"/>
                <w:color w:val="auto"/>
              </w:rPr>
              <w:t>(in thousands)</w:t>
            </w: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80" w:type="dxa"/>
            <w:vAlign w:val="bottom"/>
            <w:gridSpan w:val="4"/>
          </w:tcPr>
          <w:p>
            <w:pPr>
              <w:jc w:val="right"/>
              <w:spacing w:after="0"/>
              <w:rPr>
                <w:sz w:val="20"/>
                <w:szCs w:val="20"/>
                <w:color w:val="auto"/>
              </w:rPr>
            </w:pPr>
            <w:r>
              <w:rPr>
                <w:rFonts w:ascii="Arial" w:cs="Arial" w:eastAsia="Arial" w:hAnsi="Arial"/>
                <w:sz w:val="18"/>
                <w:szCs w:val="18"/>
                <w:b w:val="1"/>
                <w:bCs w:val="1"/>
                <w:color w:val="auto"/>
                <w:w w:val="99"/>
              </w:rPr>
              <w:t>(in thousands)</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shd w:val="clear" w:color="auto" w:fill="CCEEFF"/>
          </w:tcPr>
          <w:p>
            <w:pPr>
              <w:spacing w:after="0"/>
              <w:rPr>
                <w:sz w:val="20"/>
                <w:szCs w:val="20"/>
                <w:color w:val="auto"/>
              </w:rPr>
            </w:pPr>
            <w:r>
              <w:rPr>
                <w:rFonts w:ascii="Arial" w:cs="Arial" w:eastAsia="Arial" w:hAnsi="Arial"/>
                <w:sz w:val="18"/>
                <w:szCs w:val="18"/>
                <w:color w:val="auto"/>
              </w:rPr>
              <w:t>Ireland</w:t>
            </w:r>
          </w:p>
        </w:tc>
        <w:tc>
          <w:tcPr>
            <w:tcW w:w="27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102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49,436</w:t>
            </w:r>
          </w:p>
        </w:tc>
        <w:tc>
          <w:tcPr>
            <w:tcW w:w="5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80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26,736</w:t>
            </w:r>
          </w:p>
        </w:tc>
        <w:tc>
          <w:tcPr>
            <w:tcW w:w="6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74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97,002</w:t>
            </w:r>
          </w:p>
        </w:tc>
        <w:tc>
          <w:tcPr>
            <w:tcW w:w="5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78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54,870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tcPr>
          <w:p>
            <w:pPr>
              <w:spacing w:after="0"/>
              <w:rPr>
                <w:sz w:val="20"/>
                <w:szCs w:val="20"/>
                <w:color w:val="auto"/>
              </w:rPr>
            </w:pPr>
            <w:r>
              <w:rPr>
                <w:rFonts w:ascii="Arial" w:cs="Arial" w:eastAsia="Arial" w:hAnsi="Arial"/>
                <w:sz w:val="18"/>
                <w:szCs w:val="18"/>
                <w:color w:val="auto"/>
              </w:rPr>
              <w:t>Rest of Europe</w:t>
            </w:r>
          </w:p>
        </w:tc>
        <w:tc>
          <w:tcPr>
            <w:tcW w:w="2760" w:type="dxa"/>
            <w:vAlign w:val="bottom"/>
          </w:tcPr>
          <w:p>
            <w:pPr>
              <w:spacing w:after="0"/>
              <w:rPr>
                <w:sz w:val="18"/>
                <w:szCs w:val="18"/>
                <w:color w:val="auto"/>
              </w:rPr>
            </w:pP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3,521</w:t>
            </w: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800" w:type="dxa"/>
            <w:vAlign w:val="bottom"/>
            <w:gridSpan w:val="5"/>
          </w:tcPr>
          <w:p>
            <w:pPr>
              <w:jc w:val="right"/>
              <w:ind w:right="100"/>
              <w:spacing w:after="0"/>
              <w:rPr>
                <w:sz w:val="20"/>
                <w:szCs w:val="20"/>
                <w:color w:val="auto"/>
              </w:rPr>
            </w:pPr>
            <w:r>
              <w:rPr>
                <w:rFonts w:ascii="Arial" w:cs="Arial" w:eastAsia="Arial" w:hAnsi="Arial"/>
                <w:sz w:val="18"/>
                <w:szCs w:val="18"/>
                <w:color w:val="auto"/>
              </w:rPr>
              <w:t>7,970</w:t>
            </w:r>
          </w:p>
        </w:tc>
        <w:tc>
          <w:tcPr>
            <w:tcW w:w="600" w:type="dxa"/>
            <w:vAlign w:val="bottom"/>
          </w:tcPr>
          <w:p>
            <w:pPr>
              <w:spacing w:after="0"/>
              <w:rPr>
                <w:sz w:val="18"/>
                <w:szCs w:val="18"/>
                <w:color w:val="auto"/>
              </w:rPr>
            </w:pPr>
          </w:p>
        </w:tc>
        <w:tc>
          <w:tcPr>
            <w:tcW w:w="740" w:type="dxa"/>
            <w:vAlign w:val="bottom"/>
            <w:gridSpan w:val="4"/>
          </w:tcPr>
          <w:p>
            <w:pPr>
              <w:jc w:val="right"/>
              <w:ind w:right="100"/>
              <w:spacing w:after="0"/>
              <w:rPr>
                <w:sz w:val="20"/>
                <w:szCs w:val="20"/>
                <w:color w:val="auto"/>
              </w:rPr>
            </w:pPr>
            <w:r>
              <w:rPr>
                <w:rFonts w:ascii="Arial" w:cs="Arial" w:eastAsia="Arial" w:hAnsi="Arial"/>
                <w:sz w:val="18"/>
                <w:szCs w:val="18"/>
                <w:color w:val="auto"/>
              </w:rPr>
              <w:t>10,307</w:t>
            </w:r>
          </w:p>
        </w:tc>
        <w:tc>
          <w:tcPr>
            <w:tcW w:w="580" w:type="dxa"/>
            <w:vAlign w:val="bottom"/>
          </w:tcPr>
          <w:p>
            <w:pPr>
              <w:spacing w:after="0"/>
              <w:rPr>
                <w:sz w:val="18"/>
                <w:szCs w:val="18"/>
                <w:color w:val="auto"/>
              </w:rPr>
            </w:pPr>
          </w:p>
        </w:tc>
        <w:tc>
          <w:tcPr>
            <w:tcW w:w="780" w:type="dxa"/>
            <w:vAlign w:val="bottom"/>
            <w:gridSpan w:val="5"/>
          </w:tcPr>
          <w:p>
            <w:pPr>
              <w:jc w:val="right"/>
              <w:ind w:right="100"/>
              <w:spacing w:after="0"/>
              <w:rPr>
                <w:sz w:val="20"/>
                <w:szCs w:val="20"/>
                <w:color w:val="auto"/>
              </w:rPr>
            </w:pPr>
            <w:r>
              <w:rPr>
                <w:rFonts w:ascii="Arial" w:cs="Arial" w:eastAsia="Arial" w:hAnsi="Arial"/>
                <w:sz w:val="18"/>
                <w:szCs w:val="18"/>
                <w:color w:val="auto"/>
              </w:rPr>
              <w:t>14,371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shd w:val="clear" w:color="auto" w:fill="CCEEFF"/>
          </w:tcPr>
          <w:p>
            <w:pPr>
              <w:spacing w:after="0"/>
              <w:rPr>
                <w:sz w:val="20"/>
                <w:szCs w:val="20"/>
                <w:color w:val="auto"/>
              </w:rPr>
            </w:pPr>
            <w:r>
              <w:rPr>
                <w:rFonts w:ascii="Arial" w:cs="Arial" w:eastAsia="Arial" w:hAnsi="Arial"/>
                <w:sz w:val="18"/>
                <w:szCs w:val="18"/>
                <w:color w:val="auto"/>
              </w:rPr>
              <w:t>U.S.</w:t>
            </w:r>
          </w:p>
        </w:tc>
        <w:tc>
          <w:tcPr>
            <w:tcW w:w="2760" w:type="dxa"/>
            <w:vAlign w:val="bottom"/>
            <w:shd w:val="clear" w:color="auto" w:fill="CCEEFF"/>
          </w:tcPr>
          <w:p>
            <w:pPr>
              <w:spacing w:after="0"/>
              <w:rPr>
                <w:sz w:val="18"/>
                <w:szCs w:val="18"/>
                <w:color w:val="auto"/>
              </w:rPr>
            </w:pPr>
          </w:p>
        </w:tc>
        <w:tc>
          <w:tcPr>
            <w:tcW w:w="102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12,592</w:t>
            </w:r>
          </w:p>
        </w:tc>
        <w:tc>
          <w:tcPr>
            <w:tcW w:w="560" w:type="dxa"/>
            <w:vAlign w:val="bottom"/>
            <w:shd w:val="clear" w:color="auto" w:fill="CCEEFF"/>
          </w:tcPr>
          <w:p>
            <w:pPr>
              <w:spacing w:after="0"/>
              <w:rPr>
                <w:sz w:val="18"/>
                <w:szCs w:val="18"/>
                <w:color w:val="auto"/>
              </w:rPr>
            </w:pPr>
          </w:p>
        </w:tc>
        <w:tc>
          <w:tcPr>
            <w:tcW w:w="80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9,646</w:t>
            </w:r>
          </w:p>
        </w:tc>
        <w:tc>
          <w:tcPr>
            <w:tcW w:w="600" w:type="dxa"/>
            <w:vAlign w:val="bottom"/>
            <w:shd w:val="clear" w:color="auto" w:fill="CCEEFF"/>
          </w:tcPr>
          <w:p>
            <w:pPr>
              <w:spacing w:after="0"/>
              <w:rPr>
                <w:sz w:val="18"/>
                <w:szCs w:val="18"/>
                <w:color w:val="auto"/>
              </w:rPr>
            </w:pPr>
          </w:p>
        </w:tc>
        <w:tc>
          <w:tcPr>
            <w:tcW w:w="74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22,447</w:t>
            </w:r>
          </w:p>
        </w:tc>
        <w:tc>
          <w:tcPr>
            <w:tcW w:w="580" w:type="dxa"/>
            <w:vAlign w:val="bottom"/>
            <w:shd w:val="clear" w:color="auto" w:fill="CCEEFF"/>
          </w:tcPr>
          <w:p>
            <w:pPr>
              <w:spacing w:after="0"/>
              <w:rPr>
                <w:sz w:val="18"/>
                <w:szCs w:val="18"/>
                <w:color w:val="auto"/>
              </w:rPr>
            </w:pPr>
          </w:p>
        </w:tc>
        <w:tc>
          <w:tcPr>
            <w:tcW w:w="78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16,340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5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Rest of World</w:t>
            </w:r>
          </w:p>
        </w:tc>
        <w:tc>
          <w:tcPr>
            <w:tcW w:w="27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rPr>
              <w:t>2,582</w:t>
            </w:r>
          </w:p>
        </w:tc>
        <w:tc>
          <w:tcPr>
            <w:tcW w:w="1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3,936</w:t>
            </w:r>
          </w:p>
        </w:tc>
        <w:tc>
          <w:tcPr>
            <w:tcW w:w="6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8"/>
                <w:szCs w:val="18"/>
                <w:color w:val="auto"/>
              </w:rPr>
              <w:t>5,049</w:t>
            </w:r>
          </w:p>
        </w:tc>
        <w:tc>
          <w:tcPr>
            <w:tcW w:w="5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5,705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560" w:type="dxa"/>
            <w:vAlign w:val="bottom"/>
            <w:shd w:val="clear" w:color="auto" w:fill="CCEEFF"/>
          </w:tcPr>
          <w:p>
            <w:pPr>
              <w:spacing w:after="0"/>
              <w:rPr>
                <w:sz w:val="18"/>
                <w:szCs w:val="18"/>
                <w:color w:val="auto"/>
              </w:rPr>
            </w:pPr>
          </w:p>
        </w:tc>
        <w:tc>
          <w:tcPr>
            <w:tcW w:w="2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Borders>
              <w:bottom w:val="single" w:sz="8" w:color="auto"/>
            </w:tcBorders>
            <w:vMerge w:val="continue"/>
          </w:tcPr>
          <w:p>
            <w:pPr>
              <w:spacing w:after="0"/>
              <w:rPr>
                <w:sz w:val="18"/>
                <w:szCs w:val="18"/>
                <w:color w:val="auto"/>
              </w:rPr>
            </w:pPr>
          </w:p>
        </w:tc>
        <w:tc>
          <w:tcPr>
            <w:tcW w:w="35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Total</w:t>
            </w:r>
          </w:p>
        </w:tc>
        <w:tc>
          <w:tcPr>
            <w:tcW w:w="27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gridSpan w:val="5"/>
          </w:tcPr>
          <w:p>
            <w:pPr>
              <w:jc w:val="right"/>
              <w:ind w:right="120"/>
              <w:spacing w:after="0"/>
              <w:rPr>
                <w:sz w:val="20"/>
                <w:szCs w:val="20"/>
                <w:color w:val="auto"/>
              </w:rPr>
            </w:pPr>
            <w:r>
              <w:rPr>
                <w:rFonts w:ascii="Arial" w:cs="Arial" w:eastAsia="Arial" w:hAnsi="Arial"/>
                <w:sz w:val="18"/>
                <w:szCs w:val="18"/>
                <w:color w:val="auto"/>
              </w:rPr>
              <w:t>68,131</w:t>
            </w:r>
          </w:p>
        </w:tc>
        <w:tc>
          <w:tcPr>
            <w:tcW w:w="5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48,288</w:t>
            </w:r>
          </w:p>
        </w:tc>
        <w:tc>
          <w:tcPr>
            <w:tcW w:w="6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w:t>
            </w:r>
          </w:p>
        </w:tc>
        <w:tc>
          <w:tcPr>
            <w:tcW w:w="74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8"/>
                <w:szCs w:val="18"/>
                <w:color w:val="auto"/>
                <w:w w:val="95"/>
              </w:rPr>
              <w:t>134,805</w:t>
            </w:r>
          </w:p>
        </w:tc>
        <w:tc>
          <w:tcPr>
            <w:tcW w:w="5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91,286</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560" w:type="dxa"/>
            <w:vAlign w:val="bottom"/>
            <w:tcBorders>
              <w:bottom w:val="single" w:sz="8" w:color="auto"/>
            </w:tcBorders>
          </w:tcPr>
          <w:p>
            <w:pPr>
              <w:spacing w:after="0" w:line="20" w:lineRule="exact"/>
              <w:rPr>
                <w:sz w:val="1"/>
                <w:szCs w:val="1"/>
                <w:color w:val="auto"/>
              </w:rPr>
            </w:pPr>
          </w:p>
        </w:tc>
        <w:tc>
          <w:tcPr>
            <w:tcW w:w="27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c) The distribution of property, plant and equipment, net, by geographical area was as follows: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8"/>
                <w:szCs w:val="18"/>
                <w:color w:val="auto"/>
              </w:rPr>
            </w:pPr>
          </w:p>
        </w:tc>
        <w:tc>
          <w:tcPr>
            <w:tcW w:w="3340" w:type="dxa"/>
            <w:vAlign w:val="bottom"/>
          </w:tcPr>
          <w:p>
            <w:pPr>
              <w:spacing w:after="0"/>
              <w:rPr>
                <w:sz w:val="18"/>
                <w:szCs w:val="18"/>
                <w:color w:val="auto"/>
              </w:rPr>
            </w:pPr>
          </w:p>
        </w:tc>
        <w:tc>
          <w:tcPr>
            <w:tcW w:w="5960" w:type="dxa"/>
            <w:vAlign w:val="bottom"/>
          </w:tcPr>
          <w:p>
            <w:pPr>
              <w:spacing w:after="0"/>
              <w:rPr>
                <w:sz w:val="18"/>
                <w:szCs w:val="18"/>
                <w:color w:val="auto"/>
              </w:rPr>
            </w:pPr>
          </w:p>
        </w:tc>
        <w:tc>
          <w:tcPr>
            <w:tcW w:w="74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w w:val="85"/>
              </w:rPr>
              <w:t>June 30,</w:t>
            </w:r>
          </w:p>
        </w:tc>
        <w:tc>
          <w:tcPr>
            <w:tcW w:w="200" w:type="dxa"/>
            <w:vAlign w:val="bottom"/>
          </w:tcPr>
          <w:p>
            <w:pPr>
              <w:spacing w:after="0"/>
              <w:rPr>
                <w:sz w:val="18"/>
                <w:szCs w:val="18"/>
                <w:color w:val="auto"/>
              </w:rPr>
            </w:pPr>
          </w:p>
        </w:tc>
        <w:tc>
          <w:tcPr>
            <w:tcW w:w="1160" w:type="dxa"/>
            <w:vAlign w:val="bottom"/>
            <w:gridSpan w:val="4"/>
          </w:tcPr>
          <w:p>
            <w:pPr>
              <w:spacing w:after="0"/>
              <w:rPr>
                <w:sz w:val="20"/>
                <w:szCs w:val="20"/>
                <w:color w:val="auto"/>
              </w:rPr>
            </w:pPr>
            <w:r>
              <w:rPr>
                <w:rFonts w:ascii="Arial" w:cs="Arial" w:eastAsia="Arial" w:hAnsi="Arial"/>
                <w:sz w:val="18"/>
                <w:szCs w:val="18"/>
                <w:b w:val="1"/>
                <w:bCs w:val="1"/>
                <w:color w:val="auto"/>
                <w:w w:val="97"/>
              </w:rPr>
              <w:t>December 31,</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340" w:type="dxa"/>
            <w:vAlign w:val="bottom"/>
          </w:tcPr>
          <w:p>
            <w:pPr>
              <w:spacing w:after="0"/>
              <w:rPr>
                <w:sz w:val="17"/>
                <w:szCs w:val="17"/>
                <w:color w:val="auto"/>
              </w:rPr>
            </w:pPr>
          </w:p>
        </w:tc>
        <w:tc>
          <w:tcPr>
            <w:tcW w:w="5960" w:type="dxa"/>
            <w:vAlign w:val="bottom"/>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36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w w:val="84"/>
              </w:rPr>
              <w:t>2015</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gridSpan w:val="2"/>
          </w:tcPr>
          <w:p>
            <w:pPr>
              <w:jc w:val="right"/>
              <w:spacing w:after="0" w:line="196" w:lineRule="exact"/>
              <w:rPr>
                <w:sz w:val="20"/>
                <w:szCs w:val="20"/>
                <w:color w:val="auto"/>
              </w:rPr>
            </w:pPr>
            <w:r>
              <w:rPr>
                <w:rFonts w:ascii="Arial" w:cs="Arial" w:eastAsia="Arial" w:hAnsi="Arial"/>
                <w:sz w:val="18"/>
                <w:szCs w:val="18"/>
                <w:b w:val="1"/>
                <w:bCs w:val="1"/>
                <w:color w:val="auto"/>
              </w:rPr>
              <w:t>2014</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59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00" w:type="dxa"/>
            <w:vAlign w:val="bottom"/>
            <w:gridSpan w:val="3"/>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5960" w:type="dxa"/>
            <w:vAlign w:val="bottom"/>
          </w:tcPr>
          <w:p>
            <w:pPr>
              <w:spacing w:after="0"/>
              <w:rPr>
                <w:sz w:val="20"/>
                <w:szCs w:val="20"/>
                <w:color w:val="auto"/>
              </w:rPr>
            </w:pPr>
          </w:p>
        </w:tc>
        <w:tc>
          <w:tcPr>
            <w:tcW w:w="1340" w:type="dxa"/>
            <w:vAlign w:val="bottom"/>
            <w:gridSpan w:val="5"/>
          </w:tcPr>
          <w:p>
            <w:pPr>
              <w:jc w:val="right"/>
              <w:spacing w:after="0"/>
              <w:rPr>
                <w:sz w:val="20"/>
                <w:szCs w:val="20"/>
                <w:color w:val="auto"/>
              </w:rPr>
            </w:pPr>
            <w:r>
              <w:rPr>
                <w:rFonts w:ascii="Arial" w:cs="Arial" w:eastAsia="Arial" w:hAnsi="Arial"/>
                <w:sz w:val="18"/>
                <w:szCs w:val="18"/>
                <w:b w:val="1"/>
                <w:bCs w:val="1"/>
                <w:color w:val="auto"/>
              </w:rPr>
              <w:t>(in thousands)</w:t>
            </w:r>
          </w:p>
        </w:tc>
        <w:tc>
          <w:tcPr>
            <w:tcW w:w="3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Ireland</w:t>
            </w:r>
          </w:p>
        </w:tc>
        <w:tc>
          <w:tcPr>
            <w:tcW w:w="5960" w:type="dxa"/>
            <w:vAlign w:val="bottom"/>
            <w:shd w:val="clear" w:color="auto" w:fill="CCEEFF"/>
          </w:tcPr>
          <w:p>
            <w:pPr>
              <w:jc w:val="right"/>
              <w:ind w:right="330"/>
              <w:spacing w:after="0"/>
              <w:rPr>
                <w:sz w:val="20"/>
                <w:szCs w:val="20"/>
                <w:color w:val="auto"/>
              </w:rPr>
            </w:pPr>
            <w:r>
              <w:rPr>
                <w:rFonts w:ascii="Arial" w:cs="Arial" w:eastAsia="Arial" w:hAnsi="Arial"/>
                <w:sz w:val="18"/>
                <w:szCs w:val="18"/>
                <w:color w:val="auto"/>
              </w:rPr>
              <w:t>$</w:t>
            </w:r>
          </w:p>
        </w:tc>
        <w:tc>
          <w:tcPr>
            <w:tcW w:w="7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97,254</w:t>
            </w:r>
          </w:p>
        </w:tc>
        <w:tc>
          <w:tcPr>
            <w:tcW w:w="600" w:type="dxa"/>
            <w:vAlign w:val="bottom"/>
            <w:gridSpan w:val="2"/>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7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95,574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Rest of Europe</w:t>
            </w:r>
          </w:p>
        </w:tc>
        <w:tc>
          <w:tcPr>
            <w:tcW w:w="5960" w:type="dxa"/>
            <w:vAlign w:val="bottom"/>
          </w:tcPr>
          <w:p>
            <w:pPr>
              <w:spacing w:after="0"/>
              <w:rPr>
                <w:sz w:val="18"/>
                <w:szCs w:val="18"/>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8,750</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gridSpan w:val="3"/>
          </w:tcPr>
          <w:p>
            <w:pPr>
              <w:jc w:val="right"/>
              <w:ind w:right="100"/>
              <w:spacing w:after="0"/>
              <w:rPr>
                <w:sz w:val="20"/>
                <w:szCs w:val="20"/>
                <w:color w:val="auto"/>
              </w:rPr>
            </w:pPr>
            <w:r>
              <w:rPr>
                <w:rFonts w:ascii="Arial" w:cs="Arial" w:eastAsia="Arial" w:hAnsi="Arial"/>
                <w:sz w:val="18"/>
                <w:szCs w:val="18"/>
                <w:color w:val="auto"/>
              </w:rPr>
              <w:t>10,419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U.S.</w:t>
            </w:r>
          </w:p>
        </w:tc>
        <w:tc>
          <w:tcPr>
            <w:tcW w:w="596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33,712</w:t>
            </w: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33,978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Rest of World</w:t>
            </w:r>
          </w:p>
        </w:tc>
        <w:tc>
          <w:tcPr>
            <w:tcW w:w="596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7,594</w:t>
            </w:r>
          </w:p>
        </w:tc>
        <w:tc>
          <w:tcPr>
            <w:tcW w:w="10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8"/>
                <w:szCs w:val="18"/>
                <w:color w:val="auto"/>
              </w:rPr>
              <w:t>8,214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340" w:type="dxa"/>
            <w:vAlign w:val="bottom"/>
            <w:shd w:val="clear" w:color="auto" w:fill="CCEEFF"/>
          </w:tcPr>
          <w:p>
            <w:pPr>
              <w:spacing w:after="0"/>
              <w:rPr>
                <w:sz w:val="18"/>
                <w:szCs w:val="18"/>
                <w:color w:val="auto"/>
              </w:rPr>
            </w:pPr>
          </w:p>
        </w:tc>
        <w:tc>
          <w:tcPr>
            <w:tcW w:w="5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Total</w:t>
            </w:r>
          </w:p>
        </w:tc>
        <w:tc>
          <w:tcPr>
            <w:tcW w:w="596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w:t>
            </w:r>
          </w:p>
        </w:tc>
        <w:tc>
          <w:tcPr>
            <w:tcW w:w="6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w w:val="95"/>
              </w:rPr>
              <w:t>147,310</w:t>
            </w:r>
          </w:p>
        </w:tc>
        <w:tc>
          <w:tcPr>
            <w:tcW w:w="1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gridSpan w:val="2"/>
          </w:tcPr>
          <w:p>
            <w:pPr>
              <w:jc w:val="right"/>
              <w:ind w:right="310"/>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8"/>
                <w:szCs w:val="18"/>
                <w:color w:val="auto"/>
                <w:w w:val="98"/>
              </w:rPr>
              <w:t>148,185</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340" w:type="dxa"/>
            <w:vAlign w:val="bottom"/>
            <w:tcBorders>
              <w:bottom w:val="single" w:sz="8" w:color="auto"/>
            </w:tcBorders>
          </w:tcPr>
          <w:p>
            <w:pPr>
              <w:spacing w:after="0" w:line="20" w:lineRule="exact"/>
              <w:rPr>
                <w:sz w:val="1"/>
                <w:szCs w:val="1"/>
                <w:color w:val="auto"/>
              </w:rPr>
            </w:pPr>
          </w:p>
        </w:tc>
        <w:tc>
          <w:tcPr>
            <w:tcW w:w="59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01"/>
        </w:trPr>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5960" w:type="dxa"/>
            <w:vAlign w:val="bottom"/>
          </w:tcPr>
          <w:p>
            <w:pPr>
              <w:jc w:val="right"/>
              <w:ind w:right="3430"/>
              <w:spacing w:after="0"/>
              <w:rPr>
                <w:sz w:val="20"/>
                <w:szCs w:val="20"/>
                <w:color w:val="auto"/>
              </w:rPr>
            </w:pPr>
            <w:r>
              <w:rPr>
                <w:rFonts w:ascii="Arial" w:cs="Arial" w:eastAsia="Arial" w:hAnsi="Arial"/>
                <w:sz w:val="18"/>
                <w:szCs w:val="18"/>
                <w:color w:val="auto"/>
              </w:rPr>
              <w:t>16</w:t>
            </w: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3340" w:type="dxa"/>
            <w:vAlign w:val="bottom"/>
            <w:tcBorders>
              <w:bottom w:val="single" w:sz="8" w:color="808080"/>
            </w:tcBorders>
          </w:tcPr>
          <w:p>
            <w:pPr>
              <w:spacing w:after="0"/>
              <w:rPr>
                <w:sz w:val="10"/>
                <w:szCs w:val="10"/>
                <w:color w:val="auto"/>
              </w:rPr>
            </w:pPr>
          </w:p>
        </w:tc>
        <w:tc>
          <w:tcPr>
            <w:tcW w:w="5960" w:type="dxa"/>
            <w:vAlign w:val="bottom"/>
            <w:tcBorders>
              <w:bottom w:val="single" w:sz="8" w:color="808080"/>
            </w:tcBorders>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7" w:name="page18"/>
    <w:bookmarkEnd w:id="17"/>
    <w:p>
      <w:pPr>
        <w:spacing w:after="0"/>
        <w:rPr>
          <w:sz w:val="20"/>
          <w:szCs w:val="20"/>
          <w:color w:val="auto"/>
        </w:rPr>
      </w:pPr>
      <w:r>
        <w:rPr>
          <w:rFonts w:ascii="Arial" w:cs="Arial" w:eastAsia="Arial" w:hAnsi="Arial"/>
          <w:sz w:val="18"/>
          <w:szCs w:val="18"/>
          <w:color w:val="auto"/>
        </w:rPr>
        <w:t>d) The distribution of depreciation and amortization by geographical area was as follows: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53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40" w:type="dxa"/>
            <w:vAlign w:val="bottom"/>
            <w:gridSpan w:val="7"/>
          </w:tcPr>
          <w:p>
            <w:pPr>
              <w:spacing w:after="0"/>
              <w:rPr>
                <w:sz w:val="20"/>
                <w:szCs w:val="20"/>
                <w:color w:val="auto"/>
              </w:rPr>
            </w:pPr>
            <w:r>
              <w:rPr>
                <w:rFonts w:ascii="Arial" w:cs="Arial" w:eastAsia="Arial" w:hAnsi="Arial"/>
                <w:sz w:val="18"/>
                <w:szCs w:val="18"/>
                <w:b w:val="1"/>
                <w:bCs w:val="1"/>
                <w:color w:val="auto"/>
                <w:w w:val="90"/>
              </w:rPr>
              <w:t>Three Months Ended</w:t>
            </w:r>
          </w:p>
        </w:tc>
        <w:tc>
          <w:tcPr>
            <w:tcW w:w="560" w:type="dxa"/>
            <w:vAlign w:val="bottom"/>
            <w:gridSpan w:val="3"/>
          </w:tcPr>
          <w:p>
            <w:pPr>
              <w:spacing w:after="0"/>
              <w:rPr>
                <w:sz w:val="17"/>
                <w:szCs w:val="17"/>
                <w:color w:val="auto"/>
              </w:rPr>
            </w:pPr>
          </w:p>
        </w:tc>
        <w:tc>
          <w:tcPr>
            <w:tcW w:w="360" w:type="dxa"/>
            <w:vAlign w:val="bottom"/>
          </w:tcPr>
          <w:p>
            <w:pPr>
              <w:spacing w:after="0"/>
              <w:rPr>
                <w:sz w:val="17"/>
                <w:szCs w:val="17"/>
                <w:color w:val="auto"/>
              </w:rPr>
            </w:pPr>
          </w:p>
        </w:tc>
        <w:tc>
          <w:tcPr>
            <w:tcW w:w="2340" w:type="dxa"/>
            <w:vAlign w:val="bottom"/>
            <w:gridSpan w:val="11"/>
          </w:tcPr>
          <w:p>
            <w:pPr>
              <w:jc w:val="center"/>
              <w:ind w:right="360"/>
              <w:spacing w:after="0"/>
              <w:rPr>
                <w:sz w:val="20"/>
                <w:szCs w:val="20"/>
                <w:color w:val="auto"/>
              </w:rPr>
            </w:pPr>
            <w:r>
              <w:rPr>
                <w:rFonts w:ascii="Arial" w:cs="Arial" w:eastAsia="Arial" w:hAnsi="Arial"/>
                <w:sz w:val="18"/>
                <w:szCs w:val="18"/>
                <w:b w:val="1"/>
                <w:bCs w:val="1"/>
                <w:color w:val="auto"/>
                <w:w w:val="90"/>
              </w:rPr>
              <w:t>Three Months Ended</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53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w w:val="85"/>
              </w:rPr>
              <w:t>June 30,</w:t>
            </w: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00" w:type="dxa"/>
            <w:vAlign w:val="bottom"/>
            <w:gridSpan w:val="5"/>
          </w:tcPr>
          <w:p>
            <w:pPr>
              <w:ind w:left="60"/>
              <w:spacing w:after="0" w:line="196" w:lineRule="exact"/>
              <w:rPr>
                <w:sz w:val="20"/>
                <w:szCs w:val="20"/>
                <w:color w:val="auto"/>
              </w:rPr>
            </w:pPr>
            <w:r>
              <w:rPr>
                <w:rFonts w:ascii="Arial" w:cs="Arial" w:eastAsia="Arial" w:hAnsi="Arial"/>
                <w:sz w:val="18"/>
                <w:szCs w:val="18"/>
                <w:b w:val="1"/>
                <w:bCs w:val="1"/>
                <w:color w:val="auto"/>
                <w:w w:val="99"/>
              </w:rPr>
              <w:t>June 30,</w:t>
            </w:r>
          </w:p>
        </w:tc>
        <w:tc>
          <w:tcPr>
            <w:tcW w:w="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gridSpan w:val="3"/>
          </w:tcPr>
          <w:p>
            <w:pPr>
              <w:jc w:val="right"/>
              <w:ind w:right="100"/>
              <w:spacing w:after="0" w:line="196" w:lineRule="exact"/>
              <w:rPr>
                <w:sz w:val="20"/>
                <w:szCs w:val="20"/>
                <w:color w:val="auto"/>
              </w:rPr>
            </w:pPr>
            <w:r>
              <w:rPr>
                <w:rFonts w:ascii="Arial" w:cs="Arial" w:eastAsia="Arial" w:hAnsi="Arial"/>
                <w:sz w:val="18"/>
                <w:szCs w:val="18"/>
                <w:b w:val="1"/>
                <w:bCs w:val="1"/>
                <w:color w:val="auto"/>
                <w:w w:val="85"/>
              </w:rPr>
              <w:t>June 30,</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gridSpan w:val="5"/>
          </w:tcPr>
          <w:p>
            <w:pPr>
              <w:jc w:val="right"/>
              <w:ind w:right="100"/>
              <w:spacing w:after="0" w:line="196" w:lineRule="exact"/>
              <w:rPr>
                <w:sz w:val="20"/>
                <w:szCs w:val="20"/>
                <w:color w:val="auto"/>
              </w:rPr>
            </w:pPr>
            <w:r>
              <w:rPr>
                <w:rFonts w:ascii="Arial" w:cs="Arial" w:eastAsia="Arial" w:hAnsi="Arial"/>
                <w:sz w:val="18"/>
                <w:szCs w:val="18"/>
                <w:b w:val="1"/>
                <w:bCs w:val="1"/>
                <w:color w:val="auto"/>
              </w:rPr>
              <w:t>June 30,</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3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60" w:type="dxa"/>
            <w:vAlign w:val="bottom"/>
            <w:gridSpan w:val="2"/>
          </w:tcPr>
          <w:p>
            <w:pPr>
              <w:spacing w:after="0"/>
              <w:rPr>
                <w:sz w:val="17"/>
                <w:szCs w:val="17"/>
                <w:color w:val="auto"/>
              </w:rPr>
            </w:pPr>
          </w:p>
        </w:tc>
        <w:tc>
          <w:tcPr>
            <w:tcW w:w="640" w:type="dxa"/>
            <w:vAlign w:val="bottom"/>
            <w:tcBorders>
              <w:top w:val="single" w:sz="8" w:color="auto"/>
            </w:tcBorders>
            <w:gridSpan w:val="2"/>
          </w:tcPr>
          <w:p>
            <w:pPr>
              <w:jc w:val="right"/>
              <w:spacing w:after="0" w:line="196" w:lineRule="exact"/>
              <w:rPr>
                <w:sz w:val="20"/>
                <w:szCs w:val="20"/>
                <w:color w:val="auto"/>
              </w:rPr>
            </w:pPr>
            <w:r>
              <w:rPr>
                <w:rFonts w:ascii="Arial" w:cs="Arial" w:eastAsia="Arial" w:hAnsi="Arial"/>
                <w:sz w:val="18"/>
                <w:szCs w:val="18"/>
                <w:b w:val="1"/>
                <w:bCs w:val="1"/>
                <w:color w:val="auto"/>
              </w:rPr>
              <w:t>2015</w:t>
            </w: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40" w:type="dxa"/>
            <w:vAlign w:val="bottom"/>
            <w:tcBorders>
              <w:top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rPr>
              <w:t>2014</w:t>
            </w: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40" w:type="dxa"/>
            <w:vAlign w:val="bottom"/>
            <w:tcBorders>
              <w:top w:val="single" w:sz="8" w:color="auto"/>
            </w:tcBorders>
            <w:gridSpan w:val="2"/>
          </w:tcPr>
          <w:p>
            <w:pPr>
              <w:jc w:val="right"/>
              <w:spacing w:after="0" w:line="196" w:lineRule="exact"/>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Borders>
              <w:top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rPr>
              <w:t>2014</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tcPr>
          <w:p>
            <w:pPr>
              <w:spacing w:after="0"/>
              <w:rPr>
                <w:sz w:val="20"/>
                <w:szCs w:val="20"/>
                <w:color w:val="auto"/>
              </w:rPr>
            </w:pPr>
          </w:p>
        </w:tc>
        <w:tc>
          <w:tcPr>
            <w:tcW w:w="53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320" w:type="dxa"/>
            <w:vAlign w:val="bottom"/>
            <w:gridSpan w:val="4"/>
          </w:tcPr>
          <w:p>
            <w:pPr>
              <w:jc w:val="right"/>
              <w:spacing w:after="0"/>
              <w:rPr>
                <w:sz w:val="20"/>
                <w:szCs w:val="20"/>
                <w:color w:val="auto"/>
              </w:rPr>
            </w:pPr>
            <w:r>
              <w:rPr>
                <w:rFonts w:ascii="Arial" w:cs="Arial" w:eastAsia="Arial" w:hAnsi="Arial"/>
                <w:sz w:val="18"/>
                <w:szCs w:val="18"/>
                <w:b w:val="1"/>
                <w:bCs w:val="1"/>
                <w:color w:val="auto"/>
              </w:rPr>
              <w:t>(in thousands)</w:t>
            </w: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Ireland*</w:t>
            </w:r>
          </w:p>
        </w:tc>
        <w:tc>
          <w:tcPr>
            <w:tcW w:w="10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4,915</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80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5,257</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9,828</w:t>
            </w:r>
          </w:p>
        </w:tc>
        <w:tc>
          <w:tcPr>
            <w:tcW w:w="10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10,406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tcPr>
          <w:p>
            <w:pPr>
              <w:spacing w:after="0"/>
              <w:rPr>
                <w:sz w:val="20"/>
                <w:szCs w:val="20"/>
                <w:color w:val="auto"/>
              </w:rPr>
            </w:pPr>
            <w:r>
              <w:rPr>
                <w:rFonts w:ascii="Arial" w:cs="Arial" w:eastAsia="Arial" w:hAnsi="Arial"/>
                <w:sz w:val="18"/>
                <w:szCs w:val="18"/>
                <w:color w:val="auto"/>
              </w:rPr>
              <w:t>Rest of Europe</w:t>
            </w:r>
          </w:p>
        </w:tc>
        <w:tc>
          <w:tcPr>
            <w:tcW w:w="1000" w:type="dxa"/>
            <w:vAlign w:val="bottom"/>
          </w:tcPr>
          <w:p>
            <w:pPr>
              <w:spacing w:after="0"/>
              <w:rPr>
                <w:sz w:val="18"/>
                <w:szCs w:val="18"/>
                <w:color w:val="auto"/>
              </w:rPr>
            </w:pP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1,946</w:t>
            </w: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800" w:type="dxa"/>
            <w:vAlign w:val="bottom"/>
            <w:gridSpan w:val="5"/>
          </w:tcPr>
          <w:p>
            <w:pPr>
              <w:jc w:val="right"/>
              <w:ind w:right="100"/>
              <w:spacing w:after="0"/>
              <w:rPr>
                <w:sz w:val="20"/>
                <w:szCs w:val="20"/>
                <w:color w:val="auto"/>
              </w:rPr>
            </w:pPr>
            <w:r>
              <w:rPr>
                <w:rFonts w:ascii="Arial" w:cs="Arial" w:eastAsia="Arial" w:hAnsi="Arial"/>
                <w:sz w:val="18"/>
                <w:szCs w:val="18"/>
                <w:color w:val="auto"/>
              </w:rPr>
              <w:t>1,376</w:t>
            </w:r>
          </w:p>
        </w:tc>
        <w:tc>
          <w:tcPr>
            <w:tcW w:w="36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4,214</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gridSpan w:val="5"/>
          </w:tcPr>
          <w:p>
            <w:pPr>
              <w:jc w:val="right"/>
              <w:ind w:right="100"/>
              <w:spacing w:after="0"/>
              <w:rPr>
                <w:sz w:val="20"/>
                <w:szCs w:val="20"/>
                <w:color w:val="auto"/>
              </w:rPr>
            </w:pPr>
            <w:r>
              <w:rPr>
                <w:rFonts w:ascii="Arial" w:cs="Arial" w:eastAsia="Arial" w:hAnsi="Arial"/>
                <w:sz w:val="18"/>
                <w:szCs w:val="18"/>
                <w:color w:val="auto"/>
              </w:rPr>
              <w:t>2,699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U.S.</w:t>
            </w:r>
          </w:p>
        </w:tc>
        <w:tc>
          <w:tcPr>
            <w:tcW w:w="1000" w:type="dxa"/>
            <w:vAlign w:val="bottom"/>
            <w:shd w:val="clear" w:color="auto" w:fill="CCEEFF"/>
          </w:tcPr>
          <w:p>
            <w:pPr>
              <w:spacing w:after="0"/>
              <w:rPr>
                <w:sz w:val="18"/>
                <w:szCs w:val="18"/>
                <w:color w:val="auto"/>
              </w:rPr>
            </w:pPr>
          </w:p>
        </w:tc>
        <w:tc>
          <w:tcPr>
            <w:tcW w:w="9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6,417</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80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5,410</w:t>
            </w:r>
          </w:p>
        </w:tc>
        <w:tc>
          <w:tcPr>
            <w:tcW w:w="360" w:type="dxa"/>
            <w:vAlign w:val="bottom"/>
            <w:shd w:val="clear" w:color="auto" w:fill="CCEEFF"/>
          </w:tcPr>
          <w:p>
            <w:pPr>
              <w:spacing w:after="0"/>
              <w:rPr>
                <w:sz w:val="18"/>
                <w:szCs w:val="18"/>
                <w:color w:val="auto"/>
              </w:rPr>
            </w:pPr>
          </w:p>
        </w:tc>
        <w:tc>
          <w:tcPr>
            <w:tcW w:w="98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12,135</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9,613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Rest of World</w:t>
            </w:r>
          </w:p>
        </w:tc>
        <w:tc>
          <w:tcPr>
            <w:tcW w:w="10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rPr>
              <w:t>966</w:t>
            </w:r>
          </w:p>
        </w:tc>
        <w:tc>
          <w:tcPr>
            <w:tcW w:w="1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879</w:t>
            </w:r>
          </w:p>
        </w:tc>
        <w:tc>
          <w:tcPr>
            <w:tcW w:w="36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1,992</w:t>
            </w:r>
          </w:p>
        </w:tc>
        <w:tc>
          <w:tcPr>
            <w:tcW w:w="10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1,752</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3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Borders>
              <w:bottom w:val="single" w:sz="8" w:color="auto"/>
            </w:tcBorders>
            <w:vMerge w:val="continue"/>
          </w:tcPr>
          <w:p>
            <w:pPr>
              <w:spacing w:after="0"/>
              <w:rPr>
                <w:sz w:val="18"/>
                <w:szCs w:val="18"/>
                <w:color w:val="auto"/>
              </w:rPr>
            </w:pPr>
          </w:p>
        </w:tc>
        <w:tc>
          <w:tcPr>
            <w:tcW w:w="5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Total</w:t>
            </w:r>
          </w:p>
        </w:tc>
        <w:tc>
          <w:tcPr>
            <w:tcW w:w="10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gridSpan w:val="5"/>
          </w:tcPr>
          <w:p>
            <w:pPr>
              <w:jc w:val="right"/>
              <w:ind w:right="120"/>
              <w:spacing w:after="0"/>
              <w:rPr>
                <w:sz w:val="20"/>
                <w:szCs w:val="20"/>
                <w:color w:val="auto"/>
              </w:rPr>
            </w:pPr>
            <w:r>
              <w:rPr>
                <w:rFonts w:ascii="Arial" w:cs="Arial" w:eastAsia="Arial" w:hAnsi="Arial"/>
                <w:sz w:val="18"/>
                <w:szCs w:val="18"/>
                <w:color w:val="auto"/>
              </w:rPr>
              <w:t>14,244</w:t>
            </w:r>
          </w:p>
        </w:tc>
        <w:tc>
          <w:tcPr>
            <w:tcW w:w="5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12,922</w:t>
            </w:r>
          </w:p>
        </w:tc>
        <w:tc>
          <w:tcPr>
            <w:tcW w:w="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8"/>
                <w:szCs w:val="18"/>
                <w:color w:val="auto"/>
              </w:rPr>
              <w:t>28,169</w:t>
            </w:r>
          </w:p>
        </w:tc>
        <w:tc>
          <w:tcPr>
            <w:tcW w:w="360" w:type="dxa"/>
            <w:vAlign w:val="bottom"/>
            <w:tcBorders>
              <w:bottom w:val="single" w:sz="8" w:color="auto"/>
            </w:tcBorders>
            <w:gridSpan w:val="2"/>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24,470</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53"/>
        </w:trPr>
        <w:tc>
          <w:tcPr>
            <w:tcW w:w="5340" w:type="dxa"/>
            <w:vAlign w:val="bottom"/>
            <w:gridSpan w:val="2"/>
          </w:tcPr>
          <w:p>
            <w:pPr>
              <w:spacing w:after="0"/>
              <w:rPr>
                <w:sz w:val="20"/>
                <w:szCs w:val="20"/>
                <w:color w:val="auto"/>
              </w:rPr>
            </w:pPr>
            <w:r>
              <w:rPr>
                <w:rFonts w:ascii="Arial" w:cs="Arial" w:eastAsia="Arial" w:hAnsi="Arial"/>
                <w:sz w:val="18"/>
                <w:szCs w:val="18"/>
                <w:color w:val="auto"/>
                <w:w w:val="95"/>
              </w:rPr>
              <w:t>e) The distribution of total assets by geographical area was as follows:</w:t>
            </w:r>
          </w:p>
        </w:tc>
        <w:tc>
          <w:tcPr>
            <w:tcW w:w="10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9"/>
        </w:trPr>
        <w:tc>
          <w:tcPr>
            <w:tcW w:w="20" w:type="dxa"/>
            <w:vAlign w:val="bottom"/>
          </w:tcPr>
          <w:p>
            <w:pPr>
              <w:spacing w:after="0"/>
              <w:rPr>
                <w:sz w:val="24"/>
                <w:szCs w:val="24"/>
                <w:color w:val="auto"/>
              </w:rPr>
            </w:pPr>
          </w:p>
        </w:tc>
        <w:tc>
          <w:tcPr>
            <w:tcW w:w="53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4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w w:val="85"/>
              </w:rPr>
              <w:t>June 30,</w:t>
            </w:r>
          </w:p>
        </w:tc>
        <w:tc>
          <w:tcPr>
            <w:tcW w:w="200" w:type="dxa"/>
            <w:vAlign w:val="bottom"/>
          </w:tcPr>
          <w:p>
            <w:pPr>
              <w:spacing w:after="0"/>
              <w:rPr>
                <w:sz w:val="24"/>
                <w:szCs w:val="24"/>
                <w:color w:val="auto"/>
              </w:rPr>
            </w:pPr>
          </w:p>
        </w:tc>
        <w:tc>
          <w:tcPr>
            <w:tcW w:w="1160" w:type="dxa"/>
            <w:vAlign w:val="bottom"/>
            <w:gridSpan w:val="6"/>
          </w:tcPr>
          <w:p>
            <w:pPr>
              <w:jc w:val="right"/>
              <w:ind w:right="100"/>
              <w:spacing w:after="0"/>
              <w:rPr>
                <w:sz w:val="20"/>
                <w:szCs w:val="20"/>
                <w:color w:val="auto"/>
              </w:rPr>
            </w:pPr>
            <w:r>
              <w:rPr>
                <w:rFonts w:ascii="Arial" w:cs="Arial" w:eastAsia="Arial" w:hAnsi="Arial"/>
                <w:sz w:val="18"/>
                <w:szCs w:val="18"/>
                <w:b w:val="1"/>
                <w:bCs w:val="1"/>
                <w:color w:val="auto"/>
                <w:w w:val="88"/>
              </w:rPr>
              <w:t>December 31,</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3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36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w w:val="84"/>
              </w:rPr>
              <w:t>2015</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gridSpan w:val="4"/>
          </w:tcPr>
          <w:p>
            <w:pPr>
              <w:jc w:val="right"/>
              <w:spacing w:after="0" w:line="196" w:lineRule="exact"/>
              <w:rPr>
                <w:sz w:val="20"/>
                <w:szCs w:val="20"/>
                <w:color w:val="auto"/>
              </w:rPr>
            </w:pPr>
            <w:r>
              <w:rPr>
                <w:rFonts w:ascii="Arial" w:cs="Arial" w:eastAsia="Arial" w:hAnsi="Arial"/>
                <w:sz w:val="18"/>
                <w:szCs w:val="18"/>
                <w:b w:val="1"/>
                <w:bCs w:val="1"/>
                <w:color w:val="auto"/>
              </w:rPr>
              <w:t>2014</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0" w:type="dxa"/>
            <w:vAlign w:val="bottom"/>
            <w:gridSpan w:val="6"/>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tcPr>
          <w:p>
            <w:pPr>
              <w:spacing w:after="0"/>
              <w:rPr>
                <w:sz w:val="20"/>
                <w:szCs w:val="20"/>
                <w:color w:val="auto"/>
              </w:rPr>
            </w:pPr>
          </w:p>
        </w:tc>
        <w:tc>
          <w:tcPr>
            <w:tcW w:w="53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100" w:type="dxa"/>
            <w:vAlign w:val="bottom"/>
            <w:gridSpan w:val="10"/>
          </w:tcPr>
          <w:p>
            <w:pPr>
              <w:jc w:val="center"/>
              <w:ind w:right="600"/>
              <w:spacing w:after="0"/>
              <w:rPr>
                <w:sz w:val="20"/>
                <w:szCs w:val="20"/>
                <w:color w:val="auto"/>
              </w:rPr>
            </w:pPr>
            <w:r>
              <w:rPr>
                <w:rFonts w:ascii="Arial" w:cs="Arial" w:eastAsia="Arial" w:hAnsi="Arial"/>
                <w:sz w:val="18"/>
                <w:szCs w:val="18"/>
                <w:b w:val="1"/>
                <w:bCs w:val="1"/>
                <w:color w:val="auto"/>
                <w:w w:val="88"/>
              </w:rPr>
              <w:t>(in thousands)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Ireland</w:t>
            </w:r>
          </w:p>
        </w:tc>
        <w:tc>
          <w:tcPr>
            <w:tcW w:w="1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536,746</w:t>
            </w:r>
          </w:p>
        </w:tc>
        <w:tc>
          <w:tcPr>
            <w:tcW w:w="10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495,747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tcPr>
          <w:p>
            <w:pPr>
              <w:spacing w:after="0"/>
              <w:rPr>
                <w:sz w:val="20"/>
                <w:szCs w:val="20"/>
                <w:color w:val="auto"/>
              </w:rPr>
            </w:pPr>
            <w:r>
              <w:rPr>
                <w:rFonts w:ascii="Arial" w:cs="Arial" w:eastAsia="Arial" w:hAnsi="Arial"/>
                <w:sz w:val="18"/>
                <w:szCs w:val="18"/>
                <w:color w:val="auto"/>
              </w:rPr>
              <w:t>Rest of Europe</w:t>
            </w:r>
          </w:p>
        </w:tc>
        <w:tc>
          <w:tcPr>
            <w:tcW w:w="1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303,123</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gridSpan w:val="5"/>
          </w:tcPr>
          <w:p>
            <w:pPr>
              <w:jc w:val="right"/>
              <w:ind w:right="100"/>
              <w:spacing w:after="0"/>
              <w:rPr>
                <w:sz w:val="20"/>
                <w:szCs w:val="20"/>
                <w:color w:val="auto"/>
              </w:rPr>
            </w:pPr>
            <w:r>
              <w:rPr>
                <w:rFonts w:ascii="Arial" w:cs="Arial" w:eastAsia="Arial" w:hAnsi="Arial"/>
                <w:sz w:val="18"/>
                <w:szCs w:val="18"/>
                <w:color w:val="auto"/>
              </w:rPr>
              <w:t>324,086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U.S.</w:t>
            </w:r>
          </w:p>
        </w:tc>
        <w:tc>
          <w:tcPr>
            <w:tcW w:w="1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739,340</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648,559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Rest of World</w:t>
            </w:r>
          </w:p>
        </w:tc>
        <w:tc>
          <w:tcPr>
            <w:tcW w:w="100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18"/>
                <w:szCs w:val="18"/>
                <w:color w:val="auto"/>
              </w:rPr>
              <w:t>57,045</w:t>
            </w:r>
          </w:p>
        </w:tc>
        <w:tc>
          <w:tcPr>
            <w:tcW w:w="2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60,458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3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Total</w:t>
            </w:r>
          </w:p>
        </w:tc>
        <w:tc>
          <w:tcPr>
            <w:tcW w:w="10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1,636,254</w:t>
            </w:r>
          </w:p>
        </w:tc>
        <w:tc>
          <w:tcPr>
            <w:tcW w:w="10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gridSpan w:val="2"/>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gridSpan w:val="5"/>
          </w:tcPr>
          <w:p>
            <w:pPr>
              <w:jc w:val="right"/>
              <w:ind w:right="100"/>
              <w:spacing w:after="0"/>
              <w:rPr>
                <w:sz w:val="20"/>
                <w:szCs w:val="20"/>
                <w:color w:val="auto"/>
              </w:rPr>
            </w:pPr>
            <w:r>
              <w:rPr>
                <w:rFonts w:ascii="Arial" w:cs="Arial" w:eastAsia="Arial" w:hAnsi="Arial"/>
                <w:sz w:val="18"/>
                <w:szCs w:val="18"/>
                <w:color w:val="auto"/>
              </w:rPr>
              <w:t>1,528,850</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01"/>
        </w:trPr>
        <w:tc>
          <w:tcPr>
            <w:tcW w:w="20" w:type="dxa"/>
            <w:vAlign w:val="bottom"/>
          </w:tcPr>
          <w:p>
            <w:pPr>
              <w:spacing w:after="0"/>
              <w:rPr>
                <w:sz w:val="24"/>
                <w:szCs w:val="24"/>
                <w:color w:val="auto"/>
              </w:rPr>
            </w:pPr>
          </w:p>
        </w:tc>
        <w:tc>
          <w:tcPr>
            <w:tcW w:w="5320" w:type="dxa"/>
            <w:vAlign w:val="bottom"/>
          </w:tcPr>
          <w:p>
            <w:pPr>
              <w:spacing w:after="0"/>
              <w:rPr>
                <w:sz w:val="24"/>
                <w:szCs w:val="24"/>
                <w:color w:val="auto"/>
              </w:rPr>
            </w:pPr>
          </w:p>
        </w:tc>
        <w:tc>
          <w:tcPr>
            <w:tcW w:w="1000" w:type="dxa"/>
            <w:vAlign w:val="bottom"/>
          </w:tcPr>
          <w:p>
            <w:pPr>
              <w:jc w:val="right"/>
              <w:ind w:right="450"/>
              <w:spacing w:after="0"/>
              <w:rPr>
                <w:sz w:val="20"/>
                <w:szCs w:val="20"/>
                <w:color w:val="auto"/>
              </w:rPr>
            </w:pPr>
            <w:r>
              <w:rPr>
                <w:rFonts w:ascii="Arial" w:cs="Arial" w:eastAsia="Arial" w:hAnsi="Arial"/>
                <w:sz w:val="18"/>
                <w:szCs w:val="18"/>
                <w:color w:val="auto"/>
              </w:rPr>
              <w:t>17</w:t>
            </w: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32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56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ICON plc</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Discussion and Analysis of Financial Condition and Results of Operations.</w:t>
      </w:r>
    </w:p>
    <w:p>
      <w:pPr>
        <w:spacing w:after="0" w:line="256"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following discussion and analysis should be read in conjunction with the unaudited Condensed Consolidated Financial Statements and accompanying notes included elsewhere herein and the Consolidated Financial Statements and related notes thereto included in our Form 20-F for the year ended December 31, 2014. The Consolidated Financial Statements have been prepared in accordance with accounting principles generally accepted in the United States.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5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a contract research organization (“CRO”), providing outsourced development services on a global basis to the pharmaceutical, biotechnology and medical device industries. We specialize in the strategic development, management and analysis of programs that support all stages of the clinical development process - from compound selection to Phase I-IV clinical studies. Our vision is to be the Global CRO partner of choice in drug development by delivering best in class information, solutions and performance in clinical and outcomes research.</w:t>
      </w:r>
    </w:p>
    <w:p>
      <w:pPr>
        <w:spacing w:after="0" w:line="214"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believe that we are one of a select group of CRO’s with the expertise and capability to conduct clinical trials in most major therapeutic areas on a global basis and have the operational flexibility to provide development services on a stand-alone basis or as part of an integrated “full service” solution. At June 30, 2015, we employed approximately 11,343 employees, in 81 locations in 37 countries. During the six months ended June 30, 2015 we derived approximately 40.5%, 49.2% and 10.3% of our net revenue in the United States, Europe and Rest of World, respectively.</w:t>
      </w:r>
    </w:p>
    <w:p>
      <w:pPr>
        <w:spacing w:after="0" w:line="198"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Revenue consists primarily of fees earned under contracts with third-party clients. In most cases, a portion of the contract fee is paid at the time the study or trial is started, with the balance of the contract fee generally payable in installments over the study or trial duration, based on the achievement of certain performance targets or "milestones". Revenue from contracts is recognized on a proportional performance method based on the relationship between time incurred and the total estimated duration of the trial or on a fee-for-service basis according to the particular circumstances of the contract. As is customary in the CRO industry, we contract with third party investigators in connection with clinical trials. All investigator fees and certain other costs, where reimbursed by clients, are, in accordance with industry practice, deducted from gross revenue to arrive at net revenue. As these costs vary from contract to contract, we view net revenue as our primary measure of revenue growth.</w:t>
      </w:r>
    </w:p>
    <w:p>
      <w:pPr>
        <w:spacing w:after="0" w:line="20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the nature of our business involves the management of projects having a typical duration of one to four years, the commencement or completion of projects in a fiscal year can have a material impact on revenues earned with the relevant clients in such years. In addition, as we typically work with some, but not all, divisions of a client, fluctuations in the number and status of available projects within such divisions can also have a material impact on revenues earned from such clients from year to year.</w:t>
      </w:r>
    </w:p>
    <w:p>
      <w:pPr>
        <w:spacing w:after="0" w:line="214"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Termination or delay in the performance of an individual contract may occur for various reasons, including, but not limited to, unexpected or undesired results, production problems resulting in shortages of the drug, adverse patient reactions to the drug, the client’s decision to de-emphasize a particular trial or inadequate patient enrolment or investigator recruitment. In the event of termination the Company is usually entitled to all sums owed for work performed through the notice of termination and certain costs associated with the termination of the study. In addition, contracts generally contain provisions for renegotiation in the event of changes in the scope, nature, duration, or volume of services of the contract.</w:t>
      </w:r>
    </w:p>
    <w:p>
      <w:pPr>
        <w:spacing w:after="0" w:line="20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backlog consists of potential net revenue yet to be earned from projects awarded by clients. At June 30, 2015 we had a backlog of approximately $3.7 billion, compared with approximately $3.6 billion at December 31, 2014. We believe that our backlog as of any date is not necessarily a meaningful predictor of future results, due to the potential for cancellation or delay of the projects underlying the backlog, and no assurances can be given on the extent to which we will be able to realize this backlog as net revenue.</w:t>
      </w:r>
    </w:p>
    <w:p>
      <w:pPr>
        <w:spacing w:after="0" w:line="214"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Although we are domiciled in Ireland, we report our results in U.S. dollars. As a consequence the results of our non-U.S. based operations, when translated into U.S. dollars, could be materially affected by fluctuations in exchange rates between the U.S. dollar and the currencies of those operations.</w:t>
      </w:r>
    </w:p>
    <w:p>
      <w:pPr>
        <w:spacing w:after="0" w:line="2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9" w:name="page20"/>
    <w:bookmarkEnd w:id="19"/>
    <w:p>
      <w:pPr>
        <w:jc w:val="both"/>
        <w:spacing w:after="0" w:line="270" w:lineRule="auto"/>
        <w:rPr>
          <w:sz w:val="20"/>
          <w:szCs w:val="20"/>
          <w:color w:val="auto"/>
        </w:rPr>
      </w:pPr>
      <w:r>
        <w:rPr>
          <w:rFonts w:ascii="Arial" w:cs="Arial" w:eastAsia="Arial" w:hAnsi="Arial"/>
          <w:sz w:val="17"/>
          <w:szCs w:val="17"/>
          <w:color w:val="auto"/>
        </w:rPr>
        <w:t>In addition to translationn exposures, we are also subject to transaction exposures because the currency in which contracts are priced can be different from the currencies in which costs relating to those contracts are incurred. Our operations in the United States are not materially exposed to such currency differences as the majority of our revenues and costs are in U.S. dollars. However, outside the United States the multinational nature of our activities means that contracts are usually priced in a single currency, most often U.S. dollars or euro, while costs arise in a number of currencies, depending, among other things, on which of our offices provide staff for the contract and the location of investigator sites. Although many such contracts benefit from some degree of natural hedging, due to the matching of contract revenues and costs in the same currency, where costs are incurred in currencies other than those in which contracts are priced, fluctuations in the relative value of those currencies could have a material effect on our results of operations. We regularly review our currency exposures and usually negotiate currency fluctuation clauses in our contracts which allow for price negotiation if changes in the relative value of those currencies exceed predetermined tolerances.</w:t>
      </w:r>
    </w:p>
    <w:p>
      <w:pPr>
        <w:spacing w:after="0" w:line="209"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As we conduct operations on a global basis, our effective tax rate has depended and will depend on the geographic distribution of our revenue and earnings among locations with varying tax rates. Our results therefore may be affected by changes in the tax rates of the various jurisdictions. In particular, as the geographic mix of our results of operations among various tax jurisdictions changes, our effective tax rate may vary significantly from period to period.</w:t>
      </w: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June 30, 2015 compared with Three Months Ended June 30, 2014</w:t>
      </w:r>
    </w:p>
    <w:p>
      <w:pPr>
        <w:spacing w:after="0" w:line="25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sets forth for the periods indicated certain financial data as a percentage of net revenue and the percentage change in these items compared to the prior comparable period. The trends illustrated in the following table may not be indicative of future results.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6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2660" w:type="dxa"/>
            <w:vAlign w:val="bottom"/>
            <w:gridSpan w:val="9"/>
          </w:tcPr>
          <w:p>
            <w:pPr>
              <w:jc w:val="right"/>
              <w:ind w:right="820"/>
              <w:spacing w:after="0"/>
              <w:rPr>
                <w:sz w:val="20"/>
                <w:szCs w:val="20"/>
                <w:color w:val="auto"/>
              </w:rPr>
            </w:pPr>
            <w:r>
              <w:rPr>
                <w:rFonts w:ascii="Arial" w:cs="Arial" w:eastAsia="Arial" w:hAnsi="Arial"/>
                <w:sz w:val="18"/>
                <w:szCs w:val="18"/>
                <w:b w:val="1"/>
                <w:bCs w:val="1"/>
                <w:color w:val="auto"/>
              </w:rPr>
              <w:t>Three Months Ended</w:t>
            </w: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260" w:type="dxa"/>
            <w:vAlign w:val="bottom"/>
            <w:tcBorders>
              <w:right w:val="single" w:sz="8" w:color="auto"/>
            </w:tcBorders>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6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Borders>
              <w:bottom w:val="single" w:sz="8" w:color="auto"/>
            </w:tcBorders>
            <w:gridSpan w:val="2"/>
          </w:tcPr>
          <w:p>
            <w:pPr>
              <w:jc w:val="right"/>
              <w:spacing w:after="0" w:line="196" w:lineRule="exact"/>
              <w:rPr>
                <w:sz w:val="20"/>
                <w:szCs w:val="20"/>
                <w:color w:val="auto"/>
              </w:rPr>
            </w:pPr>
            <w:r>
              <w:rPr>
                <w:rFonts w:ascii="Arial" w:cs="Arial" w:eastAsia="Arial" w:hAnsi="Arial"/>
                <w:sz w:val="18"/>
                <w:szCs w:val="18"/>
                <w:b w:val="1"/>
                <w:bCs w:val="1"/>
                <w:color w:val="auto"/>
                <w:w w:val="85"/>
              </w:rPr>
              <w:t>June 30,</w:t>
            </w:r>
          </w:p>
        </w:tc>
        <w:tc>
          <w:tcPr>
            <w:tcW w:w="760" w:type="dxa"/>
            <w:vAlign w:val="bottom"/>
          </w:tcPr>
          <w:p>
            <w:pPr>
              <w:spacing w:after="0"/>
              <w:rPr>
                <w:sz w:val="17"/>
                <w:szCs w:val="17"/>
                <w:color w:val="auto"/>
              </w:rPr>
            </w:pPr>
          </w:p>
        </w:tc>
        <w:tc>
          <w:tcPr>
            <w:tcW w:w="640" w:type="dxa"/>
            <w:vAlign w:val="bottom"/>
            <w:tcBorders>
              <w:bottom w:val="single" w:sz="8" w:color="auto"/>
            </w:tcBorders>
            <w:gridSpan w:val="4"/>
          </w:tcPr>
          <w:p>
            <w:pPr>
              <w:jc w:val="right"/>
              <w:spacing w:after="0" w:line="196" w:lineRule="exact"/>
              <w:rPr>
                <w:sz w:val="20"/>
                <w:szCs w:val="20"/>
                <w:color w:val="auto"/>
              </w:rPr>
            </w:pPr>
            <w:r>
              <w:rPr>
                <w:rFonts w:ascii="Arial" w:cs="Arial" w:eastAsia="Arial" w:hAnsi="Arial"/>
                <w:sz w:val="18"/>
                <w:szCs w:val="18"/>
                <w:b w:val="1"/>
                <w:bCs w:val="1"/>
                <w:color w:val="auto"/>
                <w:w w:val="85"/>
              </w:rPr>
              <w:t>June 30,</w:t>
            </w:r>
          </w:p>
        </w:tc>
        <w:tc>
          <w:tcPr>
            <w:tcW w:w="360" w:type="dxa"/>
            <w:vAlign w:val="bottom"/>
          </w:tcPr>
          <w:p>
            <w:pPr>
              <w:spacing w:after="0"/>
              <w:rPr>
                <w:sz w:val="17"/>
                <w:szCs w:val="17"/>
                <w:color w:val="auto"/>
              </w:rPr>
            </w:pPr>
          </w:p>
        </w:tc>
        <w:tc>
          <w:tcPr>
            <w:tcW w:w="680" w:type="dxa"/>
            <w:vAlign w:val="bottom"/>
            <w:gridSpan w:val="5"/>
          </w:tcPr>
          <w:p>
            <w:pPr>
              <w:spacing w:after="0"/>
              <w:rPr>
                <w:sz w:val="17"/>
                <w:szCs w:val="17"/>
                <w:color w:val="auto"/>
              </w:rPr>
            </w:pPr>
          </w:p>
        </w:tc>
        <w:tc>
          <w:tcPr>
            <w:tcW w:w="3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w w:val="84"/>
              </w:rPr>
              <w:t>2015</w:t>
            </w: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620" w:type="dxa"/>
            <w:vAlign w:val="bottom"/>
          </w:tcPr>
          <w:p>
            <w:pPr>
              <w:spacing w:after="0"/>
              <w:rPr>
                <w:sz w:val="17"/>
                <w:szCs w:val="17"/>
                <w:color w:val="auto"/>
              </w:rPr>
            </w:pPr>
          </w:p>
        </w:tc>
        <w:tc>
          <w:tcPr>
            <w:tcW w:w="4320" w:type="dxa"/>
            <w:vAlign w:val="bottom"/>
            <w:gridSpan w:val="4"/>
          </w:tcPr>
          <w:p>
            <w:pPr>
              <w:jc w:val="right"/>
              <w:spacing w:after="0" w:line="196" w:lineRule="exact"/>
              <w:rPr>
                <w:sz w:val="20"/>
                <w:szCs w:val="20"/>
                <w:color w:val="auto"/>
              </w:rPr>
            </w:pPr>
            <w:r>
              <w:rPr>
                <w:rFonts w:ascii="Arial" w:cs="Arial" w:eastAsia="Arial" w:hAnsi="Arial"/>
                <w:sz w:val="18"/>
                <w:szCs w:val="18"/>
                <w:b w:val="1"/>
                <w:bCs w:val="1"/>
                <w:color w:val="auto"/>
              </w:rPr>
              <w:t>2015</w:t>
            </w:r>
          </w:p>
        </w:tc>
        <w:tc>
          <w:tcPr>
            <w:tcW w:w="760" w:type="dxa"/>
            <w:vAlign w:val="bottom"/>
          </w:tcPr>
          <w:p>
            <w:pPr>
              <w:spacing w:after="0"/>
              <w:rPr>
                <w:sz w:val="17"/>
                <w:szCs w:val="17"/>
                <w:color w:val="auto"/>
              </w:rPr>
            </w:pPr>
          </w:p>
        </w:tc>
        <w:tc>
          <w:tcPr>
            <w:tcW w:w="1000" w:type="dxa"/>
            <w:vAlign w:val="bottom"/>
            <w:gridSpan w:val="5"/>
          </w:tcPr>
          <w:p>
            <w:pPr>
              <w:jc w:val="right"/>
              <w:ind w:right="360"/>
              <w:spacing w:after="0" w:line="196" w:lineRule="exact"/>
              <w:rPr>
                <w:sz w:val="20"/>
                <w:szCs w:val="20"/>
                <w:color w:val="auto"/>
              </w:rPr>
            </w:pPr>
            <w:r>
              <w:rPr>
                <w:rFonts w:ascii="Arial" w:cs="Arial" w:eastAsia="Arial" w:hAnsi="Arial"/>
                <w:sz w:val="18"/>
                <w:szCs w:val="18"/>
                <w:b w:val="1"/>
                <w:bCs w:val="1"/>
                <w:color w:val="auto"/>
              </w:rPr>
              <w:t>2014</w:t>
            </w: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gridSpan w:val="4"/>
          </w:tcPr>
          <w:p>
            <w:pPr>
              <w:jc w:val="right"/>
              <w:ind w:right="220"/>
              <w:spacing w:after="0" w:line="196" w:lineRule="exact"/>
              <w:rPr>
                <w:sz w:val="20"/>
                <w:szCs w:val="20"/>
                <w:color w:val="auto"/>
              </w:rPr>
            </w:pPr>
            <w:r>
              <w:rPr>
                <w:rFonts w:ascii="Arial" w:cs="Arial" w:eastAsia="Arial" w:hAnsi="Arial"/>
                <w:sz w:val="18"/>
                <w:szCs w:val="18"/>
                <w:b w:val="1"/>
                <w:bCs w:val="1"/>
                <w:color w:val="auto"/>
                <w:w w:val="86"/>
              </w:rPr>
              <w:t>to 2014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6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60" w:type="dxa"/>
            <w:vAlign w:val="bottom"/>
            <w:gridSpan w:val="8"/>
          </w:tcPr>
          <w:p>
            <w:pPr>
              <w:jc w:val="right"/>
              <w:ind w:right="220"/>
              <w:spacing w:after="0" w:line="196" w:lineRule="exact"/>
              <w:rPr>
                <w:sz w:val="20"/>
                <w:szCs w:val="20"/>
                <w:color w:val="auto"/>
              </w:rPr>
            </w:pPr>
            <w:r>
              <w:rPr>
                <w:rFonts w:ascii="Arial" w:cs="Arial" w:eastAsia="Arial" w:hAnsi="Arial"/>
                <w:sz w:val="18"/>
                <w:szCs w:val="18"/>
                <w:b w:val="1"/>
                <w:bCs w:val="1"/>
                <w:color w:val="auto"/>
              </w:rPr>
              <w:t>Percentage</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620" w:type="dxa"/>
            <w:vAlign w:val="bottom"/>
          </w:tcPr>
          <w:p>
            <w:pPr>
              <w:spacing w:after="0"/>
              <w:rPr>
                <w:sz w:val="17"/>
                <w:szCs w:val="17"/>
                <w:color w:val="auto"/>
              </w:rPr>
            </w:pPr>
          </w:p>
        </w:tc>
        <w:tc>
          <w:tcPr>
            <w:tcW w:w="6080" w:type="dxa"/>
            <w:vAlign w:val="bottom"/>
            <w:gridSpan w:val="10"/>
          </w:tcPr>
          <w:p>
            <w:pPr>
              <w:jc w:val="right"/>
              <w:ind w:right="600"/>
              <w:spacing w:after="0" w:line="196" w:lineRule="exact"/>
              <w:rPr>
                <w:sz w:val="20"/>
                <w:szCs w:val="20"/>
                <w:color w:val="auto"/>
              </w:rPr>
            </w:pPr>
            <w:r>
              <w:rPr>
                <w:rFonts w:ascii="Arial" w:cs="Arial" w:eastAsia="Arial" w:hAnsi="Arial"/>
                <w:sz w:val="18"/>
                <w:szCs w:val="18"/>
                <w:b w:val="1"/>
                <w:bCs w:val="1"/>
                <w:color w:val="auto"/>
              </w:rPr>
              <w:t>Percentage of Net Revenue</w:t>
            </w:r>
          </w:p>
        </w:tc>
        <w:tc>
          <w:tcPr>
            <w:tcW w:w="200" w:type="dxa"/>
            <w:vAlign w:val="bottom"/>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gridSpan w:val="4"/>
          </w:tcPr>
          <w:p>
            <w:pPr>
              <w:jc w:val="right"/>
              <w:ind w:right="20"/>
              <w:spacing w:after="0" w:line="196" w:lineRule="exact"/>
              <w:rPr>
                <w:sz w:val="20"/>
                <w:szCs w:val="20"/>
                <w:color w:val="auto"/>
              </w:rPr>
            </w:pPr>
            <w:r>
              <w:rPr>
                <w:rFonts w:ascii="Arial" w:cs="Arial" w:eastAsia="Arial" w:hAnsi="Arial"/>
                <w:sz w:val="18"/>
                <w:szCs w:val="18"/>
                <w:b w:val="1"/>
                <w:bCs w:val="1"/>
                <w:color w:val="auto"/>
                <w:w w:val="87"/>
              </w:rPr>
              <w:t>Increase/</w:t>
            </w: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260" w:type="dxa"/>
            <w:vAlign w:val="bottom"/>
            <w:tcBorders>
              <w:right w:val="single" w:sz="8" w:color="auto"/>
            </w:tcBorders>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gridSpan w:val="3"/>
            <w:shd w:val="clear" w:color="auto" w:fill="000000"/>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6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20" w:type="dxa"/>
            <w:vAlign w:val="bottom"/>
            <w:gridSpan w:val="6"/>
          </w:tcPr>
          <w:p>
            <w:pPr>
              <w:jc w:val="right"/>
              <w:ind w:right="220"/>
              <w:spacing w:after="0" w:line="196" w:lineRule="exact"/>
              <w:rPr>
                <w:sz w:val="20"/>
                <w:szCs w:val="20"/>
                <w:color w:val="auto"/>
              </w:rPr>
            </w:pPr>
            <w:r>
              <w:rPr>
                <w:rFonts w:ascii="Arial" w:cs="Arial" w:eastAsia="Arial" w:hAnsi="Arial"/>
                <w:sz w:val="18"/>
                <w:szCs w:val="18"/>
                <w:b w:val="1"/>
                <w:bCs w:val="1"/>
                <w:color w:val="auto"/>
                <w:w w:val="84"/>
              </w:rPr>
              <w:t>(Decrease)</w:t>
            </w:r>
          </w:p>
        </w:tc>
        <w:tc>
          <w:tcPr>
            <w:tcW w:w="0" w:type="dxa"/>
            <w:vAlign w:val="bottom"/>
          </w:tcPr>
          <w:p>
            <w:pPr>
              <w:spacing w:after="0"/>
              <w:rPr>
                <w:sz w:val="1"/>
                <w:szCs w:val="1"/>
                <w:color w:val="auto"/>
              </w:rPr>
            </w:pPr>
          </w:p>
        </w:tc>
      </w:tr>
      <w:tr>
        <w:trPr>
          <w:trHeight w:val="237"/>
        </w:trPr>
        <w:tc>
          <w:tcPr>
            <w:tcW w:w="20" w:type="dxa"/>
            <w:vAlign w:val="bottom"/>
            <w:vMerge w:val="restart"/>
          </w:tcPr>
          <w:p>
            <w:pPr>
              <w:spacing w:after="0"/>
              <w:rPr>
                <w:sz w:val="20"/>
                <w:szCs w:val="20"/>
                <w:color w:val="auto"/>
              </w:rPr>
            </w:pPr>
          </w:p>
        </w:tc>
        <w:tc>
          <w:tcPr>
            <w:tcW w:w="144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vMerge w:val="continue"/>
          </w:tcPr>
          <w:p>
            <w:pPr>
              <w:spacing w:after="0"/>
              <w:rPr>
                <w:sz w:val="19"/>
                <w:szCs w:val="19"/>
                <w:color w:val="auto"/>
              </w:rPr>
            </w:pPr>
          </w:p>
        </w:tc>
        <w:tc>
          <w:tcPr>
            <w:tcW w:w="406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Net revenue</w:t>
            </w:r>
          </w:p>
        </w:tc>
        <w:tc>
          <w:tcPr>
            <w:tcW w:w="5080" w:type="dxa"/>
            <w:vAlign w:val="bottom"/>
            <w:tcBorders>
              <w:bottom w:val="single" w:sz="8" w:color="auto"/>
            </w:tcBorders>
            <w:gridSpan w:val="5"/>
            <w:shd w:val="clear" w:color="auto" w:fill="CCEEFF"/>
          </w:tcPr>
          <w:p>
            <w:pPr>
              <w:jc w:val="right"/>
              <w:ind w:right="620"/>
              <w:spacing w:after="0"/>
              <w:rPr>
                <w:sz w:val="20"/>
                <w:szCs w:val="20"/>
                <w:color w:val="auto"/>
              </w:rPr>
            </w:pPr>
            <w:r>
              <w:rPr>
                <w:rFonts w:ascii="Arial" w:cs="Arial" w:eastAsia="Arial" w:hAnsi="Arial"/>
                <w:sz w:val="18"/>
                <w:szCs w:val="18"/>
                <w:color w:val="auto"/>
              </w:rPr>
              <w:t>100.0%</w:t>
            </w:r>
          </w:p>
        </w:tc>
        <w:tc>
          <w:tcPr>
            <w:tcW w:w="1000" w:type="dxa"/>
            <w:vAlign w:val="bottom"/>
            <w:tcBorders>
              <w:bottom w:val="single" w:sz="8" w:color="auto"/>
            </w:tcBorders>
            <w:gridSpan w:val="5"/>
            <w:shd w:val="clear" w:color="auto" w:fill="CCEEFF"/>
          </w:tcPr>
          <w:p>
            <w:pPr>
              <w:jc w:val="right"/>
              <w:ind w:right="220"/>
              <w:spacing w:after="0"/>
              <w:rPr>
                <w:sz w:val="20"/>
                <w:szCs w:val="20"/>
                <w:color w:val="auto"/>
              </w:rPr>
            </w:pPr>
            <w:r>
              <w:rPr>
                <w:rFonts w:ascii="Arial" w:cs="Arial" w:eastAsia="Arial" w:hAnsi="Arial"/>
                <w:sz w:val="18"/>
                <w:szCs w:val="18"/>
                <w:color w:val="auto"/>
              </w:rPr>
              <w:t>100.0%</w:t>
            </w:r>
          </w:p>
        </w:tc>
        <w:tc>
          <w:tcPr>
            <w:tcW w:w="1260" w:type="dxa"/>
            <w:vAlign w:val="bottom"/>
            <w:tcBorders>
              <w:bottom w:val="single" w:sz="8" w:color="auto"/>
            </w:tcBorders>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44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vMerge w:val="continue"/>
          </w:tcPr>
          <w:p>
            <w:pPr>
              <w:spacing w:after="0"/>
              <w:rPr>
                <w:sz w:val="17"/>
                <w:szCs w:val="17"/>
                <w:color w:val="auto"/>
              </w:rPr>
            </w:pPr>
          </w:p>
        </w:tc>
        <w:tc>
          <w:tcPr>
            <w:tcW w:w="1440" w:type="dxa"/>
            <w:vAlign w:val="bottom"/>
            <w:tcBorders>
              <w:bottom w:val="single" w:sz="8" w:color="auto"/>
            </w:tcBorders>
            <w:shd w:val="clear" w:color="auto" w:fill="CCEEFF"/>
          </w:tcPr>
          <w:p>
            <w:pPr>
              <w:spacing w:after="0" w:line="176" w:lineRule="exact"/>
              <w:rPr>
                <w:sz w:val="20"/>
                <w:szCs w:val="20"/>
                <w:color w:val="auto"/>
              </w:rPr>
            </w:pPr>
            <w:r>
              <w:rPr>
                <w:rFonts w:ascii="Arial" w:cs="Arial" w:eastAsia="Arial" w:hAnsi="Arial"/>
                <w:sz w:val="18"/>
                <w:szCs w:val="18"/>
                <w:color w:val="auto"/>
                <w:w w:val="84"/>
              </w:rPr>
              <w:t>Costs and expenses:</w:t>
            </w:r>
          </w:p>
        </w:tc>
        <w:tc>
          <w:tcPr>
            <w:tcW w:w="2620" w:type="dxa"/>
            <w:vAlign w:val="bottom"/>
            <w:tcBorders>
              <w:bottom w:val="single" w:sz="8" w:color="CCEEFF"/>
            </w:tcBorders>
            <w:shd w:val="clear" w:color="auto" w:fill="CCEEFF"/>
          </w:tcPr>
          <w:p>
            <w:pPr>
              <w:spacing w:after="0"/>
              <w:rPr>
                <w:sz w:val="17"/>
                <w:szCs w:val="17"/>
                <w:color w:val="auto"/>
              </w:rPr>
            </w:pPr>
          </w:p>
        </w:tc>
        <w:tc>
          <w:tcPr>
            <w:tcW w:w="34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right w:val="single" w:sz="8" w:color="CCEEFF"/>
            </w:tcBorders>
            <w:shd w:val="clear" w:color="auto" w:fill="CCEEFF"/>
          </w:tcPr>
          <w:p>
            <w:pPr>
              <w:spacing w:after="0"/>
              <w:rPr>
                <w:sz w:val="17"/>
                <w:szCs w:val="17"/>
                <w:color w:val="auto"/>
              </w:rPr>
            </w:pPr>
          </w:p>
        </w:tc>
        <w:tc>
          <w:tcPr>
            <w:tcW w:w="280" w:type="dxa"/>
            <w:vAlign w:val="bottom"/>
            <w:tcBorders>
              <w:bottom w:val="single" w:sz="8" w:color="CCEEFF"/>
            </w:tcBorders>
            <w:shd w:val="clear" w:color="auto" w:fill="CCEEFF"/>
          </w:tcPr>
          <w:p>
            <w:pPr>
              <w:spacing w:after="0"/>
              <w:rPr>
                <w:sz w:val="17"/>
                <w:szCs w:val="17"/>
                <w:color w:val="auto"/>
              </w:rPr>
            </w:pPr>
          </w:p>
        </w:tc>
        <w:tc>
          <w:tcPr>
            <w:tcW w:w="36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36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360" w:type="dxa"/>
            <w:vAlign w:val="bottom"/>
            <w:tcBorders>
              <w:bottom w:val="single" w:sz="8" w:color="CCEEFF"/>
            </w:tcBorders>
            <w:shd w:val="clear" w:color="auto" w:fill="CCEEFF"/>
          </w:tcPr>
          <w:p>
            <w:pPr>
              <w:spacing w:after="0"/>
              <w:rPr>
                <w:sz w:val="17"/>
                <w:szCs w:val="17"/>
                <w:color w:val="auto"/>
              </w:rPr>
            </w:pPr>
          </w:p>
        </w:tc>
        <w:tc>
          <w:tcPr>
            <w:tcW w:w="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tcPr>
          <w:p>
            <w:pPr>
              <w:spacing w:after="0"/>
              <w:rPr>
                <w:sz w:val="20"/>
                <w:szCs w:val="20"/>
                <w:color w:val="auto"/>
              </w:rPr>
            </w:pPr>
            <w:r>
              <w:rPr>
                <w:rFonts w:ascii="Arial" w:cs="Arial" w:eastAsia="Arial" w:hAnsi="Arial"/>
                <w:sz w:val="18"/>
                <w:szCs w:val="18"/>
                <w:color w:val="auto"/>
              </w:rPr>
              <w:t>Direct costs</w:t>
            </w:r>
          </w:p>
        </w:tc>
        <w:tc>
          <w:tcPr>
            <w:tcW w:w="5080" w:type="dxa"/>
            <w:vAlign w:val="bottom"/>
            <w:gridSpan w:val="5"/>
          </w:tcPr>
          <w:p>
            <w:pPr>
              <w:jc w:val="right"/>
              <w:ind w:right="620"/>
              <w:spacing w:after="0"/>
              <w:rPr>
                <w:sz w:val="20"/>
                <w:szCs w:val="20"/>
                <w:color w:val="auto"/>
              </w:rPr>
            </w:pPr>
            <w:r>
              <w:rPr>
                <w:rFonts w:ascii="Arial" w:cs="Arial" w:eastAsia="Arial" w:hAnsi="Arial"/>
                <w:sz w:val="18"/>
                <w:szCs w:val="18"/>
                <w:color w:val="auto"/>
              </w:rPr>
              <w:t>57.9%</w:t>
            </w:r>
          </w:p>
        </w:tc>
        <w:tc>
          <w:tcPr>
            <w:tcW w:w="1000" w:type="dxa"/>
            <w:vAlign w:val="bottom"/>
            <w:gridSpan w:val="5"/>
          </w:tcPr>
          <w:p>
            <w:pPr>
              <w:jc w:val="right"/>
              <w:ind w:right="220"/>
              <w:spacing w:after="0"/>
              <w:rPr>
                <w:sz w:val="20"/>
                <w:szCs w:val="20"/>
                <w:color w:val="auto"/>
              </w:rPr>
            </w:pPr>
            <w:r>
              <w:rPr>
                <w:rFonts w:ascii="Arial" w:cs="Arial" w:eastAsia="Arial" w:hAnsi="Arial"/>
                <w:sz w:val="18"/>
                <w:szCs w:val="18"/>
                <w:color w:val="auto"/>
              </w:rPr>
              <w:t>60.4%</w:t>
            </w:r>
          </w:p>
        </w:tc>
        <w:tc>
          <w:tcPr>
            <w:tcW w:w="1260" w:type="dxa"/>
            <w:vAlign w:val="bottom"/>
            <w:gridSpan w:val="8"/>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Selling, general and administrative</w:t>
            </w:r>
          </w:p>
        </w:tc>
        <w:tc>
          <w:tcPr>
            <w:tcW w:w="5080" w:type="dxa"/>
            <w:vAlign w:val="bottom"/>
            <w:gridSpan w:val="5"/>
            <w:shd w:val="clear" w:color="auto" w:fill="CCEEFF"/>
          </w:tcPr>
          <w:p>
            <w:pPr>
              <w:jc w:val="right"/>
              <w:ind w:right="620"/>
              <w:spacing w:after="0"/>
              <w:rPr>
                <w:sz w:val="20"/>
                <w:szCs w:val="20"/>
                <w:color w:val="auto"/>
              </w:rPr>
            </w:pPr>
            <w:r>
              <w:rPr>
                <w:rFonts w:ascii="Arial" w:cs="Arial" w:eastAsia="Arial" w:hAnsi="Arial"/>
                <w:sz w:val="18"/>
                <w:szCs w:val="18"/>
                <w:color w:val="auto"/>
              </w:rPr>
              <w:t>20.9%</w:t>
            </w:r>
          </w:p>
        </w:tc>
        <w:tc>
          <w:tcPr>
            <w:tcW w:w="1000" w:type="dxa"/>
            <w:vAlign w:val="bottom"/>
            <w:gridSpan w:val="5"/>
            <w:shd w:val="clear" w:color="auto" w:fill="CCEEFF"/>
          </w:tcPr>
          <w:p>
            <w:pPr>
              <w:jc w:val="right"/>
              <w:ind w:right="220"/>
              <w:spacing w:after="0"/>
              <w:rPr>
                <w:sz w:val="20"/>
                <w:szCs w:val="20"/>
                <w:color w:val="auto"/>
              </w:rPr>
            </w:pPr>
            <w:r>
              <w:rPr>
                <w:rFonts w:ascii="Arial" w:cs="Arial" w:eastAsia="Arial" w:hAnsi="Arial"/>
                <w:sz w:val="18"/>
                <w:szCs w:val="18"/>
                <w:color w:val="auto"/>
              </w:rPr>
              <w:t>23.3%</w:t>
            </w:r>
          </w:p>
        </w:tc>
        <w:tc>
          <w:tcPr>
            <w:tcW w:w="1260" w:type="dxa"/>
            <w:vAlign w:val="bottom"/>
            <w:gridSpan w:val="8"/>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tcPr>
          <w:p>
            <w:pPr>
              <w:spacing w:after="0"/>
              <w:rPr>
                <w:sz w:val="20"/>
                <w:szCs w:val="20"/>
                <w:color w:val="auto"/>
              </w:rPr>
            </w:pPr>
            <w:r>
              <w:rPr>
                <w:rFonts w:ascii="Arial" w:cs="Arial" w:eastAsia="Arial" w:hAnsi="Arial"/>
                <w:sz w:val="18"/>
                <w:szCs w:val="18"/>
                <w:color w:val="auto"/>
              </w:rPr>
              <w:t>Depreciation</w:t>
            </w:r>
          </w:p>
        </w:tc>
        <w:tc>
          <w:tcPr>
            <w:tcW w:w="5080" w:type="dxa"/>
            <w:vAlign w:val="bottom"/>
            <w:gridSpan w:val="5"/>
          </w:tcPr>
          <w:p>
            <w:pPr>
              <w:jc w:val="right"/>
              <w:ind w:right="620"/>
              <w:spacing w:after="0"/>
              <w:rPr>
                <w:sz w:val="20"/>
                <w:szCs w:val="20"/>
                <w:color w:val="auto"/>
              </w:rPr>
            </w:pPr>
            <w:r>
              <w:rPr>
                <w:rFonts w:ascii="Arial" w:cs="Arial" w:eastAsia="Arial" w:hAnsi="Arial"/>
                <w:sz w:val="18"/>
                <w:szCs w:val="18"/>
                <w:color w:val="auto"/>
              </w:rPr>
              <w:t>2.5%</w:t>
            </w:r>
          </w:p>
        </w:tc>
        <w:tc>
          <w:tcPr>
            <w:tcW w:w="1000" w:type="dxa"/>
            <w:vAlign w:val="bottom"/>
            <w:gridSpan w:val="5"/>
          </w:tcPr>
          <w:p>
            <w:pPr>
              <w:jc w:val="right"/>
              <w:ind w:right="220"/>
              <w:spacing w:after="0"/>
              <w:rPr>
                <w:sz w:val="20"/>
                <w:szCs w:val="20"/>
                <w:color w:val="auto"/>
              </w:rPr>
            </w:pPr>
            <w:r>
              <w:rPr>
                <w:rFonts w:ascii="Arial" w:cs="Arial" w:eastAsia="Arial" w:hAnsi="Arial"/>
                <w:sz w:val="18"/>
                <w:szCs w:val="18"/>
                <w:color w:val="auto"/>
              </w:rPr>
              <w:t>2.8%</w:t>
            </w:r>
          </w:p>
        </w:tc>
        <w:tc>
          <w:tcPr>
            <w:tcW w:w="1260" w:type="dxa"/>
            <w:vAlign w:val="bottom"/>
            <w:gridSpan w:val="8"/>
          </w:tcPr>
          <w:p>
            <w:pPr>
              <w:jc w:val="right"/>
              <w:spacing w:after="0"/>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06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Amortization</w:t>
            </w:r>
          </w:p>
        </w:tc>
        <w:tc>
          <w:tcPr>
            <w:tcW w:w="5080" w:type="dxa"/>
            <w:vAlign w:val="bottom"/>
            <w:tcBorders>
              <w:bottom w:val="single" w:sz="8" w:color="auto"/>
            </w:tcBorders>
            <w:gridSpan w:val="5"/>
            <w:shd w:val="clear" w:color="auto" w:fill="CCEEFF"/>
          </w:tcPr>
          <w:p>
            <w:pPr>
              <w:jc w:val="right"/>
              <w:ind w:right="620"/>
              <w:spacing w:after="0"/>
              <w:rPr>
                <w:sz w:val="20"/>
                <w:szCs w:val="20"/>
                <w:color w:val="auto"/>
              </w:rPr>
            </w:pPr>
            <w:r>
              <w:rPr>
                <w:rFonts w:ascii="Arial" w:cs="Arial" w:eastAsia="Arial" w:hAnsi="Arial"/>
                <w:sz w:val="18"/>
                <w:szCs w:val="18"/>
                <w:color w:val="auto"/>
              </w:rPr>
              <w:t>1.2%</w:t>
            </w:r>
          </w:p>
        </w:tc>
        <w:tc>
          <w:tcPr>
            <w:tcW w:w="1000" w:type="dxa"/>
            <w:vAlign w:val="bottom"/>
            <w:tcBorders>
              <w:bottom w:val="single" w:sz="8" w:color="auto"/>
            </w:tcBorders>
            <w:gridSpan w:val="5"/>
            <w:shd w:val="clear" w:color="auto" w:fill="CCEEFF"/>
          </w:tcPr>
          <w:p>
            <w:pPr>
              <w:jc w:val="right"/>
              <w:ind w:right="220"/>
              <w:spacing w:after="0"/>
              <w:rPr>
                <w:sz w:val="20"/>
                <w:szCs w:val="20"/>
                <w:color w:val="auto"/>
              </w:rPr>
            </w:pPr>
            <w:r>
              <w:rPr>
                <w:rFonts w:ascii="Arial" w:cs="Arial" w:eastAsia="Arial" w:hAnsi="Arial"/>
                <w:sz w:val="18"/>
                <w:szCs w:val="18"/>
                <w:color w:val="auto"/>
              </w:rPr>
              <w:t>0.7%</w:t>
            </w:r>
          </w:p>
        </w:tc>
        <w:tc>
          <w:tcPr>
            <w:tcW w:w="1260" w:type="dxa"/>
            <w:vAlign w:val="bottom"/>
            <w:tcBorders>
              <w:bottom w:val="single" w:sz="8" w:color="auto"/>
            </w:tcBorders>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74.3%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44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20" w:type="dxa"/>
            <w:vAlign w:val="bottom"/>
            <w:vMerge w:val="continue"/>
          </w:tcPr>
          <w:p>
            <w:pPr>
              <w:spacing w:after="0"/>
              <w:rPr>
                <w:sz w:val="22"/>
                <w:szCs w:val="22"/>
                <w:color w:val="auto"/>
              </w:rPr>
            </w:pPr>
          </w:p>
        </w:tc>
        <w:tc>
          <w:tcPr>
            <w:tcW w:w="406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5080" w:type="dxa"/>
            <w:vAlign w:val="bottom"/>
            <w:tcBorders>
              <w:bottom w:val="single" w:sz="8" w:color="auto"/>
            </w:tcBorders>
            <w:gridSpan w:val="5"/>
            <w:shd w:val="clear" w:color="auto" w:fill="CCEEFF"/>
          </w:tcPr>
          <w:p>
            <w:pPr>
              <w:jc w:val="right"/>
              <w:ind w:right="620"/>
              <w:spacing w:after="0"/>
              <w:rPr>
                <w:sz w:val="20"/>
                <w:szCs w:val="20"/>
                <w:color w:val="auto"/>
              </w:rPr>
            </w:pPr>
            <w:r>
              <w:rPr>
                <w:rFonts w:ascii="Arial" w:cs="Arial" w:eastAsia="Arial" w:hAnsi="Arial"/>
                <w:sz w:val="18"/>
                <w:szCs w:val="18"/>
                <w:color w:val="auto"/>
              </w:rPr>
              <w:t>17.5%</w:t>
            </w:r>
          </w:p>
        </w:tc>
        <w:tc>
          <w:tcPr>
            <w:tcW w:w="1000" w:type="dxa"/>
            <w:vAlign w:val="bottom"/>
            <w:tcBorders>
              <w:bottom w:val="single" w:sz="8" w:color="auto"/>
            </w:tcBorders>
            <w:gridSpan w:val="5"/>
            <w:shd w:val="clear" w:color="auto" w:fill="CCEEFF"/>
          </w:tcPr>
          <w:p>
            <w:pPr>
              <w:jc w:val="right"/>
              <w:ind w:right="220"/>
              <w:spacing w:after="0"/>
              <w:rPr>
                <w:sz w:val="20"/>
                <w:szCs w:val="20"/>
                <w:color w:val="auto"/>
              </w:rPr>
            </w:pPr>
            <w:r>
              <w:rPr>
                <w:rFonts w:ascii="Arial" w:cs="Arial" w:eastAsia="Arial" w:hAnsi="Arial"/>
                <w:sz w:val="18"/>
                <w:szCs w:val="18"/>
                <w:color w:val="auto"/>
              </w:rPr>
              <w:t>12.8%</w:t>
            </w:r>
          </w:p>
        </w:tc>
        <w:tc>
          <w:tcPr>
            <w:tcW w:w="1260" w:type="dxa"/>
            <w:vAlign w:val="bottom"/>
            <w:tcBorders>
              <w:bottom w:val="single" w:sz="8" w:color="auto"/>
            </w:tcBorders>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41.1%</w:t>
            </w:r>
          </w:p>
        </w:tc>
        <w:tc>
          <w:tcPr>
            <w:tcW w:w="0" w:type="dxa"/>
            <w:vAlign w:val="bottom"/>
          </w:tcPr>
          <w:p>
            <w:pPr>
              <w:spacing w:after="0"/>
              <w:rPr>
                <w:sz w:val="1"/>
                <w:szCs w:val="1"/>
                <w:color w:val="auto"/>
              </w:rPr>
            </w:pPr>
          </w:p>
        </w:tc>
      </w:tr>
      <w:tr>
        <w:trPr>
          <w:trHeight w:val="601"/>
        </w:trPr>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3420" w:type="dxa"/>
            <w:vAlign w:val="bottom"/>
          </w:tcPr>
          <w:p>
            <w:pPr>
              <w:jc w:val="right"/>
              <w:ind w:right="1610"/>
              <w:spacing w:after="0"/>
              <w:rPr>
                <w:sz w:val="20"/>
                <w:szCs w:val="20"/>
                <w:color w:val="auto"/>
              </w:rPr>
            </w:pPr>
            <w:r>
              <w:rPr>
                <w:rFonts w:ascii="Arial" w:cs="Arial" w:eastAsia="Arial" w:hAnsi="Arial"/>
                <w:sz w:val="18"/>
                <w:szCs w:val="18"/>
                <w:color w:val="auto"/>
              </w:rPr>
              <w:t>19</w:t>
            </w: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440" w:type="dxa"/>
            <w:vAlign w:val="bottom"/>
            <w:tcBorders>
              <w:bottom w:val="single" w:sz="8" w:color="808080"/>
            </w:tcBorders>
          </w:tcPr>
          <w:p>
            <w:pPr>
              <w:spacing w:after="0"/>
              <w:rPr>
                <w:sz w:val="10"/>
                <w:szCs w:val="10"/>
                <w:color w:val="auto"/>
              </w:rPr>
            </w:pPr>
          </w:p>
        </w:tc>
        <w:tc>
          <w:tcPr>
            <w:tcW w:w="2620" w:type="dxa"/>
            <w:vAlign w:val="bottom"/>
            <w:tcBorders>
              <w:bottom w:val="single" w:sz="8" w:color="808080"/>
            </w:tcBorders>
          </w:tcPr>
          <w:p>
            <w:pPr>
              <w:spacing w:after="0"/>
              <w:rPr>
                <w:sz w:val="10"/>
                <w:szCs w:val="10"/>
                <w:color w:val="auto"/>
              </w:rPr>
            </w:pPr>
          </w:p>
        </w:tc>
        <w:tc>
          <w:tcPr>
            <w:tcW w:w="342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20" w:name="page21"/>
    <w:bookmarkEnd w:id="20"/>
    <w:p>
      <w:pPr>
        <w:jc w:val="both"/>
        <w:spacing w:after="0" w:line="290" w:lineRule="auto"/>
        <w:rPr>
          <w:sz w:val="20"/>
          <w:szCs w:val="20"/>
          <w:color w:val="auto"/>
        </w:rPr>
      </w:pPr>
      <w:r>
        <w:rPr>
          <w:rFonts w:ascii="Arial" w:cs="Arial" w:eastAsia="Arial" w:hAnsi="Arial"/>
          <w:sz w:val="16"/>
          <w:szCs w:val="16"/>
          <w:color w:val="auto"/>
        </w:rPr>
        <w:t>Net revenue for the period increased by $12.7 million, or 3.4%, from $376.0 million for the three months ended June 30, 2014 to $388.7 million for the three months ended June 30, 2015. A primary driver of the increase in net revenues during the three months ended June 30, 2015 was net revenues from the acquisition of MediMedia Pharma solutions which was acquired on February 27, 2015 and a full quarter’s revenue during 2015 from the acquisition of Aptiv Solutions which was acquired on May 7, 2014. In addition, during the three months ended June 30, 2015 $197.8 million or 50.9% of our net revenues were derived from our top 5 customers compared to $184.3 million or 52.7% of net revenues derived from our top 5 customers during the three months ended June 30, 2014. The increased use of strategic partnerships arrangements in recent years has resulted in a greater value of our net revenues being derived from our top five customers, although the addition of new customer accounts over recent quarters has resulted in a reduction in this concentration. For the three months ended June 30, 2015 we derived approximately 42.3%, 47.3% and 10.4% of our net revenue in the United States, Europe and Rest of World, respectively.</w:t>
      </w:r>
    </w:p>
    <w:p>
      <w:pPr>
        <w:spacing w:after="0" w:line="193"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Net revenue in Ireland increased from $88.7 million for the three months ended June 20, 2014 to $105.4 million for the three months ended June 30, 2015. Net revenue in Ireland is principally a function of the Company’s global transfer pricing model (</w:t>
      </w:r>
      <w:r>
        <w:rPr>
          <w:rFonts w:ascii="Arial" w:cs="Arial" w:eastAsia="Arial" w:hAnsi="Arial"/>
          <w:sz w:val="16"/>
          <w:szCs w:val="16"/>
          <w:i w:val="1"/>
          <w:iCs w:val="1"/>
          <w:color w:val="auto"/>
        </w:rPr>
        <w:t>see note 8 Business Segmental Information for further</w:t>
      </w:r>
      <w:r>
        <w:rPr>
          <w:rFonts w:ascii="Arial" w:cs="Arial" w:eastAsia="Arial" w:hAnsi="Arial"/>
          <w:sz w:val="16"/>
          <w:szCs w:val="16"/>
          <w:color w:val="auto"/>
        </w:rPr>
        <w:t xml:space="preserve"> </w:t>
      </w:r>
      <w:r>
        <w:rPr>
          <w:rFonts w:ascii="Arial" w:cs="Arial" w:eastAsia="Arial" w:hAnsi="Arial"/>
          <w:sz w:val="16"/>
          <w:szCs w:val="16"/>
          <w:i w:val="1"/>
          <w:iCs w:val="1"/>
          <w:color w:val="auto"/>
        </w:rPr>
        <w:t>details</w:t>
      </w:r>
      <w:r>
        <w:rPr>
          <w:rFonts w:ascii="Arial" w:cs="Arial" w:eastAsia="Arial" w:hAnsi="Arial"/>
          <w:sz w:val="16"/>
          <w:szCs w:val="16"/>
          <w:color w:val="auto"/>
        </w:rPr>
        <w:t>). Net revenue in our Rest of Europe region decreased from $98.1 million for the three months ended June 30, 2014 to $78.5 million for the three</w:t>
      </w:r>
      <w:r>
        <w:rPr>
          <w:rFonts w:ascii="Arial" w:cs="Arial" w:eastAsia="Arial" w:hAnsi="Arial"/>
          <w:sz w:val="16"/>
          <w:szCs w:val="16"/>
          <w:i w:val="1"/>
          <w:iCs w:val="1"/>
          <w:color w:val="auto"/>
        </w:rPr>
        <w:t xml:space="preserve"> </w:t>
      </w:r>
      <w:r>
        <w:rPr>
          <w:rFonts w:ascii="Arial" w:cs="Arial" w:eastAsia="Arial" w:hAnsi="Arial"/>
          <w:sz w:val="16"/>
          <w:szCs w:val="16"/>
          <w:color w:val="auto"/>
        </w:rPr>
        <w:t>months ended June 30, 2015, while net revenue in our Other region decreased marginally from $41.8 million for the three months ended June 30, 2014 to $40.4 million for the three months ended June 30, 2015. Net revenues in both of these regions were impacted by the continued strengthening of the U.S. dollar during the period which saw a decrease in their reported value when translated to U.S. dollars. This reduction was offset by a full three months revenue contribution from Aptiv Solutions which was acquired on May 7, 2014. Net revenue in the U.S. region increased from $147.4 million for the three months ended June 30, 2014 to $164.3 million for the three months ended June 30, 2015. The increase in net revenue in this region arose primarily from a full three months contribution from the acquisition of Aptiv Solutions and net revenue from MediMedia Pharma Solutions which was acquired on February 27, 2015.</w:t>
      </w:r>
    </w:p>
    <w:p>
      <w:pPr>
        <w:spacing w:after="0" w:line="194"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Direct costs for the period decreased by $2.3 million, or 1.0%, from $227.2 million for the three months ended June 30, 2014 to $225.0 million for the three months ended June 30, 2015. Direct costs consist primarily of compensation, associated fringe benefits and share based compensation expense for project-related employees and other direct project driven costs. The decrease in direct costs during the period was driven primarily from the continued strengthening of the U.S. dollar versus exchange rates such as the Euro, amongst others, which has seen a decrease in the reported value of direct costs for operations outside of the United States when translated to U.S. dollars. This decrease was offset by an increase in direct headcount of approximately 600, additional costs from the acquisition of MediMedia Pharma Services and a full quarter’s costs for Aptiv Solutions. As a percentage of net revenue, direct costs have decreased from 60.4% for the three months ended June 30, 2014 to 57.9% for the three months ended June 30, 2015.</w:t>
      </w:r>
    </w:p>
    <w:p>
      <w:pPr>
        <w:spacing w:after="0" w:line="20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Selling, general and administrative expenses for the period decreased by $6.3 million, or 7.2%, from $87.6 million for the three months ended June 30, 2014 to $81.3 million for the three months ended June 30, 2015. Selling, general and administrative expenses comprise primarily of compensation, related fringe benefits and share based compensation expense for non-project-related employees, recruitment expenditure, professional service costs, advertising costs and all costs related to facilities and information systems. A primary driver of the decrease in selling, general and administrative expenses during the period has been the continued strengthening of the U.S. dollar versus exchange rates such as the Euro, amongst others. This strengthening has seen a reduction in the reported value of selling, general and administrative expenses during the period for regions outside of the United States. This reduction was offset by increased costs from the acquisition of MediMedia Pharma Solutions and the inclusion of a full three months costs for Aptiv Solutions in the current period. As a percentage of net revenue, selling, general and administrative expenses, decreased from 23.3% for the three months ended June 30, 2014 to 20.9% for the three months ended June 30, 2015.</w:t>
      </w:r>
    </w:p>
    <w:p>
      <w:pPr>
        <w:spacing w:after="0" w:line="209"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Depreciation expense for the period decreased by $0.6 million, or 5.7%, from $10.4 million for the three months ended June 30, 2014 to $9.8 million for three months ended June 30, 2015. Depreciation expense arises principally arises from an investment in facilities, information systems and equipment to support the Company’s growth. As a percentage of net revenue, depreciation expense decreased from 2.8% of net revenues for the three months ended June 30, 2014 to 2.5% of net revenues for the three months ended June 30, 2015. Amortization expense for the period increased by $1.9 million, or 74.3%, from $2.6 million for the three months ended June 30, 2014 to $4.5 million for the three months ended June 30, 2015. Amortization expense represents the amortization of intangible assets acquired on business combinations. The increase in amortization expense during the period arises predominately from amortization expense associated with the Company’s estimate of intangible assets arising on the acquisition of MediMedia Pharma Solutions. As a percentage of net revenue, amortization expense increased from 0.7% of net revenues for the three months ended June 30, 2014 to 1.2% for the three months ended June 30, 2015.</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21" w:name="page22"/>
    <w:bookmarkEnd w:id="21"/>
    <w:p>
      <w:pPr>
        <w:jc w:val="both"/>
        <w:spacing w:after="0" w:line="286" w:lineRule="auto"/>
        <w:rPr>
          <w:sz w:val="20"/>
          <w:szCs w:val="20"/>
          <w:color w:val="auto"/>
        </w:rPr>
      </w:pPr>
      <w:r>
        <w:rPr>
          <w:rFonts w:ascii="Arial" w:cs="Arial" w:eastAsia="Arial" w:hAnsi="Arial"/>
          <w:sz w:val="17"/>
          <w:szCs w:val="17"/>
          <w:color w:val="auto"/>
        </w:rPr>
        <w:t>As a result of the above, income from operations for the three months increased by $19.8 million, or 41.1%, from $48.3 million for the three months ended June 30, 2014 to $68.1 million for the three months ended June 30, 2015. As a percentage of net revenue, income from operations increased from 12.8% of net revenues for the three months ended June 30, 2014 to 17.5% of net revenues for the three months ended June 30, 2015.</w:t>
      </w:r>
    </w:p>
    <w:p>
      <w:pPr>
        <w:spacing w:after="0" w:line="193"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 xml:space="preserve">Income from operations in Ireland increased from $26.7 million for the three months ended June 30, 2014 to $49.4 million for the three months ended June 30, 2015. Income from operations in Ireland is impacted by the Group’s global transfer pricing model </w:t>
      </w:r>
      <w:r>
        <w:rPr>
          <w:rFonts w:ascii="Arial" w:cs="Arial" w:eastAsia="Arial" w:hAnsi="Arial"/>
          <w:sz w:val="16"/>
          <w:szCs w:val="16"/>
          <w:i w:val="1"/>
          <w:iCs w:val="1"/>
          <w:color w:val="auto"/>
        </w:rPr>
        <w:t>(see note 8 Business Segmental Information for further</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details). </w:t>
      </w:r>
      <w:r>
        <w:rPr>
          <w:rFonts w:ascii="Arial" w:cs="Arial" w:eastAsia="Arial" w:hAnsi="Arial"/>
          <w:sz w:val="16"/>
          <w:szCs w:val="16"/>
          <w:color w:val="auto"/>
        </w:rPr>
        <w:t>Income from operations in our Rest of Europe region decreased from $8.0 million for the three months ended June 30, 2014 to $3.5 million for the</w:t>
      </w:r>
      <w:r>
        <w:rPr>
          <w:rFonts w:ascii="Arial" w:cs="Arial" w:eastAsia="Arial" w:hAnsi="Arial"/>
          <w:sz w:val="16"/>
          <w:szCs w:val="16"/>
          <w:i w:val="1"/>
          <w:iCs w:val="1"/>
          <w:color w:val="auto"/>
        </w:rPr>
        <w:t xml:space="preserve"> </w:t>
      </w:r>
      <w:r>
        <w:rPr>
          <w:rFonts w:ascii="Arial" w:cs="Arial" w:eastAsia="Arial" w:hAnsi="Arial"/>
          <w:sz w:val="16"/>
          <w:szCs w:val="16"/>
          <w:color w:val="auto"/>
        </w:rPr>
        <w:t>three months ended June 30, 2015, while income from operations in our Other region decreased marginally from $3.9 million for three months ended June 30, 2014 to $2.6 million for the three months ended June 30, 2015. Income from operations in both of these regions was impacted by the continued strengthening of the U.S. dollar during the period which saw a decrease in the reported value of both revenues and costs when translated to U.S. dollars. This reduction was offset by a full three months contribution from Aptiv Solutions in the current period. Income from operations in the U.S. region increased from $9.6 million for the three months ended June 30, 2014 to $12.6 million for the three months ended June 30, 2015. Income from operations in this region was positively impacted by the acquisition of MediMedia Pharma Solutions and a full three months contribution from Aptiv Solutions.</w:t>
      </w:r>
    </w:p>
    <w:p>
      <w:pPr>
        <w:spacing w:after="0" w:line="19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Interest expense for the period decreased by $0.07 million or 23%, from $0.3 million for the three months ended June 30, 2014 to $0.23 million for the three months ended June 30, 2015. Interest income decreased by $0.04 million or 15%, from $0.26 million for the three months ended June 30, 2014 to $0.22 million for the three months ended June 30, 2015.</w:t>
      </w:r>
    </w:p>
    <w:p>
      <w:pPr>
        <w:spacing w:after="0" w:line="208"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Provision for income taxes for the period increased from $7.5 million for the three months ended June 30, 2014 to $9.5 million for the three months ended June 30, 2015. The Company’s effective tax rate for the three months ended June 30, 2015 was 14.0% compared with 15.5% for the three months ended June 30, 2014. The Company’s effective tax rate is principally a function of the distribution of pre-tax profits amongst the territories in which it operates.</w:t>
      </w: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2015 compared with Six Months Ended June 30, 2014</w:t>
      </w:r>
    </w:p>
    <w:p>
      <w:pPr>
        <w:spacing w:after="0" w:line="25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sets forth for the periods indicated certain financial data as a percentage of net revenue and the percentage change in these items compared to the prior comparable period. The trends illustrated in the following table may not be indicative of future results.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20" w:type="dxa"/>
            <w:vAlign w:val="bottom"/>
            <w:tcBorders>
              <w:bottom w:val="single" w:sz="8" w:color="auto"/>
            </w:tcBorders>
            <w:gridSpan w:val="4"/>
          </w:tcPr>
          <w:p>
            <w:pPr>
              <w:jc w:val="center"/>
              <w:spacing w:after="0"/>
              <w:rPr>
                <w:sz w:val="20"/>
                <w:szCs w:val="20"/>
                <w:color w:val="auto"/>
              </w:rPr>
            </w:pPr>
            <w:r>
              <w:rPr>
                <w:rFonts w:ascii="Arial" w:cs="Arial" w:eastAsia="Arial" w:hAnsi="Arial"/>
                <w:sz w:val="18"/>
                <w:szCs w:val="18"/>
                <w:b w:val="1"/>
                <w:bCs w:val="1"/>
                <w:color w:val="auto"/>
                <w:w w:val="90"/>
              </w:rPr>
              <w:t>Six Months Ended</w:t>
            </w:r>
          </w:p>
        </w:tc>
        <w:tc>
          <w:tcPr>
            <w:tcW w:w="920" w:type="dxa"/>
            <w:vAlign w:val="bottom"/>
            <w:gridSpan w:val="4"/>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6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Borders>
              <w:bottom w:val="single" w:sz="8" w:color="auto"/>
            </w:tcBorders>
            <w:gridSpan w:val="3"/>
          </w:tcPr>
          <w:p>
            <w:pPr>
              <w:jc w:val="right"/>
              <w:spacing w:after="0" w:line="196" w:lineRule="exact"/>
              <w:rPr>
                <w:sz w:val="20"/>
                <w:szCs w:val="20"/>
                <w:color w:val="auto"/>
              </w:rPr>
            </w:pPr>
            <w:r>
              <w:rPr>
                <w:rFonts w:ascii="Arial" w:cs="Arial" w:eastAsia="Arial" w:hAnsi="Arial"/>
                <w:sz w:val="18"/>
                <w:szCs w:val="18"/>
                <w:b w:val="1"/>
                <w:bCs w:val="1"/>
                <w:color w:val="auto"/>
                <w:w w:val="85"/>
              </w:rPr>
              <w:t>June 30,</w:t>
            </w:r>
          </w:p>
        </w:tc>
        <w:tc>
          <w:tcPr>
            <w:tcW w:w="760" w:type="dxa"/>
            <w:vAlign w:val="bottom"/>
          </w:tcPr>
          <w:p>
            <w:pPr>
              <w:spacing w:after="0"/>
              <w:rPr>
                <w:sz w:val="17"/>
                <w:szCs w:val="17"/>
                <w:color w:val="auto"/>
              </w:rPr>
            </w:pPr>
          </w:p>
        </w:tc>
        <w:tc>
          <w:tcPr>
            <w:tcW w:w="640" w:type="dxa"/>
            <w:vAlign w:val="bottom"/>
            <w:tcBorders>
              <w:bottom w:val="single" w:sz="8" w:color="auto"/>
            </w:tcBorders>
            <w:gridSpan w:val="4"/>
          </w:tcPr>
          <w:p>
            <w:pPr>
              <w:jc w:val="right"/>
              <w:spacing w:after="0" w:line="196" w:lineRule="exact"/>
              <w:rPr>
                <w:sz w:val="20"/>
                <w:szCs w:val="20"/>
                <w:color w:val="auto"/>
              </w:rPr>
            </w:pPr>
            <w:r>
              <w:rPr>
                <w:rFonts w:ascii="Arial" w:cs="Arial" w:eastAsia="Arial" w:hAnsi="Arial"/>
                <w:sz w:val="18"/>
                <w:szCs w:val="18"/>
                <w:b w:val="1"/>
                <w:bCs w:val="1"/>
                <w:color w:val="auto"/>
                <w:w w:val="85"/>
              </w:rPr>
              <w:t>June 30,</w:t>
            </w:r>
          </w:p>
        </w:tc>
        <w:tc>
          <w:tcPr>
            <w:tcW w:w="360" w:type="dxa"/>
            <w:vAlign w:val="bottom"/>
          </w:tcPr>
          <w:p>
            <w:pPr>
              <w:spacing w:after="0"/>
              <w:rPr>
                <w:sz w:val="17"/>
                <w:szCs w:val="17"/>
                <w:color w:val="auto"/>
              </w:rPr>
            </w:pPr>
          </w:p>
        </w:tc>
        <w:tc>
          <w:tcPr>
            <w:tcW w:w="680" w:type="dxa"/>
            <w:vAlign w:val="bottom"/>
            <w:gridSpan w:val="5"/>
          </w:tcPr>
          <w:p>
            <w:pPr>
              <w:spacing w:after="0"/>
              <w:rPr>
                <w:sz w:val="17"/>
                <w:szCs w:val="17"/>
                <w:color w:val="auto"/>
              </w:rPr>
            </w:pPr>
          </w:p>
        </w:tc>
        <w:tc>
          <w:tcPr>
            <w:tcW w:w="3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w w:val="84"/>
              </w:rPr>
              <w:t>2015</w:t>
            </w: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620" w:type="dxa"/>
            <w:vAlign w:val="bottom"/>
          </w:tcPr>
          <w:p>
            <w:pPr>
              <w:spacing w:after="0"/>
              <w:rPr>
                <w:sz w:val="17"/>
                <w:szCs w:val="17"/>
                <w:color w:val="auto"/>
              </w:rPr>
            </w:pPr>
          </w:p>
        </w:tc>
        <w:tc>
          <w:tcPr>
            <w:tcW w:w="4320" w:type="dxa"/>
            <w:vAlign w:val="bottom"/>
            <w:gridSpan w:val="5"/>
          </w:tcPr>
          <w:p>
            <w:pPr>
              <w:jc w:val="right"/>
              <w:spacing w:after="0" w:line="196" w:lineRule="exact"/>
              <w:rPr>
                <w:sz w:val="20"/>
                <w:szCs w:val="20"/>
                <w:color w:val="auto"/>
              </w:rPr>
            </w:pPr>
            <w:r>
              <w:rPr>
                <w:rFonts w:ascii="Arial" w:cs="Arial" w:eastAsia="Arial" w:hAnsi="Arial"/>
                <w:sz w:val="18"/>
                <w:szCs w:val="18"/>
                <w:b w:val="1"/>
                <w:bCs w:val="1"/>
                <w:color w:val="auto"/>
              </w:rPr>
              <w:t>2015</w:t>
            </w:r>
          </w:p>
        </w:tc>
        <w:tc>
          <w:tcPr>
            <w:tcW w:w="760" w:type="dxa"/>
            <w:vAlign w:val="bottom"/>
          </w:tcPr>
          <w:p>
            <w:pPr>
              <w:spacing w:after="0"/>
              <w:rPr>
                <w:sz w:val="17"/>
                <w:szCs w:val="17"/>
                <w:color w:val="auto"/>
              </w:rPr>
            </w:pPr>
          </w:p>
        </w:tc>
        <w:tc>
          <w:tcPr>
            <w:tcW w:w="1000" w:type="dxa"/>
            <w:vAlign w:val="bottom"/>
            <w:gridSpan w:val="5"/>
          </w:tcPr>
          <w:p>
            <w:pPr>
              <w:jc w:val="right"/>
              <w:ind w:right="360"/>
              <w:spacing w:after="0" w:line="196" w:lineRule="exact"/>
              <w:rPr>
                <w:sz w:val="20"/>
                <w:szCs w:val="20"/>
                <w:color w:val="auto"/>
              </w:rPr>
            </w:pPr>
            <w:r>
              <w:rPr>
                <w:rFonts w:ascii="Arial" w:cs="Arial" w:eastAsia="Arial" w:hAnsi="Arial"/>
                <w:sz w:val="18"/>
                <w:szCs w:val="18"/>
                <w:b w:val="1"/>
                <w:bCs w:val="1"/>
                <w:color w:val="auto"/>
              </w:rPr>
              <w:t>2014</w:t>
            </w: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gridSpan w:val="4"/>
          </w:tcPr>
          <w:p>
            <w:pPr>
              <w:jc w:val="right"/>
              <w:ind w:right="220"/>
              <w:spacing w:after="0" w:line="196" w:lineRule="exact"/>
              <w:rPr>
                <w:sz w:val="20"/>
                <w:szCs w:val="20"/>
                <w:color w:val="auto"/>
              </w:rPr>
            </w:pPr>
            <w:r>
              <w:rPr>
                <w:rFonts w:ascii="Arial" w:cs="Arial" w:eastAsia="Arial" w:hAnsi="Arial"/>
                <w:sz w:val="18"/>
                <w:szCs w:val="18"/>
                <w:b w:val="1"/>
                <w:bCs w:val="1"/>
                <w:color w:val="auto"/>
                <w:w w:val="86"/>
              </w:rPr>
              <w:t>to 2014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6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60" w:type="dxa"/>
            <w:vAlign w:val="bottom"/>
            <w:gridSpan w:val="8"/>
          </w:tcPr>
          <w:p>
            <w:pPr>
              <w:jc w:val="right"/>
              <w:ind w:right="220"/>
              <w:spacing w:after="0" w:line="196" w:lineRule="exact"/>
              <w:rPr>
                <w:sz w:val="20"/>
                <w:szCs w:val="20"/>
                <w:color w:val="auto"/>
              </w:rPr>
            </w:pPr>
            <w:r>
              <w:rPr>
                <w:rFonts w:ascii="Arial" w:cs="Arial" w:eastAsia="Arial" w:hAnsi="Arial"/>
                <w:sz w:val="18"/>
                <w:szCs w:val="18"/>
                <w:b w:val="1"/>
                <w:bCs w:val="1"/>
                <w:color w:val="auto"/>
              </w:rPr>
              <w:t>Percentage</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620" w:type="dxa"/>
            <w:vAlign w:val="bottom"/>
          </w:tcPr>
          <w:p>
            <w:pPr>
              <w:spacing w:after="0"/>
              <w:rPr>
                <w:sz w:val="17"/>
                <w:szCs w:val="17"/>
                <w:color w:val="auto"/>
              </w:rPr>
            </w:pPr>
          </w:p>
        </w:tc>
        <w:tc>
          <w:tcPr>
            <w:tcW w:w="6080" w:type="dxa"/>
            <w:vAlign w:val="bottom"/>
            <w:gridSpan w:val="11"/>
          </w:tcPr>
          <w:p>
            <w:pPr>
              <w:jc w:val="center"/>
              <w:ind w:left="2730"/>
              <w:spacing w:after="0" w:line="196" w:lineRule="exact"/>
              <w:rPr>
                <w:sz w:val="20"/>
                <w:szCs w:val="20"/>
                <w:color w:val="auto"/>
              </w:rPr>
            </w:pPr>
            <w:r>
              <w:rPr>
                <w:rFonts w:ascii="Arial" w:cs="Arial" w:eastAsia="Arial" w:hAnsi="Arial"/>
                <w:sz w:val="18"/>
                <w:szCs w:val="18"/>
                <w:b w:val="1"/>
                <w:bCs w:val="1"/>
                <w:color w:val="auto"/>
                <w:w w:val="88"/>
              </w:rPr>
              <w:t>Percentage of Net Revenue</w:t>
            </w:r>
          </w:p>
        </w:tc>
        <w:tc>
          <w:tcPr>
            <w:tcW w:w="200" w:type="dxa"/>
            <w:vAlign w:val="bottom"/>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gridSpan w:val="4"/>
          </w:tcPr>
          <w:p>
            <w:pPr>
              <w:jc w:val="right"/>
              <w:ind w:right="20"/>
              <w:spacing w:after="0" w:line="196" w:lineRule="exact"/>
              <w:rPr>
                <w:sz w:val="20"/>
                <w:szCs w:val="20"/>
                <w:color w:val="auto"/>
              </w:rPr>
            </w:pPr>
            <w:r>
              <w:rPr>
                <w:rFonts w:ascii="Arial" w:cs="Arial" w:eastAsia="Arial" w:hAnsi="Arial"/>
                <w:sz w:val="18"/>
                <w:szCs w:val="18"/>
                <w:b w:val="1"/>
                <w:bCs w:val="1"/>
                <w:color w:val="auto"/>
                <w:w w:val="87"/>
              </w:rPr>
              <w:t>Increase/</w:t>
            </w: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gridSpan w:val="3"/>
            <w:shd w:val="clear" w:color="auto" w:fill="000000"/>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6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20" w:type="dxa"/>
            <w:vAlign w:val="bottom"/>
            <w:gridSpan w:val="6"/>
          </w:tcPr>
          <w:p>
            <w:pPr>
              <w:jc w:val="right"/>
              <w:ind w:right="220"/>
              <w:spacing w:after="0" w:line="196" w:lineRule="exact"/>
              <w:rPr>
                <w:sz w:val="20"/>
                <w:szCs w:val="20"/>
                <w:color w:val="auto"/>
              </w:rPr>
            </w:pPr>
            <w:r>
              <w:rPr>
                <w:rFonts w:ascii="Arial" w:cs="Arial" w:eastAsia="Arial" w:hAnsi="Arial"/>
                <w:sz w:val="18"/>
                <w:szCs w:val="18"/>
                <w:b w:val="1"/>
                <w:bCs w:val="1"/>
                <w:color w:val="auto"/>
                <w:w w:val="84"/>
              </w:rPr>
              <w:t>(Decrease)</w:t>
            </w:r>
          </w:p>
        </w:tc>
        <w:tc>
          <w:tcPr>
            <w:tcW w:w="0" w:type="dxa"/>
            <w:vAlign w:val="bottom"/>
          </w:tcPr>
          <w:p>
            <w:pPr>
              <w:spacing w:after="0"/>
              <w:rPr>
                <w:sz w:val="1"/>
                <w:szCs w:val="1"/>
                <w:color w:val="auto"/>
              </w:rPr>
            </w:pPr>
          </w:p>
        </w:tc>
      </w:tr>
      <w:tr>
        <w:trPr>
          <w:trHeight w:val="237"/>
        </w:trPr>
        <w:tc>
          <w:tcPr>
            <w:tcW w:w="20" w:type="dxa"/>
            <w:vAlign w:val="bottom"/>
            <w:vMerge w:val="restart"/>
          </w:tcPr>
          <w:p>
            <w:pPr>
              <w:spacing w:after="0"/>
              <w:rPr>
                <w:sz w:val="20"/>
                <w:szCs w:val="20"/>
                <w:color w:val="auto"/>
              </w:rPr>
            </w:pPr>
          </w:p>
        </w:tc>
        <w:tc>
          <w:tcPr>
            <w:tcW w:w="144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vMerge w:val="continue"/>
          </w:tcPr>
          <w:p>
            <w:pPr>
              <w:spacing w:after="0"/>
              <w:rPr>
                <w:sz w:val="19"/>
                <w:szCs w:val="19"/>
                <w:color w:val="auto"/>
              </w:rPr>
            </w:pPr>
          </w:p>
        </w:tc>
        <w:tc>
          <w:tcPr>
            <w:tcW w:w="406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Net revenue</w:t>
            </w:r>
          </w:p>
        </w:tc>
        <w:tc>
          <w:tcPr>
            <w:tcW w:w="5080" w:type="dxa"/>
            <w:vAlign w:val="bottom"/>
            <w:tcBorders>
              <w:bottom w:val="single" w:sz="8" w:color="auto"/>
            </w:tcBorders>
            <w:gridSpan w:val="6"/>
            <w:shd w:val="clear" w:color="auto" w:fill="CCEEFF"/>
          </w:tcPr>
          <w:p>
            <w:pPr>
              <w:jc w:val="right"/>
              <w:ind w:right="620"/>
              <w:spacing w:after="0"/>
              <w:rPr>
                <w:sz w:val="20"/>
                <w:szCs w:val="20"/>
                <w:color w:val="auto"/>
              </w:rPr>
            </w:pPr>
            <w:r>
              <w:rPr>
                <w:rFonts w:ascii="Arial" w:cs="Arial" w:eastAsia="Arial" w:hAnsi="Arial"/>
                <w:sz w:val="18"/>
                <w:szCs w:val="18"/>
                <w:color w:val="auto"/>
              </w:rPr>
              <w:t>100.0%</w:t>
            </w:r>
          </w:p>
        </w:tc>
        <w:tc>
          <w:tcPr>
            <w:tcW w:w="1000" w:type="dxa"/>
            <w:vAlign w:val="bottom"/>
            <w:tcBorders>
              <w:bottom w:val="single" w:sz="8" w:color="auto"/>
            </w:tcBorders>
            <w:gridSpan w:val="5"/>
            <w:shd w:val="clear" w:color="auto" w:fill="CCEEFF"/>
          </w:tcPr>
          <w:p>
            <w:pPr>
              <w:jc w:val="right"/>
              <w:ind w:right="220"/>
              <w:spacing w:after="0"/>
              <w:rPr>
                <w:sz w:val="20"/>
                <w:szCs w:val="20"/>
                <w:color w:val="auto"/>
              </w:rPr>
            </w:pPr>
            <w:r>
              <w:rPr>
                <w:rFonts w:ascii="Arial" w:cs="Arial" w:eastAsia="Arial" w:hAnsi="Arial"/>
                <w:sz w:val="18"/>
                <w:szCs w:val="18"/>
                <w:color w:val="auto"/>
              </w:rPr>
              <w:t>100.0%</w:t>
            </w:r>
          </w:p>
        </w:tc>
        <w:tc>
          <w:tcPr>
            <w:tcW w:w="1260" w:type="dxa"/>
            <w:vAlign w:val="bottom"/>
            <w:tcBorders>
              <w:bottom w:val="single" w:sz="8" w:color="auto"/>
            </w:tcBorders>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7.1%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44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vMerge w:val="continue"/>
          </w:tcPr>
          <w:p>
            <w:pPr>
              <w:spacing w:after="0"/>
              <w:rPr>
                <w:sz w:val="17"/>
                <w:szCs w:val="17"/>
                <w:color w:val="auto"/>
              </w:rPr>
            </w:pPr>
          </w:p>
        </w:tc>
        <w:tc>
          <w:tcPr>
            <w:tcW w:w="1440" w:type="dxa"/>
            <w:vAlign w:val="bottom"/>
            <w:tcBorders>
              <w:bottom w:val="single" w:sz="8" w:color="auto"/>
            </w:tcBorders>
            <w:shd w:val="clear" w:color="auto" w:fill="CCEEFF"/>
          </w:tcPr>
          <w:p>
            <w:pPr>
              <w:spacing w:after="0" w:line="176" w:lineRule="exact"/>
              <w:rPr>
                <w:sz w:val="20"/>
                <w:szCs w:val="20"/>
                <w:color w:val="auto"/>
              </w:rPr>
            </w:pPr>
            <w:r>
              <w:rPr>
                <w:rFonts w:ascii="Arial" w:cs="Arial" w:eastAsia="Arial" w:hAnsi="Arial"/>
                <w:sz w:val="18"/>
                <w:szCs w:val="18"/>
                <w:color w:val="auto"/>
                <w:w w:val="84"/>
              </w:rPr>
              <w:t>Costs and expenses:</w:t>
            </w:r>
          </w:p>
        </w:tc>
        <w:tc>
          <w:tcPr>
            <w:tcW w:w="2620" w:type="dxa"/>
            <w:vAlign w:val="bottom"/>
            <w:tcBorders>
              <w:bottom w:val="single" w:sz="8" w:color="CCEEFF"/>
            </w:tcBorders>
            <w:shd w:val="clear" w:color="auto" w:fill="CCEEFF"/>
          </w:tcPr>
          <w:p>
            <w:pPr>
              <w:spacing w:after="0"/>
              <w:rPr>
                <w:sz w:val="17"/>
                <w:szCs w:val="17"/>
                <w:color w:val="auto"/>
              </w:rPr>
            </w:pPr>
          </w:p>
        </w:tc>
        <w:tc>
          <w:tcPr>
            <w:tcW w:w="34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6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36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36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360" w:type="dxa"/>
            <w:vAlign w:val="bottom"/>
            <w:tcBorders>
              <w:bottom w:val="single" w:sz="8" w:color="CCEEFF"/>
            </w:tcBorders>
            <w:shd w:val="clear" w:color="auto" w:fill="CCEEFF"/>
          </w:tcPr>
          <w:p>
            <w:pPr>
              <w:spacing w:after="0"/>
              <w:rPr>
                <w:sz w:val="17"/>
                <w:szCs w:val="17"/>
                <w:color w:val="auto"/>
              </w:rPr>
            </w:pPr>
          </w:p>
        </w:tc>
        <w:tc>
          <w:tcPr>
            <w:tcW w:w="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tcPr>
          <w:p>
            <w:pPr>
              <w:spacing w:after="0"/>
              <w:rPr>
                <w:sz w:val="20"/>
                <w:szCs w:val="20"/>
                <w:color w:val="auto"/>
              </w:rPr>
            </w:pPr>
            <w:r>
              <w:rPr>
                <w:rFonts w:ascii="Arial" w:cs="Arial" w:eastAsia="Arial" w:hAnsi="Arial"/>
                <w:sz w:val="18"/>
                <w:szCs w:val="18"/>
                <w:color w:val="auto"/>
              </w:rPr>
              <w:t>Direct costs</w:t>
            </w:r>
          </w:p>
        </w:tc>
        <w:tc>
          <w:tcPr>
            <w:tcW w:w="5080" w:type="dxa"/>
            <w:vAlign w:val="bottom"/>
            <w:gridSpan w:val="6"/>
          </w:tcPr>
          <w:p>
            <w:pPr>
              <w:jc w:val="right"/>
              <w:ind w:right="620"/>
              <w:spacing w:after="0"/>
              <w:rPr>
                <w:sz w:val="20"/>
                <w:szCs w:val="20"/>
                <w:color w:val="auto"/>
              </w:rPr>
            </w:pPr>
            <w:r>
              <w:rPr>
                <w:rFonts w:ascii="Arial" w:cs="Arial" w:eastAsia="Arial" w:hAnsi="Arial"/>
                <w:sz w:val="18"/>
                <w:szCs w:val="18"/>
                <w:color w:val="auto"/>
              </w:rPr>
              <w:t>58.3%</w:t>
            </w:r>
          </w:p>
        </w:tc>
        <w:tc>
          <w:tcPr>
            <w:tcW w:w="1000" w:type="dxa"/>
            <w:vAlign w:val="bottom"/>
            <w:gridSpan w:val="5"/>
          </w:tcPr>
          <w:p>
            <w:pPr>
              <w:jc w:val="right"/>
              <w:ind w:right="220"/>
              <w:spacing w:after="0"/>
              <w:rPr>
                <w:sz w:val="20"/>
                <w:szCs w:val="20"/>
                <w:color w:val="auto"/>
              </w:rPr>
            </w:pPr>
            <w:r>
              <w:rPr>
                <w:rFonts w:ascii="Arial" w:cs="Arial" w:eastAsia="Arial" w:hAnsi="Arial"/>
                <w:sz w:val="18"/>
                <w:szCs w:val="18"/>
                <w:color w:val="auto"/>
              </w:rPr>
              <w:t>61.1%</w:t>
            </w:r>
          </w:p>
        </w:tc>
        <w:tc>
          <w:tcPr>
            <w:tcW w:w="1260" w:type="dxa"/>
            <w:vAlign w:val="bottom"/>
            <w:gridSpan w:val="8"/>
          </w:tcPr>
          <w:p>
            <w:pPr>
              <w:jc w:val="right"/>
              <w:ind w:right="6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Selling, general and administrative</w:t>
            </w:r>
          </w:p>
        </w:tc>
        <w:tc>
          <w:tcPr>
            <w:tcW w:w="5080" w:type="dxa"/>
            <w:vAlign w:val="bottom"/>
            <w:gridSpan w:val="6"/>
            <w:shd w:val="clear" w:color="auto" w:fill="CCEEFF"/>
          </w:tcPr>
          <w:p>
            <w:pPr>
              <w:jc w:val="right"/>
              <w:ind w:right="620"/>
              <w:spacing w:after="0"/>
              <w:rPr>
                <w:sz w:val="20"/>
                <w:szCs w:val="20"/>
                <w:color w:val="auto"/>
              </w:rPr>
            </w:pPr>
            <w:r>
              <w:rPr>
                <w:rFonts w:ascii="Arial" w:cs="Arial" w:eastAsia="Arial" w:hAnsi="Arial"/>
                <w:sz w:val="18"/>
                <w:szCs w:val="18"/>
                <w:color w:val="auto"/>
              </w:rPr>
              <w:t>20.7%</w:t>
            </w:r>
          </w:p>
        </w:tc>
        <w:tc>
          <w:tcPr>
            <w:tcW w:w="1000" w:type="dxa"/>
            <w:vAlign w:val="bottom"/>
            <w:gridSpan w:val="5"/>
            <w:shd w:val="clear" w:color="auto" w:fill="CCEEFF"/>
          </w:tcPr>
          <w:p>
            <w:pPr>
              <w:jc w:val="right"/>
              <w:ind w:right="220"/>
              <w:spacing w:after="0"/>
              <w:rPr>
                <w:sz w:val="20"/>
                <w:szCs w:val="20"/>
                <w:color w:val="auto"/>
              </w:rPr>
            </w:pPr>
            <w:r>
              <w:rPr>
                <w:rFonts w:ascii="Arial" w:cs="Arial" w:eastAsia="Arial" w:hAnsi="Arial"/>
                <w:sz w:val="18"/>
                <w:szCs w:val="18"/>
                <w:color w:val="auto"/>
              </w:rPr>
              <w:t>23.0%</w:t>
            </w:r>
          </w:p>
        </w:tc>
        <w:tc>
          <w:tcPr>
            <w:tcW w:w="1260" w:type="dxa"/>
            <w:vAlign w:val="bottom"/>
            <w:gridSpan w:val="8"/>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gridSpan w:val="2"/>
          </w:tcPr>
          <w:p>
            <w:pPr>
              <w:spacing w:after="0"/>
              <w:rPr>
                <w:sz w:val="20"/>
                <w:szCs w:val="20"/>
                <w:color w:val="auto"/>
              </w:rPr>
            </w:pPr>
            <w:r>
              <w:rPr>
                <w:rFonts w:ascii="Arial" w:cs="Arial" w:eastAsia="Arial" w:hAnsi="Arial"/>
                <w:sz w:val="18"/>
                <w:szCs w:val="18"/>
                <w:color w:val="auto"/>
              </w:rPr>
              <w:t>Depreciation</w:t>
            </w:r>
          </w:p>
        </w:tc>
        <w:tc>
          <w:tcPr>
            <w:tcW w:w="5080" w:type="dxa"/>
            <w:vAlign w:val="bottom"/>
            <w:gridSpan w:val="6"/>
          </w:tcPr>
          <w:p>
            <w:pPr>
              <w:jc w:val="right"/>
              <w:ind w:right="620"/>
              <w:spacing w:after="0"/>
              <w:rPr>
                <w:sz w:val="20"/>
                <w:szCs w:val="20"/>
                <w:color w:val="auto"/>
              </w:rPr>
            </w:pPr>
            <w:r>
              <w:rPr>
                <w:rFonts w:ascii="Arial" w:cs="Arial" w:eastAsia="Arial" w:hAnsi="Arial"/>
                <w:sz w:val="18"/>
                <w:szCs w:val="18"/>
                <w:color w:val="auto"/>
              </w:rPr>
              <w:t>2.5%</w:t>
            </w:r>
          </w:p>
        </w:tc>
        <w:tc>
          <w:tcPr>
            <w:tcW w:w="1000" w:type="dxa"/>
            <w:vAlign w:val="bottom"/>
            <w:gridSpan w:val="5"/>
          </w:tcPr>
          <w:p>
            <w:pPr>
              <w:jc w:val="right"/>
              <w:ind w:right="220"/>
              <w:spacing w:after="0"/>
              <w:rPr>
                <w:sz w:val="20"/>
                <w:szCs w:val="20"/>
                <w:color w:val="auto"/>
              </w:rPr>
            </w:pPr>
            <w:r>
              <w:rPr>
                <w:rFonts w:ascii="Arial" w:cs="Arial" w:eastAsia="Arial" w:hAnsi="Arial"/>
                <w:sz w:val="18"/>
                <w:szCs w:val="18"/>
                <w:color w:val="auto"/>
              </w:rPr>
              <w:t>2.9%</w:t>
            </w:r>
          </w:p>
        </w:tc>
        <w:tc>
          <w:tcPr>
            <w:tcW w:w="1260" w:type="dxa"/>
            <w:vAlign w:val="bottom"/>
            <w:gridSpan w:val="8"/>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06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Amortization</w:t>
            </w:r>
          </w:p>
        </w:tc>
        <w:tc>
          <w:tcPr>
            <w:tcW w:w="5080" w:type="dxa"/>
            <w:vAlign w:val="bottom"/>
            <w:tcBorders>
              <w:bottom w:val="single" w:sz="8" w:color="auto"/>
            </w:tcBorders>
            <w:gridSpan w:val="6"/>
            <w:shd w:val="clear" w:color="auto" w:fill="CCEEFF"/>
          </w:tcPr>
          <w:p>
            <w:pPr>
              <w:jc w:val="right"/>
              <w:ind w:right="620"/>
              <w:spacing w:after="0"/>
              <w:rPr>
                <w:sz w:val="20"/>
                <w:szCs w:val="20"/>
                <w:color w:val="auto"/>
              </w:rPr>
            </w:pPr>
            <w:r>
              <w:rPr>
                <w:rFonts w:ascii="Arial" w:cs="Arial" w:eastAsia="Arial" w:hAnsi="Arial"/>
                <w:sz w:val="18"/>
                <w:szCs w:val="18"/>
                <w:color w:val="auto"/>
              </w:rPr>
              <w:t>1.1%</w:t>
            </w:r>
          </w:p>
        </w:tc>
        <w:tc>
          <w:tcPr>
            <w:tcW w:w="1000" w:type="dxa"/>
            <w:vAlign w:val="bottom"/>
            <w:tcBorders>
              <w:bottom w:val="single" w:sz="8" w:color="auto"/>
            </w:tcBorders>
            <w:gridSpan w:val="5"/>
            <w:shd w:val="clear" w:color="auto" w:fill="CCEEFF"/>
          </w:tcPr>
          <w:p>
            <w:pPr>
              <w:jc w:val="right"/>
              <w:ind w:right="220"/>
              <w:spacing w:after="0"/>
              <w:rPr>
                <w:sz w:val="20"/>
                <w:szCs w:val="20"/>
                <w:color w:val="auto"/>
              </w:rPr>
            </w:pPr>
            <w:r>
              <w:rPr>
                <w:rFonts w:ascii="Arial" w:cs="Arial" w:eastAsia="Arial" w:hAnsi="Arial"/>
                <w:sz w:val="18"/>
                <w:szCs w:val="18"/>
                <w:color w:val="auto"/>
              </w:rPr>
              <w:t>0.6%</w:t>
            </w:r>
          </w:p>
        </w:tc>
        <w:tc>
          <w:tcPr>
            <w:tcW w:w="1260" w:type="dxa"/>
            <w:vAlign w:val="bottom"/>
            <w:tcBorders>
              <w:bottom w:val="single" w:sz="8" w:color="auto"/>
            </w:tcBorders>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91.6%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44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20" w:type="dxa"/>
            <w:vAlign w:val="bottom"/>
            <w:vMerge w:val="continue"/>
          </w:tcPr>
          <w:p>
            <w:pPr>
              <w:spacing w:after="0"/>
              <w:rPr>
                <w:sz w:val="22"/>
                <w:szCs w:val="22"/>
                <w:color w:val="auto"/>
              </w:rPr>
            </w:pPr>
          </w:p>
        </w:tc>
        <w:tc>
          <w:tcPr>
            <w:tcW w:w="406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5080" w:type="dxa"/>
            <w:vAlign w:val="bottom"/>
            <w:tcBorders>
              <w:bottom w:val="single" w:sz="8" w:color="auto"/>
            </w:tcBorders>
            <w:gridSpan w:val="6"/>
            <w:shd w:val="clear" w:color="auto" w:fill="CCEEFF"/>
          </w:tcPr>
          <w:p>
            <w:pPr>
              <w:jc w:val="right"/>
              <w:ind w:right="620"/>
              <w:spacing w:after="0"/>
              <w:rPr>
                <w:sz w:val="20"/>
                <w:szCs w:val="20"/>
                <w:color w:val="auto"/>
              </w:rPr>
            </w:pPr>
            <w:r>
              <w:rPr>
                <w:rFonts w:ascii="Arial" w:cs="Arial" w:eastAsia="Arial" w:hAnsi="Arial"/>
                <w:sz w:val="18"/>
                <w:szCs w:val="18"/>
                <w:color w:val="auto"/>
              </w:rPr>
              <w:t>17.4%</w:t>
            </w:r>
          </w:p>
        </w:tc>
        <w:tc>
          <w:tcPr>
            <w:tcW w:w="1000" w:type="dxa"/>
            <w:vAlign w:val="bottom"/>
            <w:tcBorders>
              <w:bottom w:val="single" w:sz="8" w:color="auto"/>
            </w:tcBorders>
            <w:gridSpan w:val="5"/>
            <w:shd w:val="clear" w:color="auto" w:fill="CCEEFF"/>
          </w:tcPr>
          <w:p>
            <w:pPr>
              <w:jc w:val="right"/>
              <w:ind w:right="220"/>
              <w:spacing w:after="0"/>
              <w:rPr>
                <w:sz w:val="20"/>
                <w:szCs w:val="20"/>
                <w:color w:val="auto"/>
              </w:rPr>
            </w:pPr>
            <w:r>
              <w:rPr>
                <w:rFonts w:ascii="Arial" w:cs="Arial" w:eastAsia="Arial" w:hAnsi="Arial"/>
                <w:sz w:val="18"/>
                <w:szCs w:val="18"/>
                <w:color w:val="auto"/>
              </w:rPr>
              <w:t>12.4%</w:t>
            </w:r>
          </w:p>
        </w:tc>
        <w:tc>
          <w:tcPr>
            <w:tcW w:w="1260" w:type="dxa"/>
            <w:vAlign w:val="bottom"/>
            <w:tcBorders>
              <w:bottom w:val="single" w:sz="8" w:color="auto"/>
            </w:tcBorders>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47.6%</w:t>
            </w:r>
          </w:p>
        </w:tc>
        <w:tc>
          <w:tcPr>
            <w:tcW w:w="0" w:type="dxa"/>
            <w:vAlign w:val="bottom"/>
          </w:tcPr>
          <w:p>
            <w:pPr>
              <w:spacing w:after="0"/>
              <w:rPr>
                <w:sz w:val="1"/>
                <w:szCs w:val="1"/>
                <w:color w:val="auto"/>
              </w:rPr>
            </w:pPr>
          </w:p>
        </w:tc>
      </w:tr>
      <w:tr>
        <w:trPr>
          <w:trHeight w:val="601"/>
        </w:trPr>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3420" w:type="dxa"/>
            <w:vAlign w:val="bottom"/>
          </w:tcPr>
          <w:p>
            <w:pPr>
              <w:jc w:val="right"/>
              <w:ind w:right="1610"/>
              <w:spacing w:after="0"/>
              <w:rPr>
                <w:sz w:val="20"/>
                <w:szCs w:val="20"/>
                <w:color w:val="auto"/>
              </w:rPr>
            </w:pPr>
            <w:r>
              <w:rPr>
                <w:rFonts w:ascii="Arial" w:cs="Arial" w:eastAsia="Arial" w:hAnsi="Arial"/>
                <w:sz w:val="18"/>
                <w:szCs w:val="18"/>
                <w:color w:val="auto"/>
              </w:rPr>
              <w:t>21</w:t>
            </w: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440" w:type="dxa"/>
            <w:vAlign w:val="bottom"/>
            <w:tcBorders>
              <w:bottom w:val="single" w:sz="8" w:color="808080"/>
            </w:tcBorders>
          </w:tcPr>
          <w:p>
            <w:pPr>
              <w:spacing w:after="0"/>
              <w:rPr>
                <w:sz w:val="10"/>
                <w:szCs w:val="10"/>
                <w:color w:val="auto"/>
              </w:rPr>
            </w:pPr>
          </w:p>
        </w:tc>
        <w:tc>
          <w:tcPr>
            <w:tcW w:w="2620" w:type="dxa"/>
            <w:vAlign w:val="bottom"/>
            <w:tcBorders>
              <w:bottom w:val="single" w:sz="8" w:color="808080"/>
            </w:tcBorders>
          </w:tcPr>
          <w:p>
            <w:pPr>
              <w:spacing w:after="0"/>
              <w:rPr>
                <w:sz w:val="10"/>
                <w:szCs w:val="10"/>
                <w:color w:val="auto"/>
              </w:rPr>
            </w:pPr>
          </w:p>
        </w:tc>
        <w:tc>
          <w:tcPr>
            <w:tcW w:w="342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22" w:name="page23"/>
    <w:bookmarkEnd w:id="22"/>
    <w:p>
      <w:pPr>
        <w:jc w:val="both"/>
        <w:spacing w:after="0" w:line="253" w:lineRule="auto"/>
        <w:rPr>
          <w:sz w:val="20"/>
          <w:szCs w:val="20"/>
          <w:color w:val="auto"/>
        </w:rPr>
      </w:pPr>
      <w:r>
        <w:rPr>
          <w:rFonts w:ascii="Arial" w:cs="Arial" w:eastAsia="Arial" w:hAnsi="Arial"/>
          <w:sz w:val="18"/>
          <w:szCs w:val="18"/>
          <w:color w:val="auto"/>
        </w:rPr>
        <w:t>Net revenue for the period increased by $51.2 million, or 7.1%, from $725.7 million for the six months ended June 30, 2014 to $776.9 million for the six months ended June 30, 2015. The primary driver of the increase in net revenues during the six months ended June 30, 2015 was the inclusion of net revenues from the acquisition of Aptiv Solutions, which was acquired on May 7, 2014, together with net revenues from MediMedia Pharma Solutions which was acquired on February 27, 2015. During the six months ended June 30, 2015 $406.8 million or 52.4% of our net revenues were derived from our top 5 customers compared to $376.8 million or 51.9% of net revenues derived from our top 5 customers during the six months ended June 30, 2014. The increased use of strategic partnerships arrangements in recent years has resulted in a greater portion of our net revenues being derived from our top five customers. While there has been a marginal increase in the percentage concentration for the six months ended June 30, 2015 compared to the six months ended June 30, 2014, the addition of new accounts in recent quarters has led a decrease in this overall percentage in the three month ended June 30, 2015. For the six months ended June 30, 2015 we derived approximately 40.5%, 49.2% and 10.3% of our net revenue in the United States, Europe and Rest of World, respectively.</w:t>
      </w:r>
    </w:p>
    <w:p>
      <w:pPr>
        <w:spacing w:after="0" w:line="222"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Net revenue in Ireland increased from $174.1 million for the six months ended June 20, 2014 to $219.5 million for the six months ended June 30, 2015. Net revenue in Ireland is principally a function of the Company’s global transfer pricing model (</w:t>
      </w:r>
      <w:r>
        <w:rPr>
          <w:rFonts w:ascii="Arial" w:cs="Arial" w:eastAsia="Arial" w:hAnsi="Arial"/>
          <w:sz w:val="16"/>
          <w:szCs w:val="16"/>
          <w:i w:val="1"/>
          <w:iCs w:val="1"/>
          <w:color w:val="auto"/>
        </w:rPr>
        <w:t>see note 8 Business Segmental Information for further</w:t>
      </w:r>
      <w:r>
        <w:rPr>
          <w:rFonts w:ascii="Arial" w:cs="Arial" w:eastAsia="Arial" w:hAnsi="Arial"/>
          <w:sz w:val="16"/>
          <w:szCs w:val="16"/>
          <w:color w:val="auto"/>
        </w:rPr>
        <w:t xml:space="preserve"> </w:t>
      </w:r>
      <w:r>
        <w:rPr>
          <w:rFonts w:ascii="Arial" w:cs="Arial" w:eastAsia="Arial" w:hAnsi="Arial"/>
          <w:sz w:val="16"/>
          <w:szCs w:val="16"/>
          <w:i w:val="1"/>
          <w:iCs w:val="1"/>
          <w:color w:val="auto"/>
        </w:rPr>
        <w:t>details</w:t>
      </w:r>
      <w:r>
        <w:rPr>
          <w:rFonts w:ascii="Arial" w:cs="Arial" w:eastAsia="Arial" w:hAnsi="Arial"/>
          <w:sz w:val="16"/>
          <w:szCs w:val="16"/>
          <w:color w:val="auto"/>
        </w:rPr>
        <w:t>). Net revenue in our Rest of Europe region decreased from $184.5 million for the six months ended June 30, 2014 to $162.6 million for the six</w:t>
      </w:r>
      <w:r>
        <w:rPr>
          <w:rFonts w:ascii="Arial" w:cs="Arial" w:eastAsia="Arial" w:hAnsi="Arial"/>
          <w:sz w:val="16"/>
          <w:szCs w:val="16"/>
          <w:i w:val="1"/>
          <w:iCs w:val="1"/>
          <w:color w:val="auto"/>
        </w:rPr>
        <w:t xml:space="preserve"> </w:t>
      </w:r>
      <w:r>
        <w:rPr>
          <w:rFonts w:ascii="Arial" w:cs="Arial" w:eastAsia="Arial" w:hAnsi="Arial"/>
          <w:sz w:val="16"/>
          <w:szCs w:val="16"/>
          <w:color w:val="auto"/>
        </w:rPr>
        <w:t>months ended June 30, 2015, while net revenue in our Other region decreased marginally from $72.3 million for the six months ended June 30, 2014 to $75.3 million for the six months ended June 30, 2015. Net revenues in both of these regions were impacted by the continued strengthening of the U.S. dollar during the period which saw a decrease in their reported value when translated to U.S. dollars. This reduction was offset by a full six months revenue contribution from Aptiv Solutions which was acquired on May 7, 2014. Net revenue in the U.S. region increased from $272.7 million for the six months ended June 30, 2014 to $291.9 million for the six months ended June 30, 2015. The increase in net revenue in this region arose primarily from a full six months contribution from the acquisition of Aptiv Solutions and net revenue from MediMedia Pharma Solutions which was acquired on February 27, 2015.</w:t>
      </w:r>
    </w:p>
    <w:p>
      <w:pPr>
        <w:spacing w:after="0" w:line="194"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Direct costs for the period increased by $9.7 million, or 2.2%, from $443.3 million for the six months ended June 30, 2014 to $453.0 million for the six months ended June 30, 2015. Direct costs consist primarily of compensation, associated fringe benefits and share based compensation expense for project-related employees and other direct project driven costs. The increase in direct costs during the period arose primarily from an increase in direct headcount of approximately 300 heads, additional costs from the acquisition of MediMedia Pharma Services and full quarter’s costs for Aptiv Solutions. In addition, the continued strengthening of the U.S. dollar versus exchange rates such as the Euro, amongst others, has seen a decrease in the reported value of direct costs for operations outside of the United States when translated to U.S. dollars. As a percentage of net revenue, direct costs have decreased from 61.1% for the six months ended June 30, 2014 to 58.3% for the six months ended June 30, 2015.</w:t>
      </w:r>
    </w:p>
    <w:p>
      <w:pPr>
        <w:spacing w:after="0" w:line="20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Selling, general and administrative expenses for the period decreased by $5.7 million, or 3.4%, from $166.6 million for the six months ended June 30, 2014 to $160.9 million for the six months ended June 30, 2015. Selling, general and administrative expenses comprise primarily of compensation, related fringe benefits and share based compensation expense for non-project-related employees, recruitment expenditure, professional service costs, advertising costs and all costs related to facilities and information systems. A primary driver of the decrease in selling, general and administrative expenses during the period has been the continued strengthening of the U.S. dollar versus exchange rates such as the Euro, amongst others. This strengthening has seen a reduction in the reported value of selling, general and administrative expenses during the period for regions outside of the United States. This reduction was offset by increased costs from the acquisition of MediMedia Pharma Solutions and the inclusion of a full six months costs for Aptiv Solutions in the current period. As a percentage of net revenue, selling, general and administrative expenses, decreased from 23.0% for the six months ended June 30, 2014 to 20.7% for the six months ended June 30, 2015.</w:t>
      </w:r>
    </w:p>
    <w:p>
      <w:pPr>
        <w:spacing w:after="0" w:line="20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Depreciation expense for the period decreased by $0.3 million, or 1.8%, from $20.0 million for the six months ended June 30, 2014 to $19.7 million for the six months ended June 30, 2015. Depreciation expense arises principally arises from an investment in facilities, information systems and equipment to support the Company’s growth. As a percentage of net revenue, depreciation expense decreased from 2.9% of net revenues for the six months ended June 30, 2014 to 2.5% for the six months ended June 30, 2015. Amortization expense for the period increased by $4.1million, or 91.6%, from $4.5 million for the six months ended June 30, 2014 to $8.5 million for the six months ended June 30, 2015. Amortization expense represents to the amortization of intangible assets acquired on business combinations. The increase in the amortization expense for the period relates to the acquisition of Aptiv Solution, together with the amortization expense associated with the Company’s estimate of intangible assets arising on the acquisition of MediMEdia Pharma Solutions. As a percentage of net revenue, amortization expense increased from 0.6% of net revenues for the six months ended June 30, 2014 to 1.1% for the six months ended June 30, 2015.</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23" w:name="page24"/>
    <w:bookmarkEnd w:id="23"/>
    <w:p>
      <w:pPr>
        <w:jc w:val="both"/>
        <w:spacing w:after="0" w:line="286" w:lineRule="auto"/>
        <w:rPr>
          <w:sz w:val="20"/>
          <w:szCs w:val="20"/>
          <w:color w:val="auto"/>
        </w:rPr>
      </w:pPr>
      <w:r>
        <w:rPr>
          <w:rFonts w:ascii="Arial" w:cs="Arial" w:eastAsia="Arial" w:hAnsi="Arial"/>
          <w:sz w:val="17"/>
          <w:szCs w:val="17"/>
          <w:color w:val="auto"/>
        </w:rPr>
        <w:t>As a result of the above, income from operations for the six months ended June 30, 2015 increased by $43.5 million, or 47.6%, from $91.3 million for the six months ended June 30, 2014 to $134.8 million for the six months ended June 30, 2015. As a percentage of net revenue, income from operations increased from 12.4% of net revenues for the six months ended June 30, 2014 to 17.4% of net revenues for the six months ended June 30, 2015.</w:t>
      </w:r>
    </w:p>
    <w:p>
      <w:pPr>
        <w:spacing w:after="0" w:line="193"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 xml:space="preserve">Income from operations in Ireland increased from $54.9 million for the six months ended June 30, 2014 to $97.0 million for the six months ended June 30, 2015. Income from operations in Ireland is impacted by the Group’s global transfer pricing model </w:t>
      </w:r>
      <w:r>
        <w:rPr>
          <w:rFonts w:ascii="Arial" w:cs="Arial" w:eastAsia="Arial" w:hAnsi="Arial"/>
          <w:sz w:val="16"/>
          <w:szCs w:val="16"/>
          <w:i w:val="1"/>
          <w:iCs w:val="1"/>
          <w:color w:val="auto"/>
        </w:rPr>
        <w:t>(see note 8 Business Segmental Information for further</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details). </w:t>
      </w:r>
      <w:r>
        <w:rPr>
          <w:rFonts w:ascii="Arial" w:cs="Arial" w:eastAsia="Arial" w:hAnsi="Arial"/>
          <w:sz w:val="16"/>
          <w:szCs w:val="16"/>
          <w:color w:val="auto"/>
        </w:rPr>
        <w:t>Income from operations in our Rest of Europe region decreased from $14.4 million for the six months ended June 30, 2014 to $10.4 million for the</w:t>
      </w:r>
      <w:r>
        <w:rPr>
          <w:rFonts w:ascii="Arial" w:cs="Arial" w:eastAsia="Arial" w:hAnsi="Arial"/>
          <w:sz w:val="16"/>
          <w:szCs w:val="16"/>
          <w:i w:val="1"/>
          <w:iCs w:val="1"/>
          <w:color w:val="auto"/>
        </w:rPr>
        <w:t xml:space="preserve"> </w:t>
      </w:r>
      <w:r>
        <w:rPr>
          <w:rFonts w:ascii="Arial" w:cs="Arial" w:eastAsia="Arial" w:hAnsi="Arial"/>
          <w:sz w:val="16"/>
          <w:szCs w:val="16"/>
          <w:color w:val="auto"/>
        </w:rPr>
        <w:t>six months ended June 30, 2015, while income from operations in our Other region decreased marginally from $5.7 million for six months ended June 30, 2014 to $5.1 million for the six months ended June 30, 2015. Income from operations in both of these regions was impacted by the continued strengthening of the U.S. dollar during the period which saw a decrease in the reported value of both revenues and costs when translated to U.S. dollars. This reduction was offset by a full six months contribution from Aptiv Solutions in the current period. Income from operations in the U.S. region increased from $16.3 million for the six months ended June 30, 2014 to $22.4 million for the six months ended June 30, 2015. Income from operations in this region was positively impacted by the acquisition of MediMedia Pharma Solutions during the period and a full six months contribution from Aptiv Solutions.</w:t>
      </w:r>
    </w:p>
    <w:p>
      <w:pPr>
        <w:spacing w:after="0" w:line="194" w:lineRule="exact"/>
        <w:rPr>
          <w:sz w:val="20"/>
          <w:szCs w:val="20"/>
          <w:color w:val="auto"/>
        </w:rPr>
      </w:pPr>
    </w:p>
    <w:p>
      <w:pPr>
        <w:spacing w:after="0"/>
        <w:rPr>
          <w:sz w:val="20"/>
          <w:szCs w:val="20"/>
          <w:color w:val="auto"/>
        </w:rPr>
      </w:pPr>
      <w:r>
        <w:rPr>
          <w:rFonts w:ascii="Arial" w:cs="Arial" w:eastAsia="Arial" w:hAnsi="Arial"/>
          <w:sz w:val="16"/>
          <w:szCs w:val="16"/>
          <w:color w:val="auto"/>
        </w:rPr>
        <w:t>Interest expense for the period decreased from $0.56 million for the six months ended June 30, 2014 to $0.51 million for the six months ended June 30, 2015.</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Interest income increased from $0.6 million for the six months ended June 30, 2014 to $0.5 million for the six months ended June 30, 2015.</w:t>
      </w:r>
    </w:p>
    <w:p>
      <w:pPr>
        <w:spacing w:after="0" w:line="238"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Provision for income taxes for the period increased from $14.4 million for the six months ended June 30, 2014 to $20.3 million for the six months ended June 30, 2015. The Company’s effective tax rate for the six months ended June 30, 2014 was 15.1% compared with 15.7% for the six months ended June 30, 2014. The Company’s effective tax rate is principally a function of the distribution of pre-tax profits amongst the territories in which it operates.</w: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5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CRO industry is generally not capital intensive. The Group’s principal operating cash needs are payment of salaries, office rents, travel expenditures and payments to investigators. Investing activities primarily reflect capital expenditures for facilities and information systems enhancements, the purchase and sale of short term investments and acquisitions.</w:t>
      </w:r>
    </w:p>
    <w:p>
      <w:pPr>
        <w:spacing w:after="0" w:line="20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clinical research and development contracts are generally fixed price with some variable components and range in duration from a few weeks to several years. Revenue from contracts is generally recognized as income on the basis of the relationship between time incurred and the total estimated contract duration or on a fee-for-service basis. The cash flow from contracts typically consists of a small down payment at the time the contract is entered into, with the balance paid in installments over the contract's duration, in some cases on the achievement of certain milestones. Accordingly, cash receipts do not correspond to costs incurred and revenue recognized on contracts.</w:t>
      </w:r>
    </w:p>
    <w:p>
      <w:pPr>
        <w:spacing w:after="0" w:line="21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Company’s net cash balances amounted to $132.2 million at June 30, 2015 compared to $216.0 million at December 31, 2014. The Company’s net cash balances comprise cash and cash equivalent and short term investments, offset by amounts drawn under negotiated banking facilities. At June 30, 2015 cash and cash equivalents amounted to $107.5 million, short term investments $84.7 million while amounts drawn under the Company’s negotiated banking facility amounted to $60.0 million. At December 31, 2014 cash and cash equivalents amounted to $118.9 million, short term investments $97.1 million while no amounts were drawn under the Company’s negotiated banking facility. In February 2015, the Company completed the acquisition of MediMedia Pharma Solutions resulting in a cash outflow totalling $105.1 million, while the Company also paid $58.2 million to repurchases shares under its share repurchase program during the period.</w:t>
      </w:r>
    </w:p>
    <w:p>
      <w:pPr>
        <w:spacing w:after="0" w:line="21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June 30, 2014 the Company entered into a five year committed multi-currency revolving credit facility for $100.0 million with Citibank, JP Morgan, Santander and Barclays Bank. Each bank subject to the agreement has committed $25 million to the facility, with equal terms and conditions in place with all institutions. The facility bears interest at LIBOR plus a margin and includes certain composite guarantees, indemnities and pledges in favour of the banks. At June 30, 2015, the company had drawn $60 million of this facility. Amounts available to the Group under the facility amounted to $40.0 million at June 30, 2015.</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24" w:name="page25"/>
    <w:bookmarkEnd w:id="24"/>
    <w:p>
      <w:pPr>
        <w:ind w:right="140"/>
        <w:spacing w:after="0" w:line="268" w:lineRule="auto"/>
        <w:rPr>
          <w:sz w:val="20"/>
          <w:szCs w:val="20"/>
          <w:color w:val="auto"/>
        </w:rPr>
      </w:pPr>
      <w:r>
        <w:rPr>
          <w:rFonts w:ascii="Arial" w:cs="Arial" w:eastAsia="Arial" w:hAnsi="Arial"/>
          <w:sz w:val="17"/>
          <w:szCs w:val="17"/>
          <w:color w:val="auto"/>
        </w:rPr>
        <w:t>Net cash provided by operating activities was $89.2 million for the six months ended June 30, 2015 compared with cash used in operating activities of $16.3 million for the six months ended June 30, 2014. The increase in cash provided by operating activities during the six months ended June 30, 2015 arose primarily form an increase in both revenues and margins within the business, together with a lower increase in the number of days revenue outstanding over the comparative period. Revenue outstanding which comprises accounts receivable and unbilled revenue, less payments on account. The dollar value of these balances and the related number of days revenue outstanding (i.e. revenue outstanding as a percentage of revenue for the period, multiplied by the number of days in the period) can vary over a study or trial duration. Contract fees are generally payable in instalments based on the achievement of certain performance targets or “milestones” (e.g. target patient enrolment rates, clinical testing sites initiated or case report forms completed), such milestones being specific to the terms of each individual contract, while revenues on contracts are recognized as contractual obligations are performed. Days revenue outstanding can vary therefore due to, amongst others, the scheduling of contractual milestones over a study or trial duration, the achievement of a particular milestone during the period or the timing of cash receipts from customers. A decrease in the number of days revenue outstanding during a period will result in cash inflows to the Company while an increase in days revenue outstanding will lead to cash outflows. The number of day’s revenue outstanding at June 30, 2015 was 45 days compared to 40 days at December 31, 2014. The number of day’s revenue outstanding at June 30, 2014 was 40 days compared to 32 days at December 31, 2013.</w:t>
      </w:r>
    </w:p>
    <w:p>
      <w:pPr>
        <w:spacing w:after="0" w:line="21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Net cash used in investing activities was $114.7 million for the six months ended June 30, 2015 compared to net cash used in investing activities of $86.0 million for the six months ended June 30, 2014. Net cash used in the six months ended June 30, 2015 arose principally from cash paid to acquire MediMedia Pharma Solutions. Capital expenditure for the six months ended June 30, 2015 amounted to $24.1 million and comprised mainly of expenditure on global infrastructure and information technology systems to support the Company’s growth. During the six months ended June 30, 2015 the Company received a net $12.5 million from the sale of short-term investments.</w:t>
      </w:r>
    </w:p>
    <w:p>
      <w:pPr>
        <w:spacing w:after="0" w:line="215"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Net cash provided by financing activities during the six months ended June 30, 2015 amounted to $15.3 million compared to $1.5 million for the six months ended June 30, 2014. During the six months ended June 30, 2015 the Company received $60.0 million from the drawdown of amounts under its negotiated banking facility, together with $13.5 million from the exercise of share options. This was offset by $58.2 million paid to repurchase ordinary shares under the Company’s share repurchase program (including $0.3 million share repurchase costs). During the six months ended June 30, 2014 the Company received $12.3 million from the sale of share options. This was offset by $11.5 million paid by the Company to repurchase ordinary shares.</w:t>
      </w:r>
    </w:p>
    <w:p>
      <w:pPr>
        <w:spacing w:after="0" w:line="200" w:lineRule="exact"/>
        <w:rPr>
          <w:sz w:val="20"/>
          <w:szCs w:val="20"/>
          <w:color w:val="auto"/>
        </w:rPr>
      </w:pP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Inflation</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We believe the effects of inflation generally do not have a material adverse impact on our operations or financial condition.</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256"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We are not party to any litigation or other legal proceedings that we believe could reasonably be expected to have a material adverse effect on our business, results of operations and financial condition.</w:t>
      </w: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SIGNATURES</w:t>
      </w:r>
    </w:p>
    <w:p>
      <w:pPr>
        <w:spacing w:after="0" w:line="25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Brendan Brennan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wp:posOffset>
            </wp:positionH>
            <wp:positionV relativeFrom="paragraph">
              <wp:posOffset>-10160</wp:posOffset>
            </wp:positionV>
            <wp:extent cx="151447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514475" cy="8890"/>
                    </a:xfrm>
                    <a:prstGeom prst="rect">
                      <a:avLst/>
                    </a:prstGeom>
                    <a:noFill/>
                  </pic:spPr>
                </pic:pic>
              </a:graphicData>
            </a:graphic>
          </wp:anchor>
        </w:drawing>
        <w:drawing>
          <wp:anchor simplePos="0" relativeHeight="251657728" behindDoc="1" locked="0" layoutInCell="0" allowOverlap="1">
            <wp:simplePos x="0" y="0"/>
            <wp:positionH relativeFrom="column">
              <wp:posOffset>3632835</wp:posOffset>
            </wp:positionH>
            <wp:positionV relativeFrom="paragraph">
              <wp:posOffset>-10160</wp:posOffset>
            </wp:positionV>
            <wp:extent cx="136842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368425" cy="8890"/>
                    </a:xfrm>
                    <a:prstGeom prst="rect">
                      <a:avLst/>
                    </a:prstGeom>
                    <a:noFill/>
                  </pic:spPr>
                </pic:pic>
              </a:graphicData>
            </a:graphic>
          </wp:anchor>
        </w:drawing>
      </w:r>
    </w:p>
    <w:p>
      <w:pPr>
        <w:spacing w:after="0" w:line="3" w:lineRule="exact"/>
        <w:rPr>
          <w:sz w:val="20"/>
          <w:szCs w:val="20"/>
          <w:color w:val="auto"/>
        </w:rPr>
      </w:pPr>
    </w:p>
    <w:p>
      <w:pPr>
        <w:spacing w:after="0"/>
        <w:tabs>
          <w:tab w:leader="none" w:pos="5700" w:val="left"/>
        </w:tabs>
        <w:rPr>
          <w:sz w:val="20"/>
          <w:szCs w:val="20"/>
          <w:color w:val="auto"/>
        </w:rPr>
      </w:pPr>
      <w:r>
        <w:rPr>
          <w:rFonts w:ascii="Arial" w:cs="Arial" w:eastAsia="Arial" w:hAnsi="Arial"/>
          <w:sz w:val="18"/>
          <w:szCs w:val="18"/>
          <w:color w:val="auto"/>
        </w:rPr>
        <w:t>Date: August 06, 2015</w:t>
      </w:r>
      <w:r>
        <w:rPr>
          <w:sz w:val="20"/>
          <w:szCs w:val="20"/>
          <w:color w:val="auto"/>
        </w:rPr>
        <w:tab/>
      </w:r>
      <w:r>
        <w:rPr>
          <w:rFonts w:ascii="Arial" w:cs="Arial" w:eastAsia="Arial" w:hAnsi="Arial"/>
          <w:sz w:val="16"/>
          <w:szCs w:val="16"/>
          <w:color w:val="auto"/>
        </w:rPr>
        <w:t>Brendan Brennan</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Chief Financial Officer</w:t>
      </w: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25</w:t>
      </w:r>
    </w:p>
    <w:sectPr>
      <w:pgSz w:w="11900" w:h="16838" w:orient="portrait"/>
      <w:cols w:equalWidth="0" w:num="1">
        <w:col w:w="11420"/>
      </w:cols>
      <w:pgMar w:left="240" w:top="513"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lowerLetter"/>
      <w:start w:val="1"/>
    </w:lvl>
    <w:lvl w:ilvl="1">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2019-12-07T03:54:55Z</dcterms:created>
  <dcterms:modified xsi:type="dcterms:W3CDTF">2019-12-07T03:54:55Z</dcterms:modified>
</cp:coreProperties>
</file>