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UNITED STATES</w:t>
      </w: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98"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2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ind w:left="3840"/>
        <w:spacing w:after="0" w:line="215" w:lineRule="auto"/>
        <w:rPr>
          <w:sz w:val="20"/>
          <w:szCs w:val="20"/>
          <w:color w:val="auto"/>
        </w:rPr>
      </w:pPr>
      <w:r>
        <w:rPr>
          <w:rFonts w:ascii="Times New Roman" w:cs="Times New Roman" w:eastAsia="Times New Roman" w:hAnsi="Times New Roman"/>
          <w:sz w:val="17"/>
          <w:szCs w:val="17"/>
          <w:b w:val="1"/>
          <w:bCs w:val="1"/>
          <w:color w:val="auto"/>
        </w:rPr>
        <w:t>Pursuant to Rule 13a-16 under</w:t>
      </w:r>
    </w:p>
    <w:p>
      <w:pPr>
        <w:spacing w:after="0" w:line="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200" w:lineRule="exact"/>
        <w:rPr>
          <w:sz w:val="24"/>
          <w:szCs w:val="24"/>
          <w:color w:val="auto"/>
        </w:rPr>
      </w:pPr>
    </w:p>
    <w:p>
      <w:pPr>
        <w:spacing w:after="0" w:line="21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7"/>
          <w:szCs w:val="17"/>
          <w:color w:val="auto"/>
        </w:rPr>
        <w:t>For the month of June 2025</w:t>
      </w:r>
    </w:p>
    <w:p>
      <w:pPr>
        <w:spacing w:after="0" w:line="200" w:lineRule="exact"/>
        <w:rPr>
          <w:sz w:val="24"/>
          <w:szCs w:val="24"/>
          <w:color w:val="auto"/>
        </w:rPr>
      </w:pPr>
    </w:p>
    <w:p>
      <w:pPr>
        <w:spacing w:after="0" w:line="24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333-08704</w:t>
      </w:r>
    </w:p>
    <w:p>
      <w:pPr>
        <w:jc w:val="center"/>
        <w:ind w:right="-4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0" w:lineRule="exact"/>
        <w:rPr>
          <w:sz w:val="24"/>
          <w:szCs w:val="24"/>
          <w:color w:val="auto"/>
        </w:rPr>
      </w:pPr>
    </w:p>
    <w:p>
      <w:pPr>
        <w:spacing w:after="0" w:line="216"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ICON plc</w:t>
      </w:r>
    </w:p>
    <w:p>
      <w:pPr>
        <w:spacing w:after="0" w:line="8"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200" w:lineRule="exact"/>
        <w:rPr>
          <w:sz w:val="24"/>
          <w:szCs w:val="24"/>
          <w:color w:val="auto"/>
        </w:rPr>
      </w:pPr>
    </w:p>
    <w:p>
      <w:pPr>
        <w:spacing w:after="0" w:line="21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South County Business Park, Leopardstown, Dublin 18, D18 X5R3, Ireland</w:t>
      </w:r>
    </w:p>
    <w:p>
      <w:pPr>
        <w:jc w:val="center"/>
        <w:ind w:right="-4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30" w:lineRule="exact"/>
        <w:rPr>
          <w:sz w:val="24"/>
          <w:szCs w:val="24"/>
          <w:color w:val="auto"/>
        </w:rPr>
      </w:pPr>
    </w:p>
    <w:p>
      <w:pPr>
        <w:ind w:left="3240"/>
        <w:spacing w:after="0"/>
        <w:tabs>
          <w:tab w:leader="none" w:pos="5580" w:val="left"/>
        </w:tabs>
        <w:rPr>
          <w:sz w:val="20"/>
          <w:szCs w:val="20"/>
          <w:color w:val="auto"/>
        </w:rPr>
      </w:pPr>
      <w:r>
        <w:rPr>
          <w:rFonts w:ascii="Times New Roman" w:cs="Times New Roman" w:eastAsia="Times New Roman" w:hAnsi="Times New Roman"/>
          <w:sz w:val="17"/>
          <w:szCs w:val="17"/>
          <w:color w:val="auto"/>
        </w:rPr>
        <w:t>Form 20-F___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r>
        <w:rPr>
          <w:sz w:val="20"/>
          <w:szCs w:val="20"/>
          <w:color w:val="auto"/>
        </w:rPr>
        <w:tab/>
      </w:r>
      <w:r>
        <w:rPr>
          <w:rFonts w:ascii="Times New Roman" w:cs="Times New Roman" w:eastAsia="Times New Roman" w:hAnsi="Times New Roman"/>
          <w:sz w:val="17"/>
          <w:szCs w:val="17"/>
          <w:color w:val="auto"/>
        </w:rPr>
        <w:t>Form 40-F______</w:t>
      </w:r>
    </w:p>
    <w:p>
      <w:pPr>
        <w:sectPr>
          <w:pgSz w:w="11900" w:h="16838" w:orient="portrait"/>
          <w:cols w:equalWidth="0" w:num="1">
            <w:col w:w="9499"/>
          </w:cols>
          <w:pgMar w:left="960" w:top="1440" w:right="1440" w:bottom="1440" w:gutter="0" w:footer="0" w:header="0"/>
        </w:sectPr>
      </w:pPr>
    </w:p>
    <w:bookmarkStart w:id="1" w:name="page2"/>
    <w:bookmarkEnd w:id="1"/>
    <w:p>
      <w:pPr>
        <w:spacing w:after="0" w:line="15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u w:val="single" w:color="auto"/>
          <w:color w:val="auto"/>
        </w:rPr>
        <w:t>EXHIBIT LIST</w:t>
      </w:r>
    </w:p>
    <w:p>
      <w:pPr>
        <w:spacing w:after="0" w:line="259"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7"/>
          <w:szCs w:val="17"/>
          <w:u w:val="single" w:color="auto"/>
          <w:color w:val="auto"/>
        </w:rPr>
        <w:t>Exhibit</w:t>
      </w:r>
      <w:r>
        <w:rPr>
          <w:sz w:val="20"/>
          <w:szCs w:val="20"/>
          <w:color w:val="auto"/>
        </w:rPr>
        <w:tab/>
      </w:r>
      <w:r>
        <w:rPr>
          <w:rFonts w:ascii="Times New Roman" w:cs="Times New Roman" w:eastAsia="Times New Roman" w:hAnsi="Times New Roman"/>
          <w:sz w:val="17"/>
          <w:szCs w:val="17"/>
          <w:u w:val="single" w:color="auto"/>
          <w:color w:val="auto"/>
        </w:rPr>
        <w:t>Description</w:t>
      </w:r>
    </w:p>
    <w:p>
      <w:pPr>
        <w:spacing w:after="0" w:line="244"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7"/>
          <w:szCs w:val="17"/>
          <w:u w:val="single" w:color="auto"/>
          <w:color w:val="3051F2"/>
        </w:rPr>
        <w:t>99.1</w:t>
      </w:r>
      <w:r>
        <w:rPr>
          <w:sz w:val="20"/>
          <w:szCs w:val="20"/>
          <w:color w:val="auto"/>
        </w:rPr>
        <w:tab/>
      </w:r>
      <w:r>
        <w:rPr>
          <w:rFonts w:ascii="Times New Roman" w:cs="Times New Roman" w:eastAsia="Times New Roman" w:hAnsi="Times New Roman"/>
          <w:sz w:val="17"/>
          <w:szCs w:val="17"/>
          <w:u w:val="single" w:color="auto"/>
          <w:color w:val="3051F2"/>
        </w:rPr>
        <w:t>ICON plc Unaudited Interim Financial Statements (IFRS Single Company Financial Statements)</w:t>
      </w:r>
    </w:p>
    <w:p>
      <w:pPr>
        <w:sectPr>
          <w:pgSz w:w="11900" w:h="16838" w:orient="portrait"/>
          <w:cols w:equalWidth="0" w:num="1">
            <w:col w:w="10119"/>
          </w:cols>
          <w:pgMar w:left="340" w:top="1440" w:right="1440" w:bottom="1440" w:gutter="0" w:footer="0" w:header="0"/>
        </w:sectPr>
      </w:pPr>
    </w:p>
    <w:bookmarkStart w:id="2" w:name="page3"/>
    <w:bookmarkEnd w:id="2"/>
    <w:p>
      <w:pPr>
        <w:spacing w:after="0" w:line="38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39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7"/>
          <w:szCs w:val="17"/>
          <w:b w:val="1"/>
          <w:bCs w:val="1"/>
          <w:color w:val="auto"/>
        </w:rPr>
        <w:t>ICON plc</w:t>
      </w:r>
    </w:p>
    <w:p>
      <w:pPr>
        <w:spacing w:after="0" w:line="272"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7"/>
          <w:szCs w:val="17"/>
          <w:u w:val="single" w:color="auto"/>
          <w:color w:val="auto"/>
        </w:rPr>
        <w:t>/s/ Nigel Clerkin</w:t>
      </w:r>
    </w:p>
    <w:p>
      <w:pPr>
        <w:spacing w:after="0" w:line="30" w:lineRule="exact"/>
        <w:rPr>
          <w:sz w:val="20"/>
          <w:szCs w:val="20"/>
          <w:color w:val="auto"/>
        </w:rPr>
      </w:pPr>
    </w:p>
    <w:p>
      <w:pPr>
        <w:ind w:left="20"/>
        <w:spacing w:after="0"/>
        <w:tabs>
          <w:tab w:leader="none" w:pos="660" w:val="left"/>
          <w:tab w:leader="none" w:pos="79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June 18, 2025</w:t>
      </w:r>
      <w:r>
        <w:rPr>
          <w:sz w:val="20"/>
          <w:szCs w:val="20"/>
          <w:color w:val="auto"/>
        </w:rPr>
        <w:tab/>
      </w:r>
      <w:r>
        <w:rPr>
          <w:rFonts w:ascii="Times New Roman" w:cs="Times New Roman" w:eastAsia="Times New Roman" w:hAnsi="Times New Roman"/>
          <w:sz w:val="17"/>
          <w:szCs w:val="17"/>
          <w:color w:val="auto"/>
        </w:rPr>
        <w:t>Nigel Clerkin</w:t>
      </w:r>
    </w:p>
    <w:p>
      <w:pPr>
        <w:spacing w:after="0" w:line="2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0800"/>
          </w:cols>
          <w:pgMar w:left="320" w:top="1440"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ICON plc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color w:val="auto"/>
        </w:rPr>
        <w:t>Unaudited non-consolidated non-statutory interim financial statements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For the period from 1 January 2025 to 5 June 2025</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Registered number: 145835</w:t>
      </w:r>
    </w:p>
    <w:p>
      <w:pPr>
        <w:sectPr>
          <w:pgSz w:w="11900" w:h="16838" w:orient="portrait"/>
          <w:cols w:equalWidth="0" w:num="1">
            <w:col w:w="10840"/>
          </w:cols>
          <w:pgMar w:left="720" w:top="121" w:right="339" w:bottom="1440" w:gutter="0" w:footer="0" w:header="0"/>
        </w:sectPr>
      </w:pPr>
    </w:p>
    <w:bookmarkStart w:id="4" w:name="page5"/>
    <w:bookmarkEnd w:id="4"/>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55" w:lineRule="exact"/>
        <w:rPr>
          <w:sz w:val="20"/>
          <w:szCs w:val="20"/>
          <w:color w:val="auto"/>
        </w:rPr>
      </w:pPr>
    </w:p>
    <w:p>
      <w:pPr>
        <w:spacing w:after="0" w:line="286" w:lineRule="auto"/>
        <w:rPr>
          <w:sz w:val="20"/>
          <w:szCs w:val="20"/>
          <w:color w:val="auto"/>
        </w:rPr>
      </w:pPr>
      <w:r>
        <w:rPr>
          <w:rFonts w:ascii="Arial" w:cs="Arial" w:eastAsia="Arial" w:hAnsi="Arial"/>
          <w:sz w:val="24"/>
          <w:szCs w:val="24"/>
          <w:color w:val="auto"/>
        </w:rPr>
        <w:t>Unaudited non-consolidated non-statutory interim financial statements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8600" w:type="dxa"/>
            <w:vAlign w:val="bottom"/>
          </w:tcPr>
          <w:p>
            <w:pPr>
              <w:spacing w:after="0"/>
              <w:rPr>
                <w:sz w:val="20"/>
                <w:szCs w:val="20"/>
                <w:color w:val="auto"/>
              </w:rPr>
            </w:pPr>
            <w:r>
              <w:rPr>
                <w:rFonts w:ascii="Arial" w:cs="Arial" w:eastAsia="Arial" w:hAnsi="Arial"/>
                <w:sz w:val="17"/>
                <w:szCs w:val="17"/>
                <w:i w:val="1"/>
                <w:iCs w:val="1"/>
                <w:color w:val="auto"/>
              </w:rPr>
              <w:t>Contents</w:t>
            </w:r>
          </w:p>
        </w:tc>
        <w:tc>
          <w:tcPr>
            <w:tcW w:w="1940" w:type="dxa"/>
            <w:vAlign w:val="bottom"/>
            <w:gridSpan w:val="2"/>
          </w:tcPr>
          <w:p>
            <w:pPr>
              <w:ind w:left="1460"/>
              <w:spacing w:after="0"/>
              <w:rPr>
                <w:sz w:val="20"/>
                <w:szCs w:val="20"/>
                <w:color w:val="auto"/>
              </w:rPr>
            </w:pPr>
            <w:r>
              <w:rPr>
                <w:rFonts w:ascii="Arial" w:cs="Arial" w:eastAsia="Arial" w:hAnsi="Arial"/>
                <w:sz w:val="17"/>
                <w:szCs w:val="17"/>
                <w:i w:val="1"/>
                <w:iCs w:val="1"/>
                <w:color w:val="auto"/>
              </w:rPr>
              <w:t>Page</w:t>
            </w:r>
          </w:p>
        </w:tc>
      </w:tr>
      <w:tr>
        <w:trPr>
          <w:trHeight w:val="479"/>
        </w:trPr>
        <w:tc>
          <w:tcPr>
            <w:tcW w:w="8600" w:type="dxa"/>
            <w:vAlign w:val="bottom"/>
          </w:tcPr>
          <w:p>
            <w:pPr>
              <w:spacing w:after="0"/>
              <w:rPr>
                <w:sz w:val="20"/>
                <w:szCs w:val="20"/>
                <w:color w:val="auto"/>
              </w:rPr>
            </w:pPr>
            <w:r>
              <w:rPr>
                <w:rFonts w:ascii="Arial" w:cs="Arial" w:eastAsia="Arial" w:hAnsi="Arial"/>
                <w:sz w:val="17"/>
                <w:szCs w:val="17"/>
                <w:color w:val="auto"/>
              </w:rPr>
              <w:t>Directors and other information</w:t>
            </w:r>
          </w:p>
        </w:tc>
        <w:tc>
          <w:tcPr>
            <w:tcW w:w="1580" w:type="dxa"/>
            <w:vAlign w:val="bottom"/>
          </w:tcPr>
          <w:p>
            <w:pPr>
              <w:ind w:left="1460"/>
              <w:spacing w:after="0"/>
              <w:rPr>
                <w:sz w:val="20"/>
                <w:szCs w:val="20"/>
                <w:color w:val="auto"/>
              </w:rPr>
            </w:pPr>
            <w:r>
              <w:rPr>
                <w:rFonts w:ascii="Arial" w:cs="Arial" w:eastAsia="Arial" w:hAnsi="Arial"/>
                <w:sz w:val="17"/>
                <w:szCs w:val="17"/>
                <w:color w:val="auto"/>
              </w:rPr>
              <w:t>1</w:t>
            </w:r>
          </w:p>
        </w:tc>
        <w:tc>
          <w:tcPr>
            <w:tcW w:w="360" w:type="dxa"/>
            <w:vAlign w:val="bottom"/>
          </w:tcPr>
          <w:p>
            <w:pPr>
              <w:spacing w:after="0"/>
              <w:rPr>
                <w:sz w:val="24"/>
                <w:szCs w:val="24"/>
                <w:color w:val="auto"/>
              </w:rPr>
            </w:pPr>
          </w:p>
        </w:tc>
      </w:tr>
      <w:tr>
        <w:trPr>
          <w:trHeight w:val="375"/>
        </w:trPr>
        <w:tc>
          <w:tcPr>
            <w:tcW w:w="8600" w:type="dxa"/>
            <w:vAlign w:val="bottom"/>
          </w:tcPr>
          <w:p>
            <w:pPr>
              <w:spacing w:after="0"/>
              <w:rPr>
                <w:sz w:val="20"/>
                <w:szCs w:val="20"/>
                <w:color w:val="auto"/>
              </w:rPr>
            </w:pPr>
            <w:r>
              <w:rPr>
                <w:rFonts w:ascii="Arial" w:cs="Arial" w:eastAsia="Arial" w:hAnsi="Arial"/>
                <w:sz w:val="17"/>
                <w:szCs w:val="17"/>
                <w:color w:val="auto"/>
              </w:rPr>
              <w:t>Statement of directors’ responsibilities in respect of the unaudited interim financial statements</w:t>
            </w:r>
          </w:p>
        </w:tc>
        <w:tc>
          <w:tcPr>
            <w:tcW w:w="1580" w:type="dxa"/>
            <w:vAlign w:val="bottom"/>
          </w:tcPr>
          <w:p>
            <w:pPr>
              <w:ind w:left="1460"/>
              <w:spacing w:after="0"/>
              <w:rPr>
                <w:sz w:val="20"/>
                <w:szCs w:val="20"/>
                <w:color w:val="auto"/>
              </w:rPr>
            </w:pPr>
            <w:r>
              <w:rPr>
                <w:rFonts w:ascii="Arial" w:cs="Arial" w:eastAsia="Arial" w:hAnsi="Arial"/>
                <w:sz w:val="17"/>
                <w:szCs w:val="17"/>
                <w:color w:val="auto"/>
              </w:rPr>
              <w:t>2</w:t>
            </w:r>
          </w:p>
        </w:tc>
        <w:tc>
          <w:tcPr>
            <w:tcW w:w="360" w:type="dxa"/>
            <w:vAlign w:val="bottom"/>
          </w:tcPr>
          <w:p>
            <w:pPr>
              <w:spacing w:after="0"/>
              <w:rPr>
                <w:sz w:val="24"/>
                <w:szCs w:val="24"/>
                <w:color w:val="auto"/>
              </w:rPr>
            </w:pPr>
          </w:p>
        </w:tc>
      </w:tr>
      <w:tr>
        <w:trPr>
          <w:trHeight w:val="375"/>
        </w:trPr>
        <w:tc>
          <w:tcPr>
            <w:tcW w:w="8600" w:type="dxa"/>
            <w:vAlign w:val="bottom"/>
          </w:tcPr>
          <w:p>
            <w:pPr>
              <w:spacing w:after="0"/>
              <w:rPr>
                <w:sz w:val="20"/>
                <w:szCs w:val="20"/>
                <w:color w:val="auto"/>
              </w:rPr>
            </w:pPr>
            <w:r>
              <w:rPr>
                <w:rFonts w:ascii="Arial" w:cs="Arial" w:eastAsia="Arial" w:hAnsi="Arial"/>
                <w:sz w:val="17"/>
                <w:szCs w:val="17"/>
                <w:color w:val="auto"/>
              </w:rPr>
              <w:t>Unaudited interim statement of comprehensive income</w:t>
            </w:r>
          </w:p>
        </w:tc>
        <w:tc>
          <w:tcPr>
            <w:tcW w:w="1580" w:type="dxa"/>
            <w:vAlign w:val="bottom"/>
          </w:tcPr>
          <w:p>
            <w:pPr>
              <w:ind w:left="1460"/>
              <w:spacing w:after="0"/>
              <w:rPr>
                <w:sz w:val="20"/>
                <w:szCs w:val="20"/>
                <w:color w:val="auto"/>
              </w:rPr>
            </w:pPr>
            <w:r>
              <w:rPr>
                <w:rFonts w:ascii="Arial" w:cs="Arial" w:eastAsia="Arial" w:hAnsi="Arial"/>
                <w:sz w:val="17"/>
                <w:szCs w:val="17"/>
                <w:color w:val="auto"/>
              </w:rPr>
              <w:t>3</w:t>
            </w:r>
          </w:p>
        </w:tc>
        <w:tc>
          <w:tcPr>
            <w:tcW w:w="360" w:type="dxa"/>
            <w:vAlign w:val="bottom"/>
          </w:tcPr>
          <w:p>
            <w:pPr>
              <w:spacing w:after="0"/>
              <w:rPr>
                <w:sz w:val="24"/>
                <w:szCs w:val="24"/>
                <w:color w:val="auto"/>
              </w:rPr>
            </w:pPr>
          </w:p>
        </w:tc>
      </w:tr>
      <w:tr>
        <w:trPr>
          <w:trHeight w:val="375"/>
        </w:trPr>
        <w:tc>
          <w:tcPr>
            <w:tcW w:w="8600" w:type="dxa"/>
            <w:vAlign w:val="bottom"/>
          </w:tcPr>
          <w:p>
            <w:pPr>
              <w:spacing w:after="0"/>
              <w:rPr>
                <w:sz w:val="20"/>
                <w:szCs w:val="20"/>
                <w:color w:val="auto"/>
              </w:rPr>
            </w:pPr>
            <w:r>
              <w:rPr>
                <w:rFonts w:ascii="Arial" w:cs="Arial" w:eastAsia="Arial" w:hAnsi="Arial"/>
                <w:sz w:val="17"/>
                <w:szCs w:val="17"/>
                <w:color w:val="auto"/>
              </w:rPr>
              <w:t>Unaudited interim statement of financial position</w:t>
            </w:r>
          </w:p>
        </w:tc>
        <w:tc>
          <w:tcPr>
            <w:tcW w:w="1580" w:type="dxa"/>
            <w:vAlign w:val="bottom"/>
          </w:tcPr>
          <w:p>
            <w:pPr>
              <w:ind w:left="1460"/>
              <w:spacing w:after="0"/>
              <w:rPr>
                <w:sz w:val="20"/>
                <w:szCs w:val="20"/>
                <w:color w:val="auto"/>
              </w:rPr>
            </w:pPr>
            <w:r>
              <w:rPr>
                <w:rFonts w:ascii="Arial" w:cs="Arial" w:eastAsia="Arial" w:hAnsi="Arial"/>
                <w:sz w:val="17"/>
                <w:szCs w:val="17"/>
                <w:color w:val="auto"/>
              </w:rPr>
              <w:t>4</w:t>
            </w:r>
          </w:p>
        </w:tc>
        <w:tc>
          <w:tcPr>
            <w:tcW w:w="360" w:type="dxa"/>
            <w:vAlign w:val="bottom"/>
          </w:tcPr>
          <w:p>
            <w:pPr>
              <w:spacing w:after="0"/>
              <w:rPr>
                <w:sz w:val="24"/>
                <w:szCs w:val="24"/>
                <w:color w:val="auto"/>
              </w:rPr>
            </w:pPr>
          </w:p>
        </w:tc>
      </w:tr>
      <w:tr>
        <w:trPr>
          <w:trHeight w:val="375"/>
        </w:trPr>
        <w:tc>
          <w:tcPr>
            <w:tcW w:w="8600" w:type="dxa"/>
            <w:vAlign w:val="bottom"/>
          </w:tcPr>
          <w:p>
            <w:pPr>
              <w:spacing w:after="0"/>
              <w:rPr>
                <w:sz w:val="20"/>
                <w:szCs w:val="20"/>
                <w:color w:val="auto"/>
              </w:rPr>
            </w:pPr>
            <w:r>
              <w:rPr>
                <w:rFonts w:ascii="Arial" w:cs="Arial" w:eastAsia="Arial" w:hAnsi="Arial"/>
                <w:sz w:val="17"/>
                <w:szCs w:val="17"/>
                <w:color w:val="auto"/>
              </w:rPr>
              <w:t>Unaudited interim statement of changes in equity</w:t>
            </w:r>
          </w:p>
        </w:tc>
        <w:tc>
          <w:tcPr>
            <w:tcW w:w="1580" w:type="dxa"/>
            <w:vAlign w:val="bottom"/>
          </w:tcPr>
          <w:p>
            <w:pPr>
              <w:ind w:left="1460"/>
              <w:spacing w:after="0"/>
              <w:rPr>
                <w:sz w:val="20"/>
                <w:szCs w:val="20"/>
                <w:color w:val="auto"/>
              </w:rPr>
            </w:pPr>
            <w:r>
              <w:rPr>
                <w:rFonts w:ascii="Arial" w:cs="Arial" w:eastAsia="Arial" w:hAnsi="Arial"/>
                <w:sz w:val="17"/>
                <w:szCs w:val="17"/>
                <w:color w:val="auto"/>
              </w:rPr>
              <w:t>5</w:t>
            </w:r>
          </w:p>
        </w:tc>
        <w:tc>
          <w:tcPr>
            <w:tcW w:w="360" w:type="dxa"/>
            <w:vAlign w:val="bottom"/>
          </w:tcPr>
          <w:p>
            <w:pPr>
              <w:ind w:left="20"/>
              <w:spacing w:after="0"/>
              <w:rPr>
                <w:sz w:val="20"/>
                <w:szCs w:val="20"/>
                <w:color w:val="auto"/>
              </w:rPr>
            </w:pPr>
            <w:r>
              <w:rPr>
                <w:rFonts w:ascii="Arial" w:cs="Arial" w:eastAsia="Arial" w:hAnsi="Arial"/>
                <w:sz w:val="17"/>
                <w:szCs w:val="17"/>
                <w:color w:val="auto"/>
              </w:rPr>
              <w:t>– 6</w:t>
            </w:r>
          </w:p>
        </w:tc>
      </w:tr>
      <w:tr>
        <w:trPr>
          <w:trHeight w:val="375"/>
        </w:trPr>
        <w:tc>
          <w:tcPr>
            <w:tcW w:w="8600" w:type="dxa"/>
            <w:vAlign w:val="bottom"/>
          </w:tcPr>
          <w:p>
            <w:pPr>
              <w:spacing w:after="0"/>
              <w:rPr>
                <w:sz w:val="20"/>
                <w:szCs w:val="20"/>
                <w:color w:val="auto"/>
              </w:rPr>
            </w:pPr>
            <w:r>
              <w:rPr>
                <w:rFonts w:ascii="Arial" w:cs="Arial" w:eastAsia="Arial" w:hAnsi="Arial"/>
                <w:sz w:val="17"/>
                <w:szCs w:val="17"/>
                <w:color w:val="auto"/>
              </w:rPr>
              <w:t>Notes forming part of the unaudited interim financial statements</w:t>
            </w:r>
          </w:p>
        </w:tc>
        <w:tc>
          <w:tcPr>
            <w:tcW w:w="1580" w:type="dxa"/>
            <w:vAlign w:val="bottom"/>
          </w:tcPr>
          <w:p>
            <w:pPr>
              <w:ind w:left="1460"/>
              <w:spacing w:after="0"/>
              <w:rPr>
                <w:sz w:val="20"/>
                <w:szCs w:val="20"/>
                <w:color w:val="auto"/>
              </w:rPr>
            </w:pPr>
            <w:r>
              <w:rPr>
                <w:rFonts w:ascii="Arial" w:cs="Arial" w:eastAsia="Arial" w:hAnsi="Arial"/>
                <w:sz w:val="17"/>
                <w:szCs w:val="17"/>
                <w:color w:val="auto"/>
              </w:rPr>
              <w:t>7</w:t>
            </w:r>
          </w:p>
        </w:tc>
        <w:tc>
          <w:tcPr>
            <w:tcW w:w="360" w:type="dxa"/>
            <w:vAlign w:val="bottom"/>
          </w:tcPr>
          <w:p>
            <w:pPr>
              <w:ind w:left="20"/>
              <w:spacing w:after="0"/>
              <w:rPr>
                <w:sz w:val="20"/>
                <w:szCs w:val="20"/>
                <w:color w:val="auto"/>
              </w:rPr>
            </w:pPr>
            <w:r>
              <w:rPr>
                <w:rFonts w:ascii="Arial" w:cs="Arial" w:eastAsia="Arial" w:hAnsi="Arial"/>
                <w:sz w:val="17"/>
                <w:szCs w:val="17"/>
                <w:color w:val="auto"/>
                <w:w w:val="96"/>
              </w:rPr>
              <w:t>– 16</w:t>
            </w:r>
          </w:p>
        </w:tc>
      </w:tr>
    </w:tbl>
    <w:p>
      <w:pPr>
        <w:sectPr>
          <w:pgSz w:w="11900" w:h="16838" w:orient="portrait"/>
          <w:cols w:equalWidth="0" w:num="1">
            <w:col w:w="11240"/>
          </w:cols>
          <w:pgMar w:left="320" w:top="113" w:right="339" w:bottom="1440" w:gutter="0" w:footer="0" w:header="0"/>
        </w:sectPr>
      </w:pPr>
    </w:p>
    <w:bookmarkStart w:id="5" w:name="page6"/>
    <w:bookmarkEnd w:id="5"/>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color w:val="auto"/>
        </w:rPr>
        <w:t>Directors and other information</w:t>
      </w:r>
    </w:p>
    <w:p>
      <w:pPr>
        <w:sectPr>
          <w:pgSz w:w="11900" w:h="16838" w:orient="portrait"/>
          <w:cols w:equalWidth="0" w:num="1">
            <w:col w:w="10139"/>
          </w:cols>
          <w:pgMar w:left="320" w:top="1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Ciaran Murray (Irish – Chair)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Dr. John Climax (Irish – Non-Executive)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Dr. Steve Cutler (Australian – Chief Executive Officer)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Dr. Linda Grais (American – Non-Executive)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Eugene McCague (Irish – Non-Executive)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Rónán Murphy (Irish – Non-Executive)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Julie O’Neill (Irish – Non-Executive)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Anne Whitaker (American – Non-Executive)</w:t>
      </w:r>
    </w:p>
    <w:p>
      <w:pPr>
        <w:spacing w:after="0" w:line="200" w:lineRule="exact"/>
        <w:rPr>
          <w:sz w:val="20"/>
          <w:szCs w:val="20"/>
          <w:color w:val="auto"/>
        </w:rPr>
      </w:pPr>
    </w:p>
    <w:p>
      <w:pPr>
        <w:sectPr>
          <w:pgSz w:w="11900" w:h="16838" w:orient="portrait"/>
          <w:cols w:equalWidth="0" w:num="2">
            <w:col w:w="4200" w:space="720"/>
            <w:col w:w="5219"/>
          </w:cols>
          <w:pgMar w:left="320" w:top="113" w:right="1440" w:bottom="1440" w:gutter="0" w:footer="0" w:header="0"/>
          <w:type w:val="continuous"/>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Secretary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Diarmaid Cunningham</w:t>
      </w:r>
    </w:p>
    <w:p>
      <w:pPr>
        <w:spacing w:after="0" w:line="200" w:lineRule="exact"/>
        <w:rPr>
          <w:sz w:val="20"/>
          <w:szCs w:val="20"/>
          <w:color w:val="auto"/>
        </w:rPr>
      </w:pPr>
    </w:p>
    <w:p>
      <w:pPr>
        <w:sectPr>
          <w:pgSz w:w="11900" w:h="16838" w:orient="portrait"/>
          <w:cols w:equalWidth="0" w:num="2">
            <w:col w:w="4200" w:space="720"/>
            <w:col w:w="5219"/>
          </w:cols>
          <w:pgMar w:left="320" w:top="113" w:right="1440"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Registered office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South County Business Park</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Leopardstown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Dublin 18</w:t>
      </w:r>
    </w:p>
    <w:p>
      <w:pPr>
        <w:spacing w:after="0" w:line="200" w:lineRule="exact"/>
        <w:rPr>
          <w:sz w:val="20"/>
          <w:szCs w:val="20"/>
          <w:color w:val="auto"/>
        </w:rPr>
      </w:pPr>
    </w:p>
    <w:p>
      <w:pPr>
        <w:sectPr>
          <w:pgSz w:w="11900" w:h="16838" w:orient="portrait"/>
          <w:cols w:equalWidth="0" w:num="2">
            <w:col w:w="4200" w:space="720"/>
            <w:col w:w="5219"/>
          </w:cols>
          <w:pgMar w:left="320" w:top="113" w:right="1440" w:bottom="1440" w:gutter="0" w:footer="0" w:header="0"/>
          <w:type w:val="continuous"/>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Solicitors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 &amp; L Goodbody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International Financial Services Centre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3 Dublin Landings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North Wall Quay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Dublin 1</w:t>
      </w:r>
    </w:p>
    <w:p>
      <w:pPr>
        <w:spacing w:after="0" w:line="200" w:lineRule="exact"/>
        <w:rPr>
          <w:sz w:val="20"/>
          <w:szCs w:val="20"/>
          <w:color w:val="auto"/>
        </w:rPr>
      </w:pPr>
    </w:p>
    <w:p>
      <w:pPr>
        <w:sectPr>
          <w:pgSz w:w="11900" w:h="16838" w:orient="portrait"/>
          <w:cols w:equalWidth="0" w:num="2">
            <w:col w:w="4200" w:space="720"/>
            <w:col w:w="5219"/>
          </w:cols>
          <w:pgMar w:left="320" w:top="113" w:right="1440" w:bottom="1440" w:gutter="0" w:footer="0" w:header="0"/>
          <w:type w:val="continuous"/>
        </w:sectPr>
      </w:pPr>
    </w:p>
    <w:p>
      <w:pPr>
        <w:spacing w:after="0" w:line="25"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White &amp; Case LLP</w:t>
      </w:r>
    </w:p>
    <w:p>
      <w:pPr>
        <w:spacing w:after="0" w:line="31"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1221 Avenue of the Americas</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New York</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NY 10020-1095</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USA</w:t>
      </w:r>
    </w:p>
    <w:p>
      <w:pPr>
        <w:sectPr>
          <w:pgSz w:w="11900" w:h="16838" w:orient="portrait"/>
          <w:cols w:equalWidth="0" w:num="1">
            <w:col w:w="10139"/>
          </w:cols>
          <w:pgMar w:left="320" w:top="113" w:right="1440" w:bottom="1440" w:gutter="0" w:footer="0" w:header="0"/>
          <w:type w:val="continuous"/>
        </w:sect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Registrars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Computershare Investor Services (Ireland) Limited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3100 Lake Drive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Citywest Business Park</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Dublin 24</w:t>
      </w:r>
    </w:p>
    <w:p>
      <w:pPr>
        <w:spacing w:after="0" w:line="200" w:lineRule="exact"/>
        <w:rPr>
          <w:sz w:val="20"/>
          <w:szCs w:val="20"/>
          <w:color w:val="auto"/>
        </w:rPr>
      </w:pPr>
    </w:p>
    <w:p>
      <w:pPr>
        <w:sectPr>
          <w:pgSz w:w="11900" w:h="16838" w:orient="portrait"/>
          <w:cols w:equalWidth="0" w:num="2">
            <w:col w:w="4200" w:space="720"/>
            <w:col w:w="5219"/>
          </w:cols>
          <w:pgMar w:left="320" w:top="113" w:right="1440" w:bottom="1440" w:gutter="0" w:footer="0" w:header="0"/>
          <w:type w:val="continuous"/>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Bankers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Citibank</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Canada Square Canary Wharf</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London E14 5LB</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00" w:lineRule="exact"/>
        <w:rPr>
          <w:sz w:val="20"/>
          <w:szCs w:val="20"/>
          <w:color w:val="auto"/>
        </w:rPr>
      </w:pPr>
    </w:p>
    <w:p>
      <w:pPr>
        <w:sectPr>
          <w:pgSz w:w="11900" w:h="16838" w:orient="portrait"/>
          <w:cols w:equalWidth="0" w:num="2">
            <w:col w:w="4200" w:space="720"/>
            <w:col w:w="5219"/>
          </w:cols>
          <w:pgMar w:left="320" w:top="113" w:right="1440" w:bottom="1440" w:gutter="0" w:footer="0" w:header="0"/>
          <w:type w:val="continuous"/>
        </w:sectPr>
      </w:pPr>
    </w:p>
    <w:p>
      <w:pPr>
        <w:spacing w:after="0" w:line="25"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JP Morgan Chase Bank N.A.</w:t>
      </w:r>
    </w:p>
    <w:p>
      <w:pPr>
        <w:spacing w:after="0" w:line="31"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383 Madison Avenue</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New York</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NY 10179</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USA</w:t>
      </w:r>
    </w:p>
    <w:p>
      <w:pPr>
        <w:sectPr>
          <w:pgSz w:w="11900" w:h="16838" w:orient="portrait"/>
          <w:cols w:equalWidth="0" w:num="1">
            <w:col w:w="10139"/>
          </w:cols>
          <w:pgMar w:left="320" w:top="1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139"/>
          </w:cols>
          <w:pgMar w:left="320" w:top="113"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color w:val="auto"/>
        </w:rPr>
        <w:t>Statement of directors’ responsibilities in respect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Interim financial statements are required to be prepared if a distribution would be found to contravene the requirements of section 117 or 1082 of the Companies Act 2014, if reference were made only to the Company’s last statutory financial statements.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Interim financial statements must be properly prepared in accordance with the Companies Act 2014, subject only to matters which are not material for the purposes of determining, by reference to the profits, losses, assets, liabilities, provisions, share capital and reserves as stated in such financial statements whether that distribution would be a contravention of section 117 or 1082 of the Companies Act 2014.</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Consequently in preparing these interim financial statements, the directors are required to:</w:t>
      </w:r>
    </w:p>
    <w:p>
      <w:pPr>
        <w:spacing w:after="0" w:line="244" w:lineRule="exact"/>
        <w:rPr>
          <w:sz w:val="20"/>
          <w:szCs w:val="20"/>
          <w:color w:val="auto"/>
        </w:rPr>
      </w:pPr>
    </w:p>
    <w:p>
      <w:pPr>
        <w:ind w:left="380" w:hanging="377"/>
        <w:spacing w:after="0"/>
        <w:tabs>
          <w:tab w:leader="none" w:pos="380" w:val="left"/>
        </w:tabs>
        <w:numPr>
          <w:ilvl w:val="0"/>
          <w:numId w:val="1"/>
        </w:numPr>
        <w:rPr>
          <w:rFonts w:ascii="Times New Roman" w:cs="Times New Roman" w:eastAsia="Times New Roman" w:hAnsi="Times New Roman"/>
          <w:sz w:val="17"/>
          <w:szCs w:val="17"/>
          <w:color w:val="auto"/>
        </w:rPr>
      </w:pPr>
      <w:r>
        <w:rPr>
          <w:rFonts w:ascii="Arial" w:cs="Arial" w:eastAsia="Arial" w:hAnsi="Arial"/>
          <w:sz w:val="17"/>
          <w:szCs w:val="17"/>
          <w:color w:val="auto"/>
        </w:rPr>
        <w:t>select suitable accounting policies and then apply them consistently;</w:t>
      </w:r>
    </w:p>
    <w:p>
      <w:pPr>
        <w:spacing w:after="0" w:line="26" w:lineRule="exact"/>
        <w:rPr>
          <w:rFonts w:ascii="Times New Roman" w:cs="Times New Roman" w:eastAsia="Times New Roman" w:hAnsi="Times New Roman"/>
          <w:sz w:val="17"/>
          <w:szCs w:val="17"/>
          <w:color w:val="auto"/>
        </w:rPr>
      </w:pPr>
    </w:p>
    <w:p>
      <w:pPr>
        <w:ind w:left="380" w:hanging="377"/>
        <w:spacing w:after="0"/>
        <w:tabs>
          <w:tab w:leader="none" w:pos="380" w:val="left"/>
        </w:tabs>
        <w:numPr>
          <w:ilvl w:val="0"/>
          <w:numId w:val="1"/>
        </w:numPr>
        <w:rPr>
          <w:rFonts w:ascii="Times New Roman" w:cs="Times New Roman" w:eastAsia="Times New Roman" w:hAnsi="Times New Roman"/>
          <w:sz w:val="17"/>
          <w:szCs w:val="17"/>
          <w:color w:val="auto"/>
        </w:rPr>
      </w:pPr>
      <w:r>
        <w:rPr>
          <w:rFonts w:ascii="Arial" w:cs="Arial" w:eastAsia="Arial" w:hAnsi="Arial"/>
          <w:sz w:val="17"/>
          <w:szCs w:val="17"/>
          <w:color w:val="auto"/>
        </w:rPr>
        <w:t>make judgements and estimates that are reasonable and prudent;</w:t>
      </w:r>
    </w:p>
    <w:p>
      <w:pPr>
        <w:spacing w:after="0" w:line="10" w:lineRule="exact"/>
        <w:rPr>
          <w:rFonts w:ascii="Times New Roman" w:cs="Times New Roman" w:eastAsia="Times New Roman" w:hAnsi="Times New Roman"/>
          <w:sz w:val="17"/>
          <w:szCs w:val="17"/>
          <w:color w:val="auto"/>
        </w:rPr>
      </w:pPr>
    </w:p>
    <w:p>
      <w:pPr>
        <w:ind w:left="380" w:hanging="377"/>
        <w:spacing w:after="0" w:line="253" w:lineRule="auto"/>
        <w:tabs>
          <w:tab w:leader="none" w:pos="379" w:val="left"/>
        </w:tabs>
        <w:numPr>
          <w:ilvl w:val="0"/>
          <w:numId w:val="1"/>
        </w:numPr>
        <w:rPr>
          <w:rFonts w:ascii="Times New Roman" w:cs="Times New Roman" w:eastAsia="Times New Roman" w:hAnsi="Times New Roman"/>
          <w:sz w:val="17"/>
          <w:szCs w:val="17"/>
          <w:color w:val="auto"/>
        </w:rPr>
      </w:pPr>
      <w:r>
        <w:rPr>
          <w:rFonts w:ascii="Arial" w:cs="Arial" w:eastAsia="Arial" w:hAnsi="Arial"/>
          <w:sz w:val="17"/>
          <w:szCs w:val="17"/>
          <w:color w:val="auto"/>
        </w:rPr>
        <w:t>state whether applicable Accounting Standards and Irish law have been followed, subject to departures that are not material for the purposes of determining the distributable reserves position of the Company;</w:t>
      </w:r>
    </w:p>
    <w:p>
      <w:pPr>
        <w:spacing w:after="0" w:line="1" w:lineRule="exact"/>
        <w:rPr>
          <w:rFonts w:ascii="Times New Roman" w:cs="Times New Roman" w:eastAsia="Times New Roman" w:hAnsi="Times New Roman"/>
          <w:sz w:val="17"/>
          <w:szCs w:val="17"/>
          <w:color w:val="auto"/>
        </w:rPr>
      </w:pPr>
    </w:p>
    <w:p>
      <w:pPr>
        <w:ind w:left="380" w:hanging="377"/>
        <w:spacing w:after="0"/>
        <w:tabs>
          <w:tab w:leader="none" w:pos="380" w:val="left"/>
        </w:tabs>
        <w:numPr>
          <w:ilvl w:val="0"/>
          <w:numId w:val="1"/>
        </w:numPr>
        <w:rPr>
          <w:rFonts w:ascii="Times New Roman" w:cs="Times New Roman" w:eastAsia="Times New Roman" w:hAnsi="Times New Roman"/>
          <w:sz w:val="17"/>
          <w:szCs w:val="17"/>
          <w:color w:val="auto"/>
        </w:rPr>
      </w:pPr>
      <w:r>
        <w:rPr>
          <w:rFonts w:ascii="Arial" w:cs="Arial" w:eastAsia="Arial" w:hAnsi="Arial"/>
          <w:sz w:val="17"/>
          <w:szCs w:val="17"/>
          <w:color w:val="auto"/>
        </w:rPr>
        <w:t>assess the Company’s ability to continue as a going concern, disclosing, as applicable, matters related to going concern; and</w:t>
      </w:r>
    </w:p>
    <w:p>
      <w:pPr>
        <w:spacing w:after="0" w:line="10" w:lineRule="exact"/>
        <w:rPr>
          <w:rFonts w:ascii="Times New Roman" w:cs="Times New Roman" w:eastAsia="Times New Roman" w:hAnsi="Times New Roman"/>
          <w:sz w:val="17"/>
          <w:szCs w:val="17"/>
          <w:color w:val="auto"/>
        </w:rPr>
      </w:pPr>
    </w:p>
    <w:p>
      <w:pPr>
        <w:ind w:left="380" w:hanging="377"/>
        <w:spacing w:after="0" w:line="271" w:lineRule="auto"/>
        <w:tabs>
          <w:tab w:leader="none" w:pos="379" w:val="left"/>
        </w:tabs>
        <w:numPr>
          <w:ilvl w:val="0"/>
          <w:numId w:val="1"/>
        </w:numPr>
        <w:rPr>
          <w:rFonts w:ascii="Times New Roman" w:cs="Times New Roman" w:eastAsia="Times New Roman" w:hAnsi="Times New Roman"/>
          <w:sz w:val="17"/>
          <w:szCs w:val="17"/>
          <w:color w:val="auto"/>
        </w:rPr>
      </w:pPr>
      <w:r>
        <w:rPr>
          <w:rFonts w:ascii="Arial" w:cs="Arial" w:eastAsia="Arial" w:hAnsi="Arial"/>
          <w:sz w:val="17"/>
          <w:szCs w:val="17"/>
          <w:color w:val="auto"/>
        </w:rPr>
        <w:t>use the going concern basis of accounting unless they either intend to liquidate the Company or to cease operations, or have no realistic alternative but to do so.</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directors are responsible for keeping adequate accounting records which disclose with reasonable accuracy at any time the assets, liabilities, financial position and profit or loss of the Company and enable them to ensure that its statutory financial statements, should they be required and which would be prepared separately, comply with the Companies Act 2014. They are responsible for such internal controls as they determine is necessary to enable the preparation of financial statements that are free from material misstatement, whether due to fraud or error, and have general responsibility for taking such steps as are reasonably open to them to safeguard the assets of the Company and to prevent and detect fraud and other irregularities.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On behalf of the Board</w:t>
      </w:r>
    </w:p>
    <w:p>
      <w:pPr>
        <w:sectPr>
          <w:pgSz w:w="11900" w:h="16838" w:orient="portrait"/>
          <w:cols w:equalWidth="0" w:num="1">
            <w:col w:w="11240"/>
          </w:cols>
          <w:pgMar w:left="320" w:top="113"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Rónán Murphy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Steve Cutler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center"/>
        <w:ind w:right="2700"/>
        <w:spacing w:after="0"/>
        <w:rPr>
          <w:sz w:val="20"/>
          <w:szCs w:val="20"/>
          <w:color w:val="auto"/>
        </w:rPr>
      </w:pPr>
      <w:r>
        <w:rPr>
          <w:rFonts w:ascii="Arial" w:cs="Arial" w:eastAsia="Arial" w:hAnsi="Arial"/>
          <w:sz w:val="17"/>
          <w:szCs w:val="17"/>
          <w:color w:val="auto"/>
        </w:rPr>
        <w:t>10 June 2025</w:t>
      </w:r>
    </w:p>
    <w:p>
      <w:pPr>
        <w:spacing w:after="0" w:line="426" w:lineRule="exact"/>
        <w:rPr>
          <w:sz w:val="20"/>
          <w:szCs w:val="20"/>
          <w:color w:val="auto"/>
        </w:rPr>
      </w:pPr>
    </w:p>
    <w:p>
      <w:pPr>
        <w:sectPr>
          <w:pgSz w:w="11900" w:h="16838" w:orient="portrait"/>
          <w:cols w:equalWidth="0" w:num="3">
            <w:col w:w="3040" w:space="720"/>
            <w:col w:w="3020" w:space="720"/>
            <w:col w:w="3740"/>
          </w:cols>
          <w:pgMar w:left="320" w:top="1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13"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color w:val="auto"/>
        </w:rPr>
        <w:t>Unaudited interim statement of comprehensive income</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for the period ended 1 January 2025 to 5 June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20" w:type="dxa"/>
            <w:vAlign w:val="bottom"/>
          </w:tcPr>
          <w:p>
            <w:pPr>
              <w:jc w:val="right"/>
              <w:ind w:right="414"/>
              <w:spacing w:after="0"/>
              <w:rPr>
                <w:sz w:val="20"/>
                <w:szCs w:val="20"/>
                <w:color w:val="auto"/>
              </w:rPr>
            </w:pPr>
            <w:r>
              <w:rPr>
                <w:rFonts w:ascii="Arial" w:cs="Arial" w:eastAsia="Arial" w:hAnsi="Arial"/>
                <w:sz w:val="17"/>
                <w:szCs w:val="17"/>
                <w:b w:val="1"/>
                <w:bCs w:val="1"/>
                <w:color w:val="auto"/>
              </w:rPr>
              <w:t>Period from</w:t>
            </w:r>
          </w:p>
        </w:tc>
        <w:tc>
          <w:tcPr>
            <w:tcW w:w="1720" w:type="dxa"/>
            <w:vAlign w:val="bottom"/>
            <w:vMerge w:val="restart"/>
          </w:tcPr>
          <w:p>
            <w:pPr>
              <w:jc w:val="right"/>
              <w:spacing w:after="0"/>
              <w:rPr>
                <w:sz w:val="20"/>
                <w:szCs w:val="20"/>
                <w:color w:val="auto"/>
              </w:rPr>
            </w:pPr>
            <w:r>
              <w:rPr>
                <w:rFonts w:ascii="Arial" w:cs="Arial" w:eastAsia="Arial" w:hAnsi="Arial"/>
                <w:sz w:val="17"/>
                <w:szCs w:val="17"/>
                <w:color w:val="auto"/>
              </w:rPr>
              <w:t>Year Ended 31</w:t>
            </w:r>
          </w:p>
        </w:tc>
        <w:tc>
          <w:tcPr>
            <w:tcW w:w="0" w:type="dxa"/>
            <w:vAlign w:val="bottom"/>
          </w:tcPr>
          <w:p>
            <w:pPr>
              <w:spacing w:after="0"/>
              <w:rPr>
                <w:sz w:val="1"/>
                <w:szCs w:val="1"/>
                <w:color w:val="auto"/>
              </w:rPr>
            </w:pPr>
          </w:p>
        </w:tc>
      </w:tr>
      <w:tr>
        <w:trPr>
          <w:trHeight w:val="174"/>
        </w:trPr>
        <w:tc>
          <w:tcPr>
            <w:tcW w:w="5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20" w:type="dxa"/>
            <w:vAlign w:val="bottom"/>
          </w:tcPr>
          <w:p>
            <w:pPr>
              <w:jc w:val="right"/>
              <w:ind w:right="374"/>
              <w:spacing w:after="0" w:line="174" w:lineRule="exact"/>
              <w:rPr>
                <w:sz w:val="20"/>
                <w:szCs w:val="20"/>
                <w:color w:val="auto"/>
              </w:rPr>
            </w:pPr>
            <w:r>
              <w:rPr>
                <w:rFonts w:ascii="Arial" w:cs="Arial" w:eastAsia="Arial" w:hAnsi="Arial"/>
                <w:sz w:val="17"/>
                <w:szCs w:val="17"/>
                <w:b w:val="1"/>
                <w:bCs w:val="1"/>
                <w:color w:val="auto"/>
              </w:rPr>
              <w:t>1 January 2025</w:t>
            </w: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20" w:type="dxa"/>
            <w:vAlign w:val="bottom"/>
          </w:tcPr>
          <w:p>
            <w:pPr>
              <w:jc w:val="right"/>
              <w:ind w:right="374"/>
              <w:spacing w:after="0"/>
              <w:rPr>
                <w:sz w:val="20"/>
                <w:szCs w:val="20"/>
                <w:color w:val="auto"/>
              </w:rPr>
            </w:pPr>
            <w:r>
              <w:rPr>
                <w:rFonts w:ascii="Arial" w:cs="Arial" w:eastAsia="Arial" w:hAnsi="Arial"/>
                <w:sz w:val="17"/>
                <w:szCs w:val="17"/>
                <w:b w:val="1"/>
                <w:bCs w:val="1"/>
                <w:color w:val="auto"/>
              </w:rPr>
              <w:t>to 5 June 2025</w:t>
            </w:r>
          </w:p>
        </w:tc>
        <w:tc>
          <w:tcPr>
            <w:tcW w:w="1720" w:type="dxa"/>
            <w:vAlign w:val="bottom"/>
          </w:tcPr>
          <w:p>
            <w:pPr>
              <w:jc w:val="right"/>
              <w:spacing w:after="0"/>
              <w:rPr>
                <w:sz w:val="20"/>
                <w:szCs w:val="20"/>
                <w:color w:val="auto"/>
              </w:rPr>
            </w:pPr>
            <w:r>
              <w:rPr>
                <w:rFonts w:ascii="Arial" w:cs="Arial" w:eastAsia="Arial" w:hAnsi="Arial"/>
                <w:sz w:val="17"/>
                <w:szCs w:val="17"/>
                <w:color w:val="auto"/>
              </w:rPr>
              <w:t>December 2024</w:t>
            </w:r>
          </w:p>
        </w:tc>
        <w:tc>
          <w:tcPr>
            <w:tcW w:w="0" w:type="dxa"/>
            <w:vAlign w:val="bottom"/>
          </w:tcPr>
          <w:p>
            <w:pPr>
              <w:spacing w:after="0"/>
              <w:rPr>
                <w:sz w:val="1"/>
                <w:szCs w:val="1"/>
                <w:color w:val="auto"/>
              </w:rPr>
            </w:pPr>
          </w:p>
        </w:tc>
      </w:tr>
      <w:tr>
        <w:trPr>
          <w:trHeight w:val="240"/>
        </w:trPr>
        <w:tc>
          <w:tcPr>
            <w:tcW w:w="5480" w:type="dxa"/>
            <w:vAlign w:val="bottom"/>
          </w:tcPr>
          <w:p>
            <w:pPr>
              <w:spacing w:after="0"/>
              <w:rPr>
                <w:sz w:val="20"/>
                <w:szCs w:val="20"/>
                <w:color w:val="auto"/>
              </w:rPr>
            </w:pPr>
          </w:p>
        </w:tc>
        <w:tc>
          <w:tcPr>
            <w:tcW w:w="1540" w:type="dxa"/>
            <w:vAlign w:val="bottom"/>
          </w:tcPr>
          <w:p>
            <w:pPr>
              <w:jc w:val="center"/>
              <w:ind w:left="154"/>
              <w:spacing w:after="0"/>
              <w:rPr>
                <w:sz w:val="20"/>
                <w:szCs w:val="20"/>
                <w:color w:val="auto"/>
              </w:rPr>
            </w:pPr>
            <w:r>
              <w:rPr>
                <w:rFonts w:ascii="Arial" w:cs="Arial" w:eastAsia="Arial" w:hAnsi="Arial"/>
                <w:sz w:val="17"/>
                <w:szCs w:val="17"/>
                <w:b w:val="1"/>
                <w:bCs w:val="1"/>
                <w:i w:val="1"/>
                <w:iCs w:val="1"/>
                <w:color w:val="auto"/>
              </w:rPr>
              <w:t>Note</w:t>
            </w:r>
          </w:p>
        </w:tc>
        <w:tc>
          <w:tcPr>
            <w:tcW w:w="2420" w:type="dxa"/>
            <w:vAlign w:val="bottom"/>
          </w:tcPr>
          <w:p>
            <w:pPr>
              <w:jc w:val="right"/>
              <w:ind w:right="414"/>
              <w:spacing w:after="0"/>
              <w:rPr>
                <w:sz w:val="20"/>
                <w:szCs w:val="20"/>
                <w:color w:val="auto"/>
              </w:rPr>
            </w:pPr>
            <w:r>
              <w:rPr>
                <w:rFonts w:ascii="Arial" w:cs="Arial" w:eastAsia="Arial" w:hAnsi="Arial"/>
                <w:sz w:val="17"/>
                <w:szCs w:val="17"/>
                <w:b w:val="1"/>
                <w:bCs w:val="1"/>
                <w:color w:val="auto"/>
              </w:rPr>
              <w:t>$’000</w:t>
            </w:r>
          </w:p>
        </w:tc>
        <w:tc>
          <w:tcPr>
            <w:tcW w:w="1720" w:type="dxa"/>
            <w:vAlign w:val="bottom"/>
          </w:tcPr>
          <w:p>
            <w:pPr>
              <w:jc w:val="right"/>
              <w:spacing w:after="0"/>
              <w:rPr>
                <w:sz w:val="20"/>
                <w:szCs w:val="20"/>
                <w:color w:val="auto"/>
              </w:rPr>
            </w:pPr>
            <w:r>
              <w:rPr>
                <w:rFonts w:ascii="Arial" w:cs="Arial" w:eastAsia="Arial" w:hAnsi="Arial"/>
                <w:sz w:val="17"/>
                <w:szCs w:val="17"/>
                <w:b w:val="1"/>
                <w:bCs w:val="1"/>
                <w:color w:val="auto"/>
              </w:rPr>
              <w:t>$’000</w:t>
            </w:r>
          </w:p>
        </w:tc>
        <w:tc>
          <w:tcPr>
            <w:tcW w:w="0" w:type="dxa"/>
            <w:vAlign w:val="bottom"/>
          </w:tcPr>
          <w:p>
            <w:pPr>
              <w:spacing w:after="0"/>
              <w:rPr>
                <w:sz w:val="1"/>
                <w:szCs w:val="1"/>
                <w:color w:val="auto"/>
              </w:rPr>
            </w:pPr>
          </w:p>
        </w:tc>
      </w:tr>
      <w:tr>
        <w:trPr>
          <w:trHeight w:val="492"/>
        </w:trPr>
        <w:tc>
          <w:tcPr>
            <w:tcW w:w="5480" w:type="dxa"/>
            <w:vAlign w:val="bottom"/>
          </w:tcPr>
          <w:p>
            <w:pPr>
              <w:spacing w:after="0"/>
              <w:rPr>
                <w:sz w:val="20"/>
                <w:szCs w:val="20"/>
                <w:color w:val="auto"/>
              </w:rPr>
            </w:pPr>
            <w:r>
              <w:rPr>
                <w:rFonts w:ascii="Arial" w:cs="Arial" w:eastAsia="Arial" w:hAnsi="Arial"/>
                <w:sz w:val="17"/>
                <w:szCs w:val="17"/>
                <w:b w:val="1"/>
                <w:bCs w:val="1"/>
                <w:color w:val="auto"/>
              </w:rPr>
              <w:t>Profit for the financial period / year</w:t>
            </w:r>
          </w:p>
        </w:tc>
        <w:tc>
          <w:tcPr>
            <w:tcW w:w="1540" w:type="dxa"/>
            <w:vAlign w:val="bottom"/>
          </w:tcPr>
          <w:p>
            <w:pPr>
              <w:spacing w:after="0"/>
              <w:rPr>
                <w:sz w:val="24"/>
                <w:szCs w:val="24"/>
                <w:color w:val="auto"/>
              </w:rPr>
            </w:pPr>
          </w:p>
        </w:tc>
        <w:tc>
          <w:tcPr>
            <w:tcW w:w="2420" w:type="dxa"/>
            <w:vAlign w:val="bottom"/>
          </w:tcPr>
          <w:p>
            <w:pPr>
              <w:jc w:val="right"/>
              <w:ind w:right="414"/>
              <w:spacing w:after="0"/>
              <w:rPr>
                <w:sz w:val="20"/>
                <w:szCs w:val="20"/>
                <w:color w:val="auto"/>
              </w:rPr>
            </w:pPr>
            <w:r>
              <w:rPr>
                <w:rFonts w:ascii="Arial" w:cs="Arial" w:eastAsia="Arial" w:hAnsi="Arial"/>
                <w:sz w:val="17"/>
                <w:szCs w:val="17"/>
                <w:color w:val="auto"/>
              </w:rPr>
              <w:t>477,999</w:t>
            </w:r>
          </w:p>
        </w:tc>
        <w:tc>
          <w:tcPr>
            <w:tcW w:w="1720" w:type="dxa"/>
            <w:vAlign w:val="bottom"/>
          </w:tcPr>
          <w:p>
            <w:pPr>
              <w:jc w:val="right"/>
              <w:spacing w:after="0"/>
              <w:rPr>
                <w:sz w:val="20"/>
                <w:szCs w:val="20"/>
                <w:color w:val="auto"/>
              </w:rPr>
            </w:pPr>
            <w:r>
              <w:rPr>
                <w:rFonts w:ascii="Arial" w:cs="Arial" w:eastAsia="Arial" w:hAnsi="Arial"/>
                <w:sz w:val="17"/>
                <w:szCs w:val="17"/>
                <w:color w:val="auto"/>
              </w:rPr>
              <w:t>425,295</w:t>
            </w:r>
          </w:p>
        </w:tc>
        <w:tc>
          <w:tcPr>
            <w:tcW w:w="0" w:type="dxa"/>
            <w:vAlign w:val="bottom"/>
          </w:tcPr>
          <w:p>
            <w:pPr>
              <w:spacing w:after="0"/>
              <w:rPr>
                <w:sz w:val="1"/>
                <w:szCs w:val="1"/>
                <w:color w:val="auto"/>
              </w:rPr>
            </w:pPr>
          </w:p>
        </w:tc>
      </w:tr>
      <w:tr>
        <w:trPr>
          <w:trHeight w:val="492"/>
        </w:trPr>
        <w:tc>
          <w:tcPr>
            <w:tcW w:w="5480" w:type="dxa"/>
            <w:vAlign w:val="bottom"/>
          </w:tcPr>
          <w:p>
            <w:pPr>
              <w:spacing w:after="0"/>
              <w:rPr>
                <w:sz w:val="20"/>
                <w:szCs w:val="20"/>
                <w:color w:val="auto"/>
              </w:rPr>
            </w:pPr>
            <w:r>
              <w:rPr>
                <w:rFonts w:ascii="Arial" w:cs="Arial" w:eastAsia="Arial" w:hAnsi="Arial"/>
                <w:sz w:val="17"/>
                <w:szCs w:val="17"/>
                <w:b w:val="1"/>
                <w:bCs w:val="1"/>
                <w:color w:val="auto"/>
              </w:rPr>
              <w:t>Other comprehensive income / (loss)</w:t>
            </w:r>
          </w:p>
        </w:tc>
        <w:tc>
          <w:tcPr>
            <w:tcW w:w="1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480" w:type="dxa"/>
            <w:vAlign w:val="bottom"/>
          </w:tcPr>
          <w:p>
            <w:pPr>
              <w:ind w:left="100"/>
              <w:spacing w:after="0"/>
              <w:rPr>
                <w:sz w:val="20"/>
                <w:szCs w:val="20"/>
                <w:color w:val="auto"/>
              </w:rPr>
            </w:pPr>
            <w:r>
              <w:rPr>
                <w:rFonts w:ascii="Arial" w:cs="Arial" w:eastAsia="Arial" w:hAnsi="Arial"/>
                <w:sz w:val="17"/>
                <w:szCs w:val="17"/>
                <w:color w:val="auto"/>
              </w:rPr>
              <w:t>Currency translation differences</w:t>
            </w:r>
          </w:p>
        </w:tc>
        <w:tc>
          <w:tcPr>
            <w:tcW w:w="1540" w:type="dxa"/>
            <w:vAlign w:val="bottom"/>
          </w:tcPr>
          <w:p>
            <w:pPr>
              <w:jc w:val="right"/>
              <w:ind w:right="514"/>
              <w:spacing w:after="0"/>
              <w:rPr>
                <w:sz w:val="20"/>
                <w:szCs w:val="20"/>
                <w:color w:val="auto"/>
              </w:rPr>
            </w:pPr>
            <w:r>
              <w:rPr>
                <w:rFonts w:ascii="Arial" w:cs="Arial" w:eastAsia="Arial" w:hAnsi="Arial"/>
                <w:sz w:val="17"/>
                <w:szCs w:val="17"/>
                <w:i w:val="1"/>
                <w:iCs w:val="1"/>
                <w:color w:val="auto"/>
              </w:rPr>
              <w:t>7</w:t>
            </w:r>
          </w:p>
        </w:tc>
        <w:tc>
          <w:tcPr>
            <w:tcW w:w="24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998</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20" w:type="dxa"/>
            <w:vAlign w:val="bottom"/>
          </w:tcPr>
          <w:p>
            <w:pPr>
              <w:jc w:val="right"/>
              <w:ind w:right="394"/>
              <w:spacing w:after="0"/>
              <w:rPr>
                <w:sz w:val="20"/>
                <w:szCs w:val="20"/>
                <w:color w:val="auto"/>
              </w:rPr>
            </w:pPr>
            <w:r>
              <w:rPr>
                <w:rFonts w:ascii="Arial" w:cs="Arial" w:eastAsia="Arial" w:hAnsi="Arial"/>
                <w:sz w:val="17"/>
                <w:szCs w:val="17"/>
                <w:b w:val="1"/>
                <w:bCs w:val="1"/>
                <w:color w:val="auto"/>
              </w:rPr>
              <w:t>998</w:t>
            </w:r>
          </w:p>
        </w:tc>
        <w:tc>
          <w:tcPr>
            <w:tcW w:w="1720" w:type="dxa"/>
            <w:vAlign w:val="bottom"/>
          </w:tcPr>
          <w:p>
            <w:pPr>
              <w:jc w:val="right"/>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505"/>
        </w:trPr>
        <w:tc>
          <w:tcPr>
            <w:tcW w:w="5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480" w:type="dxa"/>
            <w:vAlign w:val="bottom"/>
          </w:tcPr>
          <w:p>
            <w:pPr>
              <w:spacing w:after="0"/>
              <w:rPr>
                <w:sz w:val="20"/>
                <w:szCs w:val="20"/>
                <w:color w:val="auto"/>
              </w:rPr>
            </w:pPr>
            <w:r>
              <w:rPr>
                <w:rFonts w:ascii="Arial" w:cs="Arial" w:eastAsia="Arial" w:hAnsi="Arial"/>
                <w:sz w:val="17"/>
                <w:szCs w:val="17"/>
                <w:b w:val="1"/>
                <w:bCs w:val="1"/>
                <w:color w:val="auto"/>
              </w:rPr>
              <w:t>Total comprehensive income for the financial period / year</w:t>
            </w:r>
          </w:p>
        </w:tc>
        <w:tc>
          <w:tcPr>
            <w:tcW w:w="1540" w:type="dxa"/>
            <w:vAlign w:val="bottom"/>
          </w:tcPr>
          <w:p>
            <w:pPr>
              <w:spacing w:after="0"/>
              <w:rPr>
                <w:sz w:val="22"/>
                <w:szCs w:val="22"/>
                <w:color w:val="auto"/>
              </w:rPr>
            </w:pPr>
          </w:p>
        </w:tc>
        <w:tc>
          <w:tcPr>
            <w:tcW w:w="24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478,997</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424,801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20" w:top="113" w:right="359" w:bottom="1440" w:gutter="0" w:footer="0" w:header="0"/>
        </w:sectPr>
      </w:pPr>
    </w:p>
    <w:bookmarkStart w:id="8" w:name="page9"/>
    <w:bookmarkEnd w:id="8"/>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color w:val="auto"/>
        </w:rPr>
        <w:t>Unaudited interim statement of financial position</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As at 5 June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2600" w:type="dxa"/>
            <w:vAlign w:val="bottom"/>
          </w:tcPr>
          <w:p>
            <w:pPr>
              <w:jc w:val="right"/>
              <w:ind w:right="594"/>
              <w:spacing w:after="0"/>
              <w:rPr>
                <w:sz w:val="20"/>
                <w:szCs w:val="20"/>
                <w:color w:val="auto"/>
              </w:rPr>
            </w:pPr>
            <w:r>
              <w:rPr>
                <w:rFonts w:ascii="Arial" w:cs="Arial" w:eastAsia="Arial" w:hAnsi="Arial"/>
                <w:sz w:val="17"/>
                <w:szCs w:val="17"/>
                <w:b w:val="1"/>
                <w:bCs w:val="1"/>
                <w:i w:val="1"/>
                <w:iCs w:val="1"/>
                <w:color w:val="auto"/>
              </w:rPr>
              <w:t>Note</w:t>
            </w:r>
          </w:p>
        </w:tc>
        <w:tc>
          <w:tcPr>
            <w:tcW w:w="2100" w:type="dxa"/>
            <w:vAlign w:val="bottom"/>
          </w:tcPr>
          <w:p>
            <w:pPr>
              <w:jc w:val="right"/>
              <w:ind w:right="394"/>
              <w:spacing w:after="0"/>
              <w:rPr>
                <w:sz w:val="20"/>
                <w:szCs w:val="20"/>
                <w:color w:val="auto"/>
              </w:rPr>
            </w:pPr>
            <w:r>
              <w:rPr>
                <w:rFonts w:ascii="Arial" w:cs="Arial" w:eastAsia="Arial" w:hAnsi="Arial"/>
                <w:sz w:val="17"/>
                <w:szCs w:val="17"/>
                <w:b w:val="1"/>
                <w:bCs w:val="1"/>
                <w:color w:val="auto"/>
              </w:rPr>
              <w:t>As at</w:t>
            </w:r>
          </w:p>
        </w:tc>
        <w:tc>
          <w:tcPr>
            <w:tcW w:w="1980" w:type="dxa"/>
            <w:vAlign w:val="bottom"/>
          </w:tcPr>
          <w:p>
            <w:pPr>
              <w:jc w:val="right"/>
              <w:spacing w:after="0"/>
              <w:rPr>
                <w:sz w:val="20"/>
                <w:szCs w:val="20"/>
                <w:color w:val="auto"/>
              </w:rPr>
            </w:pPr>
            <w:r>
              <w:rPr>
                <w:rFonts w:ascii="Arial" w:cs="Arial" w:eastAsia="Arial" w:hAnsi="Arial"/>
                <w:sz w:val="17"/>
                <w:szCs w:val="17"/>
                <w:color w:val="auto"/>
              </w:rPr>
              <w:t>As at</w:t>
            </w:r>
          </w:p>
        </w:tc>
        <w:tc>
          <w:tcPr>
            <w:tcW w:w="0" w:type="dxa"/>
            <w:vAlign w:val="bottom"/>
          </w:tcPr>
          <w:p>
            <w:pPr>
              <w:spacing w:after="0"/>
              <w:rPr>
                <w:sz w:val="1"/>
                <w:szCs w:val="1"/>
                <w:color w:val="auto"/>
              </w:rPr>
            </w:pPr>
          </w:p>
        </w:tc>
      </w:tr>
      <w:tr>
        <w:trPr>
          <w:trHeight w:val="233"/>
        </w:trPr>
        <w:tc>
          <w:tcPr>
            <w:tcW w:w="4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00" w:type="dxa"/>
            <w:vAlign w:val="bottom"/>
          </w:tcPr>
          <w:p>
            <w:pPr>
              <w:jc w:val="right"/>
              <w:ind w:right="394"/>
              <w:spacing w:after="0"/>
              <w:rPr>
                <w:sz w:val="20"/>
                <w:szCs w:val="20"/>
                <w:color w:val="auto"/>
              </w:rPr>
            </w:pPr>
            <w:r>
              <w:rPr>
                <w:rFonts w:ascii="Arial" w:cs="Arial" w:eastAsia="Arial" w:hAnsi="Arial"/>
                <w:sz w:val="17"/>
                <w:szCs w:val="17"/>
                <w:b w:val="1"/>
                <w:bCs w:val="1"/>
                <w:color w:val="auto"/>
              </w:rPr>
              <w:t>5 June 2025</w:t>
            </w:r>
          </w:p>
        </w:tc>
        <w:tc>
          <w:tcPr>
            <w:tcW w:w="1980" w:type="dxa"/>
            <w:vAlign w:val="bottom"/>
          </w:tcPr>
          <w:p>
            <w:pPr>
              <w:jc w:val="right"/>
              <w:spacing w:after="0"/>
              <w:rPr>
                <w:sz w:val="20"/>
                <w:szCs w:val="20"/>
                <w:color w:val="auto"/>
              </w:rPr>
            </w:pPr>
            <w:r>
              <w:rPr>
                <w:rFonts w:ascii="Arial" w:cs="Arial" w:eastAsia="Arial" w:hAnsi="Arial"/>
                <w:sz w:val="17"/>
                <w:szCs w:val="17"/>
                <w:color w:val="auto"/>
              </w:rPr>
              <w:t>31 December 2024</w:t>
            </w:r>
          </w:p>
        </w:tc>
        <w:tc>
          <w:tcPr>
            <w:tcW w:w="0" w:type="dxa"/>
            <w:vAlign w:val="bottom"/>
          </w:tcPr>
          <w:p>
            <w:pPr>
              <w:spacing w:after="0"/>
              <w:rPr>
                <w:sz w:val="1"/>
                <w:szCs w:val="1"/>
                <w:color w:val="auto"/>
              </w:rPr>
            </w:pPr>
          </w:p>
        </w:tc>
      </w:tr>
      <w:tr>
        <w:trPr>
          <w:trHeight w:val="233"/>
        </w:trPr>
        <w:tc>
          <w:tcPr>
            <w:tcW w:w="4460" w:type="dxa"/>
            <w:vAlign w:val="bottom"/>
          </w:tcPr>
          <w:p>
            <w:pPr>
              <w:ind w:left="60"/>
              <w:spacing w:after="0"/>
              <w:rPr>
                <w:sz w:val="20"/>
                <w:szCs w:val="20"/>
                <w:color w:val="auto"/>
              </w:rPr>
            </w:pPr>
            <w:r>
              <w:rPr>
                <w:rFonts w:ascii="Arial" w:cs="Arial" w:eastAsia="Arial" w:hAnsi="Arial"/>
                <w:sz w:val="17"/>
                <w:szCs w:val="17"/>
                <w:b w:val="1"/>
                <w:bCs w:val="1"/>
                <w:color w:val="auto"/>
              </w:rPr>
              <w:t>ASSETS</w:t>
            </w:r>
          </w:p>
        </w:tc>
        <w:tc>
          <w:tcPr>
            <w:tcW w:w="2600" w:type="dxa"/>
            <w:vAlign w:val="bottom"/>
          </w:tcPr>
          <w:p>
            <w:pPr>
              <w:spacing w:after="0"/>
              <w:rPr>
                <w:sz w:val="20"/>
                <w:szCs w:val="20"/>
                <w:color w:val="auto"/>
              </w:rPr>
            </w:pPr>
          </w:p>
        </w:tc>
        <w:tc>
          <w:tcPr>
            <w:tcW w:w="2100" w:type="dxa"/>
            <w:vAlign w:val="bottom"/>
          </w:tcPr>
          <w:p>
            <w:pPr>
              <w:jc w:val="right"/>
              <w:ind w:right="394"/>
              <w:spacing w:after="0"/>
              <w:rPr>
                <w:sz w:val="20"/>
                <w:szCs w:val="20"/>
                <w:color w:val="auto"/>
              </w:rPr>
            </w:pPr>
            <w:r>
              <w:rPr>
                <w:rFonts w:ascii="Arial" w:cs="Arial" w:eastAsia="Arial" w:hAnsi="Arial"/>
                <w:sz w:val="17"/>
                <w:szCs w:val="17"/>
                <w:b w:val="1"/>
                <w:bCs w:val="1"/>
                <w:color w:val="auto"/>
              </w:rPr>
              <w:t>$’000</w:t>
            </w:r>
          </w:p>
        </w:tc>
        <w:tc>
          <w:tcPr>
            <w:tcW w:w="1980" w:type="dxa"/>
            <w:vAlign w:val="bottom"/>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35"/>
        </w:trPr>
        <w:tc>
          <w:tcPr>
            <w:tcW w:w="4460" w:type="dxa"/>
            <w:vAlign w:val="bottom"/>
          </w:tcPr>
          <w:p>
            <w:pPr>
              <w:ind w:left="60"/>
              <w:spacing w:after="0"/>
              <w:rPr>
                <w:sz w:val="20"/>
                <w:szCs w:val="20"/>
                <w:color w:val="auto"/>
              </w:rPr>
            </w:pPr>
            <w:r>
              <w:rPr>
                <w:rFonts w:ascii="Arial" w:cs="Arial" w:eastAsia="Arial" w:hAnsi="Arial"/>
                <w:sz w:val="17"/>
                <w:szCs w:val="17"/>
                <w:b w:val="1"/>
                <w:bCs w:val="1"/>
                <w:color w:val="auto"/>
              </w:rPr>
              <w:t>Non-current assets</w:t>
            </w:r>
          </w:p>
        </w:tc>
        <w:tc>
          <w:tcPr>
            <w:tcW w:w="2600" w:type="dxa"/>
            <w:vAlign w:val="bottom"/>
          </w:tcPr>
          <w:p>
            <w:pPr>
              <w:spacing w:after="0"/>
              <w:rPr>
                <w:sz w:val="20"/>
                <w:szCs w:val="20"/>
                <w:color w:val="auto"/>
              </w:rPr>
            </w:pPr>
          </w:p>
        </w:tc>
        <w:tc>
          <w:tcPr>
            <w:tcW w:w="210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rPr>
              <w:t>524</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460" w:type="dxa"/>
            <w:vAlign w:val="bottom"/>
          </w:tcPr>
          <w:p>
            <w:pPr>
              <w:ind w:left="160"/>
              <w:spacing w:after="0"/>
              <w:rPr>
                <w:sz w:val="20"/>
                <w:szCs w:val="20"/>
                <w:color w:val="auto"/>
              </w:rPr>
            </w:pPr>
            <w:r>
              <w:rPr>
                <w:rFonts w:ascii="Arial" w:cs="Arial" w:eastAsia="Arial" w:hAnsi="Arial"/>
                <w:sz w:val="17"/>
                <w:szCs w:val="17"/>
                <w:color w:val="auto"/>
              </w:rPr>
              <w:t>Property, plant and equipment</w:t>
            </w:r>
          </w:p>
        </w:tc>
        <w:tc>
          <w:tcPr>
            <w:tcW w:w="260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233"/>
        </w:trPr>
        <w:tc>
          <w:tcPr>
            <w:tcW w:w="4460" w:type="dxa"/>
            <w:vAlign w:val="bottom"/>
          </w:tcPr>
          <w:p>
            <w:pPr>
              <w:ind w:left="160"/>
              <w:spacing w:after="0"/>
              <w:rPr>
                <w:sz w:val="20"/>
                <w:szCs w:val="20"/>
                <w:color w:val="auto"/>
              </w:rPr>
            </w:pPr>
            <w:r>
              <w:rPr>
                <w:rFonts w:ascii="Arial" w:cs="Arial" w:eastAsia="Arial" w:hAnsi="Arial"/>
                <w:sz w:val="17"/>
                <w:szCs w:val="17"/>
                <w:color w:val="auto"/>
              </w:rPr>
              <w:t>Right-of-use assets</w:t>
            </w:r>
          </w:p>
        </w:tc>
        <w:tc>
          <w:tcPr>
            <w:tcW w:w="2600" w:type="dxa"/>
            <w:vAlign w:val="bottom"/>
          </w:tcPr>
          <w:p>
            <w:pPr>
              <w:spacing w:after="0"/>
              <w:rPr>
                <w:sz w:val="20"/>
                <w:szCs w:val="20"/>
                <w:color w:val="auto"/>
              </w:rPr>
            </w:pPr>
          </w:p>
        </w:tc>
        <w:tc>
          <w:tcPr>
            <w:tcW w:w="2100" w:type="dxa"/>
            <w:vAlign w:val="bottom"/>
          </w:tcPr>
          <w:p>
            <w:pPr>
              <w:jc w:val="right"/>
              <w:ind w:right="394"/>
              <w:spacing w:after="0"/>
              <w:rPr>
                <w:sz w:val="20"/>
                <w:szCs w:val="20"/>
                <w:color w:val="auto"/>
              </w:rPr>
            </w:pPr>
            <w:r>
              <w:rPr>
                <w:rFonts w:ascii="Arial" w:cs="Arial" w:eastAsia="Arial" w:hAnsi="Arial"/>
                <w:sz w:val="17"/>
                <w:szCs w:val="17"/>
                <w:b w:val="1"/>
                <w:bCs w:val="1"/>
                <w:color w:val="auto"/>
              </w:rPr>
              <w:t>5,812</w:t>
            </w:r>
          </w:p>
        </w:tc>
        <w:tc>
          <w:tcPr>
            <w:tcW w:w="1980" w:type="dxa"/>
            <w:vAlign w:val="bottom"/>
          </w:tcPr>
          <w:p>
            <w:pPr>
              <w:jc w:val="right"/>
              <w:spacing w:after="0"/>
              <w:rPr>
                <w:sz w:val="20"/>
                <w:szCs w:val="20"/>
                <w:color w:val="auto"/>
              </w:rPr>
            </w:pPr>
            <w:r>
              <w:rPr>
                <w:rFonts w:ascii="Arial" w:cs="Arial" w:eastAsia="Arial" w:hAnsi="Arial"/>
                <w:sz w:val="17"/>
                <w:szCs w:val="17"/>
                <w:color w:val="auto"/>
              </w:rPr>
              <w:t>5,550</w:t>
            </w:r>
          </w:p>
        </w:tc>
        <w:tc>
          <w:tcPr>
            <w:tcW w:w="0" w:type="dxa"/>
            <w:vAlign w:val="bottom"/>
          </w:tcPr>
          <w:p>
            <w:pPr>
              <w:spacing w:after="0"/>
              <w:rPr>
                <w:sz w:val="1"/>
                <w:szCs w:val="1"/>
                <w:color w:val="auto"/>
              </w:rPr>
            </w:pPr>
          </w:p>
        </w:tc>
      </w:tr>
      <w:tr>
        <w:trPr>
          <w:trHeight w:val="233"/>
        </w:trPr>
        <w:tc>
          <w:tcPr>
            <w:tcW w:w="4460" w:type="dxa"/>
            <w:vAlign w:val="bottom"/>
          </w:tcPr>
          <w:p>
            <w:pPr>
              <w:ind w:left="160"/>
              <w:spacing w:after="0"/>
              <w:rPr>
                <w:sz w:val="20"/>
                <w:szCs w:val="20"/>
                <w:color w:val="auto"/>
              </w:rPr>
            </w:pPr>
            <w:r>
              <w:rPr>
                <w:rFonts w:ascii="Arial" w:cs="Arial" w:eastAsia="Arial" w:hAnsi="Arial"/>
                <w:sz w:val="17"/>
                <w:szCs w:val="17"/>
                <w:color w:val="auto"/>
              </w:rPr>
              <w:t>Investment in subsidiaries</w:t>
            </w:r>
          </w:p>
        </w:tc>
        <w:tc>
          <w:tcPr>
            <w:tcW w:w="2600" w:type="dxa"/>
            <w:vAlign w:val="bottom"/>
          </w:tcPr>
          <w:p>
            <w:pPr>
              <w:jc w:val="right"/>
              <w:ind w:right="734"/>
              <w:spacing w:after="0"/>
              <w:rPr>
                <w:sz w:val="20"/>
                <w:szCs w:val="20"/>
                <w:color w:val="auto"/>
              </w:rPr>
            </w:pPr>
            <w:r>
              <w:rPr>
                <w:rFonts w:ascii="Arial" w:cs="Arial" w:eastAsia="Arial" w:hAnsi="Arial"/>
                <w:sz w:val="17"/>
                <w:szCs w:val="17"/>
                <w:i w:val="1"/>
                <w:iCs w:val="1"/>
                <w:color w:val="auto"/>
              </w:rPr>
              <w:t>2</w:t>
            </w:r>
          </w:p>
        </w:tc>
        <w:tc>
          <w:tcPr>
            <w:tcW w:w="2100" w:type="dxa"/>
            <w:vAlign w:val="bottom"/>
          </w:tcPr>
          <w:p>
            <w:pPr>
              <w:jc w:val="right"/>
              <w:ind w:right="394"/>
              <w:spacing w:after="0"/>
              <w:rPr>
                <w:sz w:val="20"/>
                <w:szCs w:val="20"/>
                <w:color w:val="auto"/>
              </w:rPr>
            </w:pPr>
            <w:r>
              <w:rPr>
                <w:rFonts w:ascii="Arial" w:cs="Arial" w:eastAsia="Arial" w:hAnsi="Arial"/>
                <w:sz w:val="17"/>
                <w:szCs w:val="17"/>
                <w:b w:val="1"/>
                <w:bCs w:val="1"/>
                <w:color w:val="auto"/>
              </w:rPr>
              <w:t>7,167,037</w:t>
            </w:r>
          </w:p>
        </w:tc>
        <w:tc>
          <w:tcPr>
            <w:tcW w:w="1980" w:type="dxa"/>
            <w:vAlign w:val="bottom"/>
          </w:tcPr>
          <w:p>
            <w:pPr>
              <w:jc w:val="right"/>
              <w:spacing w:after="0"/>
              <w:rPr>
                <w:sz w:val="20"/>
                <w:szCs w:val="20"/>
                <w:color w:val="auto"/>
              </w:rPr>
            </w:pPr>
            <w:r>
              <w:rPr>
                <w:rFonts w:ascii="Arial" w:cs="Arial" w:eastAsia="Arial" w:hAnsi="Arial"/>
                <w:sz w:val="17"/>
                <w:szCs w:val="17"/>
                <w:color w:val="auto"/>
              </w:rPr>
              <w:t>7,115,418</w:t>
            </w:r>
          </w:p>
        </w:tc>
        <w:tc>
          <w:tcPr>
            <w:tcW w:w="0" w:type="dxa"/>
            <w:vAlign w:val="bottom"/>
          </w:tcPr>
          <w:p>
            <w:pPr>
              <w:spacing w:after="0"/>
              <w:rPr>
                <w:sz w:val="1"/>
                <w:szCs w:val="1"/>
                <w:color w:val="auto"/>
              </w:rPr>
            </w:pPr>
          </w:p>
        </w:tc>
      </w:tr>
      <w:tr>
        <w:trPr>
          <w:trHeight w:val="233"/>
        </w:trPr>
        <w:tc>
          <w:tcPr>
            <w:tcW w:w="4460" w:type="dxa"/>
            <w:vAlign w:val="bottom"/>
          </w:tcPr>
          <w:p>
            <w:pPr>
              <w:ind w:left="160"/>
              <w:spacing w:after="0"/>
              <w:rPr>
                <w:sz w:val="20"/>
                <w:szCs w:val="20"/>
                <w:color w:val="auto"/>
              </w:rPr>
            </w:pPr>
            <w:r>
              <w:rPr>
                <w:rFonts w:ascii="Arial" w:cs="Arial" w:eastAsia="Arial" w:hAnsi="Arial"/>
                <w:sz w:val="17"/>
                <w:szCs w:val="17"/>
                <w:color w:val="auto"/>
              </w:rPr>
              <w:t>Intangible assets</w:t>
            </w:r>
          </w:p>
        </w:tc>
        <w:tc>
          <w:tcPr>
            <w:tcW w:w="2600" w:type="dxa"/>
            <w:vAlign w:val="bottom"/>
          </w:tcPr>
          <w:p>
            <w:pPr>
              <w:spacing w:after="0"/>
              <w:rPr>
                <w:sz w:val="20"/>
                <w:szCs w:val="20"/>
                <w:color w:val="auto"/>
              </w:rPr>
            </w:pPr>
          </w:p>
        </w:tc>
        <w:tc>
          <w:tcPr>
            <w:tcW w:w="2100" w:type="dxa"/>
            <w:vAlign w:val="bottom"/>
          </w:tcPr>
          <w:p>
            <w:pPr>
              <w:jc w:val="right"/>
              <w:ind w:right="394"/>
              <w:spacing w:after="0"/>
              <w:rPr>
                <w:sz w:val="20"/>
                <w:szCs w:val="20"/>
                <w:color w:val="auto"/>
              </w:rPr>
            </w:pPr>
            <w:r>
              <w:rPr>
                <w:rFonts w:ascii="Arial" w:cs="Arial" w:eastAsia="Arial" w:hAnsi="Arial"/>
                <w:sz w:val="17"/>
                <w:szCs w:val="17"/>
                <w:b w:val="1"/>
                <w:bCs w:val="1"/>
                <w:color w:val="auto"/>
              </w:rPr>
              <w:t>13</w:t>
            </w:r>
          </w:p>
        </w:tc>
        <w:tc>
          <w:tcPr>
            <w:tcW w:w="19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33"/>
        </w:trPr>
        <w:tc>
          <w:tcPr>
            <w:tcW w:w="4460" w:type="dxa"/>
            <w:vAlign w:val="bottom"/>
          </w:tcPr>
          <w:p>
            <w:pPr>
              <w:ind w:left="140"/>
              <w:spacing w:after="0"/>
              <w:rPr>
                <w:sz w:val="20"/>
                <w:szCs w:val="20"/>
                <w:color w:val="auto"/>
              </w:rPr>
            </w:pPr>
            <w:r>
              <w:rPr>
                <w:rFonts w:ascii="Arial" w:cs="Arial" w:eastAsia="Arial" w:hAnsi="Arial"/>
                <w:sz w:val="17"/>
                <w:szCs w:val="17"/>
                <w:color w:val="auto"/>
              </w:rPr>
              <w:t>Amounts due from subsidiary undertakings</w:t>
            </w:r>
          </w:p>
        </w:tc>
        <w:tc>
          <w:tcPr>
            <w:tcW w:w="2600" w:type="dxa"/>
            <w:vAlign w:val="bottom"/>
          </w:tcPr>
          <w:p>
            <w:pPr>
              <w:jc w:val="right"/>
              <w:ind w:right="734"/>
              <w:spacing w:after="0"/>
              <w:rPr>
                <w:sz w:val="20"/>
                <w:szCs w:val="20"/>
                <w:color w:val="auto"/>
              </w:rPr>
            </w:pPr>
            <w:r>
              <w:rPr>
                <w:rFonts w:ascii="Arial" w:cs="Arial" w:eastAsia="Arial" w:hAnsi="Arial"/>
                <w:sz w:val="17"/>
                <w:szCs w:val="17"/>
                <w:i w:val="1"/>
                <w:iCs w:val="1"/>
                <w:color w:val="auto"/>
              </w:rPr>
              <w:t>4</w:t>
            </w:r>
          </w:p>
        </w:tc>
        <w:tc>
          <w:tcPr>
            <w:tcW w:w="2100" w:type="dxa"/>
            <w:vAlign w:val="bottom"/>
          </w:tcPr>
          <w:p>
            <w:pPr>
              <w:jc w:val="right"/>
              <w:ind w:right="394"/>
              <w:spacing w:after="0"/>
              <w:rPr>
                <w:sz w:val="20"/>
                <w:szCs w:val="20"/>
                <w:color w:val="auto"/>
              </w:rPr>
            </w:pPr>
            <w:r>
              <w:rPr>
                <w:rFonts w:ascii="Arial" w:cs="Arial" w:eastAsia="Arial" w:hAnsi="Arial"/>
                <w:sz w:val="17"/>
                <w:szCs w:val="17"/>
                <w:b w:val="1"/>
                <w:bCs w:val="1"/>
                <w:color w:val="auto"/>
              </w:rPr>
              <w:t>10,852</w:t>
            </w:r>
          </w:p>
        </w:tc>
        <w:tc>
          <w:tcPr>
            <w:tcW w:w="1980" w:type="dxa"/>
            <w:vAlign w:val="bottom"/>
          </w:tcPr>
          <w:p>
            <w:pPr>
              <w:jc w:val="right"/>
              <w:spacing w:after="0"/>
              <w:rPr>
                <w:sz w:val="20"/>
                <w:szCs w:val="20"/>
                <w:color w:val="auto"/>
              </w:rPr>
            </w:pPr>
            <w:r>
              <w:rPr>
                <w:rFonts w:ascii="Arial" w:cs="Arial" w:eastAsia="Arial" w:hAnsi="Arial"/>
                <w:sz w:val="17"/>
                <w:szCs w:val="17"/>
                <w:color w:val="auto"/>
              </w:rPr>
              <w:t>10,852</w:t>
            </w:r>
          </w:p>
        </w:tc>
        <w:tc>
          <w:tcPr>
            <w:tcW w:w="0" w:type="dxa"/>
            <w:vAlign w:val="bottom"/>
          </w:tcPr>
          <w:p>
            <w:pPr>
              <w:spacing w:after="0"/>
              <w:rPr>
                <w:sz w:val="1"/>
                <w:szCs w:val="1"/>
                <w:color w:val="auto"/>
              </w:rPr>
            </w:pPr>
          </w:p>
        </w:tc>
      </w:tr>
      <w:tr>
        <w:trPr>
          <w:trHeight w:val="238"/>
        </w:trPr>
        <w:tc>
          <w:tcPr>
            <w:tcW w:w="44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Deferred tax asset</w:t>
            </w:r>
          </w:p>
        </w:tc>
        <w:tc>
          <w:tcPr>
            <w:tcW w:w="26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306</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w:t>
            </w:r>
          </w:p>
        </w:tc>
        <w:tc>
          <w:tcPr>
            <w:tcW w:w="0" w:type="dxa"/>
            <w:vAlign w:val="bottom"/>
          </w:tcPr>
          <w:p>
            <w:pPr>
              <w:spacing w:after="0"/>
              <w:rPr>
                <w:sz w:val="1"/>
                <w:szCs w:val="1"/>
                <w:color w:val="auto"/>
              </w:rPr>
            </w:pPr>
          </w:p>
        </w:tc>
      </w:tr>
      <w:tr>
        <w:trPr>
          <w:trHeight w:val="226"/>
        </w:trPr>
        <w:tc>
          <w:tcPr>
            <w:tcW w:w="44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Total non-current assets</w:t>
            </w:r>
          </w:p>
        </w:tc>
        <w:tc>
          <w:tcPr>
            <w:tcW w:w="26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242828"/>
              </w:rPr>
              <w:t>7,184,544</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7,132,721</w:t>
            </w:r>
          </w:p>
        </w:tc>
        <w:tc>
          <w:tcPr>
            <w:tcW w:w="0" w:type="dxa"/>
            <w:vAlign w:val="bottom"/>
          </w:tcPr>
          <w:p>
            <w:pPr>
              <w:spacing w:after="0"/>
              <w:rPr>
                <w:sz w:val="1"/>
                <w:szCs w:val="1"/>
                <w:color w:val="auto"/>
              </w:rPr>
            </w:pPr>
          </w:p>
        </w:tc>
      </w:tr>
      <w:tr>
        <w:trPr>
          <w:trHeight w:val="455"/>
        </w:trPr>
        <w:tc>
          <w:tcPr>
            <w:tcW w:w="4460" w:type="dxa"/>
            <w:vAlign w:val="bottom"/>
          </w:tcPr>
          <w:p>
            <w:pPr>
              <w:ind w:left="60"/>
              <w:spacing w:after="0"/>
              <w:rPr>
                <w:sz w:val="20"/>
                <w:szCs w:val="20"/>
                <w:color w:val="auto"/>
              </w:rPr>
            </w:pPr>
            <w:r>
              <w:rPr>
                <w:rFonts w:ascii="Arial" w:cs="Arial" w:eastAsia="Arial" w:hAnsi="Arial"/>
                <w:sz w:val="17"/>
                <w:szCs w:val="17"/>
                <w:b w:val="1"/>
                <w:bCs w:val="1"/>
                <w:color w:val="auto"/>
              </w:rPr>
              <w:t>Current assets</w:t>
            </w:r>
          </w:p>
        </w:tc>
        <w:tc>
          <w:tcPr>
            <w:tcW w:w="2600" w:type="dxa"/>
            <w:vAlign w:val="bottom"/>
          </w:tcPr>
          <w:p>
            <w:pPr>
              <w:spacing w:after="0"/>
              <w:rPr>
                <w:sz w:val="24"/>
                <w:szCs w:val="24"/>
                <w:color w:val="auto"/>
              </w:rPr>
            </w:pPr>
          </w:p>
        </w:tc>
        <w:tc>
          <w:tcPr>
            <w:tcW w:w="210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rPr>
              <w:t>1,050</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460" w:type="dxa"/>
            <w:vAlign w:val="bottom"/>
          </w:tcPr>
          <w:p>
            <w:pPr>
              <w:ind w:left="160"/>
              <w:spacing w:after="0"/>
              <w:rPr>
                <w:sz w:val="20"/>
                <w:szCs w:val="20"/>
                <w:color w:val="auto"/>
              </w:rPr>
            </w:pPr>
            <w:r>
              <w:rPr>
                <w:rFonts w:ascii="Arial" w:cs="Arial" w:eastAsia="Arial" w:hAnsi="Arial"/>
                <w:sz w:val="17"/>
                <w:szCs w:val="17"/>
                <w:color w:val="auto"/>
              </w:rPr>
              <w:t>Other current assets</w:t>
            </w:r>
          </w:p>
        </w:tc>
        <w:tc>
          <w:tcPr>
            <w:tcW w:w="2600" w:type="dxa"/>
            <w:vAlign w:val="bottom"/>
          </w:tcPr>
          <w:p>
            <w:pPr>
              <w:jc w:val="right"/>
              <w:ind w:right="734"/>
              <w:spacing w:after="0"/>
              <w:rPr>
                <w:sz w:val="20"/>
                <w:szCs w:val="20"/>
                <w:color w:val="auto"/>
              </w:rPr>
            </w:pPr>
            <w:r>
              <w:rPr>
                <w:rFonts w:ascii="Arial" w:cs="Arial" w:eastAsia="Arial" w:hAnsi="Arial"/>
                <w:sz w:val="17"/>
                <w:szCs w:val="17"/>
                <w:i w:val="1"/>
                <w:iCs w:val="1"/>
                <w:color w:val="auto"/>
              </w:rPr>
              <w:t>3</w:t>
            </w:r>
          </w:p>
        </w:tc>
        <w:tc>
          <w:tcPr>
            <w:tcW w:w="2100" w:type="dxa"/>
            <w:vAlign w:val="bottom"/>
            <w:vMerge w:val="continue"/>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33"/>
        </w:trPr>
        <w:tc>
          <w:tcPr>
            <w:tcW w:w="4460" w:type="dxa"/>
            <w:vAlign w:val="bottom"/>
          </w:tcPr>
          <w:p>
            <w:pPr>
              <w:ind w:left="140"/>
              <w:spacing w:after="0"/>
              <w:rPr>
                <w:sz w:val="20"/>
                <w:szCs w:val="20"/>
                <w:color w:val="auto"/>
              </w:rPr>
            </w:pPr>
            <w:r>
              <w:rPr>
                <w:rFonts w:ascii="Arial" w:cs="Arial" w:eastAsia="Arial" w:hAnsi="Arial"/>
                <w:sz w:val="17"/>
                <w:szCs w:val="17"/>
                <w:color w:val="auto"/>
              </w:rPr>
              <w:t>Amounts due from subsidiary undertakings</w:t>
            </w:r>
          </w:p>
        </w:tc>
        <w:tc>
          <w:tcPr>
            <w:tcW w:w="2600" w:type="dxa"/>
            <w:vAlign w:val="bottom"/>
          </w:tcPr>
          <w:p>
            <w:pPr>
              <w:jc w:val="right"/>
              <w:ind w:right="734"/>
              <w:spacing w:after="0"/>
              <w:rPr>
                <w:sz w:val="20"/>
                <w:szCs w:val="20"/>
                <w:color w:val="auto"/>
              </w:rPr>
            </w:pPr>
            <w:r>
              <w:rPr>
                <w:rFonts w:ascii="Arial" w:cs="Arial" w:eastAsia="Arial" w:hAnsi="Arial"/>
                <w:sz w:val="17"/>
                <w:szCs w:val="17"/>
                <w:i w:val="1"/>
                <w:iCs w:val="1"/>
                <w:color w:val="auto"/>
              </w:rPr>
              <w:t>4</w:t>
            </w:r>
          </w:p>
        </w:tc>
        <w:tc>
          <w:tcPr>
            <w:tcW w:w="2100" w:type="dxa"/>
            <w:vAlign w:val="bottom"/>
          </w:tcPr>
          <w:p>
            <w:pPr>
              <w:jc w:val="right"/>
              <w:ind w:right="394"/>
              <w:spacing w:after="0"/>
              <w:rPr>
                <w:sz w:val="20"/>
                <w:szCs w:val="20"/>
                <w:color w:val="auto"/>
              </w:rPr>
            </w:pPr>
            <w:r>
              <w:rPr>
                <w:rFonts w:ascii="Arial" w:cs="Arial" w:eastAsia="Arial" w:hAnsi="Arial"/>
                <w:sz w:val="17"/>
                <w:szCs w:val="17"/>
                <w:b w:val="1"/>
                <w:bCs w:val="1"/>
                <w:color w:val="auto"/>
              </w:rPr>
              <w:t>431,403</w:t>
            </w:r>
          </w:p>
        </w:tc>
        <w:tc>
          <w:tcPr>
            <w:tcW w:w="1980" w:type="dxa"/>
            <w:vAlign w:val="bottom"/>
          </w:tcPr>
          <w:p>
            <w:pPr>
              <w:jc w:val="right"/>
              <w:spacing w:after="0"/>
              <w:rPr>
                <w:sz w:val="20"/>
                <w:szCs w:val="20"/>
                <w:color w:val="auto"/>
              </w:rPr>
            </w:pPr>
            <w:r>
              <w:rPr>
                <w:rFonts w:ascii="Arial" w:cs="Arial" w:eastAsia="Arial" w:hAnsi="Arial"/>
                <w:sz w:val="17"/>
                <w:szCs w:val="17"/>
                <w:color w:val="auto"/>
              </w:rPr>
              <w:t>220,344</w:t>
            </w:r>
          </w:p>
        </w:tc>
        <w:tc>
          <w:tcPr>
            <w:tcW w:w="0" w:type="dxa"/>
            <w:vAlign w:val="bottom"/>
          </w:tcPr>
          <w:p>
            <w:pPr>
              <w:spacing w:after="0"/>
              <w:rPr>
                <w:sz w:val="1"/>
                <w:szCs w:val="1"/>
                <w:color w:val="auto"/>
              </w:rPr>
            </w:pPr>
          </w:p>
        </w:tc>
      </w:tr>
      <w:tr>
        <w:trPr>
          <w:trHeight w:val="238"/>
        </w:trPr>
        <w:tc>
          <w:tcPr>
            <w:tcW w:w="44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Cash and cash equivalents</w:t>
            </w:r>
          </w:p>
        </w:tc>
        <w:tc>
          <w:tcPr>
            <w:tcW w:w="26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2,889</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10,485</w:t>
            </w:r>
          </w:p>
        </w:tc>
        <w:tc>
          <w:tcPr>
            <w:tcW w:w="0" w:type="dxa"/>
            <w:vAlign w:val="bottom"/>
          </w:tcPr>
          <w:p>
            <w:pPr>
              <w:spacing w:after="0"/>
              <w:rPr>
                <w:sz w:val="1"/>
                <w:szCs w:val="1"/>
                <w:color w:val="auto"/>
              </w:rPr>
            </w:pPr>
          </w:p>
        </w:tc>
      </w:tr>
      <w:tr>
        <w:trPr>
          <w:trHeight w:val="226"/>
        </w:trPr>
        <w:tc>
          <w:tcPr>
            <w:tcW w:w="44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Total current assets</w:t>
            </w:r>
          </w:p>
        </w:tc>
        <w:tc>
          <w:tcPr>
            <w:tcW w:w="26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435,342</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231,579</w:t>
            </w:r>
          </w:p>
        </w:tc>
        <w:tc>
          <w:tcPr>
            <w:tcW w:w="0" w:type="dxa"/>
            <w:vAlign w:val="bottom"/>
          </w:tcPr>
          <w:p>
            <w:pPr>
              <w:spacing w:after="0"/>
              <w:rPr>
                <w:sz w:val="1"/>
                <w:szCs w:val="1"/>
                <w:color w:val="auto"/>
              </w:rPr>
            </w:pPr>
          </w:p>
        </w:tc>
      </w:tr>
      <w:tr>
        <w:trPr>
          <w:trHeight w:val="226"/>
        </w:trPr>
        <w:tc>
          <w:tcPr>
            <w:tcW w:w="44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Total assets</w:t>
            </w:r>
          </w:p>
        </w:tc>
        <w:tc>
          <w:tcPr>
            <w:tcW w:w="26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7,619,886</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7,364,300</w:t>
            </w:r>
          </w:p>
        </w:tc>
        <w:tc>
          <w:tcPr>
            <w:tcW w:w="0" w:type="dxa"/>
            <w:vAlign w:val="bottom"/>
          </w:tcPr>
          <w:p>
            <w:pPr>
              <w:spacing w:after="0"/>
              <w:rPr>
                <w:sz w:val="1"/>
                <w:szCs w:val="1"/>
                <w:color w:val="auto"/>
              </w:rPr>
            </w:pPr>
          </w:p>
        </w:tc>
      </w:tr>
      <w:tr>
        <w:trPr>
          <w:trHeight w:val="688"/>
        </w:trPr>
        <w:tc>
          <w:tcPr>
            <w:tcW w:w="4460" w:type="dxa"/>
            <w:vAlign w:val="bottom"/>
          </w:tcPr>
          <w:p>
            <w:pPr>
              <w:ind w:left="60"/>
              <w:spacing w:after="0"/>
              <w:rPr>
                <w:sz w:val="20"/>
                <w:szCs w:val="20"/>
                <w:color w:val="auto"/>
              </w:rPr>
            </w:pPr>
            <w:r>
              <w:rPr>
                <w:rFonts w:ascii="Arial" w:cs="Arial" w:eastAsia="Arial" w:hAnsi="Arial"/>
                <w:sz w:val="17"/>
                <w:szCs w:val="17"/>
                <w:b w:val="1"/>
                <w:bCs w:val="1"/>
                <w:color w:val="auto"/>
              </w:rPr>
              <w:t>EQUITY</w:t>
            </w:r>
          </w:p>
        </w:tc>
        <w:tc>
          <w:tcPr>
            <w:tcW w:w="2600" w:type="dxa"/>
            <w:vAlign w:val="bottom"/>
          </w:tcPr>
          <w:p>
            <w:pPr>
              <w:spacing w:after="0"/>
              <w:rPr>
                <w:sz w:val="24"/>
                <w:szCs w:val="24"/>
                <w:color w:val="auto"/>
              </w:rPr>
            </w:pPr>
          </w:p>
        </w:tc>
        <w:tc>
          <w:tcPr>
            <w:tcW w:w="210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rPr>
              <w:t>6,506</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460" w:type="dxa"/>
            <w:vAlign w:val="bottom"/>
          </w:tcPr>
          <w:p>
            <w:pPr>
              <w:ind w:left="160"/>
              <w:spacing w:after="0"/>
              <w:rPr>
                <w:sz w:val="20"/>
                <w:szCs w:val="20"/>
                <w:color w:val="auto"/>
              </w:rPr>
            </w:pPr>
            <w:r>
              <w:rPr>
                <w:rFonts w:ascii="Arial" w:cs="Arial" w:eastAsia="Arial" w:hAnsi="Arial"/>
                <w:sz w:val="17"/>
                <w:szCs w:val="17"/>
                <w:color w:val="auto"/>
              </w:rPr>
              <w:t>Share capital</w:t>
            </w:r>
          </w:p>
        </w:tc>
        <w:tc>
          <w:tcPr>
            <w:tcW w:w="2600" w:type="dxa"/>
            <w:vAlign w:val="bottom"/>
          </w:tcPr>
          <w:p>
            <w:pPr>
              <w:jc w:val="right"/>
              <w:ind w:right="634"/>
              <w:spacing w:after="0"/>
              <w:rPr>
                <w:sz w:val="20"/>
                <w:szCs w:val="20"/>
                <w:color w:val="auto"/>
              </w:rPr>
            </w:pPr>
            <w:r>
              <w:rPr>
                <w:rFonts w:ascii="Arial" w:cs="Arial" w:eastAsia="Arial" w:hAnsi="Arial"/>
                <w:sz w:val="17"/>
                <w:szCs w:val="17"/>
                <w:i w:val="1"/>
                <w:iCs w:val="1"/>
                <w:color w:val="auto"/>
              </w:rPr>
              <w:t>6</w:t>
            </w:r>
          </w:p>
        </w:tc>
        <w:tc>
          <w:tcPr>
            <w:tcW w:w="2100" w:type="dxa"/>
            <w:vAlign w:val="bottom"/>
            <w:vMerge w:val="continue"/>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6,586</w:t>
            </w:r>
          </w:p>
        </w:tc>
        <w:tc>
          <w:tcPr>
            <w:tcW w:w="0" w:type="dxa"/>
            <w:vAlign w:val="bottom"/>
          </w:tcPr>
          <w:p>
            <w:pPr>
              <w:spacing w:after="0"/>
              <w:rPr>
                <w:sz w:val="1"/>
                <w:szCs w:val="1"/>
                <w:color w:val="auto"/>
              </w:rPr>
            </w:pPr>
          </w:p>
        </w:tc>
      </w:tr>
      <w:tr>
        <w:trPr>
          <w:trHeight w:val="233"/>
        </w:trPr>
        <w:tc>
          <w:tcPr>
            <w:tcW w:w="4460" w:type="dxa"/>
            <w:vAlign w:val="bottom"/>
          </w:tcPr>
          <w:p>
            <w:pPr>
              <w:ind w:left="160"/>
              <w:spacing w:after="0"/>
              <w:rPr>
                <w:sz w:val="20"/>
                <w:szCs w:val="20"/>
                <w:color w:val="auto"/>
              </w:rPr>
            </w:pPr>
            <w:r>
              <w:rPr>
                <w:rFonts w:ascii="Arial" w:cs="Arial" w:eastAsia="Arial" w:hAnsi="Arial"/>
                <w:sz w:val="17"/>
                <w:szCs w:val="17"/>
                <w:color w:val="auto"/>
              </w:rPr>
              <w:t>Share premium</w:t>
            </w:r>
          </w:p>
        </w:tc>
        <w:tc>
          <w:tcPr>
            <w:tcW w:w="2600" w:type="dxa"/>
            <w:vAlign w:val="bottom"/>
          </w:tcPr>
          <w:p>
            <w:pPr>
              <w:jc w:val="right"/>
              <w:ind w:right="634"/>
              <w:spacing w:after="0"/>
              <w:rPr>
                <w:sz w:val="20"/>
                <w:szCs w:val="20"/>
                <w:color w:val="auto"/>
              </w:rPr>
            </w:pPr>
            <w:r>
              <w:rPr>
                <w:rFonts w:ascii="Arial" w:cs="Arial" w:eastAsia="Arial" w:hAnsi="Arial"/>
                <w:sz w:val="17"/>
                <w:szCs w:val="17"/>
                <w:i w:val="1"/>
                <w:iCs w:val="1"/>
                <w:color w:val="auto"/>
              </w:rPr>
              <w:t>7</w:t>
            </w:r>
          </w:p>
        </w:tc>
        <w:tc>
          <w:tcPr>
            <w:tcW w:w="2100" w:type="dxa"/>
            <w:vAlign w:val="bottom"/>
          </w:tcPr>
          <w:p>
            <w:pPr>
              <w:jc w:val="right"/>
              <w:ind w:right="394"/>
              <w:spacing w:after="0"/>
              <w:rPr>
                <w:sz w:val="20"/>
                <w:szCs w:val="20"/>
                <w:color w:val="auto"/>
              </w:rPr>
            </w:pPr>
            <w:r>
              <w:rPr>
                <w:rFonts w:ascii="Arial" w:cs="Arial" w:eastAsia="Arial" w:hAnsi="Arial"/>
                <w:sz w:val="17"/>
                <w:szCs w:val="17"/>
                <w:b w:val="1"/>
                <w:bCs w:val="1"/>
                <w:color w:val="auto"/>
              </w:rPr>
              <w:t>565,697</w:t>
            </w:r>
          </w:p>
        </w:tc>
        <w:tc>
          <w:tcPr>
            <w:tcW w:w="1980" w:type="dxa"/>
            <w:vAlign w:val="bottom"/>
          </w:tcPr>
          <w:p>
            <w:pPr>
              <w:jc w:val="right"/>
              <w:spacing w:after="0"/>
              <w:rPr>
                <w:sz w:val="20"/>
                <w:szCs w:val="20"/>
                <w:color w:val="auto"/>
              </w:rPr>
            </w:pPr>
            <w:r>
              <w:rPr>
                <w:rFonts w:ascii="Arial" w:cs="Arial" w:eastAsia="Arial" w:hAnsi="Arial"/>
                <w:sz w:val="17"/>
                <w:szCs w:val="17"/>
                <w:color w:val="auto"/>
              </w:rPr>
              <w:t>559,804</w:t>
            </w:r>
          </w:p>
        </w:tc>
        <w:tc>
          <w:tcPr>
            <w:tcW w:w="0" w:type="dxa"/>
            <w:vAlign w:val="bottom"/>
          </w:tcPr>
          <w:p>
            <w:pPr>
              <w:spacing w:after="0"/>
              <w:rPr>
                <w:sz w:val="1"/>
                <w:szCs w:val="1"/>
                <w:color w:val="auto"/>
              </w:rPr>
            </w:pPr>
          </w:p>
        </w:tc>
      </w:tr>
      <w:tr>
        <w:trPr>
          <w:trHeight w:val="233"/>
        </w:trPr>
        <w:tc>
          <w:tcPr>
            <w:tcW w:w="4460" w:type="dxa"/>
            <w:vAlign w:val="bottom"/>
          </w:tcPr>
          <w:p>
            <w:pPr>
              <w:ind w:left="160"/>
              <w:spacing w:after="0"/>
              <w:rPr>
                <w:sz w:val="20"/>
                <w:szCs w:val="20"/>
                <w:color w:val="auto"/>
              </w:rPr>
            </w:pPr>
            <w:r>
              <w:rPr>
                <w:rFonts w:ascii="Arial" w:cs="Arial" w:eastAsia="Arial" w:hAnsi="Arial"/>
                <w:sz w:val="17"/>
                <w:szCs w:val="17"/>
                <w:color w:val="auto"/>
              </w:rPr>
              <w:t>Merger reserve</w:t>
            </w:r>
          </w:p>
        </w:tc>
        <w:tc>
          <w:tcPr>
            <w:tcW w:w="2600" w:type="dxa"/>
            <w:vAlign w:val="bottom"/>
          </w:tcPr>
          <w:p>
            <w:pPr>
              <w:jc w:val="right"/>
              <w:ind w:right="634"/>
              <w:spacing w:after="0"/>
              <w:rPr>
                <w:sz w:val="20"/>
                <w:szCs w:val="20"/>
                <w:color w:val="auto"/>
              </w:rPr>
            </w:pPr>
            <w:r>
              <w:rPr>
                <w:rFonts w:ascii="Arial" w:cs="Arial" w:eastAsia="Arial" w:hAnsi="Arial"/>
                <w:sz w:val="17"/>
                <w:szCs w:val="17"/>
                <w:i w:val="1"/>
                <w:iCs w:val="1"/>
                <w:color w:val="auto"/>
              </w:rPr>
              <w:t>7</w:t>
            </w:r>
          </w:p>
        </w:tc>
        <w:tc>
          <w:tcPr>
            <w:tcW w:w="2100" w:type="dxa"/>
            <w:vAlign w:val="bottom"/>
          </w:tcPr>
          <w:p>
            <w:pPr>
              <w:jc w:val="right"/>
              <w:ind w:right="394"/>
              <w:spacing w:after="0"/>
              <w:rPr>
                <w:sz w:val="20"/>
                <w:szCs w:val="20"/>
                <w:color w:val="auto"/>
              </w:rPr>
            </w:pPr>
            <w:r>
              <w:rPr>
                <w:rFonts w:ascii="Arial" w:cs="Arial" w:eastAsia="Arial" w:hAnsi="Arial"/>
                <w:sz w:val="17"/>
                <w:szCs w:val="17"/>
                <w:b w:val="1"/>
                <w:bCs w:val="1"/>
                <w:color w:val="auto"/>
              </w:rPr>
              <w:t>5,656,195</w:t>
            </w:r>
          </w:p>
        </w:tc>
        <w:tc>
          <w:tcPr>
            <w:tcW w:w="1980" w:type="dxa"/>
            <w:vAlign w:val="bottom"/>
          </w:tcPr>
          <w:p>
            <w:pPr>
              <w:jc w:val="right"/>
              <w:spacing w:after="0"/>
              <w:rPr>
                <w:sz w:val="20"/>
                <w:szCs w:val="20"/>
                <w:color w:val="auto"/>
              </w:rPr>
            </w:pPr>
            <w:r>
              <w:rPr>
                <w:rFonts w:ascii="Arial" w:cs="Arial" w:eastAsia="Arial" w:hAnsi="Arial"/>
                <w:sz w:val="17"/>
                <w:szCs w:val="17"/>
                <w:color w:val="auto"/>
              </w:rPr>
              <w:t>5,656,195</w:t>
            </w:r>
          </w:p>
        </w:tc>
        <w:tc>
          <w:tcPr>
            <w:tcW w:w="0" w:type="dxa"/>
            <w:vAlign w:val="bottom"/>
          </w:tcPr>
          <w:p>
            <w:pPr>
              <w:spacing w:after="0"/>
              <w:rPr>
                <w:sz w:val="1"/>
                <w:szCs w:val="1"/>
                <w:color w:val="auto"/>
              </w:rPr>
            </w:pPr>
          </w:p>
        </w:tc>
      </w:tr>
      <w:tr>
        <w:trPr>
          <w:trHeight w:val="233"/>
        </w:trPr>
        <w:tc>
          <w:tcPr>
            <w:tcW w:w="4460" w:type="dxa"/>
            <w:vAlign w:val="bottom"/>
          </w:tcPr>
          <w:p>
            <w:pPr>
              <w:ind w:left="160"/>
              <w:spacing w:after="0"/>
              <w:rPr>
                <w:sz w:val="20"/>
                <w:szCs w:val="20"/>
                <w:color w:val="auto"/>
              </w:rPr>
            </w:pPr>
            <w:r>
              <w:rPr>
                <w:rFonts w:ascii="Arial" w:cs="Arial" w:eastAsia="Arial" w:hAnsi="Arial"/>
                <w:sz w:val="17"/>
                <w:szCs w:val="17"/>
                <w:color w:val="auto"/>
              </w:rPr>
              <w:t>Other undenominated capital</w:t>
            </w:r>
          </w:p>
        </w:tc>
        <w:tc>
          <w:tcPr>
            <w:tcW w:w="2600" w:type="dxa"/>
            <w:vAlign w:val="bottom"/>
          </w:tcPr>
          <w:p>
            <w:pPr>
              <w:jc w:val="right"/>
              <w:ind w:right="634"/>
              <w:spacing w:after="0"/>
              <w:rPr>
                <w:sz w:val="20"/>
                <w:szCs w:val="20"/>
                <w:color w:val="auto"/>
              </w:rPr>
            </w:pPr>
            <w:r>
              <w:rPr>
                <w:rFonts w:ascii="Arial" w:cs="Arial" w:eastAsia="Arial" w:hAnsi="Arial"/>
                <w:sz w:val="17"/>
                <w:szCs w:val="17"/>
                <w:i w:val="1"/>
                <w:iCs w:val="1"/>
                <w:color w:val="auto"/>
              </w:rPr>
              <w:t>7</w:t>
            </w:r>
          </w:p>
        </w:tc>
        <w:tc>
          <w:tcPr>
            <w:tcW w:w="2100" w:type="dxa"/>
            <w:vAlign w:val="bottom"/>
          </w:tcPr>
          <w:p>
            <w:pPr>
              <w:jc w:val="right"/>
              <w:ind w:right="394"/>
              <w:spacing w:after="0"/>
              <w:rPr>
                <w:sz w:val="20"/>
                <w:szCs w:val="20"/>
                <w:color w:val="auto"/>
              </w:rPr>
            </w:pPr>
            <w:r>
              <w:rPr>
                <w:rFonts w:ascii="Arial" w:cs="Arial" w:eastAsia="Arial" w:hAnsi="Arial"/>
                <w:sz w:val="17"/>
                <w:szCs w:val="17"/>
                <w:b w:val="1"/>
                <w:bCs w:val="1"/>
                <w:color w:val="auto"/>
              </w:rPr>
              <w:t>1,389</w:t>
            </w:r>
          </w:p>
        </w:tc>
        <w:tc>
          <w:tcPr>
            <w:tcW w:w="1980" w:type="dxa"/>
            <w:vAlign w:val="bottom"/>
          </w:tcPr>
          <w:p>
            <w:pPr>
              <w:jc w:val="right"/>
              <w:spacing w:after="0"/>
              <w:rPr>
                <w:sz w:val="20"/>
                <w:szCs w:val="20"/>
                <w:color w:val="auto"/>
              </w:rPr>
            </w:pPr>
            <w:r>
              <w:rPr>
                <w:rFonts w:ascii="Arial" w:cs="Arial" w:eastAsia="Arial" w:hAnsi="Arial"/>
                <w:sz w:val="17"/>
                <w:szCs w:val="17"/>
                <w:color w:val="auto"/>
              </w:rPr>
              <w:t>1,304</w:t>
            </w:r>
          </w:p>
        </w:tc>
        <w:tc>
          <w:tcPr>
            <w:tcW w:w="0" w:type="dxa"/>
            <w:vAlign w:val="bottom"/>
          </w:tcPr>
          <w:p>
            <w:pPr>
              <w:spacing w:after="0"/>
              <w:rPr>
                <w:sz w:val="1"/>
                <w:szCs w:val="1"/>
                <w:color w:val="auto"/>
              </w:rPr>
            </w:pPr>
          </w:p>
        </w:tc>
      </w:tr>
      <w:tr>
        <w:trPr>
          <w:trHeight w:val="233"/>
        </w:trPr>
        <w:tc>
          <w:tcPr>
            <w:tcW w:w="4460" w:type="dxa"/>
            <w:vAlign w:val="bottom"/>
          </w:tcPr>
          <w:p>
            <w:pPr>
              <w:ind w:left="160"/>
              <w:spacing w:after="0"/>
              <w:rPr>
                <w:sz w:val="20"/>
                <w:szCs w:val="20"/>
                <w:color w:val="auto"/>
              </w:rPr>
            </w:pPr>
            <w:r>
              <w:rPr>
                <w:rFonts w:ascii="Arial" w:cs="Arial" w:eastAsia="Arial" w:hAnsi="Arial"/>
                <w:sz w:val="17"/>
                <w:szCs w:val="17"/>
                <w:color w:val="auto"/>
              </w:rPr>
              <w:t>Share-based payment reserve</w:t>
            </w:r>
          </w:p>
        </w:tc>
        <w:tc>
          <w:tcPr>
            <w:tcW w:w="2600" w:type="dxa"/>
            <w:vAlign w:val="bottom"/>
          </w:tcPr>
          <w:p>
            <w:pPr>
              <w:jc w:val="right"/>
              <w:ind w:right="634"/>
              <w:spacing w:after="0"/>
              <w:rPr>
                <w:sz w:val="20"/>
                <w:szCs w:val="20"/>
                <w:color w:val="auto"/>
              </w:rPr>
            </w:pPr>
            <w:r>
              <w:rPr>
                <w:rFonts w:ascii="Arial" w:cs="Arial" w:eastAsia="Arial" w:hAnsi="Arial"/>
                <w:sz w:val="17"/>
                <w:szCs w:val="17"/>
                <w:i w:val="1"/>
                <w:iCs w:val="1"/>
                <w:color w:val="auto"/>
              </w:rPr>
              <w:t>7</w:t>
            </w:r>
          </w:p>
        </w:tc>
        <w:tc>
          <w:tcPr>
            <w:tcW w:w="2100" w:type="dxa"/>
            <w:vAlign w:val="bottom"/>
          </w:tcPr>
          <w:p>
            <w:pPr>
              <w:jc w:val="right"/>
              <w:ind w:right="394"/>
              <w:spacing w:after="0"/>
              <w:rPr>
                <w:sz w:val="20"/>
                <w:szCs w:val="20"/>
                <w:color w:val="auto"/>
              </w:rPr>
            </w:pPr>
            <w:r>
              <w:rPr>
                <w:rFonts w:ascii="Arial" w:cs="Arial" w:eastAsia="Arial" w:hAnsi="Arial"/>
                <w:sz w:val="17"/>
                <w:szCs w:val="17"/>
                <w:b w:val="1"/>
                <w:bCs w:val="1"/>
                <w:color w:val="auto"/>
              </w:rPr>
              <w:t>280,849</w:t>
            </w:r>
          </w:p>
        </w:tc>
        <w:tc>
          <w:tcPr>
            <w:tcW w:w="1980" w:type="dxa"/>
            <w:vAlign w:val="bottom"/>
          </w:tcPr>
          <w:p>
            <w:pPr>
              <w:jc w:val="right"/>
              <w:spacing w:after="0"/>
              <w:rPr>
                <w:sz w:val="20"/>
                <w:szCs w:val="20"/>
                <w:color w:val="auto"/>
              </w:rPr>
            </w:pPr>
            <w:r>
              <w:rPr>
                <w:rFonts w:ascii="Arial" w:cs="Arial" w:eastAsia="Arial" w:hAnsi="Arial"/>
                <w:sz w:val="17"/>
                <w:szCs w:val="17"/>
                <w:color w:val="auto"/>
              </w:rPr>
              <w:t>270,550</w:t>
            </w:r>
          </w:p>
        </w:tc>
        <w:tc>
          <w:tcPr>
            <w:tcW w:w="0" w:type="dxa"/>
            <w:vAlign w:val="bottom"/>
          </w:tcPr>
          <w:p>
            <w:pPr>
              <w:spacing w:after="0"/>
              <w:rPr>
                <w:sz w:val="1"/>
                <w:szCs w:val="1"/>
                <w:color w:val="auto"/>
              </w:rPr>
            </w:pPr>
          </w:p>
        </w:tc>
      </w:tr>
      <w:tr>
        <w:trPr>
          <w:trHeight w:val="233"/>
        </w:trPr>
        <w:tc>
          <w:tcPr>
            <w:tcW w:w="4460" w:type="dxa"/>
            <w:vAlign w:val="bottom"/>
          </w:tcPr>
          <w:p>
            <w:pPr>
              <w:ind w:left="160"/>
              <w:spacing w:after="0"/>
              <w:rPr>
                <w:sz w:val="20"/>
                <w:szCs w:val="20"/>
                <w:color w:val="auto"/>
              </w:rPr>
            </w:pPr>
            <w:r>
              <w:rPr>
                <w:rFonts w:ascii="Arial" w:cs="Arial" w:eastAsia="Arial" w:hAnsi="Arial"/>
                <w:sz w:val="17"/>
                <w:szCs w:val="17"/>
                <w:color w:val="auto"/>
              </w:rPr>
              <w:t>Other reserve</w:t>
            </w:r>
          </w:p>
        </w:tc>
        <w:tc>
          <w:tcPr>
            <w:tcW w:w="2600" w:type="dxa"/>
            <w:vAlign w:val="bottom"/>
          </w:tcPr>
          <w:p>
            <w:pPr>
              <w:jc w:val="right"/>
              <w:ind w:right="634"/>
              <w:spacing w:after="0"/>
              <w:rPr>
                <w:sz w:val="20"/>
                <w:szCs w:val="20"/>
                <w:color w:val="auto"/>
              </w:rPr>
            </w:pPr>
            <w:r>
              <w:rPr>
                <w:rFonts w:ascii="Arial" w:cs="Arial" w:eastAsia="Arial" w:hAnsi="Arial"/>
                <w:sz w:val="17"/>
                <w:szCs w:val="17"/>
                <w:i w:val="1"/>
                <w:iCs w:val="1"/>
                <w:color w:val="auto"/>
              </w:rPr>
              <w:t>7</w:t>
            </w:r>
          </w:p>
        </w:tc>
        <w:tc>
          <w:tcPr>
            <w:tcW w:w="2100" w:type="dxa"/>
            <w:vAlign w:val="bottom"/>
          </w:tcPr>
          <w:p>
            <w:pPr>
              <w:jc w:val="right"/>
              <w:ind w:right="394"/>
              <w:spacing w:after="0"/>
              <w:rPr>
                <w:sz w:val="20"/>
                <w:szCs w:val="20"/>
                <w:color w:val="auto"/>
              </w:rPr>
            </w:pPr>
            <w:r>
              <w:rPr>
                <w:rFonts w:ascii="Arial" w:cs="Arial" w:eastAsia="Arial" w:hAnsi="Arial"/>
                <w:sz w:val="17"/>
                <w:szCs w:val="17"/>
                <w:b w:val="1"/>
                <w:bCs w:val="1"/>
                <w:color w:val="auto"/>
              </w:rPr>
              <w:t>27,405</w:t>
            </w:r>
          </w:p>
        </w:tc>
        <w:tc>
          <w:tcPr>
            <w:tcW w:w="1980" w:type="dxa"/>
            <w:vAlign w:val="bottom"/>
          </w:tcPr>
          <w:p>
            <w:pPr>
              <w:jc w:val="right"/>
              <w:spacing w:after="0"/>
              <w:rPr>
                <w:sz w:val="20"/>
                <w:szCs w:val="20"/>
                <w:color w:val="auto"/>
              </w:rPr>
            </w:pPr>
            <w:r>
              <w:rPr>
                <w:rFonts w:ascii="Arial" w:cs="Arial" w:eastAsia="Arial" w:hAnsi="Arial"/>
                <w:sz w:val="17"/>
                <w:szCs w:val="17"/>
                <w:color w:val="auto"/>
              </w:rPr>
              <w:t>27,405</w:t>
            </w:r>
          </w:p>
        </w:tc>
        <w:tc>
          <w:tcPr>
            <w:tcW w:w="0" w:type="dxa"/>
            <w:vAlign w:val="bottom"/>
          </w:tcPr>
          <w:p>
            <w:pPr>
              <w:spacing w:after="0"/>
              <w:rPr>
                <w:sz w:val="1"/>
                <w:szCs w:val="1"/>
                <w:color w:val="auto"/>
              </w:rPr>
            </w:pPr>
          </w:p>
        </w:tc>
      </w:tr>
      <w:tr>
        <w:trPr>
          <w:trHeight w:val="241"/>
        </w:trPr>
        <w:tc>
          <w:tcPr>
            <w:tcW w:w="4460" w:type="dxa"/>
            <w:vAlign w:val="bottom"/>
          </w:tcPr>
          <w:p>
            <w:pPr>
              <w:ind w:left="160"/>
              <w:spacing w:after="0"/>
              <w:rPr>
                <w:sz w:val="20"/>
                <w:szCs w:val="20"/>
                <w:color w:val="auto"/>
              </w:rPr>
            </w:pPr>
            <w:r>
              <w:rPr>
                <w:rFonts w:ascii="Arial" w:cs="Arial" w:eastAsia="Arial" w:hAnsi="Arial"/>
                <w:sz w:val="17"/>
                <w:szCs w:val="17"/>
                <w:color w:val="auto"/>
              </w:rPr>
              <w:t>Foreign currency reserve</w:t>
            </w:r>
          </w:p>
        </w:tc>
        <w:tc>
          <w:tcPr>
            <w:tcW w:w="2600" w:type="dxa"/>
            <w:vAlign w:val="bottom"/>
          </w:tcPr>
          <w:p>
            <w:pPr>
              <w:jc w:val="right"/>
              <w:ind w:right="634"/>
              <w:spacing w:after="0"/>
              <w:rPr>
                <w:sz w:val="20"/>
                <w:szCs w:val="20"/>
                <w:color w:val="auto"/>
              </w:rPr>
            </w:pPr>
            <w:r>
              <w:rPr>
                <w:rFonts w:ascii="Arial" w:cs="Arial" w:eastAsia="Arial" w:hAnsi="Arial"/>
                <w:sz w:val="17"/>
                <w:szCs w:val="17"/>
                <w:i w:val="1"/>
                <w:iCs w:val="1"/>
                <w:color w:val="auto"/>
              </w:rPr>
              <w:t>7</w:t>
            </w:r>
          </w:p>
        </w:tc>
        <w:tc>
          <w:tcPr>
            <w:tcW w:w="2100" w:type="dxa"/>
            <w:vAlign w:val="bottom"/>
          </w:tcPr>
          <w:p>
            <w:pPr>
              <w:jc w:val="right"/>
              <w:ind w:right="334"/>
              <w:spacing w:after="0"/>
              <w:rPr>
                <w:sz w:val="20"/>
                <w:szCs w:val="20"/>
                <w:color w:val="auto"/>
              </w:rPr>
            </w:pPr>
            <w:r>
              <w:rPr>
                <w:rFonts w:ascii="Arial" w:cs="Arial" w:eastAsia="Arial" w:hAnsi="Arial"/>
                <w:sz w:val="17"/>
                <w:szCs w:val="17"/>
                <w:b w:val="1"/>
                <w:bCs w:val="1"/>
                <w:color w:val="auto"/>
              </w:rPr>
              <w:t>(112,344)</w:t>
            </w:r>
          </w:p>
        </w:tc>
        <w:tc>
          <w:tcPr>
            <w:tcW w:w="1980" w:type="dxa"/>
            <w:vAlign w:val="bottom"/>
          </w:tcPr>
          <w:p>
            <w:pPr>
              <w:jc w:val="right"/>
              <w:spacing w:after="0"/>
              <w:rPr>
                <w:sz w:val="20"/>
                <w:szCs w:val="20"/>
                <w:color w:val="auto"/>
              </w:rPr>
            </w:pPr>
            <w:r>
              <w:rPr>
                <w:rFonts w:ascii="Arial" w:cs="Arial" w:eastAsia="Arial" w:hAnsi="Arial"/>
                <w:sz w:val="17"/>
                <w:szCs w:val="17"/>
                <w:color w:val="auto"/>
              </w:rPr>
              <w:t>(113,342)</w:t>
            </w:r>
          </w:p>
        </w:tc>
        <w:tc>
          <w:tcPr>
            <w:tcW w:w="0" w:type="dxa"/>
            <w:vAlign w:val="bottom"/>
          </w:tcPr>
          <w:p>
            <w:pPr>
              <w:spacing w:after="0"/>
              <w:rPr>
                <w:sz w:val="1"/>
                <w:szCs w:val="1"/>
                <w:color w:val="auto"/>
              </w:rPr>
            </w:pPr>
          </w:p>
        </w:tc>
      </w:tr>
      <w:tr>
        <w:trPr>
          <w:trHeight w:val="256"/>
        </w:trPr>
        <w:tc>
          <w:tcPr>
            <w:tcW w:w="44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Retained earnings</w:t>
            </w:r>
          </w:p>
        </w:tc>
        <w:tc>
          <w:tcPr>
            <w:tcW w:w="260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i w:val="1"/>
                <w:iCs w:val="1"/>
                <w:color w:val="auto"/>
              </w:rPr>
              <w:t>7</w:t>
            </w:r>
          </w:p>
        </w:tc>
        <w:tc>
          <w:tcPr>
            <w:tcW w:w="21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1,168,788</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927,650</w:t>
            </w:r>
          </w:p>
        </w:tc>
        <w:tc>
          <w:tcPr>
            <w:tcW w:w="0" w:type="dxa"/>
            <w:vAlign w:val="bottom"/>
          </w:tcPr>
          <w:p>
            <w:pPr>
              <w:spacing w:after="0"/>
              <w:rPr>
                <w:sz w:val="1"/>
                <w:szCs w:val="1"/>
                <w:color w:val="auto"/>
              </w:rPr>
            </w:pPr>
          </w:p>
        </w:tc>
      </w:tr>
      <w:tr>
        <w:trPr>
          <w:trHeight w:val="226"/>
        </w:trPr>
        <w:tc>
          <w:tcPr>
            <w:tcW w:w="44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Total equity attributable to equity holders</w:t>
            </w:r>
          </w:p>
        </w:tc>
        <w:tc>
          <w:tcPr>
            <w:tcW w:w="26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7,594,485</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7,336,152</w:t>
            </w:r>
          </w:p>
        </w:tc>
        <w:tc>
          <w:tcPr>
            <w:tcW w:w="0" w:type="dxa"/>
            <w:vAlign w:val="bottom"/>
          </w:tcPr>
          <w:p>
            <w:pPr>
              <w:spacing w:after="0"/>
              <w:rPr>
                <w:sz w:val="1"/>
                <w:szCs w:val="1"/>
                <w:color w:val="auto"/>
              </w:rPr>
            </w:pPr>
          </w:p>
        </w:tc>
      </w:tr>
      <w:tr>
        <w:trPr>
          <w:trHeight w:val="453"/>
        </w:trPr>
        <w:tc>
          <w:tcPr>
            <w:tcW w:w="4460" w:type="dxa"/>
            <w:vAlign w:val="bottom"/>
          </w:tcPr>
          <w:p>
            <w:pPr>
              <w:ind w:left="60"/>
              <w:spacing w:after="0"/>
              <w:rPr>
                <w:sz w:val="20"/>
                <w:szCs w:val="20"/>
                <w:color w:val="auto"/>
              </w:rPr>
            </w:pPr>
            <w:r>
              <w:rPr>
                <w:rFonts w:ascii="Arial" w:cs="Arial" w:eastAsia="Arial" w:hAnsi="Arial"/>
                <w:sz w:val="17"/>
                <w:szCs w:val="17"/>
                <w:b w:val="1"/>
                <w:bCs w:val="1"/>
                <w:color w:val="auto"/>
              </w:rPr>
              <w:t>LIABILITIES</w:t>
            </w:r>
          </w:p>
        </w:tc>
        <w:tc>
          <w:tcPr>
            <w:tcW w:w="2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60" w:type="dxa"/>
            <w:vAlign w:val="bottom"/>
          </w:tcPr>
          <w:p>
            <w:pPr>
              <w:ind w:left="60"/>
              <w:spacing w:after="0"/>
              <w:rPr>
                <w:sz w:val="20"/>
                <w:szCs w:val="20"/>
                <w:color w:val="auto"/>
              </w:rPr>
            </w:pPr>
            <w:r>
              <w:rPr>
                <w:rFonts w:ascii="Arial" w:cs="Arial" w:eastAsia="Arial" w:hAnsi="Arial"/>
                <w:sz w:val="17"/>
                <w:szCs w:val="17"/>
                <w:b w:val="1"/>
                <w:bCs w:val="1"/>
                <w:color w:val="auto"/>
              </w:rPr>
              <w:t>Non-current liabilities</w:t>
            </w:r>
          </w:p>
        </w:tc>
        <w:tc>
          <w:tcPr>
            <w:tcW w:w="2600" w:type="dxa"/>
            <w:vAlign w:val="bottom"/>
          </w:tcPr>
          <w:p>
            <w:pPr>
              <w:spacing w:after="0"/>
              <w:rPr>
                <w:sz w:val="20"/>
                <w:szCs w:val="20"/>
                <w:color w:val="auto"/>
              </w:rPr>
            </w:pPr>
          </w:p>
        </w:tc>
        <w:tc>
          <w:tcPr>
            <w:tcW w:w="210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rPr>
              <w:t>5,873</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Non-current lease liabilities</w:t>
            </w:r>
          </w:p>
        </w:tc>
        <w:tc>
          <w:tcPr>
            <w:tcW w:w="26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vMerge w:val="continue"/>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5,579</w:t>
            </w:r>
          </w:p>
        </w:tc>
        <w:tc>
          <w:tcPr>
            <w:tcW w:w="0" w:type="dxa"/>
            <w:vAlign w:val="bottom"/>
          </w:tcPr>
          <w:p>
            <w:pPr>
              <w:spacing w:after="0"/>
              <w:rPr>
                <w:sz w:val="1"/>
                <w:szCs w:val="1"/>
                <w:color w:val="auto"/>
              </w:rPr>
            </w:pPr>
          </w:p>
        </w:tc>
      </w:tr>
      <w:tr>
        <w:trPr>
          <w:trHeight w:val="226"/>
        </w:trPr>
        <w:tc>
          <w:tcPr>
            <w:tcW w:w="44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Total non-current liabilities</w:t>
            </w:r>
          </w:p>
        </w:tc>
        <w:tc>
          <w:tcPr>
            <w:tcW w:w="26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5,873</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5,579</w:t>
            </w:r>
          </w:p>
        </w:tc>
        <w:tc>
          <w:tcPr>
            <w:tcW w:w="0" w:type="dxa"/>
            <w:vAlign w:val="bottom"/>
          </w:tcPr>
          <w:p>
            <w:pPr>
              <w:spacing w:after="0"/>
              <w:rPr>
                <w:sz w:val="1"/>
                <w:szCs w:val="1"/>
                <w:color w:val="auto"/>
              </w:rPr>
            </w:pPr>
          </w:p>
        </w:tc>
      </w:tr>
      <w:tr>
        <w:trPr>
          <w:trHeight w:val="455"/>
        </w:trPr>
        <w:tc>
          <w:tcPr>
            <w:tcW w:w="4460" w:type="dxa"/>
            <w:vAlign w:val="bottom"/>
          </w:tcPr>
          <w:p>
            <w:pPr>
              <w:ind w:left="60"/>
              <w:spacing w:after="0"/>
              <w:rPr>
                <w:sz w:val="20"/>
                <w:szCs w:val="20"/>
                <w:color w:val="auto"/>
              </w:rPr>
            </w:pPr>
            <w:r>
              <w:rPr>
                <w:rFonts w:ascii="Arial" w:cs="Arial" w:eastAsia="Arial" w:hAnsi="Arial"/>
                <w:sz w:val="17"/>
                <w:szCs w:val="17"/>
                <w:b w:val="1"/>
                <w:bCs w:val="1"/>
                <w:color w:val="auto"/>
              </w:rPr>
              <w:t>Current liabilities</w:t>
            </w:r>
          </w:p>
        </w:tc>
        <w:tc>
          <w:tcPr>
            <w:tcW w:w="2600" w:type="dxa"/>
            <w:vAlign w:val="bottom"/>
          </w:tcPr>
          <w:p>
            <w:pPr>
              <w:spacing w:after="0"/>
              <w:rPr>
                <w:sz w:val="24"/>
                <w:szCs w:val="24"/>
                <w:color w:val="auto"/>
              </w:rPr>
            </w:pPr>
          </w:p>
        </w:tc>
        <w:tc>
          <w:tcPr>
            <w:tcW w:w="210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rPr>
              <w:t>87</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46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260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1,160</w:t>
            </w:r>
          </w:p>
        </w:tc>
        <w:tc>
          <w:tcPr>
            <w:tcW w:w="0" w:type="dxa"/>
            <w:vAlign w:val="bottom"/>
          </w:tcPr>
          <w:p>
            <w:pPr>
              <w:spacing w:after="0"/>
              <w:rPr>
                <w:sz w:val="1"/>
                <w:szCs w:val="1"/>
                <w:color w:val="auto"/>
              </w:rPr>
            </w:pPr>
          </w:p>
        </w:tc>
      </w:tr>
      <w:tr>
        <w:trPr>
          <w:trHeight w:val="233"/>
        </w:trPr>
        <w:tc>
          <w:tcPr>
            <w:tcW w:w="4460" w:type="dxa"/>
            <w:vAlign w:val="bottom"/>
          </w:tcPr>
          <w:p>
            <w:pPr>
              <w:ind w:left="140"/>
              <w:spacing w:after="0"/>
              <w:rPr>
                <w:sz w:val="20"/>
                <w:szCs w:val="20"/>
                <w:color w:val="auto"/>
              </w:rPr>
            </w:pPr>
            <w:r>
              <w:rPr>
                <w:rFonts w:ascii="Arial" w:cs="Arial" w:eastAsia="Arial" w:hAnsi="Arial"/>
                <w:sz w:val="17"/>
                <w:szCs w:val="17"/>
                <w:color w:val="auto"/>
              </w:rPr>
              <w:t>Amounts due to subsidiary undertakings</w:t>
            </w:r>
          </w:p>
        </w:tc>
        <w:tc>
          <w:tcPr>
            <w:tcW w:w="2600" w:type="dxa"/>
            <w:vAlign w:val="bottom"/>
          </w:tcPr>
          <w:p>
            <w:pPr>
              <w:jc w:val="right"/>
              <w:ind w:right="634"/>
              <w:spacing w:after="0"/>
              <w:rPr>
                <w:sz w:val="20"/>
                <w:szCs w:val="20"/>
                <w:color w:val="auto"/>
              </w:rPr>
            </w:pPr>
            <w:r>
              <w:rPr>
                <w:rFonts w:ascii="Arial" w:cs="Arial" w:eastAsia="Arial" w:hAnsi="Arial"/>
                <w:sz w:val="17"/>
                <w:szCs w:val="17"/>
                <w:i w:val="1"/>
                <w:iCs w:val="1"/>
                <w:color w:val="auto"/>
              </w:rPr>
              <w:t>4</w:t>
            </w:r>
          </w:p>
        </w:tc>
        <w:tc>
          <w:tcPr>
            <w:tcW w:w="2100" w:type="dxa"/>
            <w:vAlign w:val="bottom"/>
          </w:tcPr>
          <w:p>
            <w:pPr>
              <w:jc w:val="right"/>
              <w:ind w:right="394"/>
              <w:spacing w:after="0"/>
              <w:rPr>
                <w:sz w:val="20"/>
                <w:szCs w:val="20"/>
                <w:color w:val="auto"/>
              </w:rPr>
            </w:pPr>
            <w:r>
              <w:rPr>
                <w:rFonts w:ascii="Arial" w:cs="Arial" w:eastAsia="Arial" w:hAnsi="Arial"/>
                <w:sz w:val="17"/>
                <w:szCs w:val="17"/>
                <w:b w:val="1"/>
                <w:bCs w:val="1"/>
                <w:color w:val="auto"/>
              </w:rPr>
              <w:t>544</w:t>
            </w:r>
          </w:p>
        </w:tc>
        <w:tc>
          <w:tcPr>
            <w:tcW w:w="1980" w:type="dxa"/>
            <w:vAlign w:val="bottom"/>
          </w:tcPr>
          <w:p>
            <w:pPr>
              <w:jc w:val="right"/>
              <w:spacing w:after="0"/>
              <w:rPr>
                <w:sz w:val="20"/>
                <w:szCs w:val="20"/>
                <w:color w:val="auto"/>
              </w:rPr>
            </w:pPr>
            <w:r>
              <w:rPr>
                <w:rFonts w:ascii="Arial" w:cs="Arial" w:eastAsia="Arial" w:hAnsi="Arial"/>
                <w:sz w:val="17"/>
                <w:szCs w:val="17"/>
                <w:color w:val="auto"/>
              </w:rPr>
              <w:t>3,433</w:t>
            </w:r>
          </w:p>
        </w:tc>
        <w:tc>
          <w:tcPr>
            <w:tcW w:w="0" w:type="dxa"/>
            <w:vAlign w:val="bottom"/>
          </w:tcPr>
          <w:p>
            <w:pPr>
              <w:spacing w:after="0"/>
              <w:rPr>
                <w:sz w:val="1"/>
                <w:szCs w:val="1"/>
                <w:color w:val="auto"/>
              </w:rPr>
            </w:pPr>
          </w:p>
        </w:tc>
      </w:tr>
      <w:tr>
        <w:trPr>
          <w:trHeight w:val="233"/>
        </w:trPr>
        <w:tc>
          <w:tcPr>
            <w:tcW w:w="4460" w:type="dxa"/>
            <w:vAlign w:val="bottom"/>
          </w:tcPr>
          <w:p>
            <w:pPr>
              <w:ind w:left="140"/>
              <w:spacing w:after="0"/>
              <w:rPr>
                <w:sz w:val="20"/>
                <w:szCs w:val="20"/>
                <w:color w:val="auto"/>
              </w:rPr>
            </w:pPr>
            <w:r>
              <w:rPr>
                <w:rFonts w:ascii="Arial" w:cs="Arial" w:eastAsia="Arial" w:hAnsi="Arial"/>
                <w:sz w:val="17"/>
                <w:szCs w:val="17"/>
                <w:color w:val="auto"/>
              </w:rPr>
              <w:t>Accrued and other liabilities</w:t>
            </w:r>
          </w:p>
        </w:tc>
        <w:tc>
          <w:tcPr>
            <w:tcW w:w="2600" w:type="dxa"/>
            <w:vAlign w:val="bottom"/>
          </w:tcPr>
          <w:p>
            <w:pPr>
              <w:jc w:val="right"/>
              <w:ind w:right="634"/>
              <w:spacing w:after="0"/>
              <w:rPr>
                <w:sz w:val="20"/>
                <w:szCs w:val="20"/>
                <w:color w:val="auto"/>
              </w:rPr>
            </w:pPr>
            <w:r>
              <w:rPr>
                <w:rFonts w:ascii="Arial" w:cs="Arial" w:eastAsia="Arial" w:hAnsi="Arial"/>
                <w:sz w:val="17"/>
                <w:szCs w:val="17"/>
                <w:i w:val="1"/>
                <w:iCs w:val="1"/>
                <w:color w:val="auto"/>
              </w:rPr>
              <w:t>5</w:t>
            </w:r>
          </w:p>
        </w:tc>
        <w:tc>
          <w:tcPr>
            <w:tcW w:w="2100" w:type="dxa"/>
            <w:vAlign w:val="bottom"/>
          </w:tcPr>
          <w:p>
            <w:pPr>
              <w:jc w:val="right"/>
              <w:ind w:right="394"/>
              <w:spacing w:after="0"/>
              <w:rPr>
                <w:sz w:val="20"/>
                <w:szCs w:val="20"/>
                <w:color w:val="auto"/>
              </w:rPr>
            </w:pPr>
            <w:r>
              <w:rPr>
                <w:rFonts w:ascii="Arial" w:cs="Arial" w:eastAsia="Arial" w:hAnsi="Arial"/>
                <w:sz w:val="17"/>
                <w:szCs w:val="17"/>
                <w:b w:val="1"/>
                <w:bCs w:val="1"/>
                <w:color w:val="auto"/>
              </w:rPr>
              <w:t>7,389</w:t>
            </w:r>
          </w:p>
        </w:tc>
        <w:tc>
          <w:tcPr>
            <w:tcW w:w="1980" w:type="dxa"/>
            <w:vAlign w:val="bottom"/>
          </w:tcPr>
          <w:p>
            <w:pPr>
              <w:jc w:val="right"/>
              <w:spacing w:after="0"/>
              <w:rPr>
                <w:sz w:val="20"/>
                <w:szCs w:val="20"/>
                <w:color w:val="auto"/>
              </w:rPr>
            </w:pPr>
            <w:r>
              <w:rPr>
                <w:rFonts w:ascii="Arial" w:cs="Arial" w:eastAsia="Arial" w:hAnsi="Arial"/>
                <w:sz w:val="17"/>
                <w:szCs w:val="17"/>
                <w:color w:val="auto"/>
              </w:rPr>
              <w:t>7,301</w:t>
            </w:r>
          </w:p>
        </w:tc>
        <w:tc>
          <w:tcPr>
            <w:tcW w:w="0" w:type="dxa"/>
            <w:vAlign w:val="bottom"/>
          </w:tcPr>
          <w:p>
            <w:pPr>
              <w:spacing w:after="0"/>
              <w:rPr>
                <w:sz w:val="1"/>
                <w:szCs w:val="1"/>
                <w:color w:val="auto"/>
              </w:rPr>
            </w:pPr>
          </w:p>
        </w:tc>
      </w:tr>
      <w:tr>
        <w:trPr>
          <w:trHeight w:val="238"/>
        </w:trPr>
        <w:tc>
          <w:tcPr>
            <w:tcW w:w="44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Current taxes payable</w:t>
            </w:r>
          </w:p>
        </w:tc>
        <w:tc>
          <w:tcPr>
            <w:tcW w:w="26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11,508</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10,675</w:t>
            </w:r>
          </w:p>
        </w:tc>
        <w:tc>
          <w:tcPr>
            <w:tcW w:w="0" w:type="dxa"/>
            <w:vAlign w:val="bottom"/>
          </w:tcPr>
          <w:p>
            <w:pPr>
              <w:spacing w:after="0"/>
              <w:rPr>
                <w:sz w:val="1"/>
                <w:szCs w:val="1"/>
                <w:color w:val="auto"/>
              </w:rPr>
            </w:pPr>
          </w:p>
        </w:tc>
      </w:tr>
      <w:tr>
        <w:trPr>
          <w:trHeight w:val="226"/>
        </w:trPr>
        <w:tc>
          <w:tcPr>
            <w:tcW w:w="44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Total current liabilities</w:t>
            </w:r>
          </w:p>
        </w:tc>
        <w:tc>
          <w:tcPr>
            <w:tcW w:w="26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19,528</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22,569</w:t>
            </w:r>
          </w:p>
        </w:tc>
        <w:tc>
          <w:tcPr>
            <w:tcW w:w="0" w:type="dxa"/>
            <w:vAlign w:val="bottom"/>
          </w:tcPr>
          <w:p>
            <w:pPr>
              <w:spacing w:after="0"/>
              <w:rPr>
                <w:sz w:val="1"/>
                <w:szCs w:val="1"/>
                <w:color w:val="auto"/>
              </w:rPr>
            </w:pPr>
          </w:p>
        </w:tc>
      </w:tr>
      <w:tr>
        <w:trPr>
          <w:trHeight w:val="226"/>
        </w:trPr>
        <w:tc>
          <w:tcPr>
            <w:tcW w:w="44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Total liabilities</w:t>
            </w:r>
          </w:p>
        </w:tc>
        <w:tc>
          <w:tcPr>
            <w:tcW w:w="26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25,401</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28,148</w:t>
            </w:r>
          </w:p>
        </w:tc>
        <w:tc>
          <w:tcPr>
            <w:tcW w:w="0" w:type="dxa"/>
            <w:vAlign w:val="bottom"/>
          </w:tcPr>
          <w:p>
            <w:pPr>
              <w:spacing w:after="0"/>
              <w:rPr>
                <w:sz w:val="1"/>
                <w:szCs w:val="1"/>
                <w:color w:val="auto"/>
              </w:rPr>
            </w:pPr>
          </w:p>
        </w:tc>
      </w:tr>
      <w:tr>
        <w:trPr>
          <w:trHeight w:val="226"/>
        </w:trPr>
        <w:tc>
          <w:tcPr>
            <w:tcW w:w="44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Total equity and liabilities</w:t>
            </w:r>
          </w:p>
        </w:tc>
        <w:tc>
          <w:tcPr>
            <w:tcW w:w="26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7,619,886</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7,364,300</w:t>
            </w:r>
          </w:p>
        </w:tc>
        <w:tc>
          <w:tcPr>
            <w:tcW w:w="0" w:type="dxa"/>
            <w:vAlign w:val="bottom"/>
          </w:tcPr>
          <w:p>
            <w:pPr>
              <w:spacing w:after="0"/>
              <w:rPr>
                <w:sz w:val="1"/>
                <w:szCs w:val="1"/>
                <w:color w:val="auto"/>
              </w:rPr>
            </w:pPr>
          </w:p>
        </w:tc>
      </w:tr>
      <w:tr>
        <w:trPr>
          <w:trHeight w:val="513"/>
        </w:trPr>
        <w:tc>
          <w:tcPr>
            <w:tcW w:w="4460" w:type="dxa"/>
            <w:vAlign w:val="bottom"/>
          </w:tcPr>
          <w:p>
            <w:pPr>
              <w:ind w:left="100"/>
              <w:spacing w:after="0"/>
              <w:rPr>
                <w:sz w:val="20"/>
                <w:szCs w:val="20"/>
                <w:color w:val="auto"/>
              </w:rPr>
            </w:pPr>
            <w:r>
              <w:rPr>
                <w:rFonts w:ascii="Arial" w:cs="Arial" w:eastAsia="Arial" w:hAnsi="Arial"/>
                <w:sz w:val="17"/>
                <w:szCs w:val="17"/>
                <w:color w:val="auto"/>
              </w:rPr>
              <w:t>On behalf of the Board</w:t>
            </w:r>
          </w:p>
        </w:tc>
        <w:tc>
          <w:tcPr>
            <w:tcW w:w="2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4460" w:type="dxa"/>
            <w:vAlign w:val="bottom"/>
          </w:tcPr>
          <w:p>
            <w:pPr>
              <w:ind w:left="260"/>
              <w:spacing w:after="0"/>
              <w:rPr>
                <w:sz w:val="20"/>
                <w:szCs w:val="20"/>
                <w:color w:val="auto"/>
              </w:rPr>
            </w:pPr>
            <w:r>
              <w:rPr>
                <w:rFonts w:ascii="Arial" w:cs="Arial" w:eastAsia="Arial" w:hAnsi="Arial"/>
                <w:sz w:val="17"/>
                <w:szCs w:val="17"/>
                <w:color w:val="auto"/>
              </w:rPr>
              <w:t>Rónán Murphy</w:t>
            </w:r>
          </w:p>
        </w:tc>
        <w:tc>
          <w:tcPr>
            <w:tcW w:w="2600" w:type="dxa"/>
            <w:vAlign w:val="bottom"/>
          </w:tcPr>
          <w:p>
            <w:pPr>
              <w:ind w:left="1020"/>
              <w:spacing w:after="0"/>
              <w:rPr>
                <w:sz w:val="20"/>
                <w:szCs w:val="20"/>
                <w:color w:val="auto"/>
              </w:rPr>
            </w:pPr>
            <w:r>
              <w:rPr>
                <w:rFonts w:ascii="Arial" w:cs="Arial" w:eastAsia="Arial" w:hAnsi="Arial"/>
                <w:sz w:val="17"/>
                <w:szCs w:val="17"/>
                <w:color w:val="auto"/>
              </w:rPr>
              <w:t>Steve Cutler</w:t>
            </w:r>
          </w:p>
        </w:tc>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60" w:type="dxa"/>
            <w:vAlign w:val="bottom"/>
          </w:tcPr>
          <w:p>
            <w:pPr>
              <w:ind w:left="260"/>
              <w:spacing w:after="0"/>
              <w:rPr>
                <w:sz w:val="20"/>
                <w:szCs w:val="20"/>
                <w:color w:val="auto"/>
              </w:rPr>
            </w:pPr>
            <w:r>
              <w:rPr>
                <w:rFonts w:ascii="Arial" w:cs="Arial" w:eastAsia="Arial" w:hAnsi="Arial"/>
                <w:sz w:val="17"/>
                <w:szCs w:val="17"/>
                <w:i w:val="1"/>
                <w:iCs w:val="1"/>
                <w:color w:val="auto"/>
              </w:rPr>
              <w:t>Director</w:t>
            </w:r>
          </w:p>
        </w:tc>
        <w:tc>
          <w:tcPr>
            <w:tcW w:w="2600" w:type="dxa"/>
            <w:vAlign w:val="bottom"/>
          </w:tcPr>
          <w:p>
            <w:pPr>
              <w:ind w:left="1020"/>
              <w:spacing w:after="0"/>
              <w:rPr>
                <w:sz w:val="20"/>
                <w:szCs w:val="20"/>
                <w:color w:val="auto"/>
              </w:rPr>
            </w:pPr>
            <w:r>
              <w:rPr>
                <w:rFonts w:ascii="Arial" w:cs="Arial" w:eastAsia="Arial" w:hAnsi="Arial"/>
                <w:sz w:val="17"/>
                <w:szCs w:val="17"/>
                <w:i w:val="1"/>
                <w:iCs w:val="1"/>
                <w:color w:val="auto"/>
              </w:rPr>
              <w:t>Director</w:t>
            </w:r>
          </w:p>
        </w:tc>
        <w:tc>
          <w:tcPr>
            <w:tcW w:w="2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13" w:right="339" w:bottom="0" w:gutter="0" w:footer="0" w:header="0"/>
          <w:type w:val="continuous"/>
        </w:sectPr>
      </w:pPr>
    </w:p>
    <w:bookmarkStart w:id="9" w:name="page10"/>
    <w:bookmarkEnd w:id="9"/>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color w:val="auto"/>
        </w:rPr>
        <w:t>Unaudited interim statement of changes in equity</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for the period from 1 January 2025 to 5 June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80" w:type="dxa"/>
            <w:vAlign w:val="bottom"/>
          </w:tcPr>
          <w:p>
            <w:pPr>
              <w:spacing w:after="0"/>
              <w:rPr>
                <w:sz w:val="14"/>
                <w:szCs w:val="14"/>
                <w:color w:val="auto"/>
              </w:rPr>
            </w:pPr>
          </w:p>
        </w:tc>
        <w:tc>
          <w:tcPr>
            <w:tcW w:w="1020" w:type="dxa"/>
            <w:vAlign w:val="bottom"/>
          </w:tcPr>
          <w:p>
            <w:pPr>
              <w:jc w:val="right"/>
              <w:ind w:right="91"/>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jc w:val="right"/>
              <w:ind w:right="31"/>
              <w:spacing w:after="0"/>
              <w:rPr>
                <w:sz w:val="20"/>
                <w:szCs w:val="20"/>
                <w:color w:val="auto"/>
              </w:rPr>
            </w:pPr>
            <w:r>
              <w:rPr>
                <w:rFonts w:ascii="Arial" w:cs="Arial" w:eastAsia="Arial" w:hAnsi="Arial"/>
                <w:sz w:val="14"/>
                <w:szCs w:val="14"/>
                <w:b w:val="1"/>
                <w:bCs w:val="1"/>
                <w:color w:val="auto"/>
              </w:rPr>
              <w:t>Share</w:t>
            </w: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Share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Merger</w:t>
            </w: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jc w:val="right"/>
              <w:ind w:right="71"/>
              <w:spacing w:after="0"/>
              <w:rPr>
                <w:sz w:val="20"/>
                <w:szCs w:val="20"/>
                <w:color w:val="auto"/>
              </w:rPr>
            </w:pPr>
            <w:r>
              <w:rPr>
                <w:rFonts w:ascii="Arial" w:cs="Arial" w:eastAsia="Arial" w:hAnsi="Arial"/>
                <w:sz w:val="14"/>
                <w:szCs w:val="14"/>
                <w:b w:val="1"/>
                <w:bCs w:val="1"/>
                <w:color w:val="auto"/>
              </w:rPr>
              <w:t>Share-</w:t>
            </w:r>
          </w:p>
        </w:tc>
        <w:tc>
          <w:tcPr>
            <w:tcW w:w="700" w:type="dxa"/>
            <w:vAlign w:val="bottom"/>
          </w:tcPr>
          <w:p>
            <w:pPr>
              <w:jc w:val="right"/>
              <w:ind w:right="11"/>
              <w:spacing w:after="0"/>
              <w:rPr>
                <w:sz w:val="20"/>
                <w:szCs w:val="20"/>
                <w:color w:val="auto"/>
              </w:rPr>
            </w:pPr>
            <w:r>
              <w:rPr>
                <w:rFonts w:ascii="Arial" w:cs="Arial" w:eastAsia="Arial" w:hAnsi="Arial"/>
                <w:sz w:val="14"/>
                <w:szCs w:val="14"/>
                <w:b w:val="1"/>
                <w:bCs w:val="1"/>
                <w:color w:val="auto"/>
              </w:rPr>
              <w:t>Other</w:t>
            </w: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rPr>
              <w:t>Foreign</w:t>
            </w:r>
          </w:p>
        </w:tc>
        <w:tc>
          <w:tcPr>
            <w:tcW w:w="780" w:type="dxa"/>
            <w:vAlign w:val="bottom"/>
          </w:tcPr>
          <w:p>
            <w:pPr>
              <w:jc w:val="right"/>
              <w:ind w:right="31"/>
              <w:spacing w:after="0"/>
              <w:rPr>
                <w:sz w:val="20"/>
                <w:szCs w:val="20"/>
                <w:color w:val="auto"/>
              </w:rPr>
            </w:pPr>
            <w:r>
              <w:rPr>
                <w:rFonts w:ascii="Arial" w:cs="Arial" w:eastAsia="Arial" w:hAnsi="Arial"/>
                <w:sz w:val="14"/>
                <w:szCs w:val="14"/>
                <w:b w:val="1"/>
                <w:bCs w:val="1"/>
                <w:color w:val="auto"/>
              </w:rPr>
              <w:t>Retained</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68"/>
        </w:trPr>
        <w:tc>
          <w:tcPr>
            <w:tcW w:w="3380" w:type="dxa"/>
            <w:vAlign w:val="bottom"/>
          </w:tcPr>
          <w:p>
            <w:pPr>
              <w:spacing w:after="0"/>
              <w:rPr>
                <w:sz w:val="14"/>
                <w:szCs w:val="14"/>
                <w:color w:val="auto"/>
              </w:rPr>
            </w:pPr>
          </w:p>
        </w:tc>
        <w:tc>
          <w:tcPr>
            <w:tcW w:w="1020" w:type="dxa"/>
            <w:vAlign w:val="bottom"/>
          </w:tcPr>
          <w:p>
            <w:pPr>
              <w:jc w:val="right"/>
              <w:ind w:right="91"/>
              <w:spacing w:after="0"/>
              <w:rPr>
                <w:sz w:val="20"/>
                <w:szCs w:val="20"/>
                <w:color w:val="auto"/>
              </w:rPr>
            </w:pPr>
            <w:r>
              <w:rPr>
                <w:rFonts w:ascii="Arial" w:cs="Arial" w:eastAsia="Arial" w:hAnsi="Arial"/>
                <w:sz w:val="14"/>
                <w:szCs w:val="14"/>
                <w:b w:val="1"/>
                <w:bCs w:val="1"/>
                <w:color w:val="auto"/>
              </w:rPr>
              <w:t>of shares</w:t>
            </w:r>
          </w:p>
        </w:tc>
        <w:tc>
          <w:tcPr>
            <w:tcW w:w="700" w:type="dxa"/>
            <w:vAlign w:val="bottom"/>
          </w:tcPr>
          <w:p>
            <w:pPr>
              <w:jc w:val="right"/>
              <w:ind w:right="31"/>
              <w:spacing w:after="0"/>
              <w:rPr>
                <w:sz w:val="20"/>
                <w:szCs w:val="20"/>
                <w:color w:val="auto"/>
              </w:rPr>
            </w:pPr>
            <w:r>
              <w:rPr>
                <w:rFonts w:ascii="Arial" w:cs="Arial" w:eastAsia="Arial" w:hAnsi="Arial"/>
                <w:sz w:val="14"/>
                <w:szCs w:val="14"/>
                <w:b w:val="1"/>
                <w:bCs w:val="1"/>
                <w:color w:val="auto"/>
              </w:rPr>
              <w:t>Capital</w:t>
            </w: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Premium</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Reserve</w:t>
            </w: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Unde-</w:t>
            </w:r>
          </w:p>
        </w:tc>
        <w:tc>
          <w:tcPr>
            <w:tcW w:w="820" w:type="dxa"/>
            <w:vAlign w:val="bottom"/>
          </w:tcPr>
          <w:p>
            <w:pPr>
              <w:jc w:val="right"/>
              <w:ind w:right="71"/>
              <w:spacing w:after="0"/>
              <w:rPr>
                <w:sz w:val="20"/>
                <w:szCs w:val="20"/>
                <w:color w:val="auto"/>
              </w:rPr>
            </w:pPr>
            <w:r>
              <w:rPr>
                <w:rFonts w:ascii="Arial" w:cs="Arial" w:eastAsia="Arial" w:hAnsi="Arial"/>
                <w:sz w:val="14"/>
                <w:szCs w:val="14"/>
                <w:b w:val="1"/>
                <w:bCs w:val="1"/>
                <w:color w:val="auto"/>
              </w:rPr>
              <w:t>Based</w:t>
            </w:r>
          </w:p>
        </w:tc>
        <w:tc>
          <w:tcPr>
            <w:tcW w:w="700" w:type="dxa"/>
            <w:vAlign w:val="bottom"/>
          </w:tcPr>
          <w:p>
            <w:pPr>
              <w:jc w:val="right"/>
              <w:ind w:right="11"/>
              <w:spacing w:after="0"/>
              <w:rPr>
                <w:sz w:val="20"/>
                <w:szCs w:val="20"/>
                <w:color w:val="auto"/>
              </w:rPr>
            </w:pPr>
            <w:r>
              <w:rPr>
                <w:rFonts w:ascii="Arial" w:cs="Arial" w:eastAsia="Arial" w:hAnsi="Arial"/>
                <w:sz w:val="14"/>
                <w:szCs w:val="14"/>
                <w:b w:val="1"/>
                <w:bCs w:val="1"/>
                <w:color w:val="auto"/>
              </w:rPr>
              <w:t>Reserve</w:t>
            </w: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rPr>
              <w:t>Currency</w:t>
            </w:r>
          </w:p>
        </w:tc>
        <w:tc>
          <w:tcPr>
            <w:tcW w:w="780" w:type="dxa"/>
            <w:vAlign w:val="bottom"/>
          </w:tcPr>
          <w:p>
            <w:pPr>
              <w:jc w:val="right"/>
              <w:ind w:right="31"/>
              <w:spacing w:after="0"/>
              <w:rPr>
                <w:sz w:val="20"/>
                <w:szCs w:val="20"/>
                <w:color w:val="auto"/>
              </w:rPr>
            </w:pPr>
            <w:r>
              <w:rPr>
                <w:rFonts w:ascii="Arial" w:cs="Arial" w:eastAsia="Arial" w:hAnsi="Arial"/>
                <w:sz w:val="14"/>
                <w:szCs w:val="14"/>
                <w:b w:val="1"/>
                <w:bCs w:val="1"/>
                <w:color w:val="auto"/>
              </w:rPr>
              <w:t>Earnings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r>
      <w:tr>
        <w:trPr>
          <w:trHeight w:val="155"/>
        </w:trPr>
        <w:tc>
          <w:tcPr>
            <w:tcW w:w="3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nominated</w:t>
            </w:r>
          </w:p>
        </w:tc>
        <w:tc>
          <w:tcPr>
            <w:tcW w:w="820" w:type="dxa"/>
            <w:vAlign w:val="bottom"/>
          </w:tcPr>
          <w:p>
            <w:pPr>
              <w:jc w:val="right"/>
              <w:ind w:right="71"/>
              <w:spacing w:after="0" w:line="155" w:lineRule="exact"/>
              <w:rPr>
                <w:sz w:val="20"/>
                <w:szCs w:val="20"/>
                <w:color w:val="auto"/>
              </w:rPr>
            </w:pPr>
            <w:r>
              <w:rPr>
                <w:rFonts w:ascii="Arial" w:cs="Arial" w:eastAsia="Arial" w:hAnsi="Arial"/>
                <w:sz w:val="14"/>
                <w:szCs w:val="14"/>
                <w:b w:val="1"/>
                <w:bCs w:val="1"/>
                <w:color w:val="auto"/>
              </w:rPr>
              <w:t>Payment</w:t>
            </w:r>
          </w:p>
        </w:tc>
        <w:tc>
          <w:tcPr>
            <w:tcW w:w="700" w:type="dxa"/>
            <w:vAlign w:val="bottom"/>
          </w:tcPr>
          <w:p>
            <w:pPr>
              <w:spacing w:after="0"/>
              <w:rPr>
                <w:sz w:val="13"/>
                <w:szCs w:val="13"/>
                <w:color w:val="auto"/>
              </w:rPr>
            </w:pPr>
          </w:p>
        </w:tc>
        <w:tc>
          <w:tcPr>
            <w:tcW w:w="76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Reserve</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9"/>
        </w:trPr>
        <w:tc>
          <w:tcPr>
            <w:tcW w:w="3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Capital</w:t>
            </w:r>
          </w:p>
        </w:tc>
        <w:tc>
          <w:tcPr>
            <w:tcW w:w="820" w:type="dxa"/>
            <w:vAlign w:val="bottom"/>
          </w:tcPr>
          <w:p>
            <w:pPr>
              <w:jc w:val="right"/>
              <w:ind w:right="71"/>
              <w:spacing w:after="0"/>
              <w:rPr>
                <w:sz w:val="20"/>
                <w:szCs w:val="20"/>
                <w:color w:val="auto"/>
              </w:rPr>
            </w:pPr>
            <w:r>
              <w:rPr>
                <w:rFonts w:ascii="Arial" w:cs="Arial" w:eastAsia="Arial" w:hAnsi="Arial"/>
                <w:sz w:val="14"/>
                <w:szCs w:val="14"/>
                <w:b w:val="1"/>
                <w:bCs w:val="1"/>
                <w:color w:val="auto"/>
              </w:rPr>
              <w:t>Reserve</w:t>
            </w: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453"/>
        </w:trPr>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jc w:val="right"/>
              <w:ind w:right="31"/>
              <w:spacing w:after="0"/>
              <w:rPr>
                <w:sz w:val="20"/>
                <w:szCs w:val="20"/>
                <w:color w:val="auto"/>
              </w:rPr>
            </w:pPr>
            <w:r>
              <w:rPr>
                <w:rFonts w:ascii="Arial" w:cs="Arial" w:eastAsia="Arial" w:hAnsi="Arial"/>
                <w:sz w:val="14"/>
                <w:szCs w:val="14"/>
                <w:b w:val="1"/>
                <w:bCs w:val="1"/>
                <w:color w:val="auto"/>
              </w:rPr>
              <w:t>$’000</w:t>
            </w: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820" w:type="dxa"/>
            <w:vAlign w:val="bottom"/>
          </w:tcPr>
          <w:p>
            <w:pPr>
              <w:jc w:val="right"/>
              <w:ind w:right="71"/>
              <w:spacing w:after="0"/>
              <w:rPr>
                <w:sz w:val="20"/>
                <w:szCs w:val="20"/>
                <w:color w:val="auto"/>
              </w:rPr>
            </w:pPr>
            <w:r>
              <w:rPr>
                <w:rFonts w:ascii="Arial" w:cs="Arial" w:eastAsia="Arial" w:hAnsi="Arial"/>
                <w:sz w:val="14"/>
                <w:szCs w:val="14"/>
                <w:b w:val="1"/>
                <w:bCs w:val="1"/>
                <w:color w:val="auto"/>
              </w:rPr>
              <w:t>$’000</w:t>
            </w:r>
          </w:p>
        </w:tc>
        <w:tc>
          <w:tcPr>
            <w:tcW w:w="70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780" w:type="dxa"/>
            <w:vAlign w:val="bottom"/>
          </w:tcPr>
          <w:p>
            <w:pPr>
              <w:jc w:val="right"/>
              <w:ind w:right="31"/>
              <w:spacing w:after="0"/>
              <w:rPr>
                <w:sz w:val="20"/>
                <w:szCs w:val="20"/>
                <w:color w:val="auto"/>
              </w:rPr>
            </w:pPr>
            <w:r>
              <w:rPr>
                <w:rFonts w:ascii="Arial" w:cs="Arial" w:eastAsia="Arial" w:hAnsi="Arial"/>
                <w:sz w:val="14"/>
                <w:szCs w:val="14"/>
                <w:b w:val="1"/>
                <w:bCs w:val="1"/>
                <w:color w:val="auto"/>
              </w:rPr>
              <w:t>$’000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r>
      <w:tr>
        <w:trPr>
          <w:trHeight w:val="460"/>
        </w:trPr>
        <w:tc>
          <w:tcPr>
            <w:tcW w:w="3380" w:type="dxa"/>
            <w:vAlign w:val="bottom"/>
          </w:tcPr>
          <w:p>
            <w:pPr>
              <w:ind w:left="60"/>
              <w:spacing w:after="0"/>
              <w:rPr>
                <w:sz w:val="20"/>
                <w:szCs w:val="20"/>
                <w:color w:val="auto"/>
              </w:rPr>
            </w:pPr>
            <w:r>
              <w:rPr>
                <w:rFonts w:ascii="Arial" w:cs="Arial" w:eastAsia="Arial" w:hAnsi="Arial"/>
                <w:sz w:val="14"/>
                <w:szCs w:val="14"/>
                <w:color w:val="auto"/>
              </w:rPr>
              <w:t>Balance at 1 January 2025</w:t>
            </w: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80,756,860</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6,586</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559,804</w:t>
            </w:r>
          </w:p>
        </w:tc>
        <w:tc>
          <w:tcPr>
            <w:tcW w:w="740" w:type="dxa"/>
            <w:vAlign w:val="bottom"/>
          </w:tcPr>
          <w:p>
            <w:pPr>
              <w:jc w:val="right"/>
              <w:spacing w:after="0"/>
              <w:rPr>
                <w:sz w:val="20"/>
                <w:szCs w:val="20"/>
                <w:color w:val="auto"/>
              </w:rPr>
            </w:pPr>
            <w:r>
              <w:rPr>
                <w:rFonts w:ascii="Arial" w:cs="Arial" w:eastAsia="Arial" w:hAnsi="Arial"/>
                <w:sz w:val="14"/>
                <w:szCs w:val="14"/>
                <w:color w:val="auto"/>
              </w:rPr>
              <w:t>5,656,195</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1,304</w:t>
            </w:r>
          </w:p>
        </w:tc>
        <w:tc>
          <w:tcPr>
            <w:tcW w:w="820" w:type="dxa"/>
            <w:vAlign w:val="bottom"/>
          </w:tcPr>
          <w:p>
            <w:pPr>
              <w:jc w:val="right"/>
              <w:ind w:right="71"/>
              <w:spacing w:after="0"/>
              <w:rPr>
                <w:sz w:val="20"/>
                <w:szCs w:val="20"/>
                <w:color w:val="auto"/>
              </w:rPr>
            </w:pPr>
            <w:r>
              <w:rPr>
                <w:rFonts w:ascii="Arial" w:cs="Arial" w:eastAsia="Arial" w:hAnsi="Arial"/>
                <w:sz w:val="14"/>
                <w:szCs w:val="14"/>
                <w:color w:val="auto"/>
              </w:rPr>
              <w:t>270,550</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27,405</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(113,342)</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927,650</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7,336,152</w:t>
            </w:r>
          </w:p>
        </w:tc>
      </w:tr>
      <w:tr>
        <w:trPr>
          <w:trHeight w:val="453"/>
        </w:trPr>
        <w:tc>
          <w:tcPr>
            <w:tcW w:w="3380" w:type="dxa"/>
            <w:vAlign w:val="bottom"/>
          </w:tcPr>
          <w:p>
            <w:pPr>
              <w:ind w:left="60"/>
              <w:spacing w:after="0"/>
              <w:rPr>
                <w:sz w:val="20"/>
                <w:szCs w:val="20"/>
                <w:color w:val="auto"/>
              </w:rPr>
            </w:pPr>
            <w:r>
              <w:rPr>
                <w:rFonts w:ascii="Arial" w:cs="Arial" w:eastAsia="Arial" w:hAnsi="Arial"/>
                <w:sz w:val="14"/>
                <w:szCs w:val="14"/>
                <w:color w:val="auto"/>
              </w:rPr>
              <w:t>Profit for the interim period</w:t>
            </w:r>
          </w:p>
        </w:tc>
        <w:tc>
          <w:tcPr>
            <w:tcW w:w="10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left="231"/>
              <w:spacing w:after="0"/>
              <w:rPr>
                <w:sz w:val="20"/>
                <w:szCs w:val="20"/>
                <w:color w:val="auto"/>
              </w:rPr>
            </w:pPr>
            <w:r>
              <w:rPr>
                <w:rFonts w:ascii="Arial" w:cs="Arial" w:eastAsia="Arial" w:hAnsi="Arial"/>
                <w:sz w:val="14"/>
                <w:szCs w:val="14"/>
                <w:color w:val="auto"/>
                <w:w w:val="84"/>
              </w:rPr>
              <w:t>-</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31"/>
              <w:spacing w:after="0"/>
              <w:rPr>
                <w:sz w:val="20"/>
                <w:szCs w:val="20"/>
                <w:color w:val="auto"/>
              </w:rPr>
            </w:pPr>
            <w:r>
              <w:rPr>
                <w:rFonts w:ascii="Arial" w:cs="Arial" w:eastAsia="Arial" w:hAnsi="Arial"/>
                <w:sz w:val="14"/>
                <w:szCs w:val="14"/>
                <w:color w:val="auto"/>
                <w:w w:val="84"/>
              </w:rPr>
              <w:t>-</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477,999</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477,999</w:t>
            </w:r>
          </w:p>
        </w:tc>
      </w:tr>
      <w:tr>
        <w:trPr>
          <w:trHeight w:val="239"/>
        </w:trPr>
        <w:tc>
          <w:tcPr>
            <w:tcW w:w="3380" w:type="dxa"/>
            <w:vAlign w:val="bottom"/>
          </w:tcPr>
          <w:p>
            <w:pPr>
              <w:ind w:left="60"/>
              <w:spacing w:after="0"/>
              <w:rPr>
                <w:sz w:val="20"/>
                <w:szCs w:val="20"/>
                <w:color w:val="auto"/>
              </w:rPr>
            </w:pPr>
            <w:r>
              <w:rPr>
                <w:rFonts w:ascii="Arial" w:cs="Arial" w:eastAsia="Arial" w:hAnsi="Arial"/>
                <w:sz w:val="14"/>
                <w:szCs w:val="14"/>
                <w:b w:val="1"/>
                <w:bCs w:val="1"/>
                <w:color w:val="auto"/>
              </w:rPr>
              <w:t>Other comprehensive income</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4"/>
        </w:trPr>
        <w:tc>
          <w:tcPr>
            <w:tcW w:w="3380" w:type="dxa"/>
            <w:vAlign w:val="bottom"/>
          </w:tcPr>
          <w:p>
            <w:pPr>
              <w:ind w:left="140"/>
              <w:spacing w:after="0"/>
              <w:rPr>
                <w:sz w:val="20"/>
                <w:szCs w:val="20"/>
                <w:color w:val="auto"/>
              </w:rPr>
            </w:pPr>
            <w:r>
              <w:rPr>
                <w:rFonts w:ascii="Arial" w:cs="Arial" w:eastAsia="Arial" w:hAnsi="Arial"/>
                <w:sz w:val="14"/>
                <w:szCs w:val="14"/>
                <w:color w:val="auto"/>
              </w:rPr>
              <w:t>Foreign currency translation</w:t>
            </w:r>
          </w:p>
        </w:tc>
        <w:tc>
          <w:tcPr>
            <w:tcW w:w="10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left="231"/>
              <w:spacing w:after="0"/>
              <w:rPr>
                <w:sz w:val="20"/>
                <w:szCs w:val="20"/>
                <w:color w:val="auto"/>
              </w:rPr>
            </w:pPr>
            <w:r>
              <w:rPr>
                <w:rFonts w:ascii="Arial" w:cs="Arial" w:eastAsia="Arial" w:hAnsi="Arial"/>
                <w:sz w:val="14"/>
                <w:szCs w:val="14"/>
                <w:color w:val="auto"/>
                <w:w w:val="84"/>
              </w:rPr>
              <w:t>-</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31"/>
              <w:spacing w:after="0"/>
              <w:rPr>
                <w:sz w:val="20"/>
                <w:szCs w:val="20"/>
                <w:color w:val="auto"/>
              </w:rPr>
            </w:pPr>
            <w:r>
              <w:rPr>
                <w:rFonts w:ascii="Arial" w:cs="Arial" w:eastAsia="Arial" w:hAnsi="Arial"/>
                <w:sz w:val="14"/>
                <w:szCs w:val="14"/>
                <w:color w:val="auto"/>
                <w:w w:val="84"/>
              </w:rPr>
              <w:t>-</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998</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998</w:t>
            </w:r>
          </w:p>
        </w:tc>
      </w:tr>
      <w:tr>
        <w:trPr>
          <w:trHeight w:val="21"/>
        </w:trPr>
        <w:tc>
          <w:tcPr>
            <w:tcW w:w="3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25"/>
        </w:trPr>
        <w:tc>
          <w:tcPr>
            <w:tcW w:w="3380" w:type="dxa"/>
            <w:vAlign w:val="bottom"/>
          </w:tcPr>
          <w:p>
            <w:pPr>
              <w:ind w:left="60"/>
              <w:spacing w:after="0"/>
              <w:rPr>
                <w:sz w:val="20"/>
                <w:szCs w:val="20"/>
                <w:color w:val="auto"/>
              </w:rPr>
            </w:pPr>
            <w:r>
              <w:rPr>
                <w:rFonts w:ascii="Arial" w:cs="Arial" w:eastAsia="Arial" w:hAnsi="Arial"/>
                <w:sz w:val="14"/>
                <w:szCs w:val="14"/>
                <w:color w:val="auto"/>
              </w:rPr>
              <w:t>Total other comprehensive income</w:t>
            </w:r>
          </w:p>
        </w:tc>
        <w:tc>
          <w:tcPr>
            <w:tcW w:w="10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left="231"/>
              <w:spacing w:after="0"/>
              <w:rPr>
                <w:sz w:val="20"/>
                <w:szCs w:val="20"/>
                <w:color w:val="auto"/>
              </w:rPr>
            </w:pPr>
            <w:r>
              <w:rPr>
                <w:rFonts w:ascii="Arial" w:cs="Arial" w:eastAsia="Arial" w:hAnsi="Arial"/>
                <w:sz w:val="14"/>
                <w:szCs w:val="14"/>
                <w:color w:val="auto"/>
                <w:w w:val="84"/>
              </w:rPr>
              <w:t>-</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31"/>
              <w:spacing w:after="0"/>
              <w:rPr>
                <w:sz w:val="20"/>
                <w:szCs w:val="20"/>
                <w:color w:val="auto"/>
              </w:rPr>
            </w:pPr>
            <w:r>
              <w:rPr>
                <w:rFonts w:ascii="Arial" w:cs="Arial" w:eastAsia="Arial" w:hAnsi="Arial"/>
                <w:sz w:val="14"/>
                <w:szCs w:val="14"/>
                <w:color w:val="auto"/>
                <w:w w:val="84"/>
              </w:rPr>
              <w:t>-</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998</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998</w:t>
            </w:r>
          </w:p>
        </w:tc>
      </w:tr>
      <w:tr>
        <w:trPr>
          <w:trHeight w:val="21"/>
        </w:trPr>
        <w:tc>
          <w:tcPr>
            <w:tcW w:w="3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25"/>
        </w:trPr>
        <w:tc>
          <w:tcPr>
            <w:tcW w:w="3380" w:type="dxa"/>
            <w:vAlign w:val="bottom"/>
          </w:tcPr>
          <w:p>
            <w:pPr>
              <w:ind w:left="60"/>
              <w:spacing w:after="0"/>
              <w:rPr>
                <w:sz w:val="20"/>
                <w:szCs w:val="20"/>
                <w:color w:val="auto"/>
              </w:rPr>
            </w:pPr>
            <w:r>
              <w:rPr>
                <w:rFonts w:ascii="Arial" w:cs="Arial" w:eastAsia="Arial" w:hAnsi="Arial"/>
                <w:sz w:val="14"/>
                <w:szCs w:val="14"/>
                <w:color w:val="auto"/>
              </w:rPr>
              <w:t>Total comprehensive income for the period</w:t>
            </w:r>
          </w:p>
        </w:tc>
        <w:tc>
          <w:tcPr>
            <w:tcW w:w="10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left="231"/>
              <w:spacing w:after="0"/>
              <w:rPr>
                <w:sz w:val="20"/>
                <w:szCs w:val="20"/>
                <w:color w:val="auto"/>
              </w:rPr>
            </w:pPr>
            <w:r>
              <w:rPr>
                <w:rFonts w:ascii="Arial" w:cs="Arial" w:eastAsia="Arial" w:hAnsi="Arial"/>
                <w:sz w:val="14"/>
                <w:szCs w:val="14"/>
                <w:color w:val="auto"/>
                <w:w w:val="84"/>
              </w:rPr>
              <w:t>-</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31"/>
              <w:spacing w:after="0"/>
              <w:rPr>
                <w:sz w:val="20"/>
                <w:szCs w:val="20"/>
                <w:color w:val="auto"/>
              </w:rPr>
            </w:pPr>
            <w:r>
              <w:rPr>
                <w:rFonts w:ascii="Arial" w:cs="Arial" w:eastAsia="Arial" w:hAnsi="Arial"/>
                <w:sz w:val="14"/>
                <w:szCs w:val="14"/>
                <w:color w:val="auto"/>
                <w:w w:val="84"/>
              </w:rPr>
              <w:t>-</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998</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477,999</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478,997</w:t>
            </w:r>
          </w:p>
        </w:tc>
      </w:tr>
      <w:tr>
        <w:trPr>
          <w:trHeight w:val="21"/>
        </w:trPr>
        <w:tc>
          <w:tcPr>
            <w:tcW w:w="3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10"/>
        </w:trPr>
        <w:tc>
          <w:tcPr>
            <w:tcW w:w="3380" w:type="dxa"/>
            <w:vAlign w:val="bottom"/>
          </w:tcPr>
          <w:p>
            <w:pPr>
              <w:ind w:left="60"/>
              <w:spacing w:after="0"/>
              <w:rPr>
                <w:sz w:val="20"/>
                <w:szCs w:val="20"/>
                <w:color w:val="auto"/>
              </w:rPr>
            </w:pPr>
            <w:r>
              <w:rPr>
                <w:rFonts w:ascii="Arial" w:cs="Arial" w:eastAsia="Arial" w:hAnsi="Arial"/>
                <w:sz w:val="14"/>
                <w:szCs w:val="14"/>
                <w:b w:val="1"/>
                <w:bCs w:val="1"/>
                <w:color w:val="auto"/>
              </w:rPr>
              <w:t>Transactions with owners, recorded directly in</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9"/>
        </w:trPr>
        <w:tc>
          <w:tcPr>
            <w:tcW w:w="3380" w:type="dxa"/>
            <w:vAlign w:val="bottom"/>
          </w:tcPr>
          <w:p>
            <w:pPr>
              <w:ind w:left="60"/>
              <w:spacing w:after="0"/>
              <w:rPr>
                <w:sz w:val="20"/>
                <w:szCs w:val="20"/>
                <w:color w:val="auto"/>
              </w:rPr>
            </w:pPr>
            <w:r>
              <w:rPr>
                <w:rFonts w:ascii="Arial" w:cs="Arial" w:eastAsia="Arial" w:hAnsi="Arial"/>
                <w:sz w:val="14"/>
                <w:szCs w:val="14"/>
                <w:b w:val="1"/>
                <w:bCs w:val="1"/>
                <w:color w:val="auto"/>
              </w:rPr>
              <w:t>equity</w:t>
            </w: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4"/>
        </w:trPr>
        <w:tc>
          <w:tcPr>
            <w:tcW w:w="3380" w:type="dxa"/>
            <w:vAlign w:val="bottom"/>
          </w:tcPr>
          <w:p>
            <w:pPr>
              <w:ind w:left="140"/>
              <w:spacing w:after="0"/>
              <w:rPr>
                <w:sz w:val="20"/>
                <w:szCs w:val="20"/>
                <w:color w:val="auto"/>
              </w:rPr>
            </w:pPr>
            <w:r>
              <w:rPr>
                <w:rFonts w:ascii="Arial" w:cs="Arial" w:eastAsia="Arial" w:hAnsi="Arial"/>
                <w:sz w:val="14"/>
                <w:szCs w:val="14"/>
                <w:color w:val="auto"/>
              </w:rPr>
              <w:t>Share-based payment</w:t>
            </w:r>
          </w:p>
        </w:tc>
        <w:tc>
          <w:tcPr>
            <w:tcW w:w="10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31"/>
              <w:spacing w:after="0"/>
              <w:rPr>
                <w:sz w:val="20"/>
                <w:szCs w:val="20"/>
                <w:color w:val="auto"/>
              </w:rPr>
            </w:pPr>
            <w:r>
              <w:rPr>
                <w:rFonts w:ascii="Arial" w:cs="Arial" w:eastAsia="Arial" w:hAnsi="Arial"/>
                <w:sz w:val="14"/>
                <w:szCs w:val="14"/>
                <w:color w:val="auto"/>
                <w:w w:val="84"/>
              </w:rPr>
              <w:t>-</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23,596</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23,596</w:t>
            </w:r>
          </w:p>
        </w:tc>
      </w:tr>
      <w:tr>
        <w:trPr>
          <w:trHeight w:val="220"/>
        </w:trPr>
        <w:tc>
          <w:tcPr>
            <w:tcW w:w="3380" w:type="dxa"/>
            <w:vAlign w:val="bottom"/>
          </w:tcPr>
          <w:p>
            <w:pPr>
              <w:ind w:left="140"/>
              <w:spacing w:after="0"/>
              <w:rPr>
                <w:sz w:val="20"/>
                <w:szCs w:val="20"/>
                <w:color w:val="auto"/>
              </w:rPr>
            </w:pPr>
            <w:r>
              <w:rPr>
                <w:rFonts w:ascii="Arial" w:cs="Arial" w:eastAsia="Arial" w:hAnsi="Arial"/>
                <w:sz w:val="14"/>
                <w:szCs w:val="14"/>
                <w:color w:val="auto"/>
              </w:rPr>
              <w:t>Exercise of share options</w:t>
            </w: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53,268</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3</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5,893</w:t>
            </w:r>
          </w:p>
        </w:tc>
        <w:tc>
          <w:tcPr>
            <w:tcW w:w="7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31"/>
              <w:spacing w:after="0"/>
              <w:rPr>
                <w:sz w:val="20"/>
                <w:szCs w:val="20"/>
                <w:color w:val="auto"/>
              </w:rPr>
            </w:pPr>
            <w:r>
              <w:rPr>
                <w:rFonts w:ascii="Arial" w:cs="Arial" w:eastAsia="Arial" w:hAnsi="Arial"/>
                <w:sz w:val="14"/>
                <w:szCs w:val="14"/>
                <w:color w:val="auto"/>
                <w:w w:val="84"/>
              </w:rPr>
              <w:t>-</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5,896</w:t>
            </w:r>
          </w:p>
        </w:tc>
      </w:tr>
      <w:tr>
        <w:trPr>
          <w:trHeight w:val="220"/>
        </w:trPr>
        <w:tc>
          <w:tcPr>
            <w:tcW w:w="3380" w:type="dxa"/>
            <w:vAlign w:val="bottom"/>
          </w:tcPr>
          <w:p>
            <w:pPr>
              <w:ind w:left="140"/>
              <w:spacing w:after="0"/>
              <w:rPr>
                <w:sz w:val="20"/>
                <w:szCs w:val="20"/>
                <w:color w:val="auto"/>
              </w:rPr>
            </w:pPr>
            <w:r>
              <w:rPr>
                <w:rFonts w:ascii="Arial" w:cs="Arial" w:eastAsia="Arial" w:hAnsi="Arial"/>
                <w:sz w:val="14"/>
                <w:szCs w:val="14"/>
                <w:color w:val="auto"/>
              </w:rPr>
              <w:t>Share issue costs</w:t>
            </w:r>
          </w:p>
        </w:tc>
        <w:tc>
          <w:tcPr>
            <w:tcW w:w="10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31"/>
              <w:spacing w:after="0"/>
              <w:rPr>
                <w:sz w:val="20"/>
                <w:szCs w:val="20"/>
                <w:color w:val="auto"/>
              </w:rPr>
            </w:pPr>
            <w:r>
              <w:rPr>
                <w:rFonts w:ascii="Arial" w:cs="Arial" w:eastAsia="Arial" w:hAnsi="Arial"/>
                <w:sz w:val="14"/>
                <w:szCs w:val="14"/>
                <w:color w:val="auto"/>
                <w:w w:val="84"/>
              </w:rPr>
              <w:t>-</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(8)</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(8)</w:t>
            </w:r>
          </w:p>
        </w:tc>
      </w:tr>
      <w:tr>
        <w:trPr>
          <w:trHeight w:val="207"/>
        </w:trPr>
        <w:tc>
          <w:tcPr>
            <w:tcW w:w="3380" w:type="dxa"/>
            <w:vAlign w:val="bottom"/>
          </w:tcPr>
          <w:p>
            <w:pPr>
              <w:ind w:left="140"/>
              <w:spacing w:after="0"/>
              <w:rPr>
                <w:sz w:val="20"/>
                <w:szCs w:val="20"/>
                <w:color w:val="auto"/>
              </w:rPr>
            </w:pPr>
            <w:r>
              <w:rPr>
                <w:rFonts w:ascii="Arial" w:cs="Arial" w:eastAsia="Arial" w:hAnsi="Arial"/>
                <w:sz w:val="14"/>
                <w:szCs w:val="14"/>
                <w:color w:val="auto"/>
              </w:rPr>
              <w:t>Issue of restricted share units / performance share</w:t>
            </w: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34,204</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2</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31"/>
              <w:spacing w:after="0"/>
              <w:rPr>
                <w:sz w:val="20"/>
                <w:szCs w:val="20"/>
                <w:color w:val="auto"/>
              </w:rPr>
            </w:pPr>
            <w:r>
              <w:rPr>
                <w:rFonts w:ascii="Arial" w:cs="Arial" w:eastAsia="Arial" w:hAnsi="Arial"/>
                <w:sz w:val="14"/>
                <w:szCs w:val="14"/>
                <w:color w:val="auto"/>
                <w:w w:val="84"/>
              </w:rPr>
              <w:t>-</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2</w:t>
            </w:r>
          </w:p>
        </w:tc>
      </w:tr>
      <w:tr>
        <w:trPr>
          <w:trHeight w:val="181"/>
        </w:trPr>
        <w:tc>
          <w:tcPr>
            <w:tcW w:w="3380" w:type="dxa"/>
            <w:vAlign w:val="bottom"/>
          </w:tcPr>
          <w:p>
            <w:pPr>
              <w:jc w:val="right"/>
              <w:ind w:right="2851"/>
              <w:spacing w:after="0"/>
              <w:rPr>
                <w:sz w:val="20"/>
                <w:szCs w:val="20"/>
                <w:color w:val="auto"/>
              </w:rPr>
            </w:pPr>
            <w:r>
              <w:rPr>
                <w:rFonts w:ascii="Arial" w:cs="Arial" w:eastAsia="Arial" w:hAnsi="Arial"/>
                <w:sz w:val="14"/>
                <w:szCs w:val="14"/>
                <w:color w:val="auto"/>
              </w:rPr>
              <w:t>units</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0"/>
        </w:trPr>
        <w:tc>
          <w:tcPr>
            <w:tcW w:w="3380" w:type="dxa"/>
            <w:vAlign w:val="bottom"/>
          </w:tcPr>
          <w:p>
            <w:pPr>
              <w:ind w:left="140"/>
              <w:spacing w:after="0"/>
              <w:rPr>
                <w:sz w:val="20"/>
                <w:szCs w:val="20"/>
                <w:color w:val="auto"/>
              </w:rPr>
            </w:pPr>
            <w:r>
              <w:rPr>
                <w:rFonts w:ascii="Arial" w:cs="Arial" w:eastAsia="Arial" w:hAnsi="Arial"/>
                <w:sz w:val="14"/>
                <w:szCs w:val="14"/>
                <w:color w:val="auto"/>
              </w:rPr>
              <w:t>Repurchase of ordinary shares</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(1,360,537)</w:t>
            </w:r>
          </w:p>
        </w:tc>
        <w:tc>
          <w:tcPr>
            <w:tcW w:w="700" w:type="dxa"/>
            <w:vAlign w:val="bottom"/>
          </w:tcPr>
          <w:p>
            <w:pPr>
              <w:jc w:val="center"/>
              <w:ind w:left="251"/>
              <w:spacing w:after="0"/>
              <w:rPr>
                <w:sz w:val="20"/>
                <w:szCs w:val="20"/>
                <w:color w:val="auto"/>
              </w:rPr>
            </w:pPr>
            <w:r>
              <w:rPr>
                <w:rFonts w:ascii="Arial" w:cs="Arial" w:eastAsia="Arial" w:hAnsi="Arial"/>
                <w:sz w:val="14"/>
                <w:szCs w:val="14"/>
                <w:color w:val="auto"/>
              </w:rPr>
              <w:t>(85)</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31"/>
              <w:spacing w:after="0"/>
              <w:rPr>
                <w:sz w:val="20"/>
                <w:szCs w:val="20"/>
                <w:color w:val="auto"/>
              </w:rPr>
            </w:pPr>
            <w:r>
              <w:rPr>
                <w:rFonts w:ascii="Arial" w:cs="Arial" w:eastAsia="Arial" w:hAnsi="Arial"/>
                <w:sz w:val="14"/>
                <w:szCs w:val="14"/>
                <w:color w:val="auto"/>
              </w:rPr>
              <w:t>85</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(250,000)</w:t>
            </w:r>
          </w:p>
        </w:tc>
        <w:tc>
          <w:tcPr>
            <w:tcW w:w="740" w:type="dxa"/>
            <w:vAlign w:val="bottom"/>
          </w:tcPr>
          <w:p>
            <w:pPr>
              <w:jc w:val="right"/>
              <w:spacing w:after="0"/>
              <w:rPr>
                <w:sz w:val="20"/>
                <w:szCs w:val="20"/>
                <w:color w:val="auto"/>
              </w:rPr>
            </w:pPr>
            <w:r>
              <w:rPr>
                <w:rFonts w:ascii="Arial" w:cs="Arial" w:eastAsia="Arial" w:hAnsi="Arial"/>
                <w:sz w:val="14"/>
                <w:szCs w:val="14"/>
                <w:color w:val="auto"/>
              </w:rPr>
              <w:t>(250,000)</w:t>
            </w:r>
          </w:p>
        </w:tc>
      </w:tr>
      <w:tr>
        <w:trPr>
          <w:trHeight w:val="220"/>
        </w:trPr>
        <w:tc>
          <w:tcPr>
            <w:tcW w:w="3380" w:type="dxa"/>
            <w:vAlign w:val="bottom"/>
          </w:tcPr>
          <w:p>
            <w:pPr>
              <w:ind w:left="140"/>
              <w:spacing w:after="0"/>
              <w:rPr>
                <w:sz w:val="20"/>
                <w:szCs w:val="20"/>
                <w:color w:val="auto"/>
              </w:rPr>
            </w:pPr>
            <w:r>
              <w:rPr>
                <w:rFonts w:ascii="Arial" w:cs="Arial" w:eastAsia="Arial" w:hAnsi="Arial"/>
                <w:sz w:val="14"/>
                <w:szCs w:val="14"/>
                <w:color w:val="auto"/>
              </w:rPr>
              <w:t>Share repurchase costs</w:t>
            </w:r>
          </w:p>
        </w:tc>
        <w:tc>
          <w:tcPr>
            <w:tcW w:w="10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left="231"/>
              <w:spacing w:after="0"/>
              <w:rPr>
                <w:sz w:val="20"/>
                <w:szCs w:val="20"/>
                <w:color w:val="auto"/>
              </w:rPr>
            </w:pPr>
            <w:r>
              <w:rPr>
                <w:rFonts w:ascii="Arial" w:cs="Arial" w:eastAsia="Arial" w:hAnsi="Arial"/>
                <w:sz w:val="14"/>
                <w:szCs w:val="14"/>
                <w:color w:val="auto"/>
                <w:w w:val="84"/>
              </w:rPr>
              <w:t>-</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31"/>
              <w:spacing w:after="0"/>
              <w:rPr>
                <w:sz w:val="20"/>
                <w:szCs w:val="20"/>
                <w:color w:val="auto"/>
              </w:rPr>
            </w:pPr>
            <w:r>
              <w:rPr>
                <w:rFonts w:ascii="Arial" w:cs="Arial" w:eastAsia="Arial" w:hAnsi="Arial"/>
                <w:sz w:val="14"/>
                <w:szCs w:val="14"/>
                <w:color w:val="auto"/>
                <w:w w:val="84"/>
              </w:rPr>
              <w:t>-</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(150)</w:t>
            </w:r>
          </w:p>
        </w:tc>
        <w:tc>
          <w:tcPr>
            <w:tcW w:w="74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76"/>
        </w:trPr>
        <w:tc>
          <w:tcPr>
            <w:tcW w:w="3380" w:type="dxa"/>
            <w:vAlign w:val="bottom"/>
          </w:tcPr>
          <w:p>
            <w:pPr>
              <w:ind w:left="100"/>
              <w:spacing w:after="0"/>
              <w:rPr>
                <w:sz w:val="20"/>
                <w:szCs w:val="20"/>
                <w:color w:val="auto"/>
              </w:rPr>
            </w:pPr>
            <w:r>
              <w:rPr>
                <w:rFonts w:ascii="Arial" w:cs="Arial" w:eastAsia="Arial" w:hAnsi="Arial"/>
                <w:sz w:val="14"/>
                <w:szCs w:val="14"/>
                <w:color w:val="auto"/>
              </w:rPr>
              <w:t>Transfer of exercised and expired share-based</w:t>
            </w:r>
          </w:p>
        </w:tc>
        <w:tc>
          <w:tcPr>
            <w:tcW w:w="10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left="231"/>
              <w:spacing w:after="0"/>
              <w:rPr>
                <w:sz w:val="20"/>
                <w:szCs w:val="20"/>
                <w:color w:val="auto"/>
              </w:rPr>
            </w:pPr>
            <w:r>
              <w:rPr>
                <w:rFonts w:ascii="Arial" w:cs="Arial" w:eastAsia="Arial" w:hAnsi="Arial"/>
                <w:sz w:val="14"/>
                <w:szCs w:val="14"/>
                <w:color w:val="auto"/>
                <w:w w:val="84"/>
              </w:rPr>
              <w:t>-</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31"/>
              <w:spacing w:after="0"/>
              <w:rPr>
                <w:sz w:val="20"/>
                <w:szCs w:val="20"/>
                <w:color w:val="auto"/>
              </w:rPr>
            </w:pPr>
            <w:r>
              <w:rPr>
                <w:rFonts w:ascii="Arial" w:cs="Arial" w:eastAsia="Arial" w:hAnsi="Arial"/>
                <w:sz w:val="14"/>
                <w:szCs w:val="14"/>
                <w:color w:val="auto"/>
                <w:w w:val="84"/>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(13,297)</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13,297</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168"/>
        </w:trPr>
        <w:tc>
          <w:tcPr>
            <w:tcW w:w="3380" w:type="dxa"/>
            <w:vAlign w:val="bottom"/>
            <w:tcBorders>
              <w:bottom w:val="single" w:sz="8" w:color="auto"/>
            </w:tcBorders>
          </w:tcPr>
          <w:p>
            <w:pPr>
              <w:jc w:val="right"/>
              <w:ind w:right="2851"/>
              <w:spacing w:after="0"/>
              <w:rPr>
                <w:sz w:val="20"/>
                <w:szCs w:val="20"/>
                <w:color w:val="auto"/>
              </w:rPr>
            </w:pPr>
            <w:r>
              <w:rPr>
                <w:rFonts w:ascii="Arial" w:cs="Arial" w:eastAsia="Arial" w:hAnsi="Arial"/>
                <w:sz w:val="14"/>
                <w:szCs w:val="14"/>
                <w:color w:val="auto"/>
                <w:w w:val="97"/>
              </w:rPr>
              <w:t>awards</w:t>
            </w:r>
          </w:p>
        </w:tc>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425"/>
        </w:trPr>
        <w:tc>
          <w:tcPr>
            <w:tcW w:w="3380" w:type="dxa"/>
            <w:vAlign w:val="bottom"/>
          </w:tcPr>
          <w:p>
            <w:pPr>
              <w:ind w:left="60"/>
              <w:spacing w:after="0"/>
              <w:rPr>
                <w:sz w:val="20"/>
                <w:szCs w:val="20"/>
                <w:color w:val="auto"/>
              </w:rPr>
            </w:pPr>
            <w:r>
              <w:rPr>
                <w:rFonts w:ascii="Arial" w:cs="Arial" w:eastAsia="Arial" w:hAnsi="Arial"/>
                <w:sz w:val="14"/>
                <w:szCs w:val="14"/>
                <w:color w:val="auto"/>
              </w:rPr>
              <w:t>Total contributions by and distributions to owners</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(1,273,065)</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(80)</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5,893</w:t>
            </w:r>
          </w:p>
        </w:tc>
        <w:tc>
          <w:tcPr>
            <w:tcW w:w="7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85</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10,299</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(236,861)</w:t>
            </w:r>
          </w:p>
        </w:tc>
        <w:tc>
          <w:tcPr>
            <w:tcW w:w="740" w:type="dxa"/>
            <w:vAlign w:val="bottom"/>
          </w:tcPr>
          <w:p>
            <w:pPr>
              <w:jc w:val="right"/>
              <w:spacing w:after="0"/>
              <w:rPr>
                <w:sz w:val="20"/>
                <w:szCs w:val="20"/>
                <w:color w:val="auto"/>
              </w:rPr>
            </w:pPr>
            <w:r>
              <w:rPr>
                <w:rFonts w:ascii="Arial" w:cs="Arial" w:eastAsia="Arial" w:hAnsi="Arial"/>
                <w:sz w:val="14"/>
                <w:szCs w:val="14"/>
                <w:color w:val="auto"/>
              </w:rPr>
              <w:t>(220,664)</w:t>
            </w:r>
          </w:p>
        </w:tc>
      </w:tr>
      <w:tr>
        <w:trPr>
          <w:trHeight w:val="21"/>
        </w:trPr>
        <w:tc>
          <w:tcPr>
            <w:tcW w:w="3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45"/>
        </w:trPr>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Balance at 5 June 2025</w:t>
            </w: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79,483,795</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6,506</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565,697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5,656,195</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1,389</w:t>
            </w: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280,849</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27,405</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(112,344)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1,168,788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7,594,485</w:t>
            </w:r>
          </w:p>
        </w:tc>
      </w:tr>
    </w:tbl>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13" w:right="339" w:bottom="1440" w:gutter="0" w:footer="0" w:header="0"/>
        </w:sectPr>
      </w:pPr>
    </w:p>
    <w:bookmarkStart w:id="10" w:name="page11"/>
    <w:bookmarkEnd w:id="10"/>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color w:val="auto"/>
        </w:rPr>
        <w:t>Unaudited interim statement of changes in equity</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for the period from 1 January 2025 to 5 June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60" w:type="dxa"/>
            <w:vAlign w:val="bottom"/>
          </w:tcPr>
          <w:p>
            <w:pPr>
              <w:spacing w:after="0"/>
              <w:rPr>
                <w:sz w:val="14"/>
                <w:szCs w:val="14"/>
                <w:color w:val="auto"/>
              </w:rPr>
            </w:pPr>
          </w:p>
        </w:tc>
        <w:tc>
          <w:tcPr>
            <w:tcW w:w="1040" w:type="dxa"/>
            <w:vAlign w:val="bottom"/>
          </w:tcPr>
          <w:p>
            <w:pPr>
              <w:jc w:val="right"/>
              <w:ind w:right="91"/>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jc w:val="right"/>
              <w:ind w:right="31"/>
              <w:spacing w:after="0"/>
              <w:rPr>
                <w:sz w:val="20"/>
                <w:szCs w:val="20"/>
                <w:color w:val="auto"/>
              </w:rPr>
            </w:pPr>
            <w:r>
              <w:rPr>
                <w:rFonts w:ascii="Arial" w:cs="Arial" w:eastAsia="Arial" w:hAnsi="Arial"/>
                <w:sz w:val="14"/>
                <w:szCs w:val="14"/>
                <w:b w:val="1"/>
                <w:bCs w:val="1"/>
                <w:color w:val="auto"/>
              </w:rPr>
              <w:t>Share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Share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Merger</w:t>
            </w:r>
          </w:p>
        </w:tc>
        <w:tc>
          <w:tcPr>
            <w:tcW w:w="860" w:type="dxa"/>
            <w:vAlign w:val="bottom"/>
          </w:tcPr>
          <w:p>
            <w:pPr>
              <w:jc w:val="right"/>
              <w:ind w:right="31"/>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jc w:val="right"/>
              <w:ind w:right="71"/>
              <w:spacing w:after="0"/>
              <w:rPr>
                <w:sz w:val="20"/>
                <w:szCs w:val="20"/>
                <w:color w:val="auto"/>
              </w:rPr>
            </w:pPr>
            <w:r>
              <w:rPr>
                <w:rFonts w:ascii="Arial" w:cs="Arial" w:eastAsia="Arial" w:hAnsi="Arial"/>
                <w:sz w:val="14"/>
                <w:szCs w:val="14"/>
                <w:b w:val="1"/>
                <w:bCs w:val="1"/>
                <w:color w:val="auto"/>
              </w:rPr>
              <w:t>Share-</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jc w:val="right"/>
              <w:ind w:right="31"/>
              <w:spacing w:after="0"/>
              <w:rPr>
                <w:sz w:val="20"/>
                <w:szCs w:val="20"/>
                <w:color w:val="auto"/>
              </w:rPr>
            </w:pPr>
            <w:r>
              <w:rPr>
                <w:rFonts w:ascii="Arial" w:cs="Arial" w:eastAsia="Arial" w:hAnsi="Arial"/>
                <w:sz w:val="14"/>
                <w:szCs w:val="14"/>
                <w:b w:val="1"/>
                <w:bCs w:val="1"/>
                <w:color w:val="auto"/>
              </w:rPr>
              <w:t>Foreign</w:t>
            </w:r>
          </w:p>
        </w:tc>
        <w:tc>
          <w:tcPr>
            <w:tcW w:w="760" w:type="dxa"/>
            <w:vAlign w:val="bottom"/>
          </w:tcPr>
          <w:p>
            <w:pPr>
              <w:jc w:val="right"/>
              <w:ind w:right="31"/>
              <w:spacing w:after="0"/>
              <w:rPr>
                <w:sz w:val="20"/>
                <w:szCs w:val="20"/>
                <w:color w:val="auto"/>
              </w:rPr>
            </w:pPr>
            <w:r>
              <w:rPr>
                <w:rFonts w:ascii="Arial" w:cs="Arial" w:eastAsia="Arial" w:hAnsi="Arial"/>
                <w:sz w:val="14"/>
                <w:szCs w:val="14"/>
                <w:b w:val="1"/>
                <w:bCs w:val="1"/>
                <w:color w:val="auto"/>
              </w:rPr>
              <w:t>Retained</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68"/>
        </w:trPr>
        <w:tc>
          <w:tcPr>
            <w:tcW w:w="3360" w:type="dxa"/>
            <w:vAlign w:val="bottom"/>
          </w:tcPr>
          <w:p>
            <w:pPr>
              <w:spacing w:after="0"/>
              <w:rPr>
                <w:sz w:val="14"/>
                <w:szCs w:val="14"/>
                <w:color w:val="auto"/>
              </w:rPr>
            </w:pPr>
          </w:p>
        </w:tc>
        <w:tc>
          <w:tcPr>
            <w:tcW w:w="1040" w:type="dxa"/>
            <w:vAlign w:val="bottom"/>
          </w:tcPr>
          <w:p>
            <w:pPr>
              <w:jc w:val="right"/>
              <w:ind w:right="91"/>
              <w:spacing w:after="0"/>
              <w:rPr>
                <w:sz w:val="20"/>
                <w:szCs w:val="20"/>
                <w:color w:val="auto"/>
              </w:rPr>
            </w:pPr>
            <w:r>
              <w:rPr>
                <w:rFonts w:ascii="Arial" w:cs="Arial" w:eastAsia="Arial" w:hAnsi="Arial"/>
                <w:sz w:val="14"/>
                <w:szCs w:val="14"/>
                <w:b w:val="1"/>
                <w:bCs w:val="1"/>
                <w:color w:val="auto"/>
              </w:rPr>
              <w:t>of shares</w:t>
            </w:r>
          </w:p>
        </w:tc>
        <w:tc>
          <w:tcPr>
            <w:tcW w:w="700" w:type="dxa"/>
            <w:vAlign w:val="bottom"/>
          </w:tcPr>
          <w:p>
            <w:pPr>
              <w:jc w:val="right"/>
              <w:ind w:right="31"/>
              <w:spacing w:after="0"/>
              <w:rPr>
                <w:sz w:val="20"/>
                <w:szCs w:val="20"/>
                <w:color w:val="auto"/>
              </w:rPr>
            </w:pPr>
            <w:r>
              <w:rPr>
                <w:rFonts w:ascii="Arial" w:cs="Arial" w:eastAsia="Arial" w:hAnsi="Arial"/>
                <w:sz w:val="14"/>
                <w:szCs w:val="14"/>
                <w:b w:val="1"/>
                <w:bCs w:val="1"/>
                <w:color w:val="auto"/>
              </w:rPr>
              <w:t>Capital</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Premium</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Reserve</w:t>
            </w:r>
          </w:p>
        </w:tc>
        <w:tc>
          <w:tcPr>
            <w:tcW w:w="860" w:type="dxa"/>
            <w:vAlign w:val="bottom"/>
          </w:tcPr>
          <w:p>
            <w:pPr>
              <w:jc w:val="right"/>
              <w:ind w:right="31"/>
              <w:spacing w:after="0"/>
              <w:rPr>
                <w:sz w:val="20"/>
                <w:szCs w:val="20"/>
                <w:color w:val="auto"/>
              </w:rPr>
            </w:pPr>
            <w:r>
              <w:rPr>
                <w:rFonts w:ascii="Arial" w:cs="Arial" w:eastAsia="Arial" w:hAnsi="Arial"/>
                <w:sz w:val="14"/>
                <w:szCs w:val="14"/>
                <w:b w:val="1"/>
                <w:bCs w:val="1"/>
                <w:color w:val="auto"/>
              </w:rPr>
              <w:t>Unde-</w:t>
            </w:r>
          </w:p>
        </w:tc>
        <w:tc>
          <w:tcPr>
            <w:tcW w:w="800" w:type="dxa"/>
            <w:vAlign w:val="bottom"/>
          </w:tcPr>
          <w:p>
            <w:pPr>
              <w:jc w:val="right"/>
              <w:ind w:right="71"/>
              <w:spacing w:after="0"/>
              <w:rPr>
                <w:sz w:val="20"/>
                <w:szCs w:val="20"/>
                <w:color w:val="auto"/>
              </w:rPr>
            </w:pPr>
            <w:r>
              <w:rPr>
                <w:rFonts w:ascii="Arial" w:cs="Arial" w:eastAsia="Arial" w:hAnsi="Arial"/>
                <w:sz w:val="14"/>
                <w:szCs w:val="14"/>
                <w:b w:val="1"/>
                <w:bCs w:val="1"/>
                <w:color w:val="auto"/>
              </w:rPr>
              <w:t>Based</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Reserve</w:t>
            </w:r>
          </w:p>
        </w:tc>
        <w:tc>
          <w:tcPr>
            <w:tcW w:w="800" w:type="dxa"/>
            <w:vAlign w:val="bottom"/>
          </w:tcPr>
          <w:p>
            <w:pPr>
              <w:jc w:val="right"/>
              <w:ind w:right="31"/>
              <w:spacing w:after="0"/>
              <w:rPr>
                <w:sz w:val="20"/>
                <w:szCs w:val="20"/>
                <w:color w:val="auto"/>
              </w:rPr>
            </w:pPr>
            <w:r>
              <w:rPr>
                <w:rFonts w:ascii="Arial" w:cs="Arial" w:eastAsia="Arial" w:hAnsi="Arial"/>
                <w:sz w:val="14"/>
                <w:szCs w:val="14"/>
                <w:b w:val="1"/>
                <w:bCs w:val="1"/>
                <w:color w:val="auto"/>
              </w:rPr>
              <w:t>Currency</w:t>
            </w:r>
          </w:p>
        </w:tc>
        <w:tc>
          <w:tcPr>
            <w:tcW w:w="760" w:type="dxa"/>
            <w:vAlign w:val="bottom"/>
          </w:tcPr>
          <w:p>
            <w:pPr>
              <w:jc w:val="right"/>
              <w:ind w:right="31"/>
              <w:spacing w:after="0"/>
              <w:rPr>
                <w:sz w:val="20"/>
                <w:szCs w:val="20"/>
                <w:color w:val="auto"/>
              </w:rPr>
            </w:pPr>
            <w:r>
              <w:rPr>
                <w:rFonts w:ascii="Arial" w:cs="Arial" w:eastAsia="Arial" w:hAnsi="Arial"/>
                <w:sz w:val="14"/>
                <w:szCs w:val="14"/>
                <w:b w:val="1"/>
                <w:bCs w:val="1"/>
                <w:color w:val="auto"/>
              </w:rPr>
              <w:t>Earnings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r>
      <w:tr>
        <w:trPr>
          <w:trHeight w:val="155"/>
        </w:trPr>
        <w:tc>
          <w:tcPr>
            <w:tcW w:w="3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nominated</w:t>
            </w:r>
          </w:p>
        </w:tc>
        <w:tc>
          <w:tcPr>
            <w:tcW w:w="800" w:type="dxa"/>
            <w:vAlign w:val="bottom"/>
          </w:tcPr>
          <w:p>
            <w:pPr>
              <w:jc w:val="right"/>
              <w:ind w:right="71"/>
              <w:spacing w:after="0" w:line="155" w:lineRule="exact"/>
              <w:rPr>
                <w:sz w:val="20"/>
                <w:szCs w:val="20"/>
                <w:color w:val="auto"/>
              </w:rPr>
            </w:pPr>
            <w:r>
              <w:rPr>
                <w:rFonts w:ascii="Arial" w:cs="Arial" w:eastAsia="Arial" w:hAnsi="Arial"/>
                <w:sz w:val="14"/>
                <w:szCs w:val="14"/>
                <w:b w:val="1"/>
                <w:bCs w:val="1"/>
                <w:color w:val="auto"/>
              </w:rPr>
              <w:t>Payment</w:t>
            </w:r>
          </w:p>
        </w:tc>
        <w:tc>
          <w:tcPr>
            <w:tcW w:w="700" w:type="dxa"/>
            <w:vAlign w:val="bottom"/>
          </w:tcPr>
          <w:p>
            <w:pPr>
              <w:spacing w:after="0"/>
              <w:rPr>
                <w:sz w:val="13"/>
                <w:szCs w:val="13"/>
                <w:color w:val="auto"/>
              </w:rPr>
            </w:pPr>
          </w:p>
        </w:tc>
        <w:tc>
          <w:tcPr>
            <w:tcW w:w="80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Reserve</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9"/>
        </w:trPr>
        <w:tc>
          <w:tcPr>
            <w:tcW w:w="3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b w:val="1"/>
                <w:bCs w:val="1"/>
                <w:color w:val="auto"/>
              </w:rPr>
              <w:t>Capital</w:t>
            </w:r>
          </w:p>
        </w:tc>
        <w:tc>
          <w:tcPr>
            <w:tcW w:w="800" w:type="dxa"/>
            <w:vAlign w:val="bottom"/>
          </w:tcPr>
          <w:p>
            <w:pPr>
              <w:jc w:val="right"/>
              <w:ind w:right="71"/>
              <w:spacing w:after="0"/>
              <w:rPr>
                <w:sz w:val="20"/>
                <w:szCs w:val="20"/>
                <w:color w:val="auto"/>
              </w:rPr>
            </w:pPr>
            <w:r>
              <w:rPr>
                <w:rFonts w:ascii="Arial" w:cs="Arial" w:eastAsia="Arial" w:hAnsi="Arial"/>
                <w:sz w:val="14"/>
                <w:szCs w:val="14"/>
                <w:b w:val="1"/>
                <w:bCs w:val="1"/>
                <w:color w:val="auto"/>
              </w:rPr>
              <w:t>Reserve</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453"/>
        </w:trPr>
        <w:tc>
          <w:tcPr>
            <w:tcW w:w="3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jc w:val="right"/>
              <w:ind w:right="31"/>
              <w:spacing w:after="0"/>
              <w:rPr>
                <w:sz w:val="20"/>
                <w:szCs w:val="20"/>
                <w:color w:val="auto"/>
              </w:rPr>
            </w:pPr>
            <w:r>
              <w:rPr>
                <w:rFonts w:ascii="Arial" w:cs="Arial" w:eastAsia="Arial" w:hAnsi="Arial"/>
                <w:sz w:val="14"/>
                <w:szCs w:val="14"/>
                <w:b w:val="1"/>
                <w:bCs w:val="1"/>
                <w:color w:val="auto"/>
              </w:rPr>
              <w:t>$’000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860" w:type="dxa"/>
            <w:vAlign w:val="bottom"/>
          </w:tcPr>
          <w:p>
            <w:pPr>
              <w:jc w:val="right"/>
              <w:ind w:right="31"/>
              <w:spacing w:after="0"/>
              <w:rPr>
                <w:sz w:val="20"/>
                <w:szCs w:val="20"/>
                <w:color w:val="auto"/>
              </w:rPr>
            </w:pPr>
            <w:r>
              <w:rPr>
                <w:rFonts w:ascii="Arial" w:cs="Arial" w:eastAsia="Arial" w:hAnsi="Arial"/>
                <w:sz w:val="14"/>
                <w:szCs w:val="14"/>
                <w:b w:val="1"/>
                <w:bCs w:val="1"/>
                <w:color w:val="auto"/>
              </w:rPr>
              <w:t>$’000</w:t>
            </w:r>
          </w:p>
        </w:tc>
        <w:tc>
          <w:tcPr>
            <w:tcW w:w="800" w:type="dxa"/>
            <w:vAlign w:val="bottom"/>
          </w:tcPr>
          <w:p>
            <w:pPr>
              <w:jc w:val="right"/>
              <w:ind w:right="71"/>
              <w:spacing w:after="0"/>
              <w:rPr>
                <w:sz w:val="20"/>
                <w:szCs w:val="20"/>
                <w:color w:val="auto"/>
              </w:rPr>
            </w:pPr>
            <w:r>
              <w:rPr>
                <w:rFonts w:ascii="Arial" w:cs="Arial" w:eastAsia="Arial" w:hAnsi="Arial"/>
                <w:sz w:val="14"/>
                <w:szCs w:val="14"/>
                <w:b w:val="1"/>
                <w:bCs w:val="1"/>
                <w:color w:val="auto"/>
              </w:rPr>
              <w:t>$’000</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800" w:type="dxa"/>
            <w:vAlign w:val="bottom"/>
          </w:tcPr>
          <w:p>
            <w:pPr>
              <w:jc w:val="right"/>
              <w:ind w:right="31"/>
              <w:spacing w:after="0"/>
              <w:rPr>
                <w:sz w:val="20"/>
                <w:szCs w:val="20"/>
                <w:color w:val="auto"/>
              </w:rPr>
            </w:pPr>
            <w:r>
              <w:rPr>
                <w:rFonts w:ascii="Arial" w:cs="Arial" w:eastAsia="Arial" w:hAnsi="Arial"/>
                <w:sz w:val="14"/>
                <w:szCs w:val="14"/>
                <w:b w:val="1"/>
                <w:bCs w:val="1"/>
                <w:color w:val="auto"/>
              </w:rPr>
              <w:t>$’000</w:t>
            </w:r>
          </w:p>
        </w:tc>
        <w:tc>
          <w:tcPr>
            <w:tcW w:w="760" w:type="dxa"/>
            <w:vAlign w:val="bottom"/>
          </w:tcPr>
          <w:p>
            <w:pPr>
              <w:jc w:val="right"/>
              <w:ind w:right="31"/>
              <w:spacing w:after="0"/>
              <w:rPr>
                <w:sz w:val="20"/>
                <w:szCs w:val="20"/>
                <w:color w:val="auto"/>
              </w:rPr>
            </w:pPr>
            <w:r>
              <w:rPr>
                <w:rFonts w:ascii="Arial" w:cs="Arial" w:eastAsia="Arial" w:hAnsi="Arial"/>
                <w:sz w:val="14"/>
                <w:szCs w:val="14"/>
                <w:b w:val="1"/>
                <w:bCs w:val="1"/>
                <w:color w:val="auto"/>
              </w:rPr>
              <w:t>$’000</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r>
      <w:tr>
        <w:trPr>
          <w:trHeight w:val="460"/>
        </w:trPr>
        <w:tc>
          <w:tcPr>
            <w:tcW w:w="3360" w:type="dxa"/>
            <w:vAlign w:val="bottom"/>
          </w:tcPr>
          <w:p>
            <w:pPr>
              <w:ind w:left="60"/>
              <w:spacing w:after="0"/>
              <w:rPr>
                <w:sz w:val="20"/>
                <w:szCs w:val="20"/>
                <w:color w:val="auto"/>
              </w:rPr>
            </w:pPr>
            <w:r>
              <w:rPr>
                <w:rFonts w:ascii="Arial" w:cs="Arial" w:eastAsia="Arial" w:hAnsi="Arial"/>
                <w:sz w:val="14"/>
                <w:szCs w:val="14"/>
                <w:color w:val="auto"/>
              </w:rPr>
              <w:t>Balance at 1 January 2024</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82,495,086</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6,699</w:t>
            </w:r>
          </w:p>
        </w:tc>
        <w:tc>
          <w:tcPr>
            <w:tcW w:w="740" w:type="dxa"/>
            <w:vAlign w:val="bottom"/>
          </w:tcPr>
          <w:p>
            <w:pPr>
              <w:jc w:val="right"/>
              <w:spacing w:after="0"/>
              <w:rPr>
                <w:sz w:val="20"/>
                <w:szCs w:val="20"/>
                <w:color w:val="auto"/>
              </w:rPr>
            </w:pPr>
            <w:r>
              <w:rPr>
                <w:rFonts w:ascii="Arial" w:cs="Arial" w:eastAsia="Arial" w:hAnsi="Arial"/>
                <w:sz w:val="14"/>
                <w:szCs w:val="14"/>
                <w:color w:val="auto"/>
              </w:rPr>
              <w:t>523,646</w:t>
            </w:r>
          </w:p>
        </w:tc>
        <w:tc>
          <w:tcPr>
            <w:tcW w:w="760" w:type="dxa"/>
            <w:vAlign w:val="bottom"/>
          </w:tcPr>
          <w:p>
            <w:pPr>
              <w:jc w:val="right"/>
              <w:spacing w:after="0"/>
              <w:rPr>
                <w:sz w:val="20"/>
                <w:szCs w:val="20"/>
                <w:color w:val="auto"/>
              </w:rPr>
            </w:pPr>
            <w:r>
              <w:rPr>
                <w:rFonts w:ascii="Arial" w:cs="Arial" w:eastAsia="Arial" w:hAnsi="Arial"/>
                <w:sz w:val="14"/>
                <w:szCs w:val="14"/>
                <w:color w:val="auto"/>
              </w:rPr>
              <w:t>5,656,195</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1,162</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282,520</w:t>
            </w:r>
          </w:p>
        </w:tc>
        <w:tc>
          <w:tcPr>
            <w:tcW w:w="700" w:type="dxa"/>
            <w:vAlign w:val="bottom"/>
          </w:tcPr>
          <w:p>
            <w:pPr>
              <w:jc w:val="right"/>
              <w:spacing w:after="0"/>
              <w:rPr>
                <w:sz w:val="20"/>
                <w:szCs w:val="20"/>
                <w:color w:val="auto"/>
              </w:rPr>
            </w:pPr>
            <w:r>
              <w:rPr>
                <w:rFonts w:ascii="Arial" w:cs="Arial" w:eastAsia="Arial" w:hAnsi="Arial"/>
                <w:sz w:val="14"/>
                <w:szCs w:val="14"/>
                <w:color w:val="auto"/>
              </w:rPr>
              <w:t>27,405</w:t>
            </w:r>
          </w:p>
        </w:tc>
        <w:tc>
          <w:tcPr>
            <w:tcW w:w="800" w:type="dxa"/>
            <w:vAlign w:val="bottom"/>
          </w:tcPr>
          <w:p>
            <w:pPr>
              <w:jc w:val="right"/>
              <w:spacing w:after="0"/>
              <w:rPr>
                <w:sz w:val="20"/>
                <w:szCs w:val="20"/>
                <w:color w:val="auto"/>
              </w:rPr>
            </w:pPr>
            <w:r>
              <w:rPr>
                <w:rFonts w:ascii="Arial" w:cs="Arial" w:eastAsia="Arial" w:hAnsi="Arial"/>
                <w:sz w:val="14"/>
                <w:szCs w:val="14"/>
                <w:color w:val="auto"/>
              </w:rPr>
              <w:t>(112,848)</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949,128</w:t>
            </w:r>
          </w:p>
        </w:tc>
        <w:tc>
          <w:tcPr>
            <w:tcW w:w="720" w:type="dxa"/>
            <w:vAlign w:val="bottom"/>
          </w:tcPr>
          <w:p>
            <w:pPr>
              <w:jc w:val="right"/>
              <w:spacing w:after="0"/>
              <w:rPr>
                <w:sz w:val="20"/>
                <w:szCs w:val="20"/>
                <w:color w:val="auto"/>
              </w:rPr>
            </w:pPr>
            <w:r>
              <w:rPr>
                <w:rFonts w:ascii="Arial" w:cs="Arial" w:eastAsia="Arial" w:hAnsi="Arial"/>
                <w:sz w:val="14"/>
                <w:szCs w:val="14"/>
                <w:color w:val="auto"/>
              </w:rPr>
              <w:t>7,333,907</w:t>
            </w:r>
          </w:p>
        </w:tc>
      </w:tr>
      <w:tr>
        <w:trPr>
          <w:trHeight w:val="466"/>
        </w:trPr>
        <w:tc>
          <w:tcPr>
            <w:tcW w:w="3360" w:type="dxa"/>
            <w:vAlign w:val="bottom"/>
          </w:tcPr>
          <w:p>
            <w:pPr>
              <w:ind w:left="60"/>
              <w:spacing w:after="0"/>
              <w:rPr>
                <w:sz w:val="20"/>
                <w:szCs w:val="20"/>
                <w:color w:val="auto"/>
              </w:rPr>
            </w:pPr>
            <w:r>
              <w:rPr>
                <w:rFonts w:ascii="Arial" w:cs="Arial" w:eastAsia="Arial" w:hAnsi="Arial"/>
                <w:sz w:val="14"/>
                <w:szCs w:val="14"/>
                <w:color w:val="auto"/>
              </w:rPr>
              <w:t>Profit for the year</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425,295</w:t>
            </w:r>
          </w:p>
        </w:tc>
        <w:tc>
          <w:tcPr>
            <w:tcW w:w="720" w:type="dxa"/>
            <w:vAlign w:val="bottom"/>
          </w:tcPr>
          <w:p>
            <w:pPr>
              <w:jc w:val="right"/>
              <w:spacing w:after="0"/>
              <w:rPr>
                <w:sz w:val="20"/>
                <w:szCs w:val="20"/>
                <w:color w:val="auto"/>
              </w:rPr>
            </w:pPr>
            <w:r>
              <w:rPr>
                <w:rFonts w:ascii="Arial" w:cs="Arial" w:eastAsia="Arial" w:hAnsi="Arial"/>
                <w:sz w:val="14"/>
                <w:szCs w:val="14"/>
                <w:color w:val="auto"/>
              </w:rPr>
              <w:t>425,295</w:t>
            </w:r>
          </w:p>
        </w:tc>
      </w:tr>
      <w:tr>
        <w:trPr>
          <w:trHeight w:val="368"/>
        </w:trPr>
        <w:tc>
          <w:tcPr>
            <w:tcW w:w="3360" w:type="dxa"/>
            <w:vAlign w:val="bottom"/>
          </w:tcPr>
          <w:p>
            <w:pPr>
              <w:ind w:left="60"/>
              <w:spacing w:after="0"/>
              <w:rPr>
                <w:sz w:val="20"/>
                <w:szCs w:val="20"/>
                <w:color w:val="auto"/>
              </w:rPr>
            </w:pPr>
            <w:r>
              <w:rPr>
                <w:rFonts w:ascii="Arial" w:cs="Arial" w:eastAsia="Arial" w:hAnsi="Arial"/>
                <w:sz w:val="14"/>
                <w:szCs w:val="14"/>
                <w:b w:val="1"/>
                <w:bCs w:val="1"/>
                <w:color w:val="auto"/>
              </w:rPr>
              <w:t>Other comprehensive loss</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4"/>
        </w:trPr>
        <w:tc>
          <w:tcPr>
            <w:tcW w:w="3360" w:type="dxa"/>
            <w:vAlign w:val="bottom"/>
          </w:tcPr>
          <w:p>
            <w:pPr>
              <w:ind w:left="140"/>
              <w:spacing w:after="0"/>
              <w:rPr>
                <w:sz w:val="20"/>
                <w:szCs w:val="20"/>
                <w:color w:val="auto"/>
              </w:rPr>
            </w:pPr>
            <w:r>
              <w:rPr>
                <w:rFonts w:ascii="Arial" w:cs="Arial" w:eastAsia="Arial" w:hAnsi="Arial"/>
                <w:sz w:val="14"/>
                <w:szCs w:val="14"/>
                <w:color w:val="auto"/>
              </w:rPr>
              <w:t>Foreign currency translation</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(494)</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(494)</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25"/>
        </w:trPr>
        <w:tc>
          <w:tcPr>
            <w:tcW w:w="3360" w:type="dxa"/>
            <w:vAlign w:val="bottom"/>
          </w:tcPr>
          <w:p>
            <w:pPr>
              <w:ind w:left="60"/>
              <w:spacing w:after="0"/>
              <w:rPr>
                <w:sz w:val="20"/>
                <w:szCs w:val="20"/>
                <w:color w:val="auto"/>
              </w:rPr>
            </w:pPr>
            <w:r>
              <w:rPr>
                <w:rFonts w:ascii="Arial" w:cs="Arial" w:eastAsia="Arial" w:hAnsi="Arial"/>
                <w:sz w:val="14"/>
                <w:szCs w:val="14"/>
                <w:color w:val="auto"/>
              </w:rPr>
              <w:t>Total other comprehensive loss</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(494)</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(494)</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25"/>
        </w:trPr>
        <w:tc>
          <w:tcPr>
            <w:tcW w:w="3360" w:type="dxa"/>
            <w:vAlign w:val="bottom"/>
          </w:tcPr>
          <w:p>
            <w:pPr>
              <w:ind w:left="60"/>
              <w:spacing w:after="0"/>
              <w:rPr>
                <w:sz w:val="20"/>
                <w:szCs w:val="20"/>
                <w:color w:val="auto"/>
              </w:rPr>
            </w:pPr>
            <w:r>
              <w:rPr>
                <w:rFonts w:ascii="Arial" w:cs="Arial" w:eastAsia="Arial" w:hAnsi="Arial"/>
                <w:sz w:val="14"/>
                <w:szCs w:val="14"/>
                <w:color w:val="auto"/>
              </w:rPr>
              <w:t>Total comprehensive income for the year</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(494)</w:t>
            </w:r>
          </w:p>
        </w:tc>
        <w:tc>
          <w:tcPr>
            <w:tcW w:w="760" w:type="dxa"/>
            <w:vAlign w:val="bottom"/>
          </w:tcPr>
          <w:p>
            <w:pPr>
              <w:jc w:val="right"/>
              <w:spacing w:after="0"/>
              <w:rPr>
                <w:sz w:val="20"/>
                <w:szCs w:val="20"/>
                <w:color w:val="auto"/>
              </w:rPr>
            </w:pPr>
            <w:r>
              <w:rPr>
                <w:rFonts w:ascii="Arial" w:cs="Arial" w:eastAsia="Arial" w:hAnsi="Arial"/>
                <w:sz w:val="14"/>
                <w:szCs w:val="14"/>
                <w:color w:val="auto"/>
              </w:rPr>
              <w:t>425,295</w:t>
            </w:r>
          </w:p>
        </w:tc>
        <w:tc>
          <w:tcPr>
            <w:tcW w:w="720" w:type="dxa"/>
            <w:vAlign w:val="bottom"/>
          </w:tcPr>
          <w:p>
            <w:pPr>
              <w:jc w:val="right"/>
              <w:spacing w:after="0"/>
              <w:rPr>
                <w:sz w:val="20"/>
                <w:szCs w:val="20"/>
                <w:color w:val="auto"/>
              </w:rPr>
            </w:pPr>
            <w:r>
              <w:rPr>
                <w:rFonts w:ascii="Arial" w:cs="Arial" w:eastAsia="Arial" w:hAnsi="Arial"/>
                <w:sz w:val="14"/>
                <w:szCs w:val="14"/>
                <w:color w:val="auto"/>
              </w:rPr>
              <w:t>424,801</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10"/>
        </w:trPr>
        <w:tc>
          <w:tcPr>
            <w:tcW w:w="3360" w:type="dxa"/>
            <w:vAlign w:val="bottom"/>
          </w:tcPr>
          <w:p>
            <w:pPr>
              <w:ind w:left="60"/>
              <w:spacing w:after="0"/>
              <w:rPr>
                <w:sz w:val="20"/>
                <w:szCs w:val="20"/>
                <w:color w:val="auto"/>
              </w:rPr>
            </w:pPr>
            <w:r>
              <w:rPr>
                <w:rFonts w:ascii="Arial" w:cs="Arial" w:eastAsia="Arial" w:hAnsi="Arial"/>
                <w:sz w:val="14"/>
                <w:szCs w:val="14"/>
                <w:b w:val="1"/>
                <w:bCs w:val="1"/>
                <w:color w:val="auto"/>
              </w:rPr>
              <w:t>Transactions with owners, recorded directly in</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9"/>
        </w:trPr>
        <w:tc>
          <w:tcPr>
            <w:tcW w:w="3360" w:type="dxa"/>
            <w:vAlign w:val="bottom"/>
          </w:tcPr>
          <w:p>
            <w:pPr>
              <w:ind w:left="60"/>
              <w:spacing w:after="0"/>
              <w:rPr>
                <w:sz w:val="20"/>
                <w:szCs w:val="20"/>
                <w:color w:val="auto"/>
              </w:rPr>
            </w:pPr>
            <w:r>
              <w:rPr>
                <w:rFonts w:ascii="Arial" w:cs="Arial" w:eastAsia="Arial" w:hAnsi="Arial"/>
                <w:sz w:val="14"/>
                <w:szCs w:val="14"/>
                <w:b w:val="1"/>
                <w:bCs w:val="1"/>
                <w:color w:val="auto"/>
              </w:rPr>
              <w:t>equity</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4"/>
        </w:trPr>
        <w:tc>
          <w:tcPr>
            <w:tcW w:w="3360" w:type="dxa"/>
            <w:vAlign w:val="bottom"/>
          </w:tcPr>
          <w:p>
            <w:pPr>
              <w:ind w:left="140"/>
              <w:spacing w:after="0"/>
              <w:rPr>
                <w:sz w:val="20"/>
                <w:szCs w:val="20"/>
                <w:color w:val="auto"/>
              </w:rPr>
            </w:pPr>
            <w:r>
              <w:rPr>
                <w:rFonts w:ascii="Arial" w:cs="Arial" w:eastAsia="Arial" w:hAnsi="Arial"/>
                <w:sz w:val="14"/>
                <w:szCs w:val="14"/>
                <w:color w:val="auto"/>
              </w:rPr>
              <w:t>Share-based payment</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41,665</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41,665</w:t>
            </w:r>
          </w:p>
        </w:tc>
      </w:tr>
      <w:tr>
        <w:trPr>
          <w:trHeight w:val="220"/>
        </w:trPr>
        <w:tc>
          <w:tcPr>
            <w:tcW w:w="3360" w:type="dxa"/>
            <w:vAlign w:val="bottom"/>
          </w:tcPr>
          <w:p>
            <w:pPr>
              <w:ind w:left="140"/>
              <w:spacing w:after="0"/>
              <w:rPr>
                <w:sz w:val="20"/>
                <w:szCs w:val="20"/>
                <w:color w:val="auto"/>
              </w:rPr>
            </w:pPr>
            <w:r>
              <w:rPr>
                <w:rFonts w:ascii="Arial" w:cs="Arial" w:eastAsia="Arial" w:hAnsi="Arial"/>
                <w:sz w:val="14"/>
                <w:szCs w:val="14"/>
                <w:color w:val="auto"/>
              </w:rPr>
              <w:t>Exercise of share options</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311,040</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20</w:t>
            </w:r>
          </w:p>
        </w:tc>
        <w:tc>
          <w:tcPr>
            <w:tcW w:w="740" w:type="dxa"/>
            <w:vAlign w:val="bottom"/>
          </w:tcPr>
          <w:p>
            <w:pPr>
              <w:jc w:val="right"/>
              <w:spacing w:after="0"/>
              <w:rPr>
                <w:sz w:val="20"/>
                <w:szCs w:val="20"/>
                <w:color w:val="auto"/>
              </w:rPr>
            </w:pPr>
            <w:r>
              <w:rPr>
                <w:rFonts w:ascii="Arial" w:cs="Arial" w:eastAsia="Arial" w:hAnsi="Arial"/>
                <w:sz w:val="14"/>
                <w:szCs w:val="14"/>
                <w:color w:val="auto"/>
              </w:rPr>
              <w:t>36,158</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36,178</w:t>
            </w:r>
          </w:p>
        </w:tc>
      </w:tr>
      <w:tr>
        <w:trPr>
          <w:trHeight w:val="220"/>
        </w:trPr>
        <w:tc>
          <w:tcPr>
            <w:tcW w:w="3360" w:type="dxa"/>
            <w:vAlign w:val="bottom"/>
          </w:tcPr>
          <w:p>
            <w:pPr>
              <w:ind w:left="140"/>
              <w:spacing w:after="0"/>
              <w:rPr>
                <w:sz w:val="20"/>
                <w:szCs w:val="20"/>
                <w:color w:val="auto"/>
              </w:rPr>
            </w:pPr>
            <w:r>
              <w:rPr>
                <w:rFonts w:ascii="Arial" w:cs="Arial" w:eastAsia="Arial" w:hAnsi="Arial"/>
                <w:sz w:val="14"/>
                <w:szCs w:val="14"/>
                <w:color w:val="auto"/>
              </w:rPr>
              <w:t>Share issue costs</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w:t>
            </w:r>
          </w:p>
        </w:tc>
        <w:tc>
          <w:tcPr>
            <w:tcW w:w="7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7"/>
        </w:trPr>
        <w:tc>
          <w:tcPr>
            <w:tcW w:w="3360" w:type="dxa"/>
            <w:vAlign w:val="bottom"/>
          </w:tcPr>
          <w:p>
            <w:pPr>
              <w:ind w:left="140"/>
              <w:spacing w:after="0"/>
              <w:rPr>
                <w:sz w:val="20"/>
                <w:szCs w:val="20"/>
                <w:color w:val="auto"/>
              </w:rPr>
            </w:pPr>
            <w:r>
              <w:rPr>
                <w:rFonts w:ascii="Arial" w:cs="Arial" w:eastAsia="Arial" w:hAnsi="Arial"/>
                <w:sz w:val="14"/>
                <w:szCs w:val="14"/>
                <w:color w:val="auto"/>
              </w:rPr>
              <w:t>Issue of restricted share units/ performance share</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130,433</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9</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1"/>
        </w:trPr>
        <w:tc>
          <w:tcPr>
            <w:tcW w:w="3360" w:type="dxa"/>
            <w:vAlign w:val="bottom"/>
          </w:tcPr>
          <w:p>
            <w:pPr>
              <w:ind w:left="160"/>
              <w:spacing w:after="0"/>
              <w:rPr>
                <w:sz w:val="20"/>
                <w:szCs w:val="20"/>
                <w:color w:val="auto"/>
              </w:rPr>
            </w:pPr>
            <w:r>
              <w:rPr>
                <w:rFonts w:ascii="Arial" w:cs="Arial" w:eastAsia="Arial" w:hAnsi="Arial"/>
                <w:sz w:val="14"/>
                <w:szCs w:val="14"/>
                <w:color w:val="auto"/>
              </w:rPr>
              <w:t>units</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0"/>
        </w:trPr>
        <w:tc>
          <w:tcPr>
            <w:tcW w:w="3360" w:type="dxa"/>
            <w:vAlign w:val="bottom"/>
          </w:tcPr>
          <w:p>
            <w:pPr>
              <w:ind w:left="140"/>
              <w:spacing w:after="0"/>
              <w:rPr>
                <w:sz w:val="20"/>
                <w:szCs w:val="20"/>
                <w:color w:val="auto"/>
              </w:rPr>
            </w:pPr>
            <w:r>
              <w:rPr>
                <w:rFonts w:ascii="Arial" w:cs="Arial" w:eastAsia="Arial" w:hAnsi="Arial"/>
                <w:sz w:val="14"/>
                <w:szCs w:val="14"/>
                <w:color w:val="auto"/>
              </w:rPr>
              <w:t>Repurchase of ordinary shares</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(2,179,699)</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(142)</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142</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(499,998)</w:t>
            </w:r>
          </w:p>
        </w:tc>
        <w:tc>
          <w:tcPr>
            <w:tcW w:w="720" w:type="dxa"/>
            <w:vAlign w:val="bottom"/>
          </w:tcPr>
          <w:p>
            <w:pPr>
              <w:jc w:val="right"/>
              <w:spacing w:after="0"/>
              <w:rPr>
                <w:sz w:val="20"/>
                <w:szCs w:val="20"/>
                <w:color w:val="auto"/>
              </w:rPr>
            </w:pPr>
            <w:r>
              <w:rPr>
                <w:rFonts w:ascii="Arial" w:cs="Arial" w:eastAsia="Arial" w:hAnsi="Arial"/>
                <w:sz w:val="14"/>
                <w:szCs w:val="14"/>
                <w:color w:val="auto"/>
              </w:rPr>
              <w:t>(499,998)</w:t>
            </w:r>
          </w:p>
        </w:tc>
      </w:tr>
      <w:tr>
        <w:trPr>
          <w:trHeight w:val="220"/>
        </w:trPr>
        <w:tc>
          <w:tcPr>
            <w:tcW w:w="3360" w:type="dxa"/>
            <w:vAlign w:val="bottom"/>
          </w:tcPr>
          <w:p>
            <w:pPr>
              <w:ind w:left="140"/>
              <w:spacing w:after="0"/>
              <w:rPr>
                <w:sz w:val="20"/>
                <w:szCs w:val="20"/>
                <w:color w:val="auto"/>
              </w:rPr>
            </w:pPr>
            <w:r>
              <w:rPr>
                <w:rFonts w:ascii="Arial" w:cs="Arial" w:eastAsia="Arial" w:hAnsi="Arial"/>
                <w:sz w:val="14"/>
                <w:szCs w:val="14"/>
                <w:color w:val="auto"/>
              </w:rPr>
              <w:t>Share repurchase costs</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(388)</w:t>
            </w:r>
          </w:p>
        </w:tc>
        <w:tc>
          <w:tcPr>
            <w:tcW w:w="720" w:type="dxa"/>
            <w:vAlign w:val="bottom"/>
          </w:tcPr>
          <w:p>
            <w:pPr>
              <w:jc w:val="right"/>
              <w:spacing w:after="0"/>
              <w:rPr>
                <w:sz w:val="20"/>
                <w:szCs w:val="20"/>
                <w:color w:val="auto"/>
              </w:rPr>
            </w:pPr>
            <w:r>
              <w:rPr>
                <w:rFonts w:ascii="Arial" w:cs="Arial" w:eastAsia="Arial" w:hAnsi="Arial"/>
                <w:sz w:val="14"/>
                <w:szCs w:val="14"/>
                <w:color w:val="auto"/>
              </w:rPr>
              <w:t>(388)</w:t>
            </w:r>
          </w:p>
        </w:tc>
      </w:tr>
      <w:tr>
        <w:trPr>
          <w:trHeight w:val="207"/>
        </w:trPr>
        <w:tc>
          <w:tcPr>
            <w:tcW w:w="3360" w:type="dxa"/>
            <w:vAlign w:val="bottom"/>
          </w:tcPr>
          <w:p>
            <w:pPr>
              <w:ind w:left="140"/>
              <w:spacing w:after="0"/>
              <w:rPr>
                <w:sz w:val="20"/>
                <w:szCs w:val="20"/>
                <w:color w:val="auto"/>
              </w:rPr>
            </w:pPr>
            <w:r>
              <w:rPr>
                <w:rFonts w:ascii="Arial" w:cs="Arial" w:eastAsia="Arial" w:hAnsi="Arial"/>
                <w:sz w:val="14"/>
                <w:szCs w:val="14"/>
                <w:color w:val="auto"/>
              </w:rPr>
              <w:t>Transfer of exercised and expired share–based</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(53,635)</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53,635</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360" w:type="dxa"/>
            <w:vAlign w:val="bottom"/>
          </w:tcPr>
          <w:p>
            <w:pPr>
              <w:ind w:left="160"/>
              <w:spacing w:after="0"/>
              <w:rPr>
                <w:sz w:val="20"/>
                <w:szCs w:val="20"/>
                <w:color w:val="auto"/>
              </w:rPr>
            </w:pPr>
            <w:r>
              <w:rPr>
                <w:rFonts w:ascii="Arial" w:cs="Arial" w:eastAsia="Arial" w:hAnsi="Arial"/>
                <w:sz w:val="14"/>
                <w:szCs w:val="14"/>
                <w:color w:val="auto"/>
              </w:rPr>
              <w:t>awards</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2"/>
        </w:trPr>
        <w:tc>
          <w:tcPr>
            <w:tcW w:w="3360" w:type="dxa"/>
            <w:vAlign w:val="bottom"/>
          </w:tcPr>
          <w:p>
            <w:pPr>
              <w:ind w:left="140"/>
              <w:spacing w:after="0"/>
              <w:rPr>
                <w:sz w:val="20"/>
                <w:szCs w:val="20"/>
                <w:color w:val="auto"/>
              </w:rPr>
            </w:pPr>
            <w:r>
              <w:rPr>
                <w:rFonts w:ascii="Arial" w:cs="Arial" w:eastAsia="Arial" w:hAnsi="Arial"/>
                <w:sz w:val="14"/>
                <w:szCs w:val="14"/>
                <w:color w:val="auto"/>
              </w:rPr>
              <w:t>Total contributions by and distributions to owners</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(1,738,226)</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(113)</w:t>
            </w:r>
          </w:p>
        </w:tc>
        <w:tc>
          <w:tcPr>
            <w:tcW w:w="740" w:type="dxa"/>
            <w:vAlign w:val="bottom"/>
          </w:tcPr>
          <w:p>
            <w:pPr>
              <w:jc w:val="right"/>
              <w:spacing w:after="0"/>
              <w:rPr>
                <w:sz w:val="20"/>
                <w:szCs w:val="20"/>
                <w:color w:val="auto"/>
              </w:rPr>
            </w:pPr>
            <w:r>
              <w:rPr>
                <w:rFonts w:ascii="Arial" w:cs="Arial" w:eastAsia="Arial" w:hAnsi="Arial"/>
                <w:sz w:val="14"/>
                <w:szCs w:val="14"/>
                <w:color w:val="auto"/>
              </w:rPr>
              <w:t>36,158</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142</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(11,970)</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(446,773)</w:t>
            </w:r>
          </w:p>
        </w:tc>
        <w:tc>
          <w:tcPr>
            <w:tcW w:w="720" w:type="dxa"/>
            <w:vAlign w:val="bottom"/>
          </w:tcPr>
          <w:p>
            <w:pPr>
              <w:jc w:val="right"/>
              <w:spacing w:after="0"/>
              <w:rPr>
                <w:sz w:val="20"/>
                <w:szCs w:val="20"/>
                <w:color w:val="auto"/>
              </w:rPr>
            </w:pPr>
            <w:r>
              <w:rPr>
                <w:rFonts w:ascii="Arial" w:cs="Arial" w:eastAsia="Arial" w:hAnsi="Arial"/>
                <w:sz w:val="14"/>
                <w:szCs w:val="14"/>
                <w:color w:val="auto"/>
              </w:rPr>
              <w:t>(422,556)</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39"/>
        </w:trPr>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Balance at 31 December 2024</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80,756,860</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6,586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559,804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5,656,195</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1,304</w:t>
            </w: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270,550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27,405</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(113,342)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927,650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7,336,152</w:t>
            </w:r>
          </w:p>
        </w:tc>
      </w:tr>
    </w:tbl>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13" w:right="339" w:bottom="1440" w:gutter="0" w:footer="0" w:header="0"/>
        </w:sectPr>
      </w:pPr>
    </w:p>
    <w:bookmarkStart w:id="11" w:name="page12"/>
    <w:bookmarkEnd w:id="11"/>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color w:val="auto"/>
        </w:rPr>
        <w:t>Notes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0" w:right="8600" w:hanging="377"/>
        <w:spacing w:after="0" w:line="541" w:lineRule="auto"/>
        <w:tabs>
          <w:tab w:leader="none" w:pos="329"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Material accounting policies Reporting entity</w:t>
      </w:r>
    </w:p>
    <w:p>
      <w:pPr>
        <w:jc w:val="both"/>
        <w:ind w:left="380"/>
        <w:spacing w:after="0" w:line="272" w:lineRule="auto"/>
        <w:rPr>
          <w:sz w:val="20"/>
          <w:szCs w:val="20"/>
          <w:color w:val="auto"/>
        </w:rPr>
      </w:pPr>
      <w:r>
        <w:rPr>
          <w:rFonts w:ascii="Arial" w:cs="Arial" w:eastAsia="Arial" w:hAnsi="Arial"/>
          <w:sz w:val="17"/>
          <w:szCs w:val="17"/>
          <w:color w:val="auto"/>
        </w:rPr>
        <w:t>ICON public limited company (“ICON plc” and the “Company”) is a public company limited by shares, incorporated, domiciled and registered in the Republic of Ireland. The Company’s registered office is South County Business Park, Leopardstown, Dublin 18, D18 X5R3, Ireland. The Company’s registered number is 145835.</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Basis of preparation</w:t>
      </w:r>
    </w:p>
    <w:p>
      <w:pPr>
        <w:spacing w:after="0" w:line="246" w:lineRule="exact"/>
        <w:rPr>
          <w:sz w:val="20"/>
          <w:szCs w:val="20"/>
          <w:color w:val="auto"/>
        </w:rPr>
      </w:pPr>
    </w:p>
    <w:p>
      <w:pPr>
        <w:jc w:val="both"/>
        <w:ind w:left="380"/>
        <w:spacing w:after="0" w:line="266" w:lineRule="auto"/>
        <w:rPr>
          <w:sz w:val="20"/>
          <w:szCs w:val="20"/>
          <w:color w:val="auto"/>
        </w:rPr>
      </w:pPr>
      <w:r>
        <w:rPr>
          <w:rFonts w:ascii="Arial" w:cs="Arial" w:eastAsia="Arial" w:hAnsi="Arial"/>
          <w:sz w:val="17"/>
          <w:szCs w:val="17"/>
          <w:color w:val="auto"/>
        </w:rPr>
        <w:t>These unaudited interim financial statements are not the statutory financial statements of the Company which company law requires to be prepared and laid before the members at an Annual General Meeting. Statutory financial statements, for the year-ended 31 December 2024, have been prepared separately as consolidated financial statements and present information about the ICON group comprising of this Company and its subsidiaries and associated undertakings.</w:t>
      </w:r>
    </w:p>
    <w:p>
      <w:pPr>
        <w:spacing w:after="0" w:line="194" w:lineRule="exact"/>
        <w:rPr>
          <w:sz w:val="20"/>
          <w:szCs w:val="20"/>
          <w:color w:val="auto"/>
        </w:rPr>
      </w:pPr>
    </w:p>
    <w:p>
      <w:pPr>
        <w:jc w:val="both"/>
        <w:ind w:left="380"/>
        <w:spacing w:after="0" w:line="272" w:lineRule="auto"/>
        <w:rPr>
          <w:sz w:val="20"/>
          <w:szCs w:val="20"/>
          <w:color w:val="auto"/>
        </w:rPr>
      </w:pPr>
      <w:r>
        <w:rPr>
          <w:rFonts w:ascii="Arial" w:cs="Arial" w:eastAsia="Arial" w:hAnsi="Arial"/>
          <w:sz w:val="17"/>
          <w:szCs w:val="17"/>
          <w:color w:val="auto"/>
        </w:rPr>
        <w:t>These unaudited interim financial statements have been prepared solely to facilitate the directors to present information about this Company on a stand-alone basis for filing with the Company Registration Office and to record the Company’s profits available for distribution in its relevant financial statements in accordance with Companies Act 2014, for the purpose of its share repurchase programs.</w:t>
      </w:r>
    </w:p>
    <w:p>
      <w:pPr>
        <w:spacing w:after="0" w:line="189" w:lineRule="exact"/>
        <w:rPr>
          <w:sz w:val="20"/>
          <w:szCs w:val="20"/>
          <w:color w:val="auto"/>
        </w:rPr>
      </w:pPr>
    </w:p>
    <w:p>
      <w:pPr>
        <w:jc w:val="both"/>
        <w:ind w:left="380"/>
        <w:spacing w:after="0" w:line="291" w:lineRule="auto"/>
        <w:rPr>
          <w:sz w:val="20"/>
          <w:szCs w:val="20"/>
          <w:color w:val="auto"/>
        </w:rPr>
      </w:pPr>
      <w:r>
        <w:rPr>
          <w:rFonts w:ascii="Arial" w:cs="Arial" w:eastAsia="Arial" w:hAnsi="Arial"/>
          <w:sz w:val="17"/>
          <w:szCs w:val="17"/>
          <w:color w:val="auto"/>
        </w:rPr>
        <w:t>The financial statements include the financial statements of the Company and its branches (Latvia, Lithuania and Poland). Inter branch transactions and balances have been eliminated in their preparation.</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New and amended standards adopted by the Company</w:t>
      </w:r>
    </w:p>
    <w:p>
      <w:pPr>
        <w:spacing w:after="0" w:line="246" w:lineRule="exact"/>
        <w:rPr>
          <w:sz w:val="20"/>
          <w:szCs w:val="20"/>
          <w:color w:val="auto"/>
        </w:rPr>
      </w:pPr>
    </w:p>
    <w:p>
      <w:pPr>
        <w:jc w:val="both"/>
        <w:ind w:left="380"/>
        <w:spacing w:after="0" w:line="291" w:lineRule="auto"/>
        <w:rPr>
          <w:sz w:val="20"/>
          <w:szCs w:val="20"/>
          <w:color w:val="auto"/>
        </w:rPr>
      </w:pPr>
      <w:r>
        <w:rPr>
          <w:rFonts w:ascii="Arial" w:cs="Arial" w:eastAsia="Arial" w:hAnsi="Arial"/>
          <w:sz w:val="17"/>
          <w:szCs w:val="17"/>
          <w:color w:val="auto"/>
        </w:rPr>
        <w:t>The following amendments became effective for the Company during the financial period but do not have a material effect on the results or financial position of the Company:</w:t>
      </w:r>
    </w:p>
    <w:p>
      <w:pPr>
        <w:spacing w:after="0" w:line="173" w:lineRule="exact"/>
        <w:rPr>
          <w:sz w:val="20"/>
          <w:szCs w:val="20"/>
          <w:color w:val="auto"/>
        </w:rPr>
      </w:pPr>
    </w:p>
    <w:p>
      <w:pPr>
        <w:ind w:left="880" w:hanging="283"/>
        <w:spacing w:after="0"/>
        <w:tabs>
          <w:tab w:leader="none" w:pos="8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Amendments to IAS 21 - Lack of Exchangeability.</w:t>
      </w:r>
    </w:p>
    <w:p>
      <w:pPr>
        <w:spacing w:after="0" w:line="244" w:lineRule="exact"/>
        <w:rPr>
          <w:sz w:val="20"/>
          <w:szCs w:val="20"/>
          <w:color w:val="auto"/>
        </w:rPr>
      </w:pPr>
    </w:p>
    <w:p>
      <w:pPr>
        <w:jc w:val="both"/>
        <w:ind w:left="380"/>
        <w:spacing w:after="0" w:line="291" w:lineRule="auto"/>
        <w:rPr>
          <w:sz w:val="20"/>
          <w:szCs w:val="20"/>
          <w:color w:val="auto"/>
        </w:rPr>
      </w:pPr>
      <w:r>
        <w:rPr>
          <w:rFonts w:ascii="Arial" w:cs="Arial" w:eastAsia="Arial" w:hAnsi="Arial"/>
          <w:sz w:val="17"/>
          <w:szCs w:val="17"/>
          <w:color w:val="auto"/>
        </w:rPr>
        <w:t>The accounting policies set out below have, unless otherwise stated, been applied consistently to all periods presented in these financial statements.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Going concern</w:t>
      </w:r>
    </w:p>
    <w:p>
      <w:pPr>
        <w:spacing w:after="0" w:line="220" w:lineRule="exact"/>
        <w:rPr>
          <w:sz w:val="20"/>
          <w:szCs w:val="20"/>
          <w:color w:val="auto"/>
        </w:rPr>
      </w:pPr>
    </w:p>
    <w:p>
      <w:pPr>
        <w:jc w:val="both"/>
        <w:ind w:left="380"/>
        <w:spacing w:after="0" w:line="291" w:lineRule="auto"/>
        <w:rPr>
          <w:sz w:val="20"/>
          <w:szCs w:val="20"/>
          <w:color w:val="auto"/>
        </w:rPr>
      </w:pPr>
      <w:r>
        <w:rPr>
          <w:rFonts w:ascii="Arial" w:cs="Arial" w:eastAsia="Arial" w:hAnsi="Arial"/>
          <w:sz w:val="17"/>
          <w:szCs w:val="17"/>
          <w:color w:val="auto"/>
        </w:rPr>
        <w:t>The directors, having made inquiries believe that the Company has adequate resources to continue in operational existence for at least the next 12 months and that it is appropriate to adopt the going concern basis in preparing the financial statements.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Revenue recognition</w:t>
      </w:r>
    </w:p>
    <w:p>
      <w:pPr>
        <w:spacing w:after="0" w:line="246" w:lineRule="exact"/>
        <w:rPr>
          <w:sz w:val="20"/>
          <w:szCs w:val="20"/>
          <w:color w:val="auto"/>
        </w:rPr>
      </w:pPr>
    </w:p>
    <w:p>
      <w:pPr>
        <w:jc w:val="both"/>
        <w:ind w:left="380"/>
        <w:spacing w:after="0" w:line="260" w:lineRule="auto"/>
        <w:rPr>
          <w:sz w:val="20"/>
          <w:szCs w:val="20"/>
          <w:color w:val="auto"/>
        </w:rPr>
      </w:pPr>
      <w:r>
        <w:rPr>
          <w:rFonts w:ascii="Arial" w:cs="Arial" w:eastAsia="Arial" w:hAnsi="Arial"/>
          <w:sz w:val="17"/>
          <w:szCs w:val="17"/>
          <w:color w:val="auto"/>
        </w:rPr>
        <w:t>The Company earns revenue from contract research services provided in Ireland and recognises revenue as those services are provided. The Company’s revenue is a function of the group’s global transfer pricing model. ICON Clinical Research Limited acts as the group entrepreneur under the group’s global transfer pricing model given its role in the development and management of the group, its ownership of key intellectual property and customer relationships, its key role in the mitigation of risks faced by the group and its responsibility for maintaining the group’s global network. ICON Clinical Research Limited enters into the majority of the group’s customer contracts. ICON Clinical Research Limited remunerates the Company on the basis of a guaranteed cost plus mark up for the services it performs. The cost plus mark up for the Company is established to ensure that ICON Clinical Research Limited and the Company are involved in the conduct of services for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13" w:right="339" w:bottom="1440" w:gutter="0" w:footer="0" w:header="0"/>
        </w:sectPr>
      </w:pPr>
    </w:p>
    <w:bookmarkStart w:id="12" w:name="page13"/>
    <w:bookmarkEnd w:id="12"/>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color w:val="auto"/>
        </w:rPr>
        <w:t>Notes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0" w:hanging="337"/>
        <w:spacing w:after="0"/>
        <w:tabs>
          <w:tab w:leader="none" w:pos="34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Material accounting policies </w:t>
      </w:r>
      <w:r>
        <w:rPr>
          <w:rFonts w:ascii="Arial" w:cs="Arial" w:eastAsia="Arial" w:hAnsi="Arial"/>
          <w:sz w:val="17"/>
          <w:szCs w:val="17"/>
          <w:i w:val="1"/>
          <w:iCs w:val="1"/>
          <w:color w:val="auto"/>
        </w:rPr>
        <w:t>(continued)</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i w:val="1"/>
          <w:iCs w:val="1"/>
          <w:color w:val="auto"/>
        </w:rPr>
        <w:t>(continued)</w:t>
      </w:r>
    </w:p>
    <w:p>
      <w:pPr>
        <w:spacing w:after="0" w:line="220" w:lineRule="exact"/>
        <w:rPr>
          <w:sz w:val="20"/>
          <w:szCs w:val="20"/>
          <w:color w:val="auto"/>
        </w:rPr>
      </w:pPr>
    </w:p>
    <w:p>
      <w:pPr>
        <w:jc w:val="both"/>
        <w:ind w:left="380"/>
        <w:spacing w:after="0" w:line="291" w:lineRule="auto"/>
        <w:rPr>
          <w:sz w:val="20"/>
          <w:szCs w:val="20"/>
          <w:color w:val="auto"/>
        </w:rPr>
      </w:pPr>
      <w:r>
        <w:rPr>
          <w:rFonts w:ascii="Arial" w:cs="Arial" w:eastAsia="Arial" w:hAnsi="Arial"/>
          <w:sz w:val="17"/>
          <w:szCs w:val="17"/>
          <w:color w:val="auto"/>
        </w:rPr>
        <w:t>customers and earn an appropriate arms-length return having regard to the assets owned, risks borne, and functions performed by the Company from these transactions.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Cash and cash equivalents</w:t>
      </w:r>
    </w:p>
    <w:p>
      <w:pPr>
        <w:spacing w:after="0" w:line="246" w:lineRule="exact"/>
        <w:rPr>
          <w:sz w:val="20"/>
          <w:szCs w:val="20"/>
          <w:color w:val="auto"/>
        </w:rPr>
      </w:pPr>
    </w:p>
    <w:p>
      <w:pPr>
        <w:jc w:val="both"/>
        <w:ind w:left="380"/>
        <w:spacing w:after="0" w:line="291" w:lineRule="auto"/>
        <w:rPr>
          <w:sz w:val="20"/>
          <w:szCs w:val="20"/>
          <w:color w:val="auto"/>
        </w:rPr>
      </w:pPr>
      <w:r>
        <w:rPr>
          <w:rFonts w:ascii="Arial" w:cs="Arial" w:eastAsia="Arial" w:hAnsi="Arial"/>
          <w:sz w:val="17"/>
          <w:szCs w:val="17"/>
          <w:color w:val="auto"/>
        </w:rPr>
        <w:t>Cash and cash equivalents include cash and highly liquid investments with original maturities of three months or less and are stated at fair value on initial recognition followed by amortised cost, which approximates fair value.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Accounts payable</w:t>
      </w:r>
    </w:p>
    <w:p>
      <w:pPr>
        <w:spacing w:after="0" w:line="246" w:lineRule="exact"/>
        <w:rPr>
          <w:sz w:val="20"/>
          <w:szCs w:val="20"/>
          <w:color w:val="auto"/>
        </w:rPr>
      </w:pPr>
    </w:p>
    <w:p>
      <w:pPr>
        <w:ind w:left="380" w:right="40"/>
        <w:spacing w:after="0" w:line="303" w:lineRule="auto"/>
        <w:rPr>
          <w:sz w:val="20"/>
          <w:szCs w:val="20"/>
          <w:color w:val="auto"/>
        </w:rPr>
      </w:pPr>
      <w:r>
        <w:rPr>
          <w:rFonts w:ascii="Arial" w:cs="Arial" w:eastAsia="Arial" w:hAnsi="Arial"/>
          <w:sz w:val="17"/>
          <w:szCs w:val="17"/>
          <w:color w:val="auto"/>
        </w:rPr>
        <w:t>Trade and other payables are presented as current liabilities unless payment is not due within 12 months after the reporting period. They are recognised initially at fair value and subsequently measured at amortised cost using the effective interest rate method</w:t>
      </w:r>
      <w:r>
        <w:rPr>
          <w:rFonts w:ascii="Arial" w:cs="Arial" w:eastAsia="Arial" w:hAnsi="Arial"/>
          <w:sz w:val="17"/>
          <w:szCs w:val="17"/>
          <w:b w:val="1"/>
          <w:bCs w:val="1"/>
          <w:color w:val="auto"/>
        </w:rPr>
        <w:t>.</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Foreign currency</w:t>
      </w:r>
    </w:p>
    <w:p>
      <w:pPr>
        <w:spacing w:after="0" w:line="246" w:lineRule="exact"/>
        <w:rPr>
          <w:sz w:val="20"/>
          <w:szCs w:val="20"/>
          <w:color w:val="auto"/>
        </w:rPr>
      </w:pPr>
    </w:p>
    <w:p>
      <w:pPr>
        <w:jc w:val="both"/>
        <w:ind w:left="380"/>
        <w:spacing w:after="0" w:line="272" w:lineRule="auto"/>
        <w:rPr>
          <w:sz w:val="20"/>
          <w:szCs w:val="20"/>
          <w:color w:val="auto"/>
        </w:rPr>
      </w:pPr>
      <w:r>
        <w:rPr>
          <w:rFonts w:ascii="Arial" w:cs="Arial" w:eastAsia="Arial" w:hAnsi="Arial"/>
          <w:sz w:val="17"/>
          <w:szCs w:val="17"/>
          <w:color w:val="auto"/>
        </w:rPr>
        <w:t>Transactions in foreign currencies are translated to the functional currency of the Company at exchange rates at the dates of the transactions. Monetary assets and liabilities denominated in foreign currencies are translated to the functional currency at the exchange rate at the reporting date. Foreign currency differences are generally recognised in profit or loss.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Taxation</w:t>
      </w:r>
    </w:p>
    <w:p>
      <w:pPr>
        <w:spacing w:after="0" w:line="246" w:lineRule="exact"/>
        <w:rPr>
          <w:sz w:val="20"/>
          <w:szCs w:val="20"/>
          <w:color w:val="auto"/>
        </w:rPr>
      </w:pPr>
    </w:p>
    <w:p>
      <w:pPr>
        <w:jc w:val="both"/>
        <w:ind w:left="380"/>
        <w:spacing w:after="0" w:line="291" w:lineRule="auto"/>
        <w:rPr>
          <w:sz w:val="20"/>
          <w:szCs w:val="20"/>
          <w:color w:val="auto"/>
        </w:rPr>
      </w:pPr>
      <w:r>
        <w:rPr>
          <w:rFonts w:ascii="Arial" w:cs="Arial" w:eastAsia="Arial" w:hAnsi="Arial"/>
          <w:sz w:val="17"/>
          <w:szCs w:val="17"/>
          <w:color w:val="auto"/>
        </w:rPr>
        <w:t>The income tax expense comprises current and deferred tax. It is recognised in the profit and loss account except to the extent that it relates to items recognised in OCI or directly in equity, in which case it is recognised in OCI or directly in equity.</w:t>
      </w:r>
    </w:p>
    <w:p>
      <w:pPr>
        <w:spacing w:after="0" w:line="173" w:lineRule="exact"/>
        <w:rPr>
          <w:sz w:val="20"/>
          <w:szCs w:val="20"/>
          <w:color w:val="auto"/>
        </w:rPr>
      </w:pPr>
    </w:p>
    <w:p>
      <w:pPr>
        <w:jc w:val="both"/>
        <w:ind w:left="380"/>
        <w:spacing w:after="0" w:line="291" w:lineRule="auto"/>
        <w:rPr>
          <w:sz w:val="20"/>
          <w:szCs w:val="20"/>
          <w:color w:val="auto"/>
        </w:rPr>
      </w:pPr>
      <w:r>
        <w:rPr>
          <w:rFonts w:ascii="Arial" w:cs="Arial" w:eastAsia="Arial" w:hAnsi="Arial"/>
          <w:sz w:val="17"/>
          <w:szCs w:val="17"/>
          <w:color w:val="auto"/>
        </w:rPr>
        <w:t>Current tax is the expected tax payable on the taxable income for the period using tax rates and laws that have been enacted or substantively enacted at the reporting date, and any adjustment to tax payable in respect of previous periods.</w:t>
      </w:r>
    </w:p>
    <w:p>
      <w:pPr>
        <w:spacing w:after="0" w:line="173" w:lineRule="exact"/>
        <w:rPr>
          <w:sz w:val="20"/>
          <w:szCs w:val="20"/>
          <w:color w:val="auto"/>
        </w:rPr>
      </w:pPr>
    </w:p>
    <w:p>
      <w:pPr>
        <w:jc w:val="both"/>
        <w:ind w:left="380"/>
        <w:spacing w:after="0" w:line="272" w:lineRule="auto"/>
        <w:rPr>
          <w:sz w:val="20"/>
          <w:szCs w:val="20"/>
          <w:color w:val="auto"/>
        </w:rPr>
      </w:pPr>
      <w:r>
        <w:rPr>
          <w:rFonts w:ascii="Arial" w:cs="Arial" w:eastAsia="Arial" w:hAnsi="Arial"/>
          <w:sz w:val="17"/>
          <w:szCs w:val="17"/>
          <w:color w:val="auto"/>
        </w:rPr>
        <w:t>The Company has determined that the global minimum top-up tax – which it is required to pay under Pillar Two legislation – is an income tax in scope of IAS 12. The Company has applied the temporary mandatory relief from deferred tax accounting for the impacts of the top-up tax and accounts for it as a current tax when it is incurred.</w:t>
      </w:r>
    </w:p>
    <w:p>
      <w:pPr>
        <w:spacing w:after="0" w:line="189" w:lineRule="exact"/>
        <w:rPr>
          <w:sz w:val="20"/>
          <w:szCs w:val="20"/>
          <w:color w:val="auto"/>
        </w:rPr>
      </w:pPr>
    </w:p>
    <w:p>
      <w:pPr>
        <w:jc w:val="both"/>
        <w:ind w:left="380"/>
        <w:spacing w:after="0" w:line="291" w:lineRule="auto"/>
        <w:rPr>
          <w:sz w:val="20"/>
          <w:szCs w:val="20"/>
          <w:color w:val="auto"/>
        </w:rPr>
      </w:pPr>
      <w:r>
        <w:rPr>
          <w:rFonts w:ascii="Arial" w:cs="Arial" w:eastAsia="Arial" w:hAnsi="Arial"/>
          <w:sz w:val="17"/>
          <w:szCs w:val="17"/>
          <w:color w:val="auto"/>
        </w:rPr>
        <w:t>Deferred tax is recognised in respect of temporary differences between the carrying amounts of assets and liabilities for financial reporting purposes and amounts used for taxation purposes.</w:t>
      </w:r>
    </w:p>
    <w:p>
      <w:pPr>
        <w:spacing w:after="0" w:line="173" w:lineRule="exact"/>
        <w:rPr>
          <w:sz w:val="20"/>
          <w:szCs w:val="20"/>
          <w:color w:val="auto"/>
        </w:rPr>
      </w:pPr>
    </w:p>
    <w:p>
      <w:pPr>
        <w:jc w:val="both"/>
        <w:ind w:left="380"/>
        <w:spacing w:after="0" w:line="272" w:lineRule="auto"/>
        <w:rPr>
          <w:sz w:val="20"/>
          <w:szCs w:val="20"/>
          <w:color w:val="auto"/>
        </w:rPr>
      </w:pPr>
      <w:r>
        <w:rPr>
          <w:rFonts w:ascii="Arial" w:cs="Arial" w:eastAsia="Arial" w:hAnsi="Arial"/>
          <w:sz w:val="17"/>
          <w:szCs w:val="17"/>
          <w:color w:val="auto"/>
        </w:rPr>
        <w:t>A deferred tax asset is recognised to the extent that it is probable future taxable profits will be available against which the temporary difference can be utilised. Deferred tax assets are reviewed at each reporting date and are reduced to the extent that it is no longer probable that the related tax benefit will be realised.</w:t>
      </w:r>
    </w:p>
    <w:p>
      <w:pPr>
        <w:spacing w:after="0" w:line="189" w:lineRule="exact"/>
        <w:rPr>
          <w:sz w:val="20"/>
          <w:szCs w:val="20"/>
          <w:color w:val="auto"/>
        </w:rPr>
      </w:pPr>
    </w:p>
    <w:p>
      <w:pPr>
        <w:jc w:val="both"/>
        <w:ind w:left="380"/>
        <w:spacing w:after="0" w:line="263" w:lineRule="auto"/>
        <w:rPr>
          <w:sz w:val="20"/>
          <w:szCs w:val="20"/>
          <w:color w:val="auto"/>
        </w:rPr>
      </w:pPr>
      <w:r>
        <w:rPr>
          <w:rFonts w:ascii="Arial" w:cs="Arial" w:eastAsia="Arial" w:hAnsi="Arial"/>
          <w:sz w:val="17"/>
          <w:szCs w:val="17"/>
          <w:color w:val="auto"/>
        </w:rPr>
        <w:t>Deferred tax is measured at the tax rates that are expected to be applied to the temporary differences when they reverse, based on the laws that have been enacted or substantively enacted by the reporting date. Deferred tax assets and liabilities are offset if there is a legally enforceable right to offset current tax liabilities and assets, and they relate to income taxes levied by the same tax authority on the same taxable entity, or on different entities, but they intend to settle current tax liabilities and assets on a net basis or their tax assets and liabilities will be realised simultaneously.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13" w:right="339" w:bottom="1440" w:gutter="0" w:footer="0" w:header="0"/>
        </w:sectPr>
      </w:pPr>
    </w:p>
    <w:bookmarkStart w:id="13" w:name="page14"/>
    <w:bookmarkEnd w:id="13"/>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color w:val="auto"/>
        </w:rPr>
        <w:t>Notes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0" w:hanging="337"/>
        <w:spacing w:after="0"/>
        <w:tabs>
          <w:tab w:leader="none" w:pos="3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Material accounting policies </w:t>
      </w:r>
      <w:r>
        <w:rPr>
          <w:rFonts w:ascii="Arial" w:cs="Arial" w:eastAsia="Arial" w:hAnsi="Arial"/>
          <w:sz w:val="17"/>
          <w:szCs w:val="17"/>
          <w:i w:val="1"/>
          <w:iCs w:val="1"/>
          <w:color w:val="auto"/>
        </w:rPr>
        <w:t>(continued)</w:t>
      </w:r>
    </w:p>
    <w:p>
      <w:pPr>
        <w:spacing w:after="0" w:line="244"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Dividend income</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Dividend income is recognised when the right to receive payment is established.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Investments in subsidiaries</w:t>
      </w:r>
    </w:p>
    <w:p>
      <w:pPr>
        <w:spacing w:after="0" w:line="233" w:lineRule="exact"/>
        <w:rPr>
          <w:sz w:val="20"/>
          <w:szCs w:val="20"/>
          <w:color w:val="auto"/>
        </w:rPr>
      </w:pPr>
    </w:p>
    <w:p>
      <w:pPr>
        <w:jc w:val="both"/>
        <w:ind w:left="380"/>
        <w:spacing w:after="0" w:line="259" w:lineRule="auto"/>
        <w:rPr>
          <w:sz w:val="20"/>
          <w:szCs w:val="20"/>
          <w:color w:val="auto"/>
        </w:rPr>
      </w:pPr>
      <w:r>
        <w:rPr>
          <w:rFonts w:ascii="Arial" w:cs="Arial" w:eastAsia="Arial" w:hAnsi="Arial"/>
          <w:sz w:val="17"/>
          <w:szCs w:val="17"/>
          <w:color w:val="auto"/>
        </w:rPr>
        <w:t>Investments in subsidiary undertakings are stated at cost less any accumulated impairment and are reviewed for impairment if there are indicators that the carrying value may not be recoverable.</w:t>
      </w:r>
    </w:p>
    <w:p>
      <w:pPr>
        <w:spacing w:after="0" w:line="160" w:lineRule="exact"/>
        <w:rPr>
          <w:sz w:val="20"/>
          <w:szCs w:val="20"/>
          <w:color w:val="auto"/>
        </w:rPr>
      </w:pPr>
    </w:p>
    <w:p>
      <w:pPr>
        <w:jc w:val="both"/>
        <w:ind w:left="380"/>
        <w:spacing w:after="0" w:line="244" w:lineRule="auto"/>
        <w:rPr>
          <w:sz w:val="20"/>
          <w:szCs w:val="20"/>
          <w:color w:val="auto"/>
        </w:rPr>
      </w:pPr>
      <w:r>
        <w:rPr>
          <w:rFonts w:ascii="Arial" w:cs="Arial" w:eastAsia="Arial" w:hAnsi="Arial"/>
          <w:sz w:val="17"/>
          <w:szCs w:val="17"/>
          <w:color w:val="auto"/>
        </w:rPr>
        <w:t>Intercompany loans receivable and payable are initially recognised at fair value. These are subsequently measured at amortised cost, less any loss allowance.</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Share capital</w:t>
      </w:r>
    </w:p>
    <w:p>
      <w:pPr>
        <w:spacing w:after="0" w:line="233" w:lineRule="exact"/>
        <w:rPr>
          <w:sz w:val="20"/>
          <w:szCs w:val="20"/>
          <w:color w:val="auto"/>
        </w:rPr>
      </w:pPr>
    </w:p>
    <w:p>
      <w:pPr>
        <w:jc w:val="both"/>
        <w:ind w:left="380"/>
        <w:spacing w:after="0" w:line="259" w:lineRule="auto"/>
        <w:rPr>
          <w:sz w:val="20"/>
          <w:szCs w:val="20"/>
          <w:color w:val="auto"/>
        </w:rPr>
      </w:pPr>
      <w:r>
        <w:rPr>
          <w:rFonts w:ascii="Arial" w:cs="Arial" w:eastAsia="Arial" w:hAnsi="Arial"/>
          <w:sz w:val="17"/>
          <w:szCs w:val="17"/>
          <w:color w:val="auto"/>
        </w:rPr>
        <w:t>Ordinary shares are classified as equity. Incremental costs directly attributable to the issue of new shares or options are shown in equity as a deduction, net of tax, from the proceeds.</w:t>
      </w:r>
    </w:p>
    <w:p>
      <w:pPr>
        <w:spacing w:after="0" w:line="160" w:lineRule="exact"/>
        <w:rPr>
          <w:sz w:val="20"/>
          <w:szCs w:val="20"/>
          <w:color w:val="auto"/>
        </w:rPr>
      </w:pPr>
    </w:p>
    <w:p>
      <w:pPr>
        <w:jc w:val="both"/>
        <w:ind w:left="380"/>
        <w:spacing w:after="0" w:line="244" w:lineRule="auto"/>
        <w:rPr>
          <w:sz w:val="20"/>
          <w:szCs w:val="20"/>
          <w:color w:val="auto"/>
        </w:rPr>
      </w:pPr>
      <w:r>
        <w:rPr>
          <w:rFonts w:ascii="Arial" w:cs="Arial" w:eastAsia="Arial" w:hAnsi="Arial"/>
          <w:sz w:val="17"/>
          <w:szCs w:val="17"/>
          <w:color w:val="auto"/>
        </w:rPr>
        <w:t>Where ordinary shares are re-purchased by the Company they are cancelled and the nominal value of the shares is transferred to other undenominated capital within equity.</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Share-based payments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operates a number of share-based payment plans.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Share-based payments comprise options to acquire ordinary shares in the Company, Restricted Share Units ('RSUs') and Performance Share</w:t>
      </w:r>
    </w:p>
    <w:p>
      <w:pPr>
        <w:spacing w:after="0" w:line="2" w:lineRule="exact"/>
        <w:rPr>
          <w:sz w:val="20"/>
          <w:szCs w:val="20"/>
          <w:color w:val="auto"/>
        </w:rPr>
      </w:pPr>
    </w:p>
    <w:p>
      <w:pPr>
        <w:jc w:val="both"/>
        <w:ind w:left="380"/>
        <w:spacing w:after="0" w:line="211" w:lineRule="auto"/>
        <w:rPr>
          <w:sz w:val="20"/>
          <w:szCs w:val="20"/>
          <w:color w:val="auto"/>
        </w:rPr>
      </w:pPr>
      <w:r>
        <w:rPr>
          <w:rFonts w:ascii="Arial" w:cs="Arial" w:eastAsia="Arial" w:hAnsi="Arial"/>
          <w:sz w:val="17"/>
          <w:szCs w:val="17"/>
          <w:color w:val="auto"/>
        </w:rPr>
        <w:t>Units ('PSUs') in the form of ordinary share entitlements after a certain period of time. These are awarded to certain key employees and Directors of the Company based on service conditions such as term of employment and individual performance. The fair value is measured at grant date and spread over the period during which the Directors and other employees become unconditionally entitled to the options, RSUs</w:t>
      </w:r>
    </w:p>
    <w:p>
      <w:pPr>
        <w:spacing w:after="0" w:line="2" w:lineRule="exact"/>
        <w:rPr>
          <w:sz w:val="20"/>
          <w:szCs w:val="20"/>
          <w:color w:val="auto"/>
        </w:rPr>
      </w:pPr>
    </w:p>
    <w:p>
      <w:pPr>
        <w:jc w:val="both"/>
        <w:ind w:left="380"/>
        <w:spacing w:after="0" w:line="232" w:lineRule="auto"/>
        <w:rPr>
          <w:sz w:val="20"/>
          <w:szCs w:val="20"/>
          <w:color w:val="auto"/>
        </w:rPr>
      </w:pPr>
      <w:r>
        <w:rPr>
          <w:rFonts w:ascii="Arial" w:cs="Arial" w:eastAsia="Arial" w:hAnsi="Arial"/>
          <w:sz w:val="17"/>
          <w:szCs w:val="17"/>
          <w:color w:val="auto"/>
        </w:rPr>
        <w:t>or PSUs. The fair value of options granted is measured using the Black Scholes option pricing model taking into account the terms and conditions upon which the options were granted.</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fair value of RSUs and PSUs is equal to the market price of a share at date of grant. The total amount to be expensed is determined by</w:t>
      </w:r>
    </w:p>
    <w:p>
      <w:pPr>
        <w:spacing w:after="0" w:line="2" w:lineRule="exact"/>
        <w:rPr>
          <w:sz w:val="20"/>
          <w:szCs w:val="20"/>
          <w:color w:val="auto"/>
        </w:rPr>
      </w:pPr>
    </w:p>
    <w:p>
      <w:pPr>
        <w:jc w:val="both"/>
        <w:ind w:left="380"/>
        <w:spacing w:after="0" w:line="232" w:lineRule="auto"/>
        <w:rPr>
          <w:sz w:val="20"/>
          <w:szCs w:val="20"/>
          <w:color w:val="auto"/>
        </w:rPr>
      </w:pPr>
      <w:r>
        <w:rPr>
          <w:rFonts w:ascii="Arial" w:cs="Arial" w:eastAsia="Arial" w:hAnsi="Arial"/>
          <w:sz w:val="17"/>
          <w:szCs w:val="17"/>
          <w:color w:val="auto"/>
        </w:rPr>
        <w:t>reference to the fair value of the options, RSUs or PSUs granted. The amount recognised as an expense is adjusted to reflect the actual number of share options, RSUs or PSUs that vest.</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Forfeitures are estimated on the date of grant and revised if actual or expected forfeiture activity differs materially from original estimates.</w:t>
      </w:r>
    </w:p>
    <w:p>
      <w:pPr>
        <w:spacing w:after="0" w:line="218" w:lineRule="exact"/>
        <w:rPr>
          <w:sz w:val="20"/>
          <w:szCs w:val="20"/>
          <w:color w:val="auto"/>
        </w:rPr>
      </w:pPr>
    </w:p>
    <w:p>
      <w:pPr>
        <w:jc w:val="both"/>
        <w:ind w:left="380"/>
        <w:spacing w:after="0" w:line="244" w:lineRule="auto"/>
        <w:rPr>
          <w:sz w:val="20"/>
          <w:szCs w:val="20"/>
          <w:color w:val="auto"/>
        </w:rPr>
      </w:pPr>
      <w:r>
        <w:rPr>
          <w:rFonts w:ascii="Arial" w:cs="Arial" w:eastAsia="Arial" w:hAnsi="Arial"/>
          <w:sz w:val="17"/>
          <w:szCs w:val="17"/>
          <w:color w:val="auto"/>
        </w:rPr>
        <w:t>Share-based payment expense is recognised over the requisite service period for awards of equity instruments to employees based on the grant date fair value of those awards expected to ultimately vest.</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Company’s profit or loss is charged with the expense related to the services received. The remaining portions of the share-based</w:t>
      </w:r>
    </w:p>
    <w:p>
      <w:pPr>
        <w:spacing w:after="0" w:line="2" w:lineRule="exact"/>
        <w:rPr>
          <w:sz w:val="20"/>
          <w:szCs w:val="20"/>
          <w:color w:val="auto"/>
        </w:rPr>
      </w:pPr>
    </w:p>
    <w:p>
      <w:pPr>
        <w:jc w:val="both"/>
        <w:ind w:left="380"/>
        <w:spacing w:after="0" w:line="223" w:lineRule="auto"/>
        <w:rPr>
          <w:sz w:val="20"/>
          <w:szCs w:val="20"/>
          <w:color w:val="auto"/>
        </w:rPr>
      </w:pPr>
      <w:r>
        <w:rPr>
          <w:rFonts w:ascii="Arial" w:cs="Arial" w:eastAsia="Arial" w:hAnsi="Arial"/>
          <w:sz w:val="17"/>
          <w:szCs w:val="17"/>
          <w:color w:val="auto"/>
        </w:rPr>
        <w:t>payments represent a contribution to Company’s subsidiaries and are added to the carrying amount of those investments. Under an agreement, with certain subsidiaries, on the date of exercise the Company is paid an amount equal to the fair value of the ordinary shares issued that is in excess of the award exercise price with such amount reducing the Company’s investment in its subsidiaries.</w:t>
      </w:r>
    </w:p>
    <w:p>
      <w:pPr>
        <w:spacing w:after="0" w:line="189" w:lineRule="exact"/>
        <w:rPr>
          <w:sz w:val="20"/>
          <w:szCs w:val="20"/>
          <w:color w:val="auto"/>
        </w:rPr>
      </w:pPr>
    </w:p>
    <w:p>
      <w:pPr>
        <w:jc w:val="both"/>
        <w:ind w:left="380"/>
        <w:spacing w:after="0" w:line="244" w:lineRule="auto"/>
        <w:rPr>
          <w:sz w:val="20"/>
          <w:szCs w:val="20"/>
          <w:color w:val="auto"/>
        </w:rPr>
      </w:pPr>
      <w:r>
        <w:rPr>
          <w:rFonts w:ascii="Arial" w:cs="Arial" w:eastAsia="Arial" w:hAnsi="Arial"/>
          <w:sz w:val="17"/>
          <w:szCs w:val="17"/>
          <w:color w:val="auto"/>
        </w:rPr>
        <w:t>The net effect of the grant date fair value of the Company’s share-based compensation to employees of the Company’s subsidiaries and recharges received from those subsidiaries is presented as a movement in financial fixed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13" w:right="339" w:bottom="1440" w:gutter="0" w:footer="0" w:header="0"/>
        </w:sectPr>
      </w:pPr>
    </w:p>
    <w:bookmarkStart w:id="14" w:name="page15"/>
    <w:bookmarkEnd w:id="14"/>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color w:val="auto"/>
        </w:rPr>
        <w:t>Notes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0" w:hanging="337"/>
        <w:spacing w:after="0"/>
        <w:tabs>
          <w:tab w:leader="none" w:pos="3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Material accounting policies </w:t>
      </w:r>
      <w:r>
        <w:rPr>
          <w:rFonts w:ascii="Arial" w:cs="Arial" w:eastAsia="Arial" w:hAnsi="Arial"/>
          <w:sz w:val="17"/>
          <w:szCs w:val="17"/>
          <w:i w:val="1"/>
          <w:iCs w:val="1"/>
          <w:color w:val="auto"/>
        </w:rPr>
        <w:t>(continued)</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Critical judgements in applying the Company’s accounting policies</w:t>
      </w:r>
    </w:p>
    <w:p>
      <w:pPr>
        <w:spacing w:after="0" w:line="208" w:lineRule="exact"/>
        <w:rPr>
          <w:sz w:val="20"/>
          <w:szCs w:val="20"/>
          <w:color w:val="auto"/>
        </w:rPr>
      </w:pPr>
    </w:p>
    <w:p>
      <w:pPr>
        <w:jc w:val="both"/>
        <w:ind w:left="380"/>
        <w:spacing w:after="0" w:line="244" w:lineRule="auto"/>
        <w:rPr>
          <w:sz w:val="20"/>
          <w:szCs w:val="20"/>
          <w:color w:val="auto"/>
        </w:rPr>
      </w:pPr>
      <w:r>
        <w:rPr>
          <w:rFonts w:ascii="Arial" w:cs="Arial" w:eastAsia="Arial" w:hAnsi="Arial"/>
          <w:sz w:val="17"/>
          <w:szCs w:val="17"/>
          <w:color w:val="auto"/>
        </w:rPr>
        <w:t>In the process of applying the Company’s accounting policies, the Directors have not made any critical judgements that have a significant effect on the amounts recognised in the unaudited interim financial statements, apart from those involving estimations as noted below.</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Key sources of estimation uncertainty</w:t>
      </w:r>
    </w:p>
    <w:p>
      <w:pPr>
        <w:spacing w:after="0" w:line="208" w:lineRule="exact"/>
        <w:rPr>
          <w:sz w:val="20"/>
          <w:szCs w:val="20"/>
          <w:color w:val="auto"/>
        </w:rPr>
      </w:pPr>
    </w:p>
    <w:p>
      <w:pPr>
        <w:jc w:val="both"/>
        <w:ind w:left="380"/>
        <w:spacing w:after="0" w:line="230" w:lineRule="auto"/>
        <w:rPr>
          <w:sz w:val="20"/>
          <w:szCs w:val="20"/>
          <w:color w:val="auto"/>
        </w:rPr>
      </w:pPr>
      <w:r>
        <w:rPr>
          <w:rFonts w:ascii="Arial" w:cs="Arial" w:eastAsia="Arial" w:hAnsi="Arial"/>
          <w:sz w:val="17"/>
          <w:szCs w:val="17"/>
          <w:color w:val="auto"/>
        </w:rPr>
        <w:t>The preparation of these unaudited interim financial statements requires management to make estimates that affect the reported amounts of assets and liabilities at the date of the unaudited interim financial statements. Actual results could differ from those estimates. The principal management estimates used in preparing the unaudited interim financial statements relate to the recoverability of investments in subsidiaries.</w:t>
      </w:r>
    </w:p>
    <w:p>
      <w:pPr>
        <w:spacing w:after="0" w:line="188" w:lineRule="exact"/>
        <w:rPr>
          <w:sz w:val="20"/>
          <w:szCs w:val="20"/>
          <w:color w:val="auto"/>
        </w:rPr>
      </w:pPr>
    </w:p>
    <w:p>
      <w:pPr>
        <w:jc w:val="both"/>
        <w:ind w:left="380"/>
        <w:spacing w:after="0" w:line="218" w:lineRule="auto"/>
        <w:rPr>
          <w:sz w:val="20"/>
          <w:szCs w:val="20"/>
          <w:color w:val="auto"/>
        </w:rPr>
      </w:pPr>
      <w:r>
        <w:rPr>
          <w:rFonts w:ascii="Arial" w:cs="Arial" w:eastAsia="Arial" w:hAnsi="Arial"/>
          <w:sz w:val="17"/>
          <w:szCs w:val="17"/>
          <w:color w:val="auto"/>
        </w:rPr>
        <w:t>Where there are indicators of impairment of financial assets, the Company performs impairment tests based on fair value less costs to sell or a value in use calculation. The fair value less costs to sell calculation is based on available data from binding sales transactions in an arm’s length transaction on similar assets or observable market prices. The value in use calculation is based on a discounted cash flow model. The</w:t>
      </w:r>
    </w:p>
    <w:p>
      <w:pPr>
        <w:spacing w:after="0" w:line="1" w:lineRule="exact"/>
        <w:rPr>
          <w:sz w:val="20"/>
          <w:szCs w:val="20"/>
          <w:color w:val="auto"/>
        </w:rPr>
      </w:pPr>
    </w:p>
    <w:p>
      <w:pPr>
        <w:jc w:val="both"/>
        <w:ind w:left="380"/>
        <w:spacing w:after="0" w:line="223" w:lineRule="auto"/>
        <w:rPr>
          <w:sz w:val="20"/>
          <w:szCs w:val="20"/>
          <w:color w:val="auto"/>
        </w:rPr>
      </w:pPr>
      <w:r>
        <w:rPr>
          <w:rFonts w:ascii="Arial" w:cs="Arial" w:eastAsia="Arial" w:hAnsi="Arial"/>
          <w:sz w:val="17"/>
          <w:szCs w:val="17"/>
          <w:color w:val="auto"/>
        </w:rPr>
        <w:t>cash flows do not include restructuring activities that are not yet committed to or significant future investments that will enhance performance of the investments being tested. The recoverable amount is most sensitive to the discount rate used for the discounted cash flow model as well as the expected future cash flows and the growth rate used for extrapolation purposes.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gridSpan w:val="2"/>
          </w:tcPr>
          <w:p>
            <w:pPr>
              <w:spacing w:after="0"/>
              <w:rPr>
                <w:sz w:val="20"/>
                <w:szCs w:val="20"/>
                <w:color w:val="auto"/>
              </w:rPr>
            </w:pPr>
            <w:r>
              <w:rPr>
                <w:rFonts w:ascii="Arial" w:cs="Arial" w:eastAsia="Arial" w:hAnsi="Arial"/>
                <w:sz w:val="17"/>
                <w:szCs w:val="17"/>
                <w:b w:val="1"/>
                <w:bCs w:val="1"/>
                <w:color w:val="auto"/>
              </w:rPr>
              <w:t>2.  Investment in subsidiaries</w:t>
            </w:r>
          </w:p>
        </w:tc>
        <w:tc>
          <w:tcPr>
            <w:tcW w:w="4120" w:type="dxa"/>
            <w:vAlign w:val="bottom"/>
          </w:tcPr>
          <w:p>
            <w:pPr>
              <w:spacing w:after="0"/>
              <w:rPr>
                <w:sz w:val="20"/>
                <w:szCs w:val="20"/>
                <w:color w:val="auto"/>
              </w:rPr>
            </w:pPr>
          </w:p>
        </w:tc>
      </w:tr>
      <w:tr>
        <w:trPr>
          <w:trHeight w:val="473"/>
        </w:trPr>
        <w:tc>
          <w:tcPr>
            <w:tcW w:w="2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4120" w:type="dxa"/>
            <w:vAlign w:val="bottom"/>
          </w:tcPr>
          <w:p>
            <w:pPr>
              <w:jc w:val="right"/>
              <w:spacing w:after="0"/>
              <w:rPr>
                <w:sz w:val="20"/>
                <w:szCs w:val="20"/>
                <w:color w:val="auto"/>
              </w:rPr>
            </w:pPr>
            <w:r>
              <w:rPr>
                <w:rFonts w:ascii="Arial" w:cs="Arial" w:eastAsia="Arial" w:hAnsi="Arial"/>
                <w:sz w:val="17"/>
                <w:szCs w:val="17"/>
                <w:b w:val="1"/>
                <w:bCs w:val="1"/>
                <w:color w:val="auto"/>
              </w:rPr>
              <w:t>Investment in Subsidiary</w:t>
            </w:r>
          </w:p>
        </w:tc>
      </w:tr>
      <w:tr>
        <w:trPr>
          <w:trHeight w:val="238"/>
        </w:trPr>
        <w:tc>
          <w:tcPr>
            <w:tcW w:w="28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4120" w:type="dxa"/>
            <w:vAlign w:val="bottom"/>
          </w:tcPr>
          <w:p>
            <w:pPr>
              <w:jc w:val="right"/>
              <w:spacing w:after="0"/>
              <w:rPr>
                <w:sz w:val="20"/>
                <w:szCs w:val="20"/>
                <w:color w:val="auto"/>
              </w:rPr>
            </w:pPr>
            <w:r>
              <w:rPr>
                <w:rFonts w:ascii="Arial" w:cs="Arial" w:eastAsia="Arial" w:hAnsi="Arial"/>
                <w:sz w:val="17"/>
                <w:szCs w:val="17"/>
                <w:b w:val="1"/>
                <w:bCs w:val="1"/>
                <w:color w:val="auto"/>
              </w:rPr>
              <w:t>Undertakings</w:t>
            </w:r>
          </w:p>
        </w:tc>
      </w:tr>
      <w:tr>
        <w:trPr>
          <w:trHeight w:val="259"/>
        </w:trPr>
        <w:tc>
          <w:tcPr>
            <w:tcW w:w="28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4120" w:type="dxa"/>
            <w:vAlign w:val="bottom"/>
          </w:tcPr>
          <w:p>
            <w:pPr>
              <w:jc w:val="right"/>
              <w:spacing w:after="0"/>
              <w:rPr>
                <w:sz w:val="20"/>
                <w:szCs w:val="20"/>
                <w:color w:val="auto"/>
              </w:rPr>
            </w:pPr>
            <w:r>
              <w:rPr>
                <w:rFonts w:ascii="Arial" w:cs="Arial" w:eastAsia="Arial" w:hAnsi="Arial"/>
                <w:sz w:val="17"/>
                <w:szCs w:val="17"/>
                <w:b w:val="1"/>
                <w:bCs w:val="1"/>
                <w:color w:val="auto"/>
              </w:rPr>
              <w:t>$’000</w:t>
            </w:r>
          </w:p>
        </w:tc>
      </w:tr>
      <w:tr>
        <w:trPr>
          <w:trHeight w:val="272"/>
        </w:trPr>
        <w:tc>
          <w:tcPr>
            <w:tcW w:w="280" w:type="dxa"/>
            <w:vAlign w:val="bottom"/>
          </w:tcPr>
          <w:p>
            <w:pPr>
              <w:spacing w:after="0"/>
              <w:rPr>
                <w:sz w:val="23"/>
                <w:szCs w:val="23"/>
                <w:color w:val="auto"/>
              </w:rPr>
            </w:pPr>
          </w:p>
        </w:tc>
        <w:tc>
          <w:tcPr>
            <w:tcW w:w="6440" w:type="dxa"/>
            <w:vAlign w:val="bottom"/>
          </w:tcPr>
          <w:p>
            <w:pPr>
              <w:ind w:left="60"/>
              <w:spacing w:after="0"/>
              <w:rPr>
                <w:sz w:val="20"/>
                <w:szCs w:val="20"/>
                <w:color w:val="auto"/>
              </w:rPr>
            </w:pPr>
            <w:r>
              <w:rPr>
                <w:rFonts w:ascii="Arial" w:cs="Arial" w:eastAsia="Arial" w:hAnsi="Arial"/>
                <w:sz w:val="17"/>
                <w:szCs w:val="17"/>
                <w:b w:val="1"/>
                <w:bCs w:val="1"/>
                <w:color w:val="auto"/>
              </w:rPr>
              <w:t>Cost:</w:t>
            </w:r>
          </w:p>
        </w:tc>
        <w:tc>
          <w:tcPr>
            <w:tcW w:w="4120" w:type="dxa"/>
            <w:vAlign w:val="bottom"/>
          </w:tcPr>
          <w:p>
            <w:pPr>
              <w:spacing w:after="0"/>
              <w:rPr>
                <w:sz w:val="23"/>
                <w:szCs w:val="23"/>
                <w:color w:val="auto"/>
              </w:rPr>
            </w:pPr>
          </w:p>
        </w:tc>
      </w:tr>
      <w:tr>
        <w:trPr>
          <w:trHeight w:val="262"/>
        </w:trPr>
        <w:tc>
          <w:tcPr>
            <w:tcW w:w="280" w:type="dxa"/>
            <w:vAlign w:val="bottom"/>
          </w:tcPr>
          <w:p>
            <w:pPr>
              <w:spacing w:after="0"/>
              <w:rPr>
                <w:sz w:val="22"/>
                <w:szCs w:val="22"/>
                <w:color w:val="auto"/>
              </w:rPr>
            </w:pPr>
          </w:p>
        </w:tc>
        <w:tc>
          <w:tcPr>
            <w:tcW w:w="6440" w:type="dxa"/>
            <w:vAlign w:val="bottom"/>
          </w:tcPr>
          <w:p>
            <w:pPr>
              <w:ind w:left="60"/>
              <w:spacing w:after="0"/>
              <w:rPr>
                <w:sz w:val="20"/>
                <w:szCs w:val="20"/>
                <w:color w:val="auto"/>
              </w:rPr>
            </w:pPr>
            <w:r>
              <w:rPr>
                <w:rFonts w:ascii="Arial" w:cs="Arial" w:eastAsia="Arial" w:hAnsi="Arial"/>
                <w:sz w:val="17"/>
                <w:szCs w:val="17"/>
                <w:color w:val="auto"/>
              </w:rPr>
              <w:t>At 1 January 2024</w:t>
            </w:r>
          </w:p>
        </w:tc>
        <w:tc>
          <w:tcPr>
            <w:tcW w:w="4120" w:type="dxa"/>
            <w:vAlign w:val="bottom"/>
          </w:tcPr>
          <w:p>
            <w:pPr>
              <w:jc w:val="right"/>
              <w:spacing w:after="0"/>
              <w:rPr>
                <w:sz w:val="20"/>
                <w:szCs w:val="20"/>
                <w:color w:val="auto"/>
              </w:rPr>
            </w:pPr>
            <w:r>
              <w:rPr>
                <w:rFonts w:ascii="Arial" w:cs="Arial" w:eastAsia="Arial" w:hAnsi="Arial"/>
                <w:sz w:val="17"/>
                <w:szCs w:val="17"/>
                <w:color w:val="auto"/>
              </w:rPr>
              <w:t>7,149,445</w:t>
            </w:r>
          </w:p>
        </w:tc>
      </w:tr>
      <w:tr>
        <w:trPr>
          <w:trHeight w:val="272"/>
        </w:trPr>
        <w:tc>
          <w:tcPr>
            <w:tcW w:w="280" w:type="dxa"/>
            <w:vAlign w:val="bottom"/>
          </w:tcPr>
          <w:p>
            <w:pPr>
              <w:spacing w:after="0"/>
              <w:rPr>
                <w:sz w:val="23"/>
                <w:szCs w:val="23"/>
                <w:color w:val="auto"/>
              </w:rPr>
            </w:pPr>
          </w:p>
        </w:tc>
        <w:tc>
          <w:tcPr>
            <w:tcW w:w="6440" w:type="dxa"/>
            <w:vAlign w:val="bottom"/>
          </w:tcPr>
          <w:p>
            <w:pPr>
              <w:ind w:left="60"/>
              <w:spacing w:after="0"/>
              <w:rPr>
                <w:sz w:val="20"/>
                <w:szCs w:val="20"/>
                <w:color w:val="auto"/>
              </w:rPr>
            </w:pPr>
            <w:r>
              <w:rPr>
                <w:rFonts w:ascii="Arial" w:cs="Arial" w:eastAsia="Arial" w:hAnsi="Arial"/>
                <w:sz w:val="17"/>
                <w:szCs w:val="17"/>
                <w:color w:val="auto"/>
              </w:rPr>
              <w:t>Additions</w:t>
            </w:r>
          </w:p>
        </w:tc>
        <w:tc>
          <w:tcPr>
            <w:tcW w:w="4120" w:type="dxa"/>
            <w:vAlign w:val="bottom"/>
          </w:tcPr>
          <w:p>
            <w:pPr>
              <w:jc w:val="right"/>
              <w:spacing w:after="0"/>
              <w:rPr>
                <w:sz w:val="20"/>
                <w:szCs w:val="20"/>
                <w:color w:val="auto"/>
              </w:rPr>
            </w:pPr>
            <w:r>
              <w:rPr>
                <w:rFonts w:ascii="Arial" w:cs="Arial" w:eastAsia="Arial" w:hAnsi="Arial"/>
                <w:sz w:val="17"/>
                <w:szCs w:val="17"/>
                <w:color w:val="auto"/>
              </w:rPr>
              <w:t>78,199</w:t>
            </w:r>
          </w:p>
        </w:tc>
      </w:tr>
      <w:tr>
        <w:trPr>
          <w:trHeight w:val="272"/>
        </w:trPr>
        <w:tc>
          <w:tcPr>
            <w:tcW w:w="280" w:type="dxa"/>
            <w:vAlign w:val="bottom"/>
          </w:tcPr>
          <w:p>
            <w:pPr>
              <w:spacing w:after="0"/>
              <w:rPr>
                <w:sz w:val="23"/>
                <w:szCs w:val="23"/>
                <w:color w:val="auto"/>
              </w:rPr>
            </w:pPr>
          </w:p>
        </w:tc>
        <w:tc>
          <w:tcPr>
            <w:tcW w:w="6440" w:type="dxa"/>
            <w:vAlign w:val="bottom"/>
          </w:tcPr>
          <w:p>
            <w:pPr>
              <w:ind w:left="60"/>
              <w:spacing w:after="0"/>
              <w:rPr>
                <w:sz w:val="20"/>
                <w:szCs w:val="20"/>
                <w:color w:val="auto"/>
              </w:rPr>
            </w:pPr>
            <w:r>
              <w:rPr>
                <w:rFonts w:ascii="Arial" w:cs="Arial" w:eastAsia="Arial" w:hAnsi="Arial"/>
                <w:sz w:val="17"/>
                <w:szCs w:val="17"/>
                <w:color w:val="auto"/>
              </w:rPr>
              <w:t>Redemptions</w:t>
            </w:r>
          </w:p>
        </w:tc>
        <w:tc>
          <w:tcPr>
            <w:tcW w:w="4120" w:type="dxa"/>
            <w:vAlign w:val="bottom"/>
          </w:tcPr>
          <w:p>
            <w:pPr>
              <w:jc w:val="right"/>
              <w:spacing w:after="0"/>
              <w:rPr>
                <w:sz w:val="20"/>
                <w:szCs w:val="20"/>
                <w:color w:val="auto"/>
              </w:rPr>
            </w:pPr>
            <w:r>
              <w:rPr>
                <w:rFonts w:ascii="Arial" w:cs="Arial" w:eastAsia="Arial" w:hAnsi="Arial"/>
                <w:sz w:val="17"/>
                <w:szCs w:val="17"/>
                <w:color w:val="auto"/>
              </w:rPr>
              <w:t>(127,375)</w:t>
            </w:r>
          </w:p>
        </w:tc>
      </w:tr>
      <w:tr>
        <w:trPr>
          <w:trHeight w:val="272"/>
        </w:trPr>
        <w:tc>
          <w:tcPr>
            <w:tcW w:w="280" w:type="dxa"/>
            <w:vAlign w:val="bottom"/>
          </w:tcPr>
          <w:p>
            <w:pPr>
              <w:spacing w:after="0"/>
              <w:rPr>
                <w:sz w:val="23"/>
                <w:szCs w:val="23"/>
                <w:color w:val="auto"/>
              </w:rPr>
            </w:pPr>
          </w:p>
        </w:tc>
        <w:tc>
          <w:tcPr>
            <w:tcW w:w="6440" w:type="dxa"/>
            <w:vAlign w:val="bottom"/>
          </w:tcPr>
          <w:p>
            <w:pPr>
              <w:ind w:left="60"/>
              <w:spacing w:after="0"/>
              <w:rPr>
                <w:sz w:val="20"/>
                <w:szCs w:val="20"/>
                <w:color w:val="auto"/>
              </w:rPr>
            </w:pPr>
            <w:r>
              <w:rPr>
                <w:rFonts w:ascii="Arial" w:cs="Arial" w:eastAsia="Arial" w:hAnsi="Arial"/>
                <w:sz w:val="17"/>
                <w:szCs w:val="17"/>
                <w:color w:val="auto"/>
              </w:rPr>
              <w:t>Share-based payment</w:t>
            </w:r>
          </w:p>
        </w:tc>
        <w:tc>
          <w:tcPr>
            <w:tcW w:w="4120" w:type="dxa"/>
            <w:vAlign w:val="bottom"/>
          </w:tcPr>
          <w:p>
            <w:pPr>
              <w:jc w:val="right"/>
              <w:spacing w:after="0"/>
              <w:rPr>
                <w:sz w:val="20"/>
                <w:szCs w:val="20"/>
                <w:color w:val="auto"/>
              </w:rPr>
            </w:pPr>
            <w:r>
              <w:rPr>
                <w:rFonts w:ascii="Arial" w:cs="Arial" w:eastAsia="Arial" w:hAnsi="Arial"/>
                <w:sz w:val="17"/>
                <w:szCs w:val="17"/>
                <w:color w:val="auto"/>
              </w:rPr>
              <w:t>36,690</w:t>
            </w:r>
          </w:p>
        </w:tc>
      </w:tr>
      <w:tr>
        <w:trPr>
          <w:trHeight w:val="272"/>
        </w:trPr>
        <w:tc>
          <w:tcPr>
            <w:tcW w:w="280" w:type="dxa"/>
            <w:vAlign w:val="bottom"/>
          </w:tcPr>
          <w:p>
            <w:pPr>
              <w:spacing w:after="0"/>
              <w:rPr>
                <w:sz w:val="23"/>
                <w:szCs w:val="23"/>
                <w:color w:val="auto"/>
              </w:rPr>
            </w:pPr>
          </w:p>
        </w:tc>
        <w:tc>
          <w:tcPr>
            <w:tcW w:w="6440" w:type="dxa"/>
            <w:vAlign w:val="bottom"/>
          </w:tcPr>
          <w:p>
            <w:pPr>
              <w:ind w:left="60"/>
              <w:spacing w:after="0"/>
              <w:rPr>
                <w:sz w:val="20"/>
                <w:szCs w:val="20"/>
                <w:color w:val="auto"/>
              </w:rPr>
            </w:pPr>
            <w:r>
              <w:rPr>
                <w:rFonts w:ascii="Arial" w:cs="Arial" w:eastAsia="Arial" w:hAnsi="Arial"/>
                <w:sz w:val="17"/>
                <w:szCs w:val="17"/>
                <w:color w:val="auto"/>
              </w:rPr>
              <w:t>Share subscription movement with subsidiary companies</w:t>
            </w:r>
          </w:p>
        </w:tc>
        <w:tc>
          <w:tcPr>
            <w:tcW w:w="4120" w:type="dxa"/>
            <w:vAlign w:val="bottom"/>
          </w:tcPr>
          <w:p>
            <w:pPr>
              <w:jc w:val="right"/>
              <w:spacing w:after="0"/>
              <w:rPr>
                <w:sz w:val="20"/>
                <w:szCs w:val="20"/>
                <w:color w:val="auto"/>
              </w:rPr>
            </w:pPr>
            <w:r>
              <w:rPr>
                <w:rFonts w:ascii="Arial" w:cs="Arial" w:eastAsia="Arial" w:hAnsi="Arial"/>
                <w:sz w:val="17"/>
                <w:szCs w:val="17"/>
                <w:color w:val="auto"/>
              </w:rPr>
              <w:t>(21,541)</w:t>
            </w:r>
          </w:p>
        </w:tc>
      </w:tr>
      <w:tr>
        <w:trPr>
          <w:trHeight w:val="37"/>
        </w:trPr>
        <w:tc>
          <w:tcPr>
            <w:tcW w:w="280" w:type="dxa"/>
            <w:vAlign w:val="bottom"/>
          </w:tcPr>
          <w:p>
            <w:pPr>
              <w:spacing w:after="0"/>
              <w:rPr>
                <w:sz w:val="3"/>
                <w:szCs w:val="3"/>
                <w:color w:val="auto"/>
              </w:rPr>
            </w:pPr>
          </w:p>
        </w:tc>
        <w:tc>
          <w:tcPr>
            <w:tcW w:w="644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r>
      <w:tr>
        <w:trPr>
          <w:trHeight w:val="238"/>
        </w:trPr>
        <w:tc>
          <w:tcPr>
            <w:tcW w:w="28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7"/>
                <w:szCs w:val="17"/>
                <w:b w:val="1"/>
                <w:bCs w:val="1"/>
                <w:color w:val="auto"/>
              </w:rPr>
              <w:t>At 31 December 2024</w:t>
            </w:r>
          </w:p>
        </w:tc>
        <w:tc>
          <w:tcPr>
            <w:tcW w:w="4120" w:type="dxa"/>
            <w:vAlign w:val="bottom"/>
          </w:tcPr>
          <w:p>
            <w:pPr>
              <w:jc w:val="right"/>
              <w:spacing w:after="0"/>
              <w:rPr>
                <w:sz w:val="20"/>
                <w:szCs w:val="20"/>
                <w:color w:val="auto"/>
              </w:rPr>
            </w:pPr>
            <w:r>
              <w:rPr>
                <w:rFonts w:ascii="Arial" w:cs="Arial" w:eastAsia="Arial" w:hAnsi="Arial"/>
                <w:sz w:val="17"/>
                <w:szCs w:val="17"/>
                <w:b w:val="1"/>
                <w:bCs w:val="1"/>
                <w:color w:val="auto"/>
              </w:rPr>
              <w:t>7,115,418</w:t>
            </w:r>
          </w:p>
        </w:tc>
      </w:tr>
      <w:tr>
        <w:trPr>
          <w:trHeight w:val="504"/>
        </w:trPr>
        <w:tc>
          <w:tcPr>
            <w:tcW w:w="280" w:type="dxa"/>
            <w:vAlign w:val="bottom"/>
          </w:tcPr>
          <w:p>
            <w:pPr>
              <w:spacing w:after="0"/>
              <w:rPr>
                <w:sz w:val="24"/>
                <w:szCs w:val="24"/>
                <w:color w:val="auto"/>
              </w:rPr>
            </w:pPr>
          </w:p>
        </w:tc>
        <w:tc>
          <w:tcPr>
            <w:tcW w:w="6440" w:type="dxa"/>
            <w:vAlign w:val="bottom"/>
          </w:tcPr>
          <w:p>
            <w:pPr>
              <w:ind w:left="60"/>
              <w:spacing w:after="0"/>
              <w:rPr>
                <w:sz w:val="20"/>
                <w:szCs w:val="20"/>
                <w:color w:val="auto"/>
              </w:rPr>
            </w:pPr>
            <w:r>
              <w:rPr>
                <w:rFonts w:ascii="Arial" w:cs="Arial" w:eastAsia="Arial" w:hAnsi="Arial"/>
                <w:sz w:val="17"/>
                <w:szCs w:val="17"/>
                <w:color w:val="auto"/>
              </w:rPr>
              <w:t>Share-based payments</w:t>
            </w:r>
          </w:p>
        </w:tc>
        <w:tc>
          <w:tcPr>
            <w:tcW w:w="4120" w:type="dxa"/>
            <w:vAlign w:val="bottom"/>
          </w:tcPr>
          <w:p>
            <w:pPr>
              <w:jc w:val="right"/>
              <w:spacing w:after="0"/>
              <w:rPr>
                <w:sz w:val="20"/>
                <w:szCs w:val="20"/>
                <w:color w:val="auto"/>
              </w:rPr>
            </w:pPr>
            <w:r>
              <w:rPr>
                <w:rFonts w:ascii="Arial" w:cs="Arial" w:eastAsia="Arial" w:hAnsi="Arial"/>
                <w:sz w:val="17"/>
                <w:szCs w:val="17"/>
                <w:b w:val="1"/>
                <w:bCs w:val="1"/>
                <w:color w:val="auto"/>
              </w:rPr>
              <w:t>18,818</w:t>
            </w:r>
          </w:p>
        </w:tc>
      </w:tr>
      <w:tr>
        <w:trPr>
          <w:trHeight w:val="272"/>
        </w:trPr>
        <w:tc>
          <w:tcPr>
            <w:tcW w:w="280" w:type="dxa"/>
            <w:vAlign w:val="bottom"/>
          </w:tcPr>
          <w:p>
            <w:pPr>
              <w:spacing w:after="0"/>
              <w:rPr>
                <w:sz w:val="23"/>
                <w:szCs w:val="23"/>
                <w:color w:val="auto"/>
              </w:rPr>
            </w:pPr>
          </w:p>
        </w:tc>
        <w:tc>
          <w:tcPr>
            <w:tcW w:w="6440" w:type="dxa"/>
            <w:vAlign w:val="bottom"/>
          </w:tcPr>
          <w:p>
            <w:pPr>
              <w:ind w:left="60"/>
              <w:spacing w:after="0"/>
              <w:rPr>
                <w:sz w:val="20"/>
                <w:szCs w:val="20"/>
                <w:color w:val="auto"/>
              </w:rPr>
            </w:pPr>
            <w:r>
              <w:rPr>
                <w:rFonts w:ascii="Arial" w:cs="Arial" w:eastAsia="Arial" w:hAnsi="Arial"/>
                <w:sz w:val="17"/>
                <w:szCs w:val="17"/>
                <w:color w:val="auto"/>
              </w:rPr>
              <w:t>Share subscription movement with subsidiary companies</w:t>
            </w:r>
          </w:p>
        </w:tc>
        <w:tc>
          <w:tcPr>
            <w:tcW w:w="4120" w:type="dxa"/>
            <w:vAlign w:val="bottom"/>
          </w:tcPr>
          <w:p>
            <w:pPr>
              <w:jc w:val="right"/>
              <w:spacing w:after="0"/>
              <w:rPr>
                <w:sz w:val="20"/>
                <w:szCs w:val="20"/>
                <w:color w:val="auto"/>
              </w:rPr>
            </w:pPr>
            <w:r>
              <w:rPr>
                <w:rFonts w:ascii="Arial" w:cs="Arial" w:eastAsia="Arial" w:hAnsi="Arial"/>
                <w:sz w:val="17"/>
                <w:szCs w:val="17"/>
                <w:b w:val="1"/>
                <w:bCs w:val="1"/>
                <w:color w:val="auto"/>
              </w:rPr>
              <w:t>32,801</w:t>
            </w:r>
          </w:p>
        </w:tc>
      </w:tr>
      <w:tr>
        <w:trPr>
          <w:trHeight w:val="27"/>
        </w:trPr>
        <w:tc>
          <w:tcPr>
            <w:tcW w:w="280" w:type="dxa"/>
            <w:vAlign w:val="bottom"/>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38"/>
        </w:trPr>
        <w:tc>
          <w:tcPr>
            <w:tcW w:w="28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7"/>
                <w:szCs w:val="17"/>
                <w:b w:val="1"/>
                <w:bCs w:val="1"/>
                <w:color w:val="auto"/>
              </w:rPr>
              <w:t>At 5 June 2025</w:t>
            </w:r>
          </w:p>
        </w:tc>
        <w:tc>
          <w:tcPr>
            <w:tcW w:w="4120" w:type="dxa"/>
            <w:vAlign w:val="bottom"/>
          </w:tcPr>
          <w:p>
            <w:pPr>
              <w:jc w:val="right"/>
              <w:spacing w:after="0"/>
              <w:rPr>
                <w:sz w:val="20"/>
                <w:szCs w:val="20"/>
                <w:color w:val="auto"/>
              </w:rPr>
            </w:pPr>
            <w:r>
              <w:rPr>
                <w:rFonts w:ascii="Arial" w:cs="Arial" w:eastAsia="Arial" w:hAnsi="Arial"/>
                <w:sz w:val="17"/>
                <w:szCs w:val="17"/>
                <w:b w:val="1"/>
                <w:bCs w:val="1"/>
                <w:color w:val="auto"/>
              </w:rPr>
              <w:t>7,167,037</w:t>
            </w:r>
          </w:p>
        </w:tc>
      </w:tr>
      <w:tr>
        <w:trPr>
          <w:trHeight w:val="27"/>
        </w:trPr>
        <w:tc>
          <w:tcPr>
            <w:tcW w:w="280" w:type="dxa"/>
            <w:vAlign w:val="bottom"/>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0"/>
        </w:trPr>
        <w:tc>
          <w:tcPr>
            <w:tcW w:w="280" w:type="dxa"/>
            <w:vAlign w:val="bottom"/>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80"/>
        <w:spacing w:after="0" w:line="244" w:lineRule="auto"/>
        <w:rPr>
          <w:sz w:val="20"/>
          <w:szCs w:val="20"/>
          <w:color w:val="auto"/>
        </w:rPr>
      </w:pPr>
      <w:r>
        <w:rPr>
          <w:rFonts w:ascii="Arial" w:cs="Arial" w:eastAsia="Arial" w:hAnsi="Arial"/>
          <w:sz w:val="17"/>
          <w:szCs w:val="17"/>
          <w:color w:val="auto"/>
        </w:rPr>
        <w:t>On 14 March 2024, the Company subscribed for 43,000,000 Ordinary Shares of $1.00 each in the capital of the ICON Clinical Global Holdings Unlimited Company, in return for cash consideration of $43.0 million.</w:t>
      </w:r>
    </w:p>
    <w:p>
      <w:pPr>
        <w:spacing w:after="0" w:line="185" w:lineRule="exact"/>
        <w:rPr>
          <w:sz w:val="20"/>
          <w:szCs w:val="20"/>
          <w:color w:val="auto"/>
        </w:rPr>
      </w:pPr>
    </w:p>
    <w:p>
      <w:pPr>
        <w:ind w:left="380"/>
        <w:spacing w:after="0" w:line="244" w:lineRule="auto"/>
        <w:rPr>
          <w:sz w:val="20"/>
          <w:szCs w:val="20"/>
          <w:color w:val="auto"/>
        </w:rPr>
      </w:pPr>
      <w:r>
        <w:rPr>
          <w:rFonts w:ascii="Arial" w:cs="Arial" w:eastAsia="Arial" w:hAnsi="Arial"/>
          <w:sz w:val="17"/>
          <w:szCs w:val="17"/>
          <w:color w:val="auto"/>
        </w:rPr>
        <w:t>On 8 May 2024, the Company subscribed for 14,000,000 Ordinary Shares of $1.00 each in the capital of ICON Investments Six Designated Activity Company in return for cash consideration of $14.0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13" w:right="339" w:bottom="1440" w:gutter="0" w:footer="0" w:header="0"/>
        </w:sectPr>
      </w:pPr>
    </w:p>
    <w:bookmarkStart w:id="15" w:name="page16"/>
    <w:bookmarkEnd w:id="15"/>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color w:val="auto"/>
        </w:rPr>
        <w:t>Notes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0" w:hanging="337"/>
        <w:spacing w:after="0"/>
        <w:tabs>
          <w:tab w:leader="none" w:pos="3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 in subsidiaries </w:t>
      </w:r>
      <w:r>
        <w:rPr>
          <w:rFonts w:ascii="Arial" w:cs="Arial" w:eastAsia="Arial" w:hAnsi="Arial"/>
          <w:sz w:val="17"/>
          <w:szCs w:val="17"/>
          <w:i w:val="1"/>
          <w:iCs w:val="1"/>
          <w:color w:val="auto"/>
        </w:rPr>
        <w:t>(continued)</w:t>
      </w:r>
    </w:p>
    <w:p>
      <w:pPr>
        <w:spacing w:after="0" w:line="246" w:lineRule="exact"/>
        <w:rPr>
          <w:sz w:val="20"/>
          <w:szCs w:val="20"/>
          <w:color w:val="auto"/>
        </w:rPr>
      </w:pPr>
    </w:p>
    <w:p>
      <w:pPr>
        <w:ind w:left="360"/>
        <w:spacing w:after="0" w:line="291" w:lineRule="auto"/>
        <w:rPr>
          <w:sz w:val="20"/>
          <w:szCs w:val="20"/>
          <w:color w:val="auto"/>
        </w:rPr>
      </w:pPr>
      <w:r>
        <w:rPr>
          <w:rFonts w:ascii="Arial" w:cs="Arial" w:eastAsia="Arial" w:hAnsi="Arial"/>
          <w:sz w:val="17"/>
          <w:szCs w:val="17"/>
          <w:color w:val="auto"/>
        </w:rPr>
        <w:t>On 27 August 2024, the Company transferred its interest in ICON Clinical International Limited, with a carrying value of $127.4 million, to ICON Holdings Unlimited Company in exchange for a loan note amounting to $127.4 million.</w:t>
      </w:r>
    </w:p>
    <w:p>
      <w:pPr>
        <w:spacing w:after="0" w:line="186" w:lineRule="exact"/>
        <w:rPr>
          <w:sz w:val="20"/>
          <w:szCs w:val="20"/>
          <w:color w:val="auto"/>
        </w:rPr>
      </w:pPr>
    </w:p>
    <w:p>
      <w:pPr>
        <w:ind w:left="360"/>
        <w:spacing w:after="0" w:line="291" w:lineRule="auto"/>
        <w:rPr>
          <w:sz w:val="20"/>
          <w:szCs w:val="20"/>
          <w:color w:val="auto"/>
        </w:rPr>
      </w:pPr>
      <w:r>
        <w:rPr>
          <w:rFonts w:ascii="Arial" w:cs="Arial" w:eastAsia="Arial" w:hAnsi="Arial"/>
          <w:sz w:val="17"/>
          <w:szCs w:val="17"/>
          <w:color w:val="auto"/>
        </w:rPr>
        <w:t>On 30 September 2024, the Company subscribed for 21,199,164 Ordinary Shares of $1.00 each in the capital of ICON Clinical Global Holdings Unlimited Company in return for cash consideration of $21.2 million.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jc w:val="right"/>
              <w:ind w:right="34"/>
              <w:spacing w:after="0"/>
              <w:rPr>
                <w:sz w:val="20"/>
                <w:szCs w:val="20"/>
                <w:color w:val="auto"/>
              </w:rPr>
            </w:pPr>
            <w:r>
              <w:rPr>
                <w:rFonts w:ascii="Arial" w:cs="Arial" w:eastAsia="Arial" w:hAnsi="Arial"/>
                <w:sz w:val="17"/>
                <w:szCs w:val="17"/>
                <w:b w:val="1"/>
                <w:bCs w:val="1"/>
                <w:color w:val="auto"/>
                <w:w w:val="84"/>
              </w:rPr>
              <w:t>3.</w:t>
            </w:r>
          </w:p>
        </w:tc>
        <w:tc>
          <w:tcPr>
            <w:tcW w:w="5740" w:type="dxa"/>
            <w:vAlign w:val="bottom"/>
          </w:tcPr>
          <w:p>
            <w:pPr>
              <w:ind w:left="80"/>
              <w:spacing w:after="0"/>
              <w:rPr>
                <w:sz w:val="20"/>
                <w:szCs w:val="20"/>
                <w:color w:val="auto"/>
              </w:rPr>
            </w:pPr>
            <w:r>
              <w:rPr>
                <w:rFonts w:ascii="Arial" w:cs="Arial" w:eastAsia="Arial" w:hAnsi="Arial"/>
                <w:sz w:val="17"/>
                <w:szCs w:val="17"/>
                <w:b w:val="1"/>
                <w:bCs w:val="1"/>
                <w:color w:val="auto"/>
              </w:rPr>
              <w:t>Other current assets</w:t>
            </w:r>
          </w:p>
        </w:tc>
        <w:tc>
          <w:tcPr>
            <w:tcW w:w="29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2"/>
        </w:trPr>
        <w:tc>
          <w:tcPr>
            <w:tcW w:w="2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900" w:type="dxa"/>
            <w:vAlign w:val="bottom"/>
          </w:tcPr>
          <w:p>
            <w:pPr>
              <w:jc w:val="right"/>
              <w:ind w:right="534"/>
              <w:spacing w:after="0"/>
              <w:rPr>
                <w:sz w:val="20"/>
                <w:szCs w:val="20"/>
                <w:color w:val="auto"/>
              </w:rPr>
            </w:pPr>
            <w:r>
              <w:rPr>
                <w:rFonts w:ascii="Arial" w:cs="Arial" w:eastAsia="Arial" w:hAnsi="Arial"/>
                <w:sz w:val="17"/>
                <w:szCs w:val="17"/>
                <w:b w:val="1"/>
                <w:bCs w:val="1"/>
                <w:color w:val="auto"/>
              </w:rPr>
              <w:t>As at</w:t>
            </w:r>
          </w:p>
        </w:tc>
        <w:tc>
          <w:tcPr>
            <w:tcW w:w="1960" w:type="dxa"/>
            <w:vAlign w:val="bottom"/>
          </w:tcPr>
          <w:p>
            <w:pPr>
              <w:jc w:val="right"/>
              <w:spacing w:after="0"/>
              <w:rPr>
                <w:sz w:val="20"/>
                <w:szCs w:val="20"/>
                <w:color w:val="auto"/>
              </w:rPr>
            </w:pPr>
            <w:r>
              <w:rPr>
                <w:rFonts w:ascii="Arial" w:cs="Arial" w:eastAsia="Arial" w:hAnsi="Arial"/>
                <w:sz w:val="17"/>
                <w:szCs w:val="17"/>
                <w:color w:val="auto"/>
              </w:rPr>
              <w:t>As at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6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2900" w:type="dxa"/>
            <w:vAlign w:val="bottom"/>
          </w:tcPr>
          <w:p>
            <w:pPr>
              <w:jc w:val="right"/>
              <w:ind w:right="534"/>
              <w:spacing w:after="0"/>
              <w:rPr>
                <w:sz w:val="20"/>
                <w:szCs w:val="20"/>
                <w:color w:val="auto"/>
              </w:rPr>
            </w:pPr>
            <w:r>
              <w:rPr>
                <w:rFonts w:ascii="Arial" w:cs="Arial" w:eastAsia="Arial" w:hAnsi="Arial"/>
                <w:sz w:val="17"/>
                <w:szCs w:val="17"/>
                <w:b w:val="1"/>
                <w:bCs w:val="1"/>
                <w:color w:val="auto"/>
              </w:rPr>
              <w:t>5 June 2025</w:t>
            </w:r>
          </w:p>
        </w:tc>
        <w:tc>
          <w:tcPr>
            <w:tcW w:w="1960" w:type="dxa"/>
            <w:vAlign w:val="bottom"/>
          </w:tcPr>
          <w:p>
            <w:pPr>
              <w:jc w:val="right"/>
              <w:spacing w:after="0"/>
              <w:rPr>
                <w:sz w:val="20"/>
                <w:szCs w:val="20"/>
                <w:color w:val="auto"/>
              </w:rPr>
            </w:pPr>
            <w:r>
              <w:rPr>
                <w:rFonts w:ascii="Arial" w:cs="Arial" w:eastAsia="Arial" w:hAnsi="Arial"/>
                <w:sz w:val="17"/>
                <w:szCs w:val="17"/>
                <w:color w:val="auto"/>
              </w:rPr>
              <w:t>31 December 2024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6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2900" w:type="dxa"/>
            <w:vAlign w:val="bottom"/>
          </w:tcPr>
          <w:p>
            <w:pPr>
              <w:jc w:val="right"/>
              <w:ind w:right="534"/>
              <w:spacing w:after="0"/>
              <w:rPr>
                <w:sz w:val="20"/>
                <w:szCs w:val="20"/>
                <w:color w:val="auto"/>
              </w:rPr>
            </w:pPr>
            <w:r>
              <w:rPr>
                <w:rFonts w:ascii="Arial" w:cs="Arial" w:eastAsia="Arial" w:hAnsi="Arial"/>
                <w:sz w:val="17"/>
                <w:szCs w:val="17"/>
                <w:b w:val="1"/>
                <w:bCs w:val="1"/>
                <w:color w:val="auto"/>
              </w:rPr>
              <w:t>$’000</w:t>
            </w:r>
          </w:p>
        </w:tc>
        <w:tc>
          <w:tcPr>
            <w:tcW w:w="1960" w:type="dxa"/>
            <w:vAlign w:val="bottom"/>
          </w:tcPr>
          <w:p>
            <w:pPr>
              <w:jc w:val="right"/>
              <w:spacing w:after="0"/>
              <w:rPr>
                <w:sz w:val="20"/>
                <w:szCs w:val="20"/>
                <w:color w:val="auto"/>
              </w:rPr>
            </w:pPr>
            <w:r>
              <w:rPr>
                <w:rFonts w:ascii="Arial" w:cs="Arial" w:eastAsia="Arial" w:hAnsi="Arial"/>
                <w:sz w:val="17"/>
                <w:szCs w:val="17"/>
                <w:color w:val="auto"/>
              </w:rPr>
              <w:t>$’000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0"/>
        </w:trPr>
        <w:tc>
          <w:tcPr>
            <w:tcW w:w="260" w:type="dxa"/>
            <w:vAlign w:val="bottom"/>
          </w:tcPr>
          <w:p>
            <w:pPr>
              <w:spacing w:after="0"/>
              <w:rPr>
                <w:sz w:val="24"/>
                <w:szCs w:val="24"/>
                <w:color w:val="auto"/>
              </w:rPr>
            </w:pPr>
          </w:p>
        </w:tc>
        <w:tc>
          <w:tcPr>
            <w:tcW w:w="5740" w:type="dxa"/>
            <w:vAlign w:val="bottom"/>
          </w:tcPr>
          <w:p>
            <w:pPr>
              <w:ind w:left="80"/>
              <w:spacing w:after="0"/>
              <w:rPr>
                <w:sz w:val="20"/>
                <w:szCs w:val="20"/>
                <w:color w:val="auto"/>
              </w:rPr>
            </w:pPr>
            <w:r>
              <w:rPr>
                <w:rFonts w:ascii="Arial" w:cs="Arial" w:eastAsia="Arial" w:hAnsi="Arial"/>
                <w:sz w:val="17"/>
                <w:szCs w:val="17"/>
                <w:color w:val="auto"/>
              </w:rPr>
              <w:t>Prepayments</w:t>
            </w:r>
          </w:p>
        </w:tc>
        <w:tc>
          <w:tcPr>
            <w:tcW w:w="2900" w:type="dxa"/>
            <w:vAlign w:val="bottom"/>
          </w:tcPr>
          <w:p>
            <w:pPr>
              <w:jc w:val="right"/>
              <w:ind w:right="534"/>
              <w:spacing w:after="0"/>
              <w:rPr>
                <w:sz w:val="20"/>
                <w:szCs w:val="20"/>
                <w:color w:val="auto"/>
              </w:rPr>
            </w:pPr>
            <w:r>
              <w:rPr>
                <w:rFonts w:ascii="Arial" w:cs="Arial" w:eastAsia="Arial" w:hAnsi="Arial"/>
                <w:sz w:val="17"/>
                <w:szCs w:val="17"/>
                <w:b w:val="1"/>
                <w:bCs w:val="1"/>
                <w:color w:val="auto"/>
              </w:rPr>
              <w:t>256</w:t>
            </w:r>
          </w:p>
        </w:tc>
        <w:tc>
          <w:tcPr>
            <w:tcW w:w="1960" w:type="dxa"/>
            <w:vAlign w:val="bottom"/>
          </w:tcPr>
          <w:p>
            <w:pPr>
              <w:jc w:val="right"/>
              <w:spacing w:after="0"/>
              <w:rPr>
                <w:sz w:val="20"/>
                <w:szCs w:val="20"/>
                <w:color w:val="auto"/>
              </w:rPr>
            </w:pPr>
            <w:r>
              <w:rPr>
                <w:rFonts w:ascii="Arial" w:cs="Arial" w:eastAsia="Arial" w:hAnsi="Arial"/>
                <w:sz w:val="17"/>
                <w:szCs w:val="17"/>
                <w:color w:val="auto"/>
              </w:rPr>
              <w:t>192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60" w:type="dxa"/>
            <w:vAlign w:val="bottom"/>
          </w:tcPr>
          <w:p>
            <w:pPr>
              <w:spacing w:after="0"/>
              <w:rPr>
                <w:sz w:val="23"/>
                <w:szCs w:val="23"/>
                <w:color w:val="auto"/>
              </w:rPr>
            </w:pPr>
          </w:p>
        </w:tc>
        <w:tc>
          <w:tcPr>
            <w:tcW w:w="5740" w:type="dxa"/>
            <w:vAlign w:val="bottom"/>
          </w:tcPr>
          <w:p>
            <w:pPr>
              <w:ind w:left="80"/>
              <w:spacing w:after="0"/>
              <w:rPr>
                <w:sz w:val="20"/>
                <w:szCs w:val="20"/>
                <w:color w:val="auto"/>
              </w:rPr>
            </w:pPr>
            <w:r>
              <w:rPr>
                <w:rFonts w:ascii="Arial" w:cs="Arial" w:eastAsia="Arial" w:hAnsi="Arial"/>
                <w:sz w:val="17"/>
                <w:szCs w:val="17"/>
                <w:color w:val="auto"/>
              </w:rPr>
              <w:t>Other receivables</w:t>
            </w:r>
          </w:p>
        </w:tc>
        <w:tc>
          <w:tcPr>
            <w:tcW w:w="2900" w:type="dxa"/>
            <w:vAlign w:val="bottom"/>
          </w:tcPr>
          <w:p>
            <w:pPr>
              <w:jc w:val="right"/>
              <w:ind w:right="534"/>
              <w:spacing w:after="0"/>
              <w:rPr>
                <w:sz w:val="20"/>
                <w:szCs w:val="20"/>
                <w:color w:val="auto"/>
              </w:rPr>
            </w:pPr>
            <w:r>
              <w:rPr>
                <w:rFonts w:ascii="Arial" w:cs="Arial" w:eastAsia="Arial" w:hAnsi="Arial"/>
                <w:sz w:val="17"/>
                <w:szCs w:val="17"/>
                <w:b w:val="1"/>
                <w:bCs w:val="1"/>
                <w:color w:val="auto"/>
              </w:rPr>
              <w:t>794</w:t>
            </w:r>
          </w:p>
        </w:tc>
        <w:tc>
          <w:tcPr>
            <w:tcW w:w="1960" w:type="dxa"/>
            <w:vAlign w:val="bottom"/>
          </w:tcPr>
          <w:p>
            <w:pPr>
              <w:jc w:val="right"/>
              <w:spacing w:after="0"/>
              <w:rPr>
                <w:sz w:val="20"/>
                <w:szCs w:val="20"/>
                <w:color w:val="auto"/>
              </w:rPr>
            </w:pPr>
            <w:r>
              <w:rPr>
                <w:rFonts w:ascii="Arial" w:cs="Arial" w:eastAsia="Arial" w:hAnsi="Arial"/>
                <w:sz w:val="17"/>
                <w:szCs w:val="17"/>
                <w:color w:val="auto"/>
              </w:rPr>
              <w:t>558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900" w:type="dxa"/>
            <w:vAlign w:val="bottom"/>
          </w:tcPr>
          <w:p>
            <w:pPr>
              <w:jc w:val="right"/>
              <w:ind w:right="534"/>
              <w:spacing w:after="0"/>
              <w:rPr>
                <w:sz w:val="20"/>
                <w:szCs w:val="20"/>
                <w:color w:val="auto"/>
              </w:rPr>
            </w:pPr>
            <w:r>
              <w:rPr>
                <w:rFonts w:ascii="Arial" w:cs="Arial" w:eastAsia="Arial" w:hAnsi="Arial"/>
                <w:sz w:val="17"/>
                <w:szCs w:val="17"/>
                <w:b w:val="1"/>
                <w:bCs w:val="1"/>
                <w:color w:val="auto"/>
              </w:rPr>
              <w:t>1,050</w:t>
            </w:r>
          </w:p>
        </w:tc>
        <w:tc>
          <w:tcPr>
            <w:tcW w:w="1960" w:type="dxa"/>
            <w:vAlign w:val="bottom"/>
          </w:tcPr>
          <w:p>
            <w:pPr>
              <w:jc w:val="right"/>
              <w:spacing w:after="0"/>
              <w:rPr>
                <w:sz w:val="20"/>
                <w:szCs w:val="20"/>
                <w:color w:val="auto"/>
              </w:rPr>
            </w:pPr>
            <w:r>
              <w:rPr>
                <w:rFonts w:ascii="Arial" w:cs="Arial" w:eastAsia="Arial" w:hAnsi="Arial"/>
                <w:sz w:val="17"/>
                <w:szCs w:val="17"/>
                <w:color w:val="auto"/>
              </w:rPr>
              <w:t>750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vMerge w:val="restart"/>
          </w:tcPr>
          <w:p>
            <w:pPr>
              <w:jc w:val="right"/>
              <w:ind w:right="34"/>
              <w:spacing w:after="0"/>
              <w:rPr>
                <w:sz w:val="20"/>
                <w:szCs w:val="20"/>
                <w:color w:val="auto"/>
              </w:rPr>
            </w:pPr>
            <w:r>
              <w:rPr>
                <w:rFonts w:ascii="Arial" w:cs="Arial" w:eastAsia="Arial" w:hAnsi="Arial"/>
                <w:sz w:val="17"/>
                <w:szCs w:val="17"/>
                <w:b w:val="1"/>
                <w:bCs w:val="1"/>
                <w:color w:val="auto"/>
                <w:w w:val="84"/>
              </w:rPr>
              <w:t>4.</w:t>
            </w:r>
          </w:p>
        </w:tc>
        <w:tc>
          <w:tcPr>
            <w:tcW w:w="574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Amounts due from / to subsidiary undertakings</w:t>
            </w:r>
          </w:p>
        </w:tc>
        <w:tc>
          <w:tcPr>
            <w:tcW w:w="29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 w:type="dxa"/>
            <w:vAlign w:val="bottom"/>
            <w:vMerge w:val="continue"/>
          </w:tcPr>
          <w:p>
            <w:pPr>
              <w:spacing w:after="0" w:line="20" w:lineRule="exact"/>
              <w:rPr>
                <w:sz w:val="1"/>
                <w:szCs w:val="1"/>
                <w:color w:val="auto"/>
              </w:rPr>
            </w:pPr>
          </w:p>
        </w:tc>
        <w:tc>
          <w:tcPr>
            <w:tcW w:w="5740" w:type="dxa"/>
            <w:vAlign w:val="bottom"/>
            <w:vMerge w:val="continue"/>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60" w:type="dxa"/>
            <w:vAlign w:val="bottom"/>
            <w:vMerge w:val="continue"/>
          </w:tcPr>
          <w:p>
            <w:pPr>
              <w:spacing w:after="0"/>
              <w:rPr>
                <w:sz w:val="24"/>
                <w:szCs w:val="24"/>
                <w:color w:val="auto"/>
              </w:rPr>
            </w:pPr>
          </w:p>
        </w:tc>
        <w:tc>
          <w:tcPr>
            <w:tcW w:w="574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2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900" w:type="dxa"/>
            <w:vAlign w:val="bottom"/>
          </w:tcPr>
          <w:p>
            <w:pPr>
              <w:jc w:val="right"/>
              <w:ind w:right="414"/>
              <w:spacing w:after="0"/>
              <w:rPr>
                <w:sz w:val="20"/>
                <w:szCs w:val="20"/>
                <w:color w:val="auto"/>
              </w:rPr>
            </w:pPr>
            <w:r>
              <w:rPr>
                <w:rFonts w:ascii="Arial" w:cs="Arial" w:eastAsia="Arial" w:hAnsi="Arial"/>
                <w:sz w:val="17"/>
                <w:szCs w:val="17"/>
                <w:b w:val="1"/>
                <w:bCs w:val="1"/>
                <w:color w:val="auto"/>
              </w:rPr>
              <w:t>As at</w:t>
            </w:r>
          </w:p>
        </w:tc>
        <w:tc>
          <w:tcPr>
            <w:tcW w:w="1960" w:type="dxa"/>
            <w:vAlign w:val="bottom"/>
          </w:tcPr>
          <w:p>
            <w:pPr>
              <w:jc w:val="right"/>
              <w:spacing w:after="0"/>
              <w:rPr>
                <w:sz w:val="20"/>
                <w:szCs w:val="20"/>
                <w:color w:val="auto"/>
              </w:rPr>
            </w:pPr>
            <w:r>
              <w:rPr>
                <w:rFonts w:ascii="Arial" w:cs="Arial" w:eastAsia="Arial" w:hAnsi="Arial"/>
                <w:sz w:val="17"/>
                <w:szCs w:val="17"/>
                <w:color w:val="auto"/>
              </w:rPr>
              <w:t>As at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6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2900" w:type="dxa"/>
            <w:vAlign w:val="bottom"/>
          </w:tcPr>
          <w:p>
            <w:pPr>
              <w:jc w:val="right"/>
              <w:ind w:right="414"/>
              <w:spacing w:after="0"/>
              <w:rPr>
                <w:sz w:val="20"/>
                <w:szCs w:val="20"/>
                <w:color w:val="auto"/>
              </w:rPr>
            </w:pPr>
            <w:r>
              <w:rPr>
                <w:rFonts w:ascii="Arial" w:cs="Arial" w:eastAsia="Arial" w:hAnsi="Arial"/>
                <w:sz w:val="17"/>
                <w:szCs w:val="17"/>
                <w:b w:val="1"/>
                <w:bCs w:val="1"/>
                <w:color w:val="auto"/>
              </w:rPr>
              <w:t>5 June 2025</w:t>
            </w:r>
          </w:p>
        </w:tc>
        <w:tc>
          <w:tcPr>
            <w:tcW w:w="1960" w:type="dxa"/>
            <w:vAlign w:val="bottom"/>
          </w:tcPr>
          <w:p>
            <w:pPr>
              <w:jc w:val="right"/>
              <w:spacing w:after="0"/>
              <w:rPr>
                <w:sz w:val="20"/>
                <w:szCs w:val="20"/>
                <w:color w:val="auto"/>
              </w:rPr>
            </w:pPr>
            <w:r>
              <w:rPr>
                <w:rFonts w:ascii="Arial" w:cs="Arial" w:eastAsia="Arial" w:hAnsi="Arial"/>
                <w:sz w:val="17"/>
                <w:szCs w:val="17"/>
                <w:color w:val="auto"/>
              </w:rPr>
              <w:t>31 December 2024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6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2900" w:type="dxa"/>
            <w:vAlign w:val="bottom"/>
          </w:tcPr>
          <w:p>
            <w:pPr>
              <w:jc w:val="right"/>
              <w:ind w:right="414"/>
              <w:spacing w:after="0"/>
              <w:rPr>
                <w:sz w:val="20"/>
                <w:szCs w:val="20"/>
                <w:color w:val="auto"/>
              </w:rPr>
            </w:pPr>
            <w:r>
              <w:rPr>
                <w:rFonts w:ascii="Arial" w:cs="Arial" w:eastAsia="Arial" w:hAnsi="Arial"/>
                <w:sz w:val="17"/>
                <w:szCs w:val="17"/>
                <w:b w:val="1"/>
                <w:bCs w:val="1"/>
                <w:color w:val="auto"/>
              </w:rPr>
              <w:t>$’000</w:t>
            </w:r>
          </w:p>
        </w:tc>
        <w:tc>
          <w:tcPr>
            <w:tcW w:w="1960" w:type="dxa"/>
            <w:vAlign w:val="bottom"/>
          </w:tcPr>
          <w:p>
            <w:pPr>
              <w:jc w:val="right"/>
              <w:spacing w:after="0"/>
              <w:rPr>
                <w:sz w:val="20"/>
                <w:szCs w:val="20"/>
                <w:color w:val="auto"/>
              </w:rPr>
            </w:pPr>
            <w:r>
              <w:rPr>
                <w:rFonts w:ascii="Arial" w:cs="Arial" w:eastAsia="Arial" w:hAnsi="Arial"/>
                <w:sz w:val="17"/>
                <w:szCs w:val="17"/>
                <w:color w:val="auto"/>
              </w:rPr>
              <w:t>$’000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0"/>
        </w:trPr>
        <w:tc>
          <w:tcPr>
            <w:tcW w:w="260" w:type="dxa"/>
            <w:vAlign w:val="bottom"/>
          </w:tcPr>
          <w:p>
            <w:pPr>
              <w:spacing w:after="0"/>
              <w:rPr>
                <w:sz w:val="24"/>
                <w:szCs w:val="24"/>
                <w:color w:val="auto"/>
              </w:rPr>
            </w:pPr>
          </w:p>
        </w:tc>
        <w:tc>
          <w:tcPr>
            <w:tcW w:w="5740" w:type="dxa"/>
            <w:vAlign w:val="bottom"/>
          </w:tcPr>
          <w:p>
            <w:pPr>
              <w:ind w:left="60"/>
              <w:spacing w:after="0"/>
              <w:rPr>
                <w:sz w:val="20"/>
                <w:szCs w:val="20"/>
                <w:color w:val="auto"/>
              </w:rPr>
            </w:pPr>
            <w:r>
              <w:rPr>
                <w:rFonts w:ascii="Arial" w:cs="Arial" w:eastAsia="Arial" w:hAnsi="Arial"/>
                <w:sz w:val="17"/>
                <w:szCs w:val="17"/>
                <w:color w:val="auto"/>
              </w:rPr>
              <w:t>Amounts due from subsidiary undertakings – non current</w:t>
            </w:r>
          </w:p>
        </w:tc>
        <w:tc>
          <w:tcPr>
            <w:tcW w:w="2900" w:type="dxa"/>
            <w:vAlign w:val="bottom"/>
          </w:tcPr>
          <w:p>
            <w:pPr>
              <w:jc w:val="right"/>
              <w:ind w:right="414"/>
              <w:spacing w:after="0"/>
              <w:rPr>
                <w:sz w:val="20"/>
                <w:szCs w:val="20"/>
                <w:color w:val="auto"/>
              </w:rPr>
            </w:pPr>
            <w:r>
              <w:rPr>
                <w:rFonts w:ascii="Arial" w:cs="Arial" w:eastAsia="Arial" w:hAnsi="Arial"/>
                <w:sz w:val="17"/>
                <w:szCs w:val="17"/>
                <w:b w:val="1"/>
                <w:bCs w:val="1"/>
                <w:color w:val="auto"/>
              </w:rPr>
              <w:t>10,852</w:t>
            </w:r>
          </w:p>
        </w:tc>
        <w:tc>
          <w:tcPr>
            <w:tcW w:w="1960" w:type="dxa"/>
            <w:vAlign w:val="bottom"/>
          </w:tcPr>
          <w:p>
            <w:pPr>
              <w:jc w:val="right"/>
              <w:spacing w:after="0"/>
              <w:rPr>
                <w:sz w:val="20"/>
                <w:szCs w:val="20"/>
                <w:color w:val="auto"/>
              </w:rPr>
            </w:pPr>
            <w:r>
              <w:rPr>
                <w:rFonts w:ascii="Arial" w:cs="Arial" w:eastAsia="Arial" w:hAnsi="Arial"/>
                <w:sz w:val="17"/>
                <w:szCs w:val="17"/>
                <w:color w:val="auto"/>
              </w:rPr>
              <w:t>10,852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60" w:type="dxa"/>
            <w:vAlign w:val="bottom"/>
          </w:tcPr>
          <w:p>
            <w:pPr>
              <w:spacing w:after="0"/>
              <w:rPr>
                <w:sz w:val="23"/>
                <w:szCs w:val="23"/>
                <w:color w:val="auto"/>
              </w:rPr>
            </w:pPr>
          </w:p>
        </w:tc>
        <w:tc>
          <w:tcPr>
            <w:tcW w:w="5740" w:type="dxa"/>
            <w:vAlign w:val="bottom"/>
          </w:tcPr>
          <w:p>
            <w:pPr>
              <w:ind w:left="60"/>
              <w:spacing w:after="0"/>
              <w:rPr>
                <w:sz w:val="20"/>
                <w:szCs w:val="20"/>
                <w:color w:val="auto"/>
              </w:rPr>
            </w:pPr>
            <w:r>
              <w:rPr>
                <w:rFonts w:ascii="Arial" w:cs="Arial" w:eastAsia="Arial" w:hAnsi="Arial"/>
                <w:sz w:val="17"/>
                <w:szCs w:val="17"/>
                <w:color w:val="auto"/>
              </w:rPr>
              <w:t>Amounts due from subsidiary undertakings – current</w:t>
            </w:r>
          </w:p>
        </w:tc>
        <w:tc>
          <w:tcPr>
            <w:tcW w:w="2900" w:type="dxa"/>
            <w:vAlign w:val="bottom"/>
          </w:tcPr>
          <w:p>
            <w:pPr>
              <w:jc w:val="right"/>
              <w:ind w:right="414"/>
              <w:spacing w:after="0"/>
              <w:rPr>
                <w:sz w:val="20"/>
                <w:szCs w:val="20"/>
                <w:color w:val="auto"/>
              </w:rPr>
            </w:pPr>
            <w:r>
              <w:rPr>
                <w:rFonts w:ascii="Arial" w:cs="Arial" w:eastAsia="Arial" w:hAnsi="Arial"/>
                <w:sz w:val="17"/>
                <w:szCs w:val="17"/>
                <w:b w:val="1"/>
                <w:bCs w:val="1"/>
                <w:color w:val="auto"/>
              </w:rPr>
              <w:t>431,403</w:t>
            </w:r>
          </w:p>
        </w:tc>
        <w:tc>
          <w:tcPr>
            <w:tcW w:w="1960" w:type="dxa"/>
            <w:vAlign w:val="bottom"/>
          </w:tcPr>
          <w:p>
            <w:pPr>
              <w:jc w:val="right"/>
              <w:spacing w:after="0"/>
              <w:rPr>
                <w:sz w:val="20"/>
                <w:szCs w:val="20"/>
                <w:color w:val="auto"/>
              </w:rPr>
            </w:pPr>
            <w:r>
              <w:rPr>
                <w:rFonts w:ascii="Arial" w:cs="Arial" w:eastAsia="Arial" w:hAnsi="Arial"/>
                <w:sz w:val="17"/>
                <w:szCs w:val="17"/>
                <w:color w:val="auto"/>
              </w:rPr>
              <w:t>220,344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60" w:type="dxa"/>
            <w:vAlign w:val="bottom"/>
          </w:tcPr>
          <w:p>
            <w:pPr>
              <w:spacing w:after="0"/>
              <w:rPr>
                <w:sz w:val="23"/>
                <w:szCs w:val="23"/>
                <w:color w:val="auto"/>
              </w:rPr>
            </w:pPr>
          </w:p>
        </w:tc>
        <w:tc>
          <w:tcPr>
            <w:tcW w:w="5740" w:type="dxa"/>
            <w:vAlign w:val="bottom"/>
          </w:tcPr>
          <w:p>
            <w:pPr>
              <w:ind w:left="60"/>
              <w:spacing w:after="0"/>
              <w:rPr>
                <w:sz w:val="20"/>
                <w:szCs w:val="20"/>
                <w:color w:val="auto"/>
              </w:rPr>
            </w:pPr>
            <w:r>
              <w:rPr>
                <w:rFonts w:ascii="Arial" w:cs="Arial" w:eastAsia="Arial" w:hAnsi="Arial"/>
                <w:sz w:val="17"/>
                <w:szCs w:val="17"/>
                <w:color w:val="auto"/>
              </w:rPr>
              <w:t>Amounts due to subsidiary undertakings – current</w:t>
            </w:r>
          </w:p>
        </w:tc>
        <w:tc>
          <w:tcPr>
            <w:tcW w:w="2900" w:type="dxa"/>
            <w:vAlign w:val="bottom"/>
          </w:tcPr>
          <w:p>
            <w:pPr>
              <w:jc w:val="right"/>
              <w:ind w:right="354"/>
              <w:spacing w:after="0"/>
              <w:rPr>
                <w:sz w:val="20"/>
                <w:szCs w:val="20"/>
                <w:color w:val="auto"/>
              </w:rPr>
            </w:pPr>
            <w:r>
              <w:rPr>
                <w:rFonts w:ascii="Arial" w:cs="Arial" w:eastAsia="Arial" w:hAnsi="Arial"/>
                <w:sz w:val="17"/>
                <w:szCs w:val="17"/>
                <w:b w:val="1"/>
                <w:bCs w:val="1"/>
                <w:color w:val="auto"/>
              </w:rPr>
              <w:t>(544)</w:t>
            </w:r>
          </w:p>
        </w:tc>
        <w:tc>
          <w:tcPr>
            <w:tcW w:w="1960" w:type="dxa"/>
            <w:vAlign w:val="bottom"/>
          </w:tcPr>
          <w:p>
            <w:pPr>
              <w:jc w:val="right"/>
              <w:spacing w:after="0"/>
              <w:rPr>
                <w:sz w:val="20"/>
                <w:szCs w:val="20"/>
                <w:color w:val="auto"/>
              </w:rPr>
            </w:pPr>
            <w:r>
              <w:rPr>
                <w:rFonts w:ascii="Arial" w:cs="Arial" w:eastAsia="Arial" w:hAnsi="Arial"/>
                <w:sz w:val="17"/>
                <w:szCs w:val="17"/>
                <w:color w:val="auto"/>
              </w:rPr>
              <w:t>(3,433)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left="320"/>
        <w:spacing w:after="0" w:line="291" w:lineRule="auto"/>
        <w:rPr>
          <w:sz w:val="20"/>
          <w:szCs w:val="20"/>
          <w:color w:val="auto"/>
        </w:rPr>
      </w:pPr>
      <w:r>
        <w:rPr>
          <w:rFonts w:ascii="Arial" w:cs="Arial" w:eastAsia="Arial" w:hAnsi="Arial"/>
          <w:sz w:val="17"/>
          <w:szCs w:val="17"/>
          <w:color w:val="auto"/>
        </w:rPr>
        <w:t>Amounts due from subsidiary undertakings within non current are interest-bearing and repayable on 1 October 2033. Amounts due from subsidiary undertakings within current are non interest-bearing and repayable on demand.</w:t>
      </w:r>
    </w:p>
    <w:p>
      <w:pPr>
        <w:spacing w:after="0" w:line="186" w:lineRule="exact"/>
        <w:rPr>
          <w:sz w:val="20"/>
          <w:szCs w:val="20"/>
          <w:color w:val="auto"/>
        </w:rPr>
      </w:pPr>
    </w:p>
    <w:p>
      <w:pPr>
        <w:jc w:val="both"/>
        <w:ind w:left="320"/>
        <w:spacing w:after="0" w:line="280" w:lineRule="auto"/>
        <w:rPr>
          <w:sz w:val="20"/>
          <w:szCs w:val="20"/>
          <w:color w:val="auto"/>
        </w:rPr>
      </w:pPr>
      <w:r>
        <w:rPr>
          <w:rFonts w:ascii="Arial" w:cs="Arial" w:eastAsia="Arial" w:hAnsi="Arial"/>
          <w:sz w:val="17"/>
          <w:szCs w:val="17"/>
          <w:color w:val="auto"/>
        </w:rPr>
        <w:t>Amounts due from subsidiary undertakings are initially recognised at fair value and subsequently measured at amortised cost, less any loss allowance. An expected credit loss assessment was performed at 5 June 2025 and 31 December 2024. The expected credit loss allowance was considered de minimis.</w:t>
      </w:r>
    </w:p>
    <w:p>
      <w:pPr>
        <w:spacing w:after="0" w:line="193" w:lineRule="exact"/>
        <w:rPr>
          <w:sz w:val="20"/>
          <w:szCs w:val="20"/>
          <w:color w:val="auto"/>
        </w:rPr>
      </w:pPr>
    </w:p>
    <w:p>
      <w:pPr>
        <w:ind w:left="380" w:hanging="377"/>
        <w:spacing w:after="0"/>
        <w:tabs>
          <w:tab w:leader="none" w:pos="3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Accrued and other liabilities</w:t>
      </w:r>
    </w:p>
    <w:p>
      <w:pPr>
        <w:spacing w:after="0" w:line="296"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860" w:type="dxa"/>
            <w:vAlign w:val="bottom"/>
          </w:tcPr>
          <w:p>
            <w:pPr>
              <w:jc w:val="right"/>
              <w:ind w:right="434"/>
              <w:spacing w:after="0"/>
              <w:rPr>
                <w:sz w:val="20"/>
                <w:szCs w:val="20"/>
                <w:color w:val="auto"/>
              </w:rPr>
            </w:pPr>
            <w:r>
              <w:rPr>
                <w:rFonts w:ascii="Arial" w:cs="Arial" w:eastAsia="Arial" w:hAnsi="Arial"/>
                <w:sz w:val="17"/>
                <w:szCs w:val="17"/>
                <w:b w:val="1"/>
                <w:bCs w:val="1"/>
                <w:color w:val="auto"/>
              </w:rPr>
              <w:t>As at</w:t>
            </w:r>
          </w:p>
        </w:tc>
        <w:tc>
          <w:tcPr>
            <w:tcW w:w="2040" w:type="dxa"/>
            <w:vAlign w:val="bottom"/>
          </w:tcPr>
          <w:p>
            <w:pPr>
              <w:jc w:val="right"/>
              <w:spacing w:after="0"/>
              <w:rPr>
                <w:sz w:val="20"/>
                <w:szCs w:val="20"/>
                <w:color w:val="auto"/>
              </w:rPr>
            </w:pPr>
            <w:r>
              <w:rPr>
                <w:rFonts w:ascii="Arial" w:cs="Arial" w:eastAsia="Arial" w:hAnsi="Arial"/>
                <w:sz w:val="17"/>
                <w:szCs w:val="17"/>
                <w:color w:val="auto"/>
              </w:rPr>
              <w:t>As at</w:t>
            </w:r>
          </w:p>
        </w:tc>
      </w:tr>
      <w:tr>
        <w:trPr>
          <w:trHeight w:val="272"/>
        </w:trPr>
        <w:tc>
          <w:tcPr>
            <w:tcW w:w="5680" w:type="dxa"/>
            <w:vAlign w:val="bottom"/>
          </w:tcPr>
          <w:p>
            <w:pPr>
              <w:spacing w:after="0"/>
              <w:rPr>
                <w:sz w:val="23"/>
                <w:szCs w:val="23"/>
                <w:color w:val="auto"/>
              </w:rPr>
            </w:pPr>
          </w:p>
        </w:tc>
        <w:tc>
          <w:tcPr>
            <w:tcW w:w="2860" w:type="dxa"/>
            <w:vAlign w:val="bottom"/>
          </w:tcPr>
          <w:p>
            <w:pPr>
              <w:jc w:val="right"/>
              <w:ind w:right="434"/>
              <w:spacing w:after="0"/>
              <w:rPr>
                <w:sz w:val="20"/>
                <w:szCs w:val="20"/>
                <w:color w:val="auto"/>
              </w:rPr>
            </w:pPr>
            <w:r>
              <w:rPr>
                <w:rFonts w:ascii="Arial" w:cs="Arial" w:eastAsia="Arial" w:hAnsi="Arial"/>
                <w:sz w:val="17"/>
                <w:szCs w:val="17"/>
                <w:b w:val="1"/>
                <w:bCs w:val="1"/>
                <w:color w:val="auto"/>
              </w:rPr>
              <w:t>5 June 2025</w:t>
            </w:r>
          </w:p>
        </w:tc>
        <w:tc>
          <w:tcPr>
            <w:tcW w:w="2040" w:type="dxa"/>
            <w:vAlign w:val="bottom"/>
          </w:tcPr>
          <w:p>
            <w:pPr>
              <w:jc w:val="right"/>
              <w:spacing w:after="0"/>
              <w:rPr>
                <w:sz w:val="20"/>
                <w:szCs w:val="20"/>
                <w:color w:val="auto"/>
              </w:rPr>
            </w:pPr>
            <w:r>
              <w:rPr>
                <w:rFonts w:ascii="Arial" w:cs="Arial" w:eastAsia="Arial" w:hAnsi="Arial"/>
                <w:sz w:val="17"/>
                <w:szCs w:val="17"/>
                <w:color w:val="auto"/>
              </w:rPr>
              <w:t>31 December 2024</w:t>
            </w:r>
          </w:p>
        </w:tc>
      </w:tr>
      <w:tr>
        <w:trPr>
          <w:trHeight w:val="272"/>
        </w:trPr>
        <w:tc>
          <w:tcPr>
            <w:tcW w:w="5680" w:type="dxa"/>
            <w:vAlign w:val="bottom"/>
          </w:tcPr>
          <w:p>
            <w:pPr>
              <w:spacing w:after="0"/>
              <w:rPr>
                <w:sz w:val="23"/>
                <w:szCs w:val="23"/>
                <w:color w:val="auto"/>
              </w:rPr>
            </w:pPr>
          </w:p>
        </w:tc>
        <w:tc>
          <w:tcPr>
            <w:tcW w:w="2860" w:type="dxa"/>
            <w:vAlign w:val="bottom"/>
          </w:tcPr>
          <w:p>
            <w:pPr>
              <w:jc w:val="right"/>
              <w:ind w:right="434"/>
              <w:spacing w:after="0"/>
              <w:rPr>
                <w:sz w:val="20"/>
                <w:szCs w:val="20"/>
                <w:color w:val="auto"/>
              </w:rPr>
            </w:pPr>
            <w:r>
              <w:rPr>
                <w:rFonts w:ascii="Arial" w:cs="Arial" w:eastAsia="Arial" w:hAnsi="Arial"/>
                <w:sz w:val="17"/>
                <w:szCs w:val="17"/>
                <w:b w:val="1"/>
                <w:bCs w:val="1"/>
                <w:color w:val="auto"/>
              </w:rPr>
              <w:t>$’000</w:t>
            </w:r>
          </w:p>
        </w:tc>
        <w:tc>
          <w:tcPr>
            <w:tcW w:w="2040" w:type="dxa"/>
            <w:vAlign w:val="bottom"/>
          </w:tcPr>
          <w:p>
            <w:pPr>
              <w:jc w:val="right"/>
              <w:spacing w:after="0"/>
              <w:rPr>
                <w:sz w:val="20"/>
                <w:szCs w:val="20"/>
                <w:color w:val="auto"/>
              </w:rPr>
            </w:pPr>
            <w:r>
              <w:rPr>
                <w:rFonts w:ascii="Arial" w:cs="Arial" w:eastAsia="Arial" w:hAnsi="Arial"/>
                <w:sz w:val="17"/>
                <w:szCs w:val="17"/>
                <w:color w:val="auto"/>
              </w:rPr>
              <w:t>$’000</w:t>
            </w:r>
          </w:p>
        </w:tc>
      </w:tr>
      <w:tr>
        <w:trPr>
          <w:trHeight w:val="504"/>
        </w:trPr>
        <w:tc>
          <w:tcPr>
            <w:tcW w:w="5680" w:type="dxa"/>
            <w:vAlign w:val="bottom"/>
          </w:tcPr>
          <w:p>
            <w:pPr>
              <w:spacing w:after="0"/>
              <w:rPr>
                <w:sz w:val="20"/>
                <w:szCs w:val="20"/>
                <w:color w:val="auto"/>
              </w:rPr>
            </w:pPr>
            <w:r>
              <w:rPr>
                <w:rFonts w:ascii="Arial" w:cs="Arial" w:eastAsia="Arial" w:hAnsi="Arial"/>
                <w:sz w:val="17"/>
                <w:szCs w:val="17"/>
                <w:color w:val="auto"/>
              </w:rPr>
              <w:t>Current lease liabilities</w:t>
            </w:r>
          </w:p>
        </w:tc>
        <w:tc>
          <w:tcPr>
            <w:tcW w:w="2860" w:type="dxa"/>
            <w:vAlign w:val="bottom"/>
          </w:tcPr>
          <w:p>
            <w:pPr>
              <w:jc w:val="right"/>
              <w:ind w:right="434"/>
              <w:spacing w:after="0"/>
              <w:rPr>
                <w:sz w:val="20"/>
                <w:szCs w:val="20"/>
                <w:color w:val="auto"/>
              </w:rPr>
            </w:pPr>
            <w:r>
              <w:rPr>
                <w:rFonts w:ascii="Arial" w:cs="Arial" w:eastAsia="Arial" w:hAnsi="Arial"/>
                <w:sz w:val="17"/>
                <w:szCs w:val="17"/>
                <w:b w:val="1"/>
                <w:bCs w:val="1"/>
                <w:color w:val="auto"/>
              </w:rPr>
              <w:t>628</w:t>
            </w:r>
          </w:p>
        </w:tc>
        <w:tc>
          <w:tcPr>
            <w:tcW w:w="2040" w:type="dxa"/>
            <w:vAlign w:val="bottom"/>
          </w:tcPr>
          <w:p>
            <w:pPr>
              <w:jc w:val="right"/>
              <w:ind w:right="34"/>
              <w:spacing w:after="0"/>
              <w:rPr>
                <w:sz w:val="20"/>
                <w:szCs w:val="20"/>
                <w:color w:val="auto"/>
              </w:rPr>
            </w:pPr>
            <w:r>
              <w:rPr>
                <w:rFonts w:ascii="Arial" w:cs="Arial" w:eastAsia="Arial" w:hAnsi="Arial"/>
                <w:sz w:val="17"/>
                <w:szCs w:val="17"/>
                <w:color w:val="auto"/>
              </w:rPr>
              <w:t>574</w:t>
            </w:r>
          </w:p>
        </w:tc>
      </w:tr>
      <w:tr>
        <w:trPr>
          <w:trHeight w:val="272"/>
        </w:trPr>
        <w:tc>
          <w:tcPr>
            <w:tcW w:w="5680" w:type="dxa"/>
            <w:vAlign w:val="bottom"/>
          </w:tcPr>
          <w:p>
            <w:pPr>
              <w:spacing w:after="0"/>
              <w:rPr>
                <w:sz w:val="20"/>
                <w:szCs w:val="20"/>
                <w:color w:val="auto"/>
              </w:rPr>
            </w:pPr>
            <w:r>
              <w:rPr>
                <w:rFonts w:ascii="Arial" w:cs="Arial" w:eastAsia="Arial" w:hAnsi="Arial"/>
                <w:sz w:val="17"/>
                <w:szCs w:val="17"/>
                <w:color w:val="auto"/>
              </w:rPr>
              <w:t>Accruals and other liabilities</w:t>
            </w:r>
          </w:p>
        </w:tc>
        <w:tc>
          <w:tcPr>
            <w:tcW w:w="2860" w:type="dxa"/>
            <w:vAlign w:val="bottom"/>
          </w:tcPr>
          <w:p>
            <w:pPr>
              <w:jc w:val="right"/>
              <w:ind w:right="434"/>
              <w:spacing w:after="0"/>
              <w:rPr>
                <w:sz w:val="20"/>
                <w:szCs w:val="20"/>
                <w:color w:val="auto"/>
              </w:rPr>
            </w:pPr>
            <w:r>
              <w:rPr>
                <w:rFonts w:ascii="Arial" w:cs="Arial" w:eastAsia="Arial" w:hAnsi="Arial"/>
                <w:sz w:val="17"/>
                <w:szCs w:val="17"/>
                <w:b w:val="1"/>
                <w:bCs w:val="1"/>
                <w:color w:val="auto"/>
              </w:rPr>
              <w:t>6,761</w:t>
            </w:r>
          </w:p>
        </w:tc>
        <w:tc>
          <w:tcPr>
            <w:tcW w:w="2040" w:type="dxa"/>
            <w:vAlign w:val="bottom"/>
          </w:tcPr>
          <w:p>
            <w:pPr>
              <w:jc w:val="right"/>
              <w:ind w:right="34"/>
              <w:spacing w:after="0"/>
              <w:rPr>
                <w:sz w:val="20"/>
                <w:szCs w:val="20"/>
                <w:color w:val="auto"/>
              </w:rPr>
            </w:pPr>
            <w:r>
              <w:rPr>
                <w:rFonts w:ascii="Arial" w:cs="Arial" w:eastAsia="Arial" w:hAnsi="Arial"/>
                <w:sz w:val="17"/>
                <w:szCs w:val="17"/>
                <w:color w:val="auto"/>
              </w:rPr>
              <w:t>6,727</w:t>
            </w:r>
          </w:p>
        </w:tc>
      </w:tr>
      <w:tr>
        <w:trPr>
          <w:trHeight w:val="27"/>
        </w:trPr>
        <w:tc>
          <w:tcPr>
            <w:tcW w:w="568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8"/>
        </w:trPr>
        <w:tc>
          <w:tcPr>
            <w:tcW w:w="5680" w:type="dxa"/>
            <w:vAlign w:val="bottom"/>
          </w:tcPr>
          <w:p>
            <w:pPr>
              <w:spacing w:after="0"/>
              <w:rPr>
                <w:sz w:val="20"/>
                <w:szCs w:val="20"/>
                <w:color w:val="auto"/>
              </w:rPr>
            </w:pPr>
          </w:p>
        </w:tc>
        <w:tc>
          <w:tcPr>
            <w:tcW w:w="2860" w:type="dxa"/>
            <w:vAlign w:val="bottom"/>
          </w:tcPr>
          <w:p>
            <w:pPr>
              <w:jc w:val="right"/>
              <w:ind w:right="434"/>
              <w:spacing w:after="0"/>
              <w:rPr>
                <w:sz w:val="20"/>
                <w:szCs w:val="20"/>
                <w:color w:val="auto"/>
              </w:rPr>
            </w:pPr>
            <w:r>
              <w:rPr>
                <w:rFonts w:ascii="Arial" w:cs="Arial" w:eastAsia="Arial" w:hAnsi="Arial"/>
                <w:sz w:val="17"/>
                <w:szCs w:val="17"/>
                <w:b w:val="1"/>
                <w:bCs w:val="1"/>
                <w:color w:val="auto"/>
              </w:rPr>
              <w:t>7,389</w:t>
            </w:r>
          </w:p>
        </w:tc>
        <w:tc>
          <w:tcPr>
            <w:tcW w:w="2040" w:type="dxa"/>
            <w:vAlign w:val="bottom"/>
          </w:tcPr>
          <w:p>
            <w:pPr>
              <w:jc w:val="right"/>
              <w:ind w:right="34"/>
              <w:spacing w:after="0"/>
              <w:rPr>
                <w:sz w:val="20"/>
                <w:szCs w:val="20"/>
                <w:color w:val="auto"/>
              </w:rPr>
            </w:pPr>
            <w:r>
              <w:rPr>
                <w:rFonts w:ascii="Arial" w:cs="Arial" w:eastAsia="Arial" w:hAnsi="Arial"/>
                <w:sz w:val="17"/>
                <w:szCs w:val="17"/>
                <w:color w:val="auto"/>
              </w:rPr>
              <w:t>7,301</w:t>
            </w:r>
          </w:p>
        </w:tc>
      </w:tr>
      <w:tr>
        <w:trPr>
          <w:trHeight w:val="27"/>
        </w:trPr>
        <w:tc>
          <w:tcPr>
            <w:tcW w:w="568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1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color w:val="auto"/>
        </w:rPr>
        <w:t>Notes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gridSpan w:val="2"/>
          </w:tcPr>
          <w:p>
            <w:pPr>
              <w:spacing w:after="0"/>
              <w:rPr>
                <w:sz w:val="20"/>
                <w:szCs w:val="20"/>
                <w:color w:val="auto"/>
              </w:rPr>
            </w:pPr>
            <w:r>
              <w:rPr>
                <w:rFonts w:ascii="Arial" w:cs="Arial" w:eastAsia="Arial" w:hAnsi="Arial"/>
                <w:sz w:val="17"/>
                <w:szCs w:val="17"/>
                <w:b w:val="1"/>
                <w:bCs w:val="1"/>
                <w:color w:val="auto"/>
              </w:rPr>
              <w:t>6.   Share capital</w:t>
            </w:r>
          </w:p>
        </w:tc>
        <w:tc>
          <w:tcPr>
            <w:tcW w:w="20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750"/>
        </w:trPr>
        <w:tc>
          <w:tcPr>
            <w:tcW w:w="300" w:type="dxa"/>
            <w:vAlign w:val="bottom"/>
          </w:tcPr>
          <w:p>
            <w:pPr>
              <w:spacing w:after="0"/>
              <w:rPr>
                <w:sz w:val="24"/>
                <w:szCs w:val="24"/>
                <w:color w:val="auto"/>
              </w:rPr>
            </w:pPr>
          </w:p>
        </w:tc>
        <w:tc>
          <w:tcPr>
            <w:tcW w:w="6960" w:type="dxa"/>
            <w:vAlign w:val="bottom"/>
          </w:tcPr>
          <w:p>
            <w:pPr>
              <w:ind w:left="80"/>
              <w:spacing w:after="0"/>
              <w:rPr>
                <w:sz w:val="20"/>
                <w:szCs w:val="20"/>
                <w:color w:val="auto"/>
              </w:rPr>
            </w:pPr>
            <w:r>
              <w:rPr>
                <w:rFonts w:ascii="Arial" w:cs="Arial" w:eastAsia="Arial" w:hAnsi="Arial"/>
                <w:sz w:val="17"/>
                <w:szCs w:val="17"/>
                <w:b w:val="1"/>
                <w:bCs w:val="1"/>
                <w:color w:val="auto"/>
              </w:rPr>
              <w:t>Authorised share capital:</w:t>
            </w:r>
          </w:p>
        </w:tc>
        <w:tc>
          <w:tcPr>
            <w:tcW w:w="3540" w:type="dxa"/>
            <w:vAlign w:val="bottom"/>
            <w:gridSpan w:val="2"/>
          </w:tcPr>
          <w:p>
            <w:pPr>
              <w:jc w:val="right"/>
              <w:spacing w:after="0"/>
              <w:rPr>
                <w:sz w:val="20"/>
                <w:szCs w:val="20"/>
                <w:color w:val="auto"/>
              </w:rPr>
            </w:pPr>
            <w:r>
              <w:rPr>
                <w:rFonts w:ascii="Arial" w:cs="Arial" w:eastAsia="Arial" w:hAnsi="Arial"/>
                <w:sz w:val="17"/>
                <w:szCs w:val="17"/>
                <w:b w:val="1"/>
                <w:bCs w:val="1"/>
                <w:color w:val="auto"/>
              </w:rPr>
              <w:t>No. of Ordinary Shares</w:t>
            </w:r>
          </w:p>
        </w:tc>
      </w:tr>
      <w:tr>
        <w:trPr>
          <w:trHeight w:val="520"/>
        </w:trPr>
        <w:tc>
          <w:tcPr>
            <w:tcW w:w="300" w:type="dxa"/>
            <w:vAlign w:val="bottom"/>
          </w:tcPr>
          <w:p>
            <w:pPr>
              <w:spacing w:after="0"/>
              <w:rPr>
                <w:sz w:val="24"/>
                <w:szCs w:val="24"/>
                <w:color w:val="auto"/>
              </w:rPr>
            </w:pPr>
          </w:p>
        </w:tc>
        <w:tc>
          <w:tcPr>
            <w:tcW w:w="6960" w:type="dxa"/>
            <w:vAlign w:val="bottom"/>
          </w:tcPr>
          <w:p>
            <w:pPr>
              <w:ind w:left="80"/>
              <w:spacing w:after="0"/>
              <w:rPr>
                <w:sz w:val="20"/>
                <w:szCs w:val="20"/>
                <w:color w:val="auto"/>
              </w:rPr>
            </w:pPr>
            <w:r>
              <w:rPr>
                <w:rFonts w:ascii="Arial" w:cs="Arial" w:eastAsia="Arial" w:hAnsi="Arial"/>
                <w:sz w:val="17"/>
                <w:szCs w:val="17"/>
                <w:color w:val="auto"/>
              </w:rPr>
              <w:t>Ordinary shares of par value €0.06</w:t>
            </w:r>
          </w:p>
        </w:tc>
        <w:tc>
          <w:tcPr>
            <w:tcW w:w="20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100,000,000</w:t>
            </w:r>
          </w:p>
        </w:tc>
      </w:tr>
      <w:tr>
        <w:trPr>
          <w:trHeight w:val="37"/>
        </w:trPr>
        <w:tc>
          <w:tcPr>
            <w:tcW w:w="300" w:type="dxa"/>
            <w:vAlign w:val="bottom"/>
          </w:tcPr>
          <w:p>
            <w:pPr>
              <w:spacing w:after="0"/>
              <w:rPr>
                <w:sz w:val="3"/>
                <w:szCs w:val="3"/>
                <w:color w:val="auto"/>
              </w:rPr>
            </w:pPr>
          </w:p>
        </w:tc>
        <w:tc>
          <w:tcPr>
            <w:tcW w:w="69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484"/>
        </w:trPr>
        <w:tc>
          <w:tcPr>
            <w:tcW w:w="3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60" w:type="dxa"/>
            <w:vAlign w:val="bottom"/>
          </w:tcPr>
          <w:p>
            <w:pPr>
              <w:jc w:val="right"/>
              <w:ind w:right="354"/>
              <w:spacing w:after="0"/>
              <w:rPr>
                <w:sz w:val="20"/>
                <w:szCs w:val="20"/>
                <w:color w:val="auto"/>
              </w:rPr>
            </w:pPr>
            <w:r>
              <w:rPr>
                <w:rFonts w:ascii="Arial" w:cs="Arial" w:eastAsia="Arial" w:hAnsi="Arial"/>
                <w:sz w:val="17"/>
                <w:szCs w:val="17"/>
                <w:b w:val="1"/>
                <w:bCs w:val="1"/>
                <w:color w:val="auto"/>
              </w:rPr>
              <w:t>As at</w:t>
            </w:r>
          </w:p>
        </w:tc>
        <w:tc>
          <w:tcPr>
            <w:tcW w:w="1480" w:type="dxa"/>
            <w:vAlign w:val="bottom"/>
          </w:tcPr>
          <w:p>
            <w:pPr>
              <w:jc w:val="right"/>
              <w:spacing w:after="0"/>
              <w:rPr>
                <w:sz w:val="20"/>
                <w:szCs w:val="20"/>
                <w:color w:val="auto"/>
              </w:rPr>
            </w:pPr>
            <w:r>
              <w:rPr>
                <w:rFonts w:ascii="Arial" w:cs="Arial" w:eastAsia="Arial" w:hAnsi="Arial"/>
                <w:sz w:val="17"/>
                <w:szCs w:val="17"/>
                <w:color w:val="auto"/>
              </w:rPr>
              <w:t>As at</w:t>
            </w:r>
          </w:p>
        </w:tc>
      </w:tr>
      <w:tr>
        <w:trPr>
          <w:trHeight w:val="241"/>
        </w:trPr>
        <w:tc>
          <w:tcPr>
            <w:tcW w:w="3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60" w:type="dxa"/>
            <w:vAlign w:val="bottom"/>
          </w:tcPr>
          <w:p>
            <w:pPr>
              <w:jc w:val="right"/>
              <w:ind w:right="354"/>
              <w:spacing w:after="0"/>
              <w:rPr>
                <w:sz w:val="20"/>
                <w:szCs w:val="20"/>
                <w:color w:val="auto"/>
              </w:rPr>
            </w:pPr>
            <w:r>
              <w:rPr>
                <w:rFonts w:ascii="Arial" w:cs="Arial" w:eastAsia="Arial" w:hAnsi="Arial"/>
                <w:sz w:val="17"/>
                <w:szCs w:val="17"/>
                <w:b w:val="1"/>
                <w:bCs w:val="1"/>
                <w:color w:val="auto"/>
              </w:rPr>
              <w:t>5 June</w:t>
            </w:r>
          </w:p>
        </w:tc>
        <w:tc>
          <w:tcPr>
            <w:tcW w:w="1480" w:type="dxa"/>
            <w:vAlign w:val="bottom"/>
          </w:tcPr>
          <w:p>
            <w:pPr>
              <w:jc w:val="right"/>
              <w:spacing w:after="0"/>
              <w:rPr>
                <w:sz w:val="20"/>
                <w:szCs w:val="20"/>
                <w:color w:val="auto"/>
              </w:rPr>
            </w:pPr>
            <w:r>
              <w:rPr>
                <w:rFonts w:ascii="Arial" w:cs="Arial" w:eastAsia="Arial" w:hAnsi="Arial"/>
                <w:sz w:val="17"/>
                <w:szCs w:val="17"/>
                <w:color w:val="auto"/>
              </w:rPr>
              <w:t>31 December</w:t>
            </w:r>
          </w:p>
        </w:tc>
      </w:tr>
      <w:tr>
        <w:trPr>
          <w:trHeight w:val="238"/>
        </w:trPr>
        <w:tc>
          <w:tcPr>
            <w:tcW w:w="3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60" w:type="dxa"/>
            <w:vAlign w:val="bottom"/>
          </w:tcPr>
          <w:p>
            <w:pPr>
              <w:jc w:val="right"/>
              <w:ind w:right="354"/>
              <w:spacing w:after="0"/>
              <w:rPr>
                <w:sz w:val="20"/>
                <w:szCs w:val="20"/>
                <w:color w:val="auto"/>
              </w:rPr>
            </w:pPr>
            <w:r>
              <w:rPr>
                <w:rFonts w:ascii="Arial" w:cs="Arial" w:eastAsia="Arial" w:hAnsi="Arial"/>
                <w:sz w:val="17"/>
                <w:szCs w:val="17"/>
                <w:b w:val="1"/>
                <w:bCs w:val="1"/>
                <w:color w:val="auto"/>
              </w:rPr>
              <w:t>2025</w:t>
            </w:r>
          </w:p>
        </w:tc>
        <w:tc>
          <w:tcPr>
            <w:tcW w:w="1480" w:type="dxa"/>
            <w:vAlign w:val="bottom"/>
          </w:tcPr>
          <w:p>
            <w:pPr>
              <w:jc w:val="right"/>
              <w:spacing w:after="0"/>
              <w:rPr>
                <w:sz w:val="20"/>
                <w:szCs w:val="20"/>
                <w:color w:val="auto"/>
              </w:rPr>
            </w:pPr>
            <w:r>
              <w:rPr>
                <w:rFonts w:ascii="Arial" w:cs="Arial" w:eastAsia="Arial" w:hAnsi="Arial"/>
                <w:sz w:val="17"/>
                <w:szCs w:val="17"/>
                <w:color w:val="auto"/>
              </w:rPr>
              <w:t>2024</w:t>
            </w:r>
          </w:p>
        </w:tc>
      </w:tr>
      <w:tr>
        <w:trPr>
          <w:trHeight w:val="272"/>
        </w:trPr>
        <w:tc>
          <w:tcPr>
            <w:tcW w:w="30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2060" w:type="dxa"/>
            <w:vAlign w:val="bottom"/>
          </w:tcPr>
          <w:p>
            <w:pPr>
              <w:jc w:val="right"/>
              <w:ind w:right="354"/>
              <w:spacing w:after="0"/>
              <w:rPr>
                <w:sz w:val="20"/>
                <w:szCs w:val="20"/>
                <w:color w:val="auto"/>
              </w:rPr>
            </w:pPr>
            <w:r>
              <w:rPr>
                <w:rFonts w:ascii="Arial" w:cs="Arial" w:eastAsia="Arial" w:hAnsi="Arial"/>
                <w:sz w:val="17"/>
                <w:szCs w:val="17"/>
                <w:b w:val="1"/>
                <w:bCs w:val="1"/>
                <w:color w:val="auto"/>
              </w:rPr>
              <w:t>$’000</w:t>
            </w:r>
          </w:p>
        </w:tc>
        <w:tc>
          <w:tcPr>
            <w:tcW w:w="1480" w:type="dxa"/>
            <w:vAlign w:val="bottom"/>
          </w:tcPr>
          <w:p>
            <w:pPr>
              <w:jc w:val="right"/>
              <w:spacing w:after="0"/>
              <w:rPr>
                <w:sz w:val="20"/>
                <w:szCs w:val="20"/>
                <w:color w:val="auto"/>
              </w:rPr>
            </w:pPr>
            <w:r>
              <w:rPr>
                <w:rFonts w:ascii="Arial" w:cs="Arial" w:eastAsia="Arial" w:hAnsi="Arial"/>
                <w:sz w:val="17"/>
                <w:szCs w:val="17"/>
                <w:color w:val="auto"/>
              </w:rPr>
              <w:t>$’000</w:t>
            </w:r>
          </w:p>
        </w:tc>
      </w:tr>
      <w:tr>
        <w:trPr>
          <w:trHeight w:val="530"/>
        </w:trPr>
        <w:tc>
          <w:tcPr>
            <w:tcW w:w="300" w:type="dxa"/>
            <w:vAlign w:val="bottom"/>
          </w:tcPr>
          <w:p>
            <w:pPr>
              <w:spacing w:after="0"/>
              <w:rPr>
                <w:sz w:val="24"/>
                <w:szCs w:val="24"/>
                <w:color w:val="auto"/>
              </w:rPr>
            </w:pPr>
          </w:p>
        </w:tc>
        <w:tc>
          <w:tcPr>
            <w:tcW w:w="6960" w:type="dxa"/>
            <w:vAlign w:val="bottom"/>
          </w:tcPr>
          <w:p>
            <w:pPr>
              <w:ind w:left="100"/>
              <w:spacing w:after="0"/>
              <w:rPr>
                <w:sz w:val="20"/>
                <w:szCs w:val="20"/>
                <w:color w:val="auto"/>
              </w:rPr>
            </w:pPr>
            <w:r>
              <w:rPr>
                <w:rFonts w:ascii="Arial" w:cs="Arial" w:eastAsia="Arial" w:hAnsi="Arial"/>
                <w:sz w:val="17"/>
                <w:szCs w:val="17"/>
                <w:b w:val="1"/>
                <w:bCs w:val="1"/>
                <w:color w:val="auto"/>
              </w:rPr>
              <w:t>Allotted, called up and fully paid</w:t>
            </w: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2"/>
        </w:trPr>
        <w:tc>
          <w:tcPr>
            <w:tcW w:w="300" w:type="dxa"/>
            <w:vAlign w:val="bottom"/>
          </w:tcPr>
          <w:p>
            <w:pPr>
              <w:spacing w:after="0"/>
              <w:rPr>
                <w:sz w:val="23"/>
                <w:szCs w:val="23"/>
                <w:color w:val="auto"/>
              </w:rPr>
            </w:pPr>
          </w:p>
        </w:tc>
        <w:tc>
          <w:tcPr>
            <w:tcW w:w="6960" w:type="dxa"/>
            <w:vAlign w:val="bottom"/>
          </w:tcPr>
          <w:p>
            <w:pPr>
              <w:ind w:left="100"/>
              <w:spacing w:after="0"/>
              <w:rPr>
                <w:sz w:val="20"/>
                <w:szCs w:val="20"/>
                <w:color w:val="auto"/>
              </w:rPr>
            </w:pPr>
            <w:r>
              <w:rPr>
                <w:rFonts w:ascii="Arial" w:cs="Arial" w:eastAsia="Arial" w:hAnsi="Arial"/>
                <w:sz w:val="17"/>
                <w:szCs w:val="17"/>
                <w:color w:val="auto"/>
              </w:rPr>
              <w:t>79,483,795 (31 December 2024: 80,756,860) ordinary shares of €0.06 each</w:t>
            </w:r>
          </w:p>
        </w:tc>
        <w:tc>
          <w:tcPr>
            <w:tcW w:w="2060" w:type="dxa"/>
            <w:vAlign w:val="bottom"/>
          </w:tcPr>
          <w:p>
            <w:pPr>
              <w:jc w:val="right"/>
              <w:ind w:right="354"/>
              <w:spacing w:after="0"/>
              <w:rPr>
                <w:sz w:val="20"/>
                <w:szCs w:val="20"/>
                <w:color w:val="auto"/>
              </w:rPr>
            </w:pPr>
            <w:r>
              <w:rPr>
                <w:rFonts w:ascii="Arial" w:cs="Arial" w:eastAsia="Arial" w:hAnsi="Arial"/>
                <w:sz w:val="17"/>
                <w:szCs w:val="17"/>
                <w:b w:val="1"/>
                <w:bCs w:val="1"/>
                <w:color w:val="auto"/>
              </w:rPr>
              <w:t>6,506</w:t>
            </w:r>
          </w:p>
        </w:tc>
        <w:tc>
          <w:tcPr>
            <w:tcW w:w="1480" w:type="dxa"/>
            <w:vAlign w:val="bottom"/>
          </w:tcPr>
          <w:p>
            <w:pPr>
              <w:jc w:val="right"/>
              <w:spacing w:after="0"/>
              <w:rPr>
                <w:sz w:val="20"/>
                <w:szCs w:val="20"/>
                <w:color w:val="auto"/>
              </w:rPr>
            </w:pPr>
            <w:r>
              <w:rPr>
                <w:rFonts w:ascii="Arial" w:cs="Arial" w:eastAsia="Arial" w:hAnsi="Arial"/>
                <w:sz w:val="17"/>
                <w:szCs w:val="17"/>
                <w:color w:val="auto"/>
              </w:rPr>
              <w:t>6,586</w:t>
            </w:r>
          </w:p>
        </w:tc>
      </w:tr>
      <w:tr>
        <w:trPr>
          <w:trHeight w:val="27"/>
        </w:trPr>
        <w:tc>
          <w:tcPr>
            <w:tcW w:w="300" w:type="dxa"/>
            <w:vAlign w:val="bottom"/>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686"/>
        </w:trPr>
        <w:tc>
          <w:tcPr>
            <w:tcW w:w="3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60" w:type="dxa"/>
            <w:vAlign w:val="bottom"/>
          </w:tcPr>
          <w:p>
            <w:pPr>
              <w:jc w:val="right"/>
              <w:ind w:right="354"/>
              <w:spacing w:after="0"/>
              <w:rPr>
                <w:sz w:val="20"/>
                <w:szCs w:val="20"/>
                <w:color w:val="auto"/>
              </w:rPr>
            </w:pPr>
            <w:r>
              <w:rPr>
                <w:rFonts w:ascii="Arial" w:cs="Arial" w:eastAsia="Arial" w:hAnsi="Arial"/>
                <w:sz w:val="17"/>
                <w:szCs w:val="17"/>
                <w:b w:val="1"/>
                <w:bCs w:val="1"/>
                <w:color w:val="auto"/>
              </w:rPr>
              <w:t>5 June</w:t>
            </w:r>
          </w:p>
        </w:tc>
        <w:tc>
          <w:tcPr>
            <w:tcW w:w="1480" w:type="dxa"/>
            <w:vAlign w:val="bottom"/>
          </w:tcPr>
          <w:p>
            <w:pPr>
              <w:jc w:val="right"/>
              <w:spacing w:after="0"/>
              <w:rPr>
                <w:sz w:val="20"/>
                <w:szCs w:val="20"/>
                <w:color w:val="auto"/>
              </w:rPr>
            </w:pPr>
            <w:r>
              <w:rPr>
                <w:rFonts w:ascii="Arial" w:cs="Arial" w:eastAsia="Arial" w:hAnsi="Arial"/>
                <w:sz w:val="17"/>
                <w:szCs w:val="17"/>
                <w:color w:val="auto"/>
              </w:rPr>
              <w:t>31 December</w:t>
            </w:r>
          </w:p>
        </w:tc>
      </w:tr>
      <w:tr>
        <w:trPr>
          <w:trHeight w:val="238"/>
        </w:trPr>
        <w:tc>
          <w:tcPr>
            <w:tcW w:w="3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60" w:type="dxa"/>
            <w:vAlign w:val="bottom"/>
          </w:tcPr>
          <w:p>
            <w:pPr>
              <w:jc w:val="right"/>
              <w:ind w:right="354"/>
              <w:spacing w:after="0"/>
              <w:rPr>
                <w:sz w:val="20"/>
                <w:szCs w:val="20"/>
                <w:color w:val="auto"/>
              </w:rPr>
            </w:pPr>
            <w:r>
              <w:rPr>
                <w:rFonts w:ascii="Arial" w:cs="Arial" w:eastAsia="Arial" w:hAnsi="Arial"/>
                <w:sz w:val="17"/>
                <w:szCs w:val="17"/>
                <w:b w:val="1"/>
                <w:bCs w:val="1"/>
                <w:color w:val="auto"/>
              </w:rPr>
              <w:t>2025</w:t>
            </w:r>
          </w:p>
        </w:tc>
        <w:tc>
          <w:tcPr>
            <w:tcW w:w="1480" w:type="dxa"/>
            <w:vAlign w:val="bottom"/>
          </w:tcPr>
          <w:p>
            <w:pPr>
              <w:jc w:val="right"/>
              <w:spacing w:after="0"/>
              <w:rPr>
                <w:sz w:val="20"/>
                <w:szCs w:val="20"/>
                <w:color w:val="auto"/>
              </w:rPr>
            </w:pPr>
            <w:r>
              <w:rPr>
                <w:rFonts w:ascii="Arial" w:cs="Arial" w:eastAsia="Arial" w:hAnsi="Arial"/>
                <w:sz w:val="17"/>
                <w:szCs w:val="17"/>
                <w:color w:val="auto"/>
              </w:rPr>
              <w:t>2024</w:t>
            </w:r>
          </w:p>
        </w:tc>
      </w:tr>
      <w:tr>
        <w:trPr>
          <w:trHeight w:val="272"/>
        </w:trPr>
        <w:tc>
          <w:tcPr>
            <w:tcW w:w="30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2060" w:type="dxa"/>
            <w:vAlign w:val="bottom"/>
          </w:tcPr>
          <w:p>
            <w:pPr>
              <w:jc w:val="right"/>
              <w:ind w:right="354"/>
              <w:spacing w:after="0"/>
              <w:rPr>
                <w:sz w:val="20"/>
                <w:szCs w:val="20"/>
                <w:color w:val="auto"/>
              </w:rPr>
            </w:pPr>
            <w:r>
              <w:rPr>
                <w:rFonts w:ascii="Arial" w:cs="Arial" w:eastAsia="Arial" w:hAnsi="Arial"/>
                <w:sz w:val="17"/>
                <w:szCs w:val="17"/>
                <w:b w:val="1"/>
                <w:bCs w:val="1"/>
                <w:color w:val="auto"/>
              </w:rPr>
              <w:t>$’000</w:t>
            </w:r>
          </w:p>
        </w:tc>
        <w:tc>
          <w:tcPr>
            <w:tcW w:w="1480" w:type="dxa"/>
            <w:vAlign w:val="bottom"/>
          </w:tcPr>
          <w:p>
            <w:pPr>
              <w:jc w:val="right"/>
              <w:spacing w:after="0"/>
              <w:rPr>
                <w:sz w:val="20"/>
                <w:szCs w:val="20"/>
                <w:color w:val="auto"/>
              </w:rPr>
            </w:pPr>
            <w:r>
              <w:rPr>
                <w:rFonts w:ascii="Arial" w:cs="Arial" w:eastAsia="Arial" w:hAnsi="Arial"/>
                <w:sz w:val="17"/>
                <w:szCs w:val="17"/>
                <w:color w:val="auto"/>
              </w:rPr>
              <w:t>$’000</w:t>
            </w:r>
          </w:p>
        </w:tc>
      </w:tr>
      <w:tr>
        <w:trPr>
          <w:trHeight w:val="504"/>
        </w:trPr>
        <w:tc>
          <w:tcPr>
            <w:tcW w:w="300" w:type="dxa"/>
            <w:vAlign w:val="bottom"/>
          </w:tcPr>
          <w:p>
            <w:pPr>
              <w:spacing w:after="0"/>
              <w:rPr>
                <w:sz w:val="24"/>
                <w:szCs w:val="24"/>
                <w:color w:val="auto"/>
              </w:rPr>
            </w:pPr>
          </w:p>
        </w:tc>
        <w:tc>
          <w:tcPr>
            <w:tcW w:w="6960" w:type="dxa"/>
            <w:vAlign w:val="bottom"/>
          </w:tcPr>
          <w:p>
            <w:pPr>
              <w:ind w:left="100"/>
              <w:spacing w:after="0"/>
              <w:rPr>
                <w:sz w:val="20"/>
                <w:szCs w:val="20"/>
                <w:color w:val="auto"/>
              </w:rPr>
            </w:pPr>
            <w:r>
              <w:rPr>
                <w:rFonts w:ascii="Arial" w:cs="Arial" w:eastAsia="Arial" w:hAnsi="Arial"/>
                <w:sz w:val="17"/>
                <w:szCs w:val="17"/>
                <w:b w:val="1"/>
                <w:bCs w:val="1"/>
                <w:color w:val="auto"/>
              </w:rPr>
              <w:t>Issued, fully paid share capital</w:t>
            </w: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2"/>
        </w:trPr>
        <w:tc>
          <w:tcPr>
            <w:tcW w:w="300" w:type="dxa"/>
            <w:vAlign w:val="bottom"/>
          </w:tcPr>
          <w:p>
            <w:pPr>
              <w:spacing w:after="0"/>
              <w:rPr>
                <w:sz w:val="23"/>
                <w:szCs w:val="23"/>
                <w:color w:val="auto"/>
              </w:rPr>
            </w:pPr>
          </w:p>
        </w:tc>
        <w:tc>
          <w:tcPr>
            <w:tcW w:w="6960" w:type="dxa"/>
            <w:vAlign w:val="bottom"/>
          </w:tcPr>
          <w:p>
            <w:pPr>
              <w:ind w:left="100"/>
              <w:spacing w:after="0"/>
              <w:rPr>
                <w:sz w:val="20"/>
                <w:szCs w:val="20"/>
                <w:color w:val="auto"/>
              </w:rPr>
            </w:pPr>
            <w:r>
              <w:rPr>
                <w:rFonts w:ascii="Arial" w:cs="Arial" w:eastAsia="Arial" w:hAnsi="Arial"/>
                <w:sz w:val="17"/>
                <w:szCs w:val="17"/>
                <w:color w:val="auto"/>
              </w:rPr>
              <w:t>At beginning of period / year</w:t>
            </w:r>
          </w:p>
        </w:tc>
        <w:tc>
          <w:tcPr>
            <w:tcW w:w="2060" w:type="dxa"/>
            <w:vAlign w:val="bottom"/>
          </w:tcPr>
          <w:p>
            <w:pPr>
              <w:jc w:val="right"/>
              <w:ind w:right="354"/>
              <w:spacing w:after="0"/>
              <w:rPr>
                <w:sz w:val="20"/>
                <w:szCs w:val="20"/>
                <w:color w:val="auto"/>
              </w:rPr>
            </w:pPr>
            <w:r>
              <w:rPr>
                <w:rFonts w:ascii="Arial" w:cs="Arial" w:eastAsia="Arial" w:hAnsi="Arial"/>
                <w:sz w:val="17"/>
                <w:szCs w:val="17"/>
                <w:b w:val="1"/>
                <w:bCs w:val="1"/>
                <w:color w:val="auto"/>
              </w:rPr>
              <w:t>6,586</w:t>
            </w:r>
          </w:p>
        </w:tc>
        <w:tc>
          <w:tcPr>
            <w:tcW w:w="1480" w:type="dxa"/>
            <w:vAlign w:val="bottom"/>
          </w:tcPr>
          <w:p>
            <w:pPr>
              <w:jc w:val="right"/>
              <w:spacing w:after="0"/>
              <w:rPr>
                <w:sz w:val="20"/>
                <w:szCs w:val="20"/>
                <w:color w:val="auto"/>
              </w:rPr>
            </w:pPr>
            <w:r>
              <w:rPr>
                <w:rFonts w:ascii="Arial" w:cs="Arial" w:eastAsia="Arial" w:hAnsi="Arial"/>
                <w:sz w:val="17"/>
                <w:szCs w:val="17"/>
                <w:color w:val="auto"/>
              </w:rPr>
              <w:t>6,699</w:t>
            </w:r>
          </w:p>
        </w:tc>
      </w:tr>
      <w:tr>
        <w:trPr>
          <w:trHeight w:val="272"/>
        </w:trPr>
        <w:tc>
          <w:tcPr>
            <w:tcW w:w="300" w:type="dxa"/>
            <w:vAlign w:val="bottom"/>
          </w:tcPr>
          <w:p>
            <w:pPr>
              <w:spacing w:after="0"/>
              <w:rPr>
                <w:sz w:val="23"/>
                <w:szCs w:val="23"/>
                <w:color w:val="auto"/>
              </w:rPr>
            </w:pPr>
          </w:p>
        </w:tc>
        <w:tc>
          <w:tcPr>
            <w:tcW w:w="6960" w:type="dxa"/>
            <w:vAlign w:val="bottom"/>
          </w:tcPr>
          <w:p>
            <w:pPr>
              <w:ind w:left="100"/>
              <w:spacing w:after="0"/>
              <w:rPr>
                <w:sz w:val="20"/>
                <w:szCs w:val="20"/>
                <w:color w:val="auto"/>
              </w:rPr>
            </w:pPr>
            <w:r>
              <w:rPr>
                <w:rFonts w:ascii="Arial" w:cs="Arial" w:eastAsia="Arial" w:hAnsi="Arial"/>
                <w:sz w:val="17"/>
                <w:szCs w:val="17"/>
                <w:color w:val="auto"/>
              </w:rPr>
              <w:t>Employee share options exercised</w:t>
            </w:r>
          </w:p>
        </w:tc>
        <w:tc>
          <w:tcPr>
            <w:tcW w:w="2060" w:type="dxa"/>
            <w:vAlign w:val="bottom"/>
          </w:tcPr>
          <w:p>
            <w:pPr>
              <w:jc w:val="right"/>
              <w:ind w:right="354"/>
              <w:spacing w:after="0"/>
              <w:rPr>
                <w:sz w:val="20"/>
                <w:szCs w:val="20"/>
                <w:color w:val="auto"/>
              </w:rPr>
            </w:pPr>
            <w:r>
              <w:rPr>
                <w:rFonts w:ascii="Arial" w:cs="Arial" w:eastAsia="Arial" w:hAnsi="Arial"/>
                <w:sz w:val="17"/>
                <w:szCs w:val="17"/>
                <w:b w:val="1"/>
                <w:bCs w:val="1"/>
                <w:color w:val="auto"/>
              </w:rPr>
              <w:t>3</w:t>
            </w:r>
          </w:p>
        </w:tc>
        <w:tc>
          <w:tcPr>
            <w:tcW w:w="14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72"/>
        </w:trPr>
        <w:tc>
          <w:tcPr>
            <w:tcW w:w="300" w:type="dxa"/>
            <w:vAlign w:val="bottom"/>
          </w:tcPr>
          <w:p>
            <w:pPr>
              <w:spacing w:after="0"/>
              <w:rPr>
                <w:sz w:val="23"/>
                <w:szCs w:val="23"/>
                <w:color w:val="auto"/>
              </w:rPr>
            </w:pPr>
          </w:p>
        </w:tc>
        <w:tc>
          <w:tcPr>
            <w:tcW w:w="6960" w:type="dxa"/>
            <w:vAlign w:val="bottom"/>
          </w:tcPr>
          <w:p>
            <w:pPr>
              <w:ind w:left="100"/>
              <w:spacing w:after="0"/>
              <w:rPr>
                <w:sz w:val="20"/>
                <w:szCs w:val="20"/>
                <w:color w:val="auto"/>
              </w:rPr>
            </w:pPr>
            <w:r>
              <w:rPr>
                <w:rFonts w:ascii="Arial" w:cs="Arial" w:eastAsia="Arial" w:hAnsi="Arial"/>
                <w:sz w:val="17"/>
                <w:szCs w:val="17"/>
                <w:color w:val="auto"/>
              </w:rPr>
              <w:t>Restricted share units / performance share units</w:t>
            </w:r>
          </w:p>
        </w:tc>
        <w:tc>
          <w:tcPr>
            <w:tcW w:w="2060" w:type="dxa"/>
            <w:vAlign w:val="bottom"/>
          </w:tcPr>
          <w:p>
            <w:pPr>
              <w:jc w:val="right"/>
              <w:ind w:right="354"/>
              <w:spacing w:after="0"/>
              <w:rPr>
                <w:sz w:val="20"/>
                <w:szCs w:val="20"/>
                <w:color w:val="auto"/>
              </w:rPr>
            </w:pPr>
            <w:r>
              <w:rPr>
                <w:rFonts w:ascii="Arial" w:cs="Arial" w:eastAsia="Arial" w:hAnsi="Arial"/>
                <w:sz w:val="17"/>
                <w:szCs w:val="17"/>
                <w:b w:val="1"/>
                <w:bCs w:val="1"/>
                <w:color w:val="auto"/>
              </w:rPr>
              <w:t>2</w:t>
            </w:r>
          </w:p>
        </w:tc>
        <w:tc>
          <w:tcPr>
            <w:tcW w:w="14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72"/>
        </w:trPr>
        <w:tc>
          <w:tcPr>
            <w:tcW w:w="300" w:type="dxa"/>
            <w:vAlign w:val="bottom"/>
          </w:tcPr>
          <w:p>
            <w:pPr>
              <w:spacing w:after="0"/>
              <w:rPr>
                <w:sz w:val="23"/>
                <w:szCs w:val="23"/>
                <w:color w:val="auto"/>
              </w:rPr>
            </w:pPr>
          </w:p>
        </w:tc>
        <w:tc>
          <w:tcPr>
            <w:tcW w:w="6960" w:type="dxa"/>
            <w:vAlign w:val="bottom"/>
          </w:tcPr>
          <w:p>
            <w:pPr>
              <w:ind w:left="100"/>
              <w:spacing w:after="0"/>
              <w:rPr>
                <w:sz w:val="20"/>
                <w:szCs w:val="20"/>
                <w:color w:val="auto"/>
              </w:rPr>
            </w:pPr>
            <w:r>
              <w:rPr>
                <w:rFonts w:ascii="Arial" w:cs="Arial" w:eastAsia="Arial" w:hAnsi="Arial"/>
                <w:sz w:val="17"/>
                <w:szCs w:val="17"/>
                <w:color w:val="auto"/>
              </w:rPr>
              <w:t>Repurchase of ordinary shares</w:t>
            </w:r>
          </w:p>
        </w:tc>
        <w:tc>
          <w:tcPr>
            <w:tcW w:w="2060" w:type="dxa"/>
            <w:vAlign w:val="bottom"/>
          </w:tcPr>
          <w:p>
            <w:pPr>
              <w:jc w:val="right"/>
              <w:ind w:right="314"/>
              <w:spacing w:after="0"/>
              <w:rPr>
                <w:sz w:val="20"/>
                <w:szCs w:val="20"/>
                <w:color w:val="auto"/>
              </w:rPr>
            </w:pPr>
            <w:r>
              <w:rPr>
                <w:rFonts w:ascii="Arial" w:cs="Arial" w:eastAsia="Arial" w:hAnsi="Arial"/>
                <w:sz w:val="17"/>
                <w:szCs w:val="17"/>
                <w:b w:val="1"/>
                <w:bCs w:val="1"/>
                <w:color w:val="auto"/>
              </w:rPr>
              <w:t>(85)</w:t>
            </w:r>
          </w:p>
        </w:tc>
        <w:tc>
          <w:tcPr>
            <w:tcW w:w="1480" w:type="dxa"/>
            <w:vAlign w:val="bottom"/>
          </w:tcPr>
          <w:p>
            <w:pPr>
              <w:jc w:val="right"/>
              <w:spacing w:after="0"/>
              <w:rPr>
                <w:sz w:val="20"/>
                <w:szCs w:val="20"/>
                <w:color w:val="auto"/>
              </w:rPr>
            </w:pPr>
            <w:r>
              <w:rPr>
                <w:rFonts w:ascii="Arial" w:cs="Arial" w:eastAsia="Arial" w:hAnsi="Arial"/>
                <w:sz w:val="17"/>
                <w:szCs w:val="17"/>
                <w:color w:val="auto"/>
              </w:rPr>
              <w:t>(142)</w:t>
            </w:r>
          </w:p>
        </w:tc>
      </w:tr>
      <w:tr>
        <w:trPr>
          <w:trHeight w:val="27"/>
        </w:trPr>
        <w:tc>
          <w:tcPr>
            <w:tcW w:w="300" w:type="dxa"/>
            <w:vAlign w:val="bottom"/>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484"/>
        </w:trPr>
        <w:tc>
          <w:tcPr>
            <w:tcW w:w="300" w:type="dxa"/>
            <w:vAlign w:val="bottom"/>
          </w:tcPr>
          <w:p>
            <w:pPr>
              <w:spacing w:after="0"/>
              <w:rPr>
                <w:sz w:val="24"/>
                <w:szCs w:val="24"/>
                <w:color w:val="auto"/>
              </w:rPr>
            </w:pPr>
          </w:p>
        </w:tc>
        <w:tc>
          <w:tcPr>
            <w:tcW w:w="6960" w:type="dxa"/>
            <w:vAlign w:val="bottom"/>
          </w:tcPr>
          <w:p>
            <w:pPr>
              <w:ind w:left="80"/>
              <w:spacing w:after="0"/>
              <w:rPr>
                <w:sz w:val="20"/>
                <w:szCs w:val="20"/>
                <w:color w:val="auto"/>
              </w:rPr>
            </w:pPr>
            <w:r>
              <w:rPr>
                <w:rFonts w:ascii="Arial" w:cs="Arial" w:eastAsia="Arial" w:hAnsi="Arial"/>
                <w:sz w:val="17"/>
                <w:szCs w:val="17"/>
                <w:color w:val="auto"/>
              </w:rPr>
              <w:t>At end of period / year</w:t>
            </w:r>
          </w:p>
        </w:tc>
        <w:tc>
          <w:tcPr>
            <w:tcW w:w="2060" w:type="dxa"/>
            <w:vAlign w:val="bottom"/>
          </w:tcPr>
          <w:p>
            <w:pPr>
              <w:jc w:val="right"/>
              <w:ind w:right="354"/>
              <w:spacing w:after="0"/>
              <w:rPr>
                <w:sz w:val="20"/>
                <w:szCs w:val="20"/>
                <w:color w:val="auto"/>
              </w:rPr>
            </w:pPr>
            <w:r>
              <w:rPr>
                <w:rFonts w:ascii="Arial" w:cs="Arial" w:eastAsia="Arial" w:hAnsi="Arial"/>
                <w:sz w:val="17"/>
                <w:szCs w:val="17"/>
                <w:b w:val="1"/>
                <w:bCs w:val="1"/>
                <w:color w:val="auto"/>
              </w:rPr>
              <w:t>6,506</w:t>
            </w:r>
          </w:p>
        </w:tc>
        <w:tc>
          <w:tcPr>
            <w:tcW w:w="1480" w:type="dxa"/>
            <w:vAlign w:val="bottom"/>
          </w:tcPr>
          <w:p>
            <w:pPr>
              <w:jc w:val="right"/>
              <w:spacing w:after="0"/>
              <w:rPr>
                <w:sz w:val="20"/>
                <w:szCs w:val="20"/>
                <w:color w:val="auto"/>
              </w:rPr>
            </w:pPr>
            <w:r>
              <w:rPr>
                <w:rFonts w:ascii="Arial" w:cs="Arial" w:eastAsia="Arial" w:hAnsi="Arial"/>
                <w:sz w:val="17"/>
                <w:szCs w:val="17"/>
                <w:color w:val="auto"/>
              </w:rPr>
              <w:t>6,586</w:t>
            </w:r>
          </w:p>
        </w:tc>
      </w:tr>
      <w:tr>
        <w:trPr>
          <w:trHeight w:val="27"/>
        </w:trPr>
        <w:tc>
          <w:tcPr>
            <w:tcW w:w="300" w:type="dxa"/>
            <w:vAlign w:val="bottom"/>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Rights of Ordinary Shares</w:t>
      </w:r>
    </w:p>
    <w:p>
      <w:pPr>
        <w:spacing w:after="0" w:line="244" w:lineRule="exact"/>
        <w:rPr>
          <w:sz w:val="20"/>
          <w:szCs w:val="20"/>
          <w:color w:val="auto"/>
        </w:rPr>
      </w:pPr>
    </w:p>
    <w:p>
      <w:pPr>
        <w:jc w:val="both"/>
        <w:ind w:left="420"/>
        <w:spacing w:after="0" w:line="271" w:lineRule="auto"/>
        <w:rPr>
          <w:sz w:val="20"/>
          <w:szCs w:val="20"/>
          <w:color w:val="auto"/>
        </w:rPr>
      </w:pPr>
      <w:r>
        <w:rPr>
          <w:rFonts w:ascii="Arial" w:cs="Arial" w:eastAsia="Arial" w:hAnsi="Arial"/>
          <w:sz w:val="17"/>
          <w:szCs w:val="17"/>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Share issues</w:t>
      </w:r>
    </w:p>
    <w:p>
      <w:pPr>
        <w:spacing w:after="0" w:line="257" w:lineRule="exact"/>
        <w:rPr>
          <w:sz w:val="20"/>
          <w:szCs w:val="20"/>
          <w:color w:val="auto"/>
        </w:rPr>
      </w:pPr>
    </w:p>
    <w:p>
      <w:pPr>
        <w:jc w:val="both"/>
        <w:ind w:left="420"/>
        <w:spacing w:after="0" w:line="291" w:lineRule="auto"/>
        <w:rPr>
          <w:sz w:val="20"/>
          <w:szCs w:val="20"/>
          <w:color w:val="auto"/>
        </w:rPr>
      </w:pPr>
      <w:r>
        <w:rPr>
          <w:rFonts w:ascii="Arial" w:cs="Arial" w:eastAsia="Arial" w:hAnsi="Arial"/>
          <w:sz w:val="17"/>
          <w:szCs w:val="17"/>
          <w:color w:val="auto"/>
        </w:rPr>
        <w:t>During the period ended 5 June 2025, 53,268 options were exercised by employees for total proceeds of $5.9 million. During the period ended 5 June 2025, 34,204 ordinary shares were issued in respect of certain PSU/RSU’s previously awarded by the Company.</w:t>
      </w:r>
    </w:p>
    <w:p>
      <w:pPr>
        <w:spacing w:after="0" w:line="186" w:lineRule="exact"/>
        <w:rPr>
          <w:sz w:val="20"/>
          <w:szCs w:val="20"/>
          <w:color w:val="auto"/>
        </w:rPr>
      </w:pPr>
    </w:p>
    <w:p>
      <w:pPr>
        <w:jc w:val="both"/>
        <w:ind w:left="420"/>
        <w:spacing w:after="0" w:line="280" w:lineRule="auto"/>
        <w:rPr>
          <w:sz w:val="20"/>
          <w:szCs w:val="20"/>
          <w:color w:val="auto"/>
        </w:rPr>
      </w:pPr>
      <w:r>
        <w:rPr>
          <w:rFonts w:ascii="Arial" w:cs="Arial" w:eastAsia="Arial" w:hAnsi="Arial"/>
          <w:sz w:val="17"/>
          <w:szCs w:val="17"/>
          <w:color w:val="auto"/>
        </w:rPr>
        <w:t>During the year ended 31 December 2024, 311,040 options were exercised by employees at an average exercise price of $116.31 per share for total proceeds of $36.2 million. During the year ended 31 December 2024, 120,458 ordinary shares were issued in respect of certain RSUs and 9,975 ordinary shares were issued in respect of PSUs previously awarded by the Company.</w:t>
      </w:r>
    </w:p>
    <w:p>
      <w:pPr>
        <w:sectPr>
          <w:pgSz w:w="11900" w:h="16838" w:orient="portrait"/>
          <w:cols w:equalWidth="0" w:num="1">
            <w:col w:w="11240"/>
          </w:cols>
          <w:pgMar w:left="320" w:top="113"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13"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color w:val="auto"/>
        </w:rPr>
        <w:t>Notes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0" w:right="8780" w:hanging="377"/>
        <w:spacing w:after="0" w:line="549" w:lineRule="auto"/>
        <w:tabs>
          <w:tab w:leader="none" w:pos="377"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 capital </w:t>
      </w:r>
      <w:r>
        <w:rPr>
          <w:rFonts w:ascii="Arial" w:cs="Arial" w:eastAsia="Arial" w:hAnsi="Arial"/>
          <w:sz w:val="17"/>
          <w:szCs w:val="17"/>
          <w:i w:val="1"/>
          <w:iCs w:val="1"/>
          <w:color w:val="auto"/>
        </w:rPr>
        <w:t>(continued)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Share repurchase program</w:t>
      </w:r>
    </w:p>
    <w:p>
      <w:pPr>
        <w:jc w:val="both"/>
        <w:ind w:left="380"/>
        <w:spacing w:after="0" w:line="280" w:lineRule="auto"/>
        <w:rPr>
          <w:rFonts w:ascii="Arial" w:cs="Arial" w:eastAsia="Arial" w:hAnsi="Arial"/>
          <w:sz w:val="17"/>
          <w:szCs w:val="17"/>
          <w:b w:val="1"/>
          <w:bCs w:val="1"/>
          <w:color w:val="auto"/>
        </w:rPr>
      </w:pPr>
      <w:r>
        <w:rPr>
          <w:rFonts w:ascii="Arial" w:cs="Arial" w:eastAsia="Arial" w:hAnsi="Arial"/>
          <w:sz w:val="17"/>
          <w:szCs w:val="17"/>
          <w:color w:val="auto"/>
        </w:rPr>
        <w:t>On 18 February 2025, the Company's Board of Directors authorised an additional share repurchase program under which the Company could repurchase up to $750.0 million of the outstanding ordinary shares of the Company by way of redemption. Along with unutilised amounts under the previous authorisations, this permitted the Company to repurchase up to $1 billion worth of ordinary shares.</w:t>
      </w:r>
    </w:p>
    <w:p>
      <w:pPr>
        <w:spacing w:after="0" w:line="182" w:lineRule="exact"/>
        <w:rPr>
          <w:rFonts w:ascii="Arial" w:cs="Arial" w:eastAsia="Arial" w:hAnsi="Arial"/>
          <w:sz w:val="17"/>
          <w:szCs w:val="17"/>
          <w:b w:val="1"/>
          <w:bCs w:val="1"/>
          <w:color w:val="auto"/>
        </w:rPr>
      </w:pPr>
    </w:p>
    <w:p>
      <w:pPr>
        <w:jc w:val="both"/>
        <w:ind w:left="380"/>
        <w:spacing w:after="0" w:line="280" w:lineRule="auto"/>
        <w:rPr>
          <w:rFonts w:ascii="Arial" w:cs="Arial" w:eastAsia="Arial" w:hAnsi="Arial"/>
          <w:sz w:val="17"/>
          <w:szCs w:val="17"/>
          <w:b w:val="1"/>
          <w:bCs w:val="1"/>
          <w:color w:val="auto"/>
        </w:rPr>
      </w:pPr>
      <w:r>
        <w:rPr>
          <w:rFonts w:ascii="Arial" w:cs="Arial" w:eastAsia="Arial" w:hAnsi="Arial"/>
          <w:sz w:val="17"/>
          <w:szCs w:val="17"/>
          <w:color w:val="auto"/>
        </w:rPr>
        <w:t>During March 2025, 1,360,537 shares were redeemed by the Company under the repurchase program for a total consideration of $250.0 million. As of 5 June 2025, the Company had remaining authorisation to repurchase up to $750.0 million of ordinary shares under the repurchase program.</w:t>
      </w:r>
    </w:p>
    <w:p>
      <w:pPr>
        <w:spacing w:after="0" w:line="195" w:lineRule="exact"/>
        <w:rPr>
          <w:rFonts w:ascii="Arial" w:cs="Arial" w:eastAsia="Arial" w:hAnsi="Arial"/>
          <w:sz w:val="17"/>
          <w:szCs w:val="17"/>
          <w:b w:val="1"/>
          <w:bCs w:val="1"/>
          <w:color w:val="auto"/>
        </w:rPr>
      </w:pPr>
    </w:p>
    <w:p>
      <w:pPr>
        <w:ind w:left="380"/>
        <w:spacing w:after="0" w:line="291" w:lineRule="auto"/>
        <w:rPr>
          <w:rFonts w:ascii="Arial" w:cs="Arial" w:eastAsia="Arial" w:hAnsi="Arial"/>
          <w:sz w:val="17"/>
          <w:szCs w:val="17"/>
          <w:b w:val="1"/>
          <w:bCs w:val="1"/>
          <w:color w:val="auto"/>
        </w:rPr>
      </w:pPr>
      <w:r>
        <w:rPr>
          <w:rFonts w:ascii="Arial" w:cs="Arial" w:eastAsia="Arial" w:hAnsi="Arial"/>
          <w:sz w:val="17"/>
          <w:szCs w:val="17"/>
          <w:color w:val="auto"/>
        </w:rPr>
        <w:t>All ordinary shares that were redeemed under the repurchase program were cancelled in accordance with the Constitution of the Company and the nominal value of these shares transferred to other undenominated capital as required under Irish Company law.</w:t>
      </w:r>
    </w:p>
    <w:p>
      <w:pPr>
        <w:spacing w:after="0" w:line="185" w:lineRule="exact"/>
        <w:rPr>
          <w:rFonts w:ascii="Arial" w:cs="Arial" w:eastAsia="Arial" w:hAnsi="Arial"/>
          <w:sz w:val="17"/>
          <w:szCs w:val="17"/>
          <w:b w:val="1"/>
          <w:bCs w:val="1"/>
          <w:color w:val="auto"/>
        </w:rPr>
      </w:pPr>
    </w:p>
    <w:p>
      <w:pPr>
        <w:jc w:val="both"/>
        <w:ind w:left="380"/>
        <w:spacing w:after="0" w:line="266" w:lineRule="auto"/>
        <w:rPr>
          <w:rFonts w:ascii="Arial" w:cs="Arial" w:eastAsia="Arial" w:hAnsi="Arial"/>
          <w:sz w:val="17"/>
          <w:szCs w:val="17"/>
          <w:b w:val="1"/>
          <w:bCs w:val="1"/>
          <w:color w:val="auto"/>
        </w:rPr>
      </w:pPr>
      <w:r>
        <w:rPr>
          <w:rFonts w:ascii="Arial" w:cs="Arial" w:eastAsia="Arial" w:hAnsi="Arial"/>
          <w:sz w:val="17"/>
          <w:szCs w:val="17"/>
          <w:color w:val="auto"/>
        </w:rPr>
        <w:t>Under the repurchase program, a broker purchased or may purchase the Company's shares from time to time on the open market or in privately negotiated transactions in accordance with agreed terms and limitations. The program was and may be in the future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in such cases were or may in the future be irrevocable and the trading decisions in respect of the repurchase program were made or will be made independently of and uninfluenced by the Company. The Company confirms that on entering the share repurchase programs it had no material non-public, price-sensitive or inside information regarding the Company or its securities. Furthermore, the Company will not enter into additional plans whilst in possession of such information.</w:t>
      </w:r>
    </w:p>
    <w:p>
      <w:pPr>
        <w:spacing w:after="0" w:line="207" w:lineRule="exact"/>
        <w:rPr>
          <w:rFonts w:ascii="Arial" w:cs="Arial" w:eastAsia="Arial" w:hAnsi="Arial"/>
          <w:sz w:val="17"/>
          <w:szCs w:val="17"/>
          <w:b w:val="1"/>
          <w:bCs w:val="1"/>
          <w:color w:val="auto"/>
        </w:rPr>
      </w:pPr>
    </w:p>
    <w:p>
      <w:pPr>
        <w:jc w:val="both"/>
        <w:ind w:left="380"/>
        <w:spacing w:after="0" w:line="277" w:lineRule="auto"/>
        <w:rPr>
          <w:rFonts w:ascii="Arial" w:cs="Arial" w:eastAsia="Arial" w:hAnsi="Arial"/>
          <w:sz w:val="17"/>
          <w:szCs w:val="17"/>
          <w:b w:val="1"/>
          <w:bCs w:val="1"/>
          <w:color w:val="auto"/>
        </w:rPr>
      </w:pPr>
      <w:r>
        <w:rPr>
          <w:rFonts w:ascii="Arial" w:cs="Arial" w:eastAsia="Arial" w:hAnsi="Arial"/>
          <w:sz w:val="17"/>
          <w:szCs w:val="17"/>
          <w:color w:val="auto"/>
        </w:rPr>
        <w:t>The timing and actual number of shares repurchased by way of redemption will be dependent on market conditions, legal and regulatory requirements and the other terms and limitations contained in the program. In addition, repurchases under the program may be suspended or discontinued in certain circumstances in accordance with the agreed terms. Therefore, there can be no assurance as to the timing or number of shares that may be repurchased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13" w:right="339" w:bottom="1440" w:gutter="0" w:footer="0" w:header="0"/>
        </w:sectPr>
      </w:pPr>
    </w:p>
    <w:bookmarkStart w:id="18" w:name="page19"/>
    <w:bookmarkEnd w:id="18"/>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color w:val="auto"/>
        </w:rPr>
        <w:t>Notes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r>
              <w:rPr>
                <w:rFonts w:ascii="Arial" w:cs="Arial" w:eastAsia="Arial" w:hAnsi="Arial"/>
                <w:sz w:val="17"/>
                <w:szCs w:val="17"/>
                <w:b w:val="1"/>
                <w:bCs w:val="1"/>
                <w:color w:val="auto"/>
              </w:rPr>
              <w:t>7.   Capital and reserves</w:t>
            </w:r>
          </w:p>
        </w:tc>
        <w:tc>
          <w:tcPr>
            <w:tcW w:w="27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59"/>
        </w:trPr>
        <w:tc>
          <w:tcPr>
            <w:tcW w:w="6620" w:type="dxa"/>
            <w:vAlign w:val="bottom"/>
          </w:tcPr>
          <w:p>
            <w:pPr>
              <w:spacing w:after="0"/>
              <w:rPr>
                <w:sz w:val="22"/>
                <w:szCs w:val="22"/>
                <w:color w:val="auto"/>
              </w:rPr>
            </w:pPr>
          </w:p>
        </w:tc>
        <w:tc>
          <w:tcPr>
            <w:tcW w:w="2760" w:type="dxa"/>
            <w:vAlign w:val="bottom"/>
          </w:tcPr>
          <w:p>
            <w:pPr>
              <w:jc w:val="right"/>
              <w:ind w:right="314"/>
              <w:spacing w:after="0"/>
              <w:rPr>
                <w:sz w:val="20"/>
                <w:szCs w:val="20"/>
                <w:color w:val="auto"/>
              </w:rPr>
            </w:pPr>
            <w:r>
              <w:rPr>
                <w:rFonts w:ascii="Arial" w:cs="Arial" w:eastAsia="Arial" w:hAnsi="Arial"/>
                <w:sz w:val="17"/>
                <w:szCs w:val="17"/>
                <w:b w:val="1"/>
                <w:bCs w:val="1"/>
                <w:color w:val="auto"/>
              </w:rPr>
              <w:t>As at</w:t>
            </w:r>
          </w:p>
        </w:tc>
        <w:tc>
          <w:tcPr>
            <w:tcW w:w="1920" w:type="dxa"/>
            <w:vAlign w:val="bottom"/>
          </w:tcPr>
          <w:p>
            <w:pPr>
              <w:jc w:val="right"/>
              <w:spacing w:after="0"/>
              <w:rPr>
                <w:sz w:val="20"/>
                <w:szCs w:val="20"/>
                <w:color w:val="auto"/>
              </w:rPr>
            </w:pPr>
            <w:r>
              <w:rPr>
                <w:rFonts w:ascii="Arial" w:cs="Arial" w:eastAsia="Arial" w:hAnsi="Arial"/>
                <w:sz w:val="17"/>
                <w:szCs w:val="17"/>
                <w:color w:val="auto"/>
              </w:rPr>
              <w:t>As at</w:t>
            </w:r>
          </w:p>
        </w:tc>
      </w:tr>
      <w:tr>
        <w:trPr>
          <w:trHeight w:val="272"/>
        </w:trPr>
        <w:tc>
          <w:tcPr>
            <w:tcW w:w="6620" w:type="dxa"/>
            <w:vAlign w:val="bottom"/>
          </w:tcPr>
          <w:p>
            <w:pPr>
              <w:spacing w:after="0"/>
              <w:rPr>
                <w:sz w:val="23"/>
                <w:szCs w:val="23"/>
                <w:color w:val="auto"/>
              </w:rPr>
            </w:pPr>
          </w:p>
        </w:tc>
        <w:tc>
          <w:tcPr>
            <w:tcW w:w="2760" w:type="dxa"/>
            <w:vAlign w:val="bottom"/>
          </w:tcPr>
          <w:p>
            <w:pPr>
              <w:jc w:val="right"/>
              <w:ind w:right="314"/>
              <w:spacing w:after="0"/>
              <w:rPr>
                <w:sz w:val="20"/>
                <w:szCs w:val="20"/>
                <w:color w:val="auto"/>
              </w:rPr>
            </w:pPr>
            <w:r>
              <w:rPr>
                <w:rFonts w:ascii="Arial" w:cs="Arial" w:eastAsia="Arial" w:hAnsi="Arial"/>
                <w:sz w:val="17"/>
                <w:szCs w:val="17"/>
                <w:b w:val="1"/>
                <w:bCs w:val="1"/>
                <w:color w:val="auto"/>
              </w:rPr>
              <w:t>5 June 2025</w:t>
            </w:r>
          </w:p>
        </w:tc>
        <w:tc>
          <w:tcPr>
            <w:tcW w:w="1920" w:type="dxa"/>
            <w:vAlign w:val="bottom"/>
          </w:tcPr>
          <w:p>
            <w:pPr>
              <w:jc w:val="right"/>
              <w:spacing w:after="0"/>
              <w:rPr>
                <w:sz w:val="20"/>
                <w:szCs w:val="20"/>
                <w:color w:val="auto"/>
              </w:rPr>
            </w:pPr>
            <w:r>
              <w:rPr>
                <w:rFonts w:ascii="Arial" w:cs="Arial" w:eastAsia="Arial" w:hAnsi="Arial"/>
                <w:sz w:val="17"/>
                <w:szCs w:val="17"/>
                <w:color w:val="auto"/>
              </w:rPr>
              <w:t>31 December 2024</w:t>
            </w:r>
          </w:p>
        </w:tc>
      </w:tr>
      <w:tr>
        <w:trPr>
          <w:trHeight w:val="272"/>
        </w:trPr>
        <w:tc>
          <w:tcPr>
            <w:tcW w:w="6620" w:type="dxa"/>
            <w:vAlign w:val="bottom"/>
          </w:tcPr>
          <w:p>
            <w:pPr>
              <w:spacing w:after="0"/>
              <w:rPr>
                <w:sz w:val="23"/>
                <w:szCs w:val="23"/>
                <w:color w:val="auto"/>
              </w:rPr>
            </w:pPr>
          </w:p>
        </w:tc>
        <w:tc>
          <w:tcPr>
            <w:tcW w:w="2760" w:type="dxa"/>
            <w:vAlign w:val="bottom"/>
          </w:tcPr>
          <w:p>
            <w:pPr>
              <w:jc w:val="right"/>
              <w:ind w:right="314"/>
              <w:spacing w:after="0"/>
              <w:rPr>
                <w:sz w:val="20"/>
                <w:szCs w:val="20"/>
                <w:color w:val="auto"/>
              </w:rPr>
            </w:pPr>
            <w:r>
              <w:rPr>
                <w:rFonts w:ascii="Arial" w:cs="Arial" w:eastAsia="Arial" w:hAnsi="Arial"/>
                <w:sz w:val="17"/>
                <w:szCs w:val="17"/>
                <w:b w:val="1"/>
                <w:bCs w:val="1"/>
                <w:color w:val="auto"/>
              </w:rPr>
              <w:t>$’000</w:t>
            </w:r>
          </w:p>
        </w:tc>
        <w:tc>
          <w:tcPr>
            <w:tcW w:w="1920" w:type="dxa"/>
            <w:vAlign w:val="bottom"/>
          </w:tcPr>
          <w:p>
            <w:pPr>
              <w:jc w:val="right"/>
              <w:spacing w:after="0"/>
              <w:rPr>
                <w:sz w:val="20"/>
                <w:szCs w:val="20"/>
                <w:color w:val="auto"/>
              </w:rPr>
            </w:pPr>
            <w:r>
              <w:rPr>
                <w:rFonts w:ascii="Arial" w:cs="Arial" w:eastAsia="Arial" w:hAnsi="Arial"/>
                <w:sz w:val="17"/>
                <w:szCs w:val="17"/>
                <w:color w:val="auto"/>
              </w:rPr>
              <w:t>$’000</w:t>
            </w:r>
          </w:p>
        </w:tc>
      </w:tr>
      <w:tr>
        <w:trPr>
          <w:trHeight w:val="530"/>
        </w:trPr>
        <w:tc>
          <w:tcPr>
            <w:tcW w:w="6620" w:type="dxa"/>
            <w:vAlign w:val="bottom"/>
          </w:tcPr>
          <w:p>
            <w:pPr>
              <w:ind w:left="380"/>
              <w:spacing w:after="0"/>
              <w:rPr>
                <w:sz w:val="20"/>
                <w:szCs w:val="20"/>
                <w:color w:val="auto"/>
              </w:rPr>
            </w:pPr>
            <w:r>
              <w:rPr>
                <w:rFonts w:ascii="Arial" w:cs="Arial" w:eastAsia="Arial" w:hAnsi="Arial"/>
                <w:sz w:val="17"/>
                <w:szCs w:val="17"/>
                <w:color w:val="auto"/>
              </w:rPr>
              <w:t>Share premium</w:t>
            </w:r>
          </w:p>
        </w:tc>
        <w:tc>
          <w:tcPr>
            <w:tcW w:w="2760" w:type="dxa"/>
            <w:vAlign w:val="bottom"/>
          </w:tcPr>
          <w:p>
            <w:pPr>
              <w:jc w:val="right"/>
              <w:ind w:right="314"/>
              <w:spacing w:after="0"/>
              <w:rPr>
                <w:sz w:val="20"/>
                <w:szCs w:val="20"/>
                <w:color w:val="auto"/>
              </w:rPr>
            </w:pPr>
            <w:r>
              <w:rPr>
                <w:rFonts w:ascii="Arial" w:cs="Arial" w:eastAsia="Arial" w:hAnsi="Arial"/>
                <w:sz w:val="17"/>
                <w:szCs w:val="17"/>
                <w:b w:val="1"/>
                <w:bCs w:val="1"/>
                <w:color w:val="auto"/>
              </w:rPr>
              <w:t>565,697</w:t>
            </w:r>
          </w:p>
        </w:tc>
        <w:tc>
          <w:tcPr>
            <w:tcW w:w="1920" w:type="dxa"/>
            <w:vAlign w:val="bottom"/>
          </w:tcPr>
          <w:p>
            <w:pPr>
              <w:jc w:val="right"/>
              <w:spacing w:after="0"/>
              <w:rPr>
                <w:sz w:val="20"/>
                <w:szCs w:val="20"/>
                <w:color w:val="auto"/>
              </w:rPr>
            </w:pPr>
            <w:r>
              <w:rPr>
                <w:rFonts w:ascii="Arial" w:cs="Arial" w:eastAsia="Arial" w:hAnsi="Arial"/>
                <w:sz w:val="17"/>
                <w:szCs w:val="17"/>
                <w:color w:val="auto"/>
              </w:rPr>
              <w:t>559,804</w:t>
            </w:r>
          </w:p>
        </w:tc>
      </w:tr>
      <w:tr>
        <w:trPr>
          <w:trHeight w:val="272"/>
        </w:trPr>
        <w:tc>
          <w:tcPr>
            <w:tcW w:w="6620" w:type="dxa"/>
            <w:vAlign w:val="bottom"/>
          </w:tcPr>
          <w:p>
            <w:pPr>
              <w:ind w:left="380"/>
              <w:spacing w:after="0"/>
              <w:rPr>
                <w:sz w:val="20"/>
                <w:szCs w:val="20"/>
                <w:color w:val="auto"/>
              </w:rPr>
            </w:pPr>
            <w:r>
              <w:rPr>
                <w:rFonts w:ascii="Arial" w:cs="Arial" w:eastAsia="Arial" w:hAnsi="Arial"/>
                <w:sz w:val="17"/>
                <w:szCs w:val="17"/>
                <w:color w:val="auto"/>
              </w:rPr>
              <w:t>Merger reserve</w:t>
            </w:r>
          </w:p>
        </w:tc>
        <w:tc>
          <w:tcPr>
            <w:tcW w:w="2760" w:type="dxa"/>
            <w:vAlign w:val="bottom"/>
          </w:tcPr>
          <w:p>
            <w:pPr>
              <w:jc w:val="right"/>
              <w:ind w:right="314"/>
              <w:spacing w:after="0"/>
              <w:rPr>
                <w:sz w:val="20"/>
                <w:szCs w:val="20"/>
                <w:color w:val="auto"/>
              </w:rPr>
            </w:pPr>
            <w:r>
              <w:rPr>
                <w:rFonts w:ascii="Arial" w:cs="Arial" w:eastAsia="Arial" w:hAnsi="Arial"/>
                <w:sz w:val="17"/>
                <w:szCs w:val="17"/>
                <w:b w:val="1"/>
                <w:bCs w:val="1"/>
                <w:color w:val="auto"/>
              </w:rPr>
              <w:t>5,656,195</w:t>
            </w:r>
          </w:p>
        </w:tc>
        <w:tc>
          <w:tcPr>
            <w:tcW w:w="1920" w:type="dxa"/>
            <w:vAlign w:val="bottom"/>
          </w:tcPr>
          <w:p>
            <w:pPr>
              <w:jc w:val="right"/>
              <w:spacing w:after="0"/>
              <w:rPr>
                <w:sz w:val="20"/>
                <w:szCs w:val="20"/>
                <w:color w:val="auto"/>
              </w:rPr>
            </w:pPr>
            <w:r>
              <w:rPr>
                <w:rFonts w:ascii="Arial" w:cs="Arial" w:eastAsia="Arial" w:hAnsi="Arial"/>
                <w:sz w:val="17"/>
                <w:szCs w:val="17"/>
                <w:color w:val="auto"/>
              </w:rPr>
              <w:t>5,656,195</w:t>
            </w:r>
          </w:p>
        </w:tc>
      </w:tr>
      <w:tr>
        <w:trPr>
          <w:trHeight w:val="272"/>
        </w:trPr>
        <w:tc>
          <w:tcPr>
            <w:tcW w:w="6620" w:type="dxa"/>
            <w:vAlign w:val="bottom"/>
          </w:tcPr>
          <w:p>
            <w:pPr>
              <w:ind w:left="380"/>
              <w:spacing w:after="0"/>
              <w:rPr>
                <w:sz w:val="20"/>
                <w:szCs w:val="20"/>
                <w:color w:val="auto"/>
              </w:rPr>
            </w:pPr>
            <w:r>
              <w:rPr>
                <w:rFonts w:ascii="Arial" w:cs="Arial" w:eastAsia="Arial" w:hAnsi="Arial"/>
                <w:sz w:val="17"/>
                <w:szCs w:val="17"/>
                <w:color w:val="auto"/>
              </w:rPr>
              <w:t>Other undenominated capital</w:t>
            </w:r>
          </w:p>
        </w:tc>
        <w:tc>
          <w:tcPr>
            <w:tcW w:w="2760" w:type="dxa"/>
            <w:vAlign w:val="bottom"/>
          </w:tcPr>
          <w:p>
            <w:pPr>
              <w:jc w:val="right"/>
              <w:ind w:right="314"/>
              <w:spacing w:after="0"/>
              <w:rPr>
                <w:sz w:val="20"/>
                <w:szCs w:val="20"/>
                <w:color w:val="auto"/>
              </w:rPr>
            </w:pPr>
            <w:r>
              <w:rPr>
                <w:rFonts w:ascii="Arial" w:cs="Arial" w:eastAsia="Arial" w:hAnsi="Arial"/>
                <w:sz w:val="17"/>
                <w:szCs w:val="17"/>
                <w:b w:val="1"/>
                <w:bCs w:val="1"/>
                <w:color w:val="auto"/>
              </w:rPr>
              <w:t>1,389</w:t>
            </w:r>
          </w:p>
        </w:tc>
        <w:tc>
          <w:tcPr>
            <w:tcW w:w="1920" w:type="dxa"/>
            <w:vAlign w:val="bottom"/>
          </w:tcPr>
          <w:p>
            <w:pPr>
              <w:jc w:val="right"/>
              <w:spacing w:after="0"/>
              <w:rPr>
                <w:sz w:val="20"/>
                <w:szCs w:val="20"/>
                <w:color w:val="auto"/>
              </w:rPr>
            </w:pPr>
            <w:r>
              <w:rPr>
                <w:rFonts w:ascii="Arial" w:cs="Arial" w:eastAsia="Arial" w:hAnsi="Arial"/>
                <w:sz w:val="17"/>
                <w:szCs w:val="17"/>
                <w:color w:val="auto"/>
              </w:rPr>
              <w:t>1,304</w:t>
            </w:r>
          </w:p>
        </w:tc>
      </w:tr>
      <w:tr>
        <w:trPr>
          <w:trHeight w:val="272"/>
        </w:trPr>
        <w:tc>
          <w:tcPr>
            <w:tcW w:w="6620" w:type="dxa"/>
            <w:vAlign w:val="bottom"/>
          </w:tcPr>
          <w:p>
            <w:pPr>
              <w:ind w:left="380"/>
              <w:spacing w:after="0"/>
              <w:rPr>
                <w:sz w:val="20"/>
                <w:szCs w:val="20"/>
                <w:color w:val="auto"/>
              </w:rPr>
            </w:pPr>
            <w:r>
              <w:rPr>
                <w:rFonts w:ascii="Arial" w:cs="Arial" w:eastAsia="Arial" w:hAnsi="Arial"/>
                <w:sz w:val="17"/>
                <w:szCs w:val="17"/>
                <w:color w:val="auto"/>
              </w:rPr>
              <w:t>Share-based payment reserve</w:t>
            </w:r>
          </w:p>
        </w:tc>
        <w:tc>
          <w:tcPr>
            <w:tcW w:w="2760" w:type="dxa"/>
            <w:vAlign w:val="bottom"/>
          </w:tcPr>
          <w:p>
            <w:pPr>
              <w:jc w:val="right"/>
              <w:ind w:right="314"/>
              <w:spacing w:after="0"/>
              <w:rPr>
                <w:sz w:val="20"/>
                <w:szCs w:val="20"/>
                <w:color w:val="auto"/>
              </w:rPr>
            </w:pPr>
            <w:r>
              <w:rPr>
                <w:rFonts w:ascii="Arial" w:cs="Arial" w:eastAsia="Arial" w:hAnsi="Arial"/>
                <w:sz w:val="17"/>
                <w:szCs w:val="17"/>
                <w:b w:val="1"/>
                <w:bCs w:val="1"/>
                <w:color w:val="auto"/>
              </w:rPr>
              <w:t>280,849</w:t>
            </w:r>
          </w:p>
        </w:tc>
        <w:tc>
          <w:tcPr>
            <w:tcW w:w="1920" w:type="dxa"/>
            <w:vAlign w:val="bottom"/>
          </w:tcPr>
          <w:p>
            <w:pPr>
              <w:jc w:val="right"/>
              <w:spacing w:after="0"/>
              <w:rPr>
                <w:sz w:val="20"/>
                <w:szCs w:val="20"/>
                <w:color w:val="auto"/>
              </w:rPr>
            </w:pPr>
            <w:r>
              <w:rPr>
                <w:rFonts w:ascii="Arial" w:cs="Arial" w:eastAsia="Arial" w:hAnsi="Arial"/>
                <w:sz w:val="17"/>
                <w:szCs w:val="17"/>
                <w:color w:val="auto"/>
              </w:rPr>
              <w:t>270,550</w:t>
            </w:r>
          </w:p>
        </w:tc>
      </w:tr>
      <w:tr>
        <w:trPr>
          <w:trHeight w:val="272"/>
        </w:trPr>
        <w:tc>
          <w:tcPr>
            <w:tcW w:w="6620" w:type="dxa"/>
            <w:vAlign w:val="bottom"/>
          </w:tcPr>
          <w:p>
            <w:pPr>
              <w:ind w:left="380"/>
              <w:spacing w:after="0"/>
              <w:rPr>
                <w:sz w:val="20"/>
                <w:szCs w:val="20"/>
                <w:color w:val="auto"/>
              </w:rPr>
            </w:pPr>
            <w:r>
              <w:rPr>
                <w:rFonts w:ascii="Arial" w:cs="Arial" w:eastAsia="Arial" w:hAnsi="Arial"/>
                <w:sz w:val="17"/>
                <w:szCs w:val="17"/>
                <w:color w:val="auto"/>
              </w:rPr>
              <w:t>Other reserve</w:t>
            </w:r>
          </w:p>
        </w:tc>
        <w:tc>
          <w:tcPr>
            <w:tcW w:w="2760" w:type="dxa"/>
            <w:vAlign w:val="bottom"/>
          </w:tcPr>
          <w:p>
            <w:pPr>
              <w:jc w:val="right"/>
              <w:ind w:right="314"/>
              <w:spacing w:after="0"/>
              <w:rPr>
                <w:sz w:val="20"/>
                <w:szCs w:val="20"/>
                <w:color w:val="auto"/>
              </w:rPr>
            </w:pPr>
            <w:r>
              <w:rPr>
                <w:rFonts w:ascii="Arial" w:cs="Arial" w:eastAsia="Arial" w:hAnsi="Arial"/>
                <w:sz w:val="17"/>
                <w:szCs w:val="17"/>
                <w:b w:val="1"/>
                <w:bCs w:val="1"/>
                <w:color w:val="auto"/>
              </w:rPr>
              <w:t>27,405</w:t>
            </w:r>
          </w:p>
        </w:tc>
        <w:tc>
          <w:tcPr>
            <w:tcW w:w="1920" w:type="dxa"/>
            <w:vAlign w:val="bottom"/>
          </w:tcPr>
          <w:p>
            <w:pPr>
              <w:jc w:val="right"/>
              <w:spacing w:after="0"/>
              <w:rPr>
                <w:sz w:val="20"/>
                <w:szCs w:val="20"/>
                <w:color w:val="auto"/>
              </w:rPr>
            </w:pPr>
            <w:r>
              <w:rPr>
                <w:rFonts w:ascii="Arial" w:cs="Arial" w:eastAsia="Arial" w:hAnsi="Arial"/>
                <w:sz w:val="17"/>
                <w:szCs w:val="17"/>
                <w:color w:val="auto"/>
              </w:rPr>
              <w:t>27,405</w:t>
            </w:r>
          </w:p>
        </w:tc>
      </w:tr>
      <w:tr>
        <w:trPr>
          <w:trHeight w:val="272"/>
        </w:trPr>
        <w:tc>
          <w:tcPr>
            <w:tcW w:w="6620" w:type="dxa"/>
            <w:vAlign w:val="bottom"/>
          </w:tcPr>
          <w:p>
            <w:pPr>
              <w:ind w:left="380"/>
              <w:spacing w:after="0"/>
              <w:rPr>
                <w:sz w:val="20"/>
                <w:szCs w:val="20"/>
                <w:color w:val="auto"/>
              </w:rPr>
            </w:pPr>
            <w:r>
              <w:rPr>
                <w:rFonts w:ascii="Arial" w:cs="Arial" w:eastAsia="Arial" w:hAnsi="Arial"/>
                <w:sz w:val="17"/>
                <w:szCs w:val="17"/>
                <w:color w:val="auto"/>
              </w:rPr>
              <w:t>Foreign currency reserve</w:t>
            </w:r>
          </w:p>
        </w:tc>
        <w:tc>
          <w:tcPr>
            <w:tcW w:w="2760" w:type="dxa"/>
            <w:vAlign w:val="bottom"/>
          </w:tcPr>
          <w:p>
            <w:pPr>
              <w:jc w:val="right"/>
              <w:ind w:right="314"/>
              <w:spacing w:after="0"/>
              <w:rPr>
                <w:sz w:val="20"/>
                <w:szCs w:val="20"/>
                <w:color w:val="auto"/>
              </w:rPr>
            </w:pPr>
            <w:r>
              <w:rPr>
                <w:rFonts w:ascii="Arial" w:cs="Arial" w:eastAsia="Arial" w:hAnsi="Arial"/>
                <w:sz w:val="17"/>
                <w:szCs w:val="17"/>
                <w:b w:val="1"/>
                <w:bCs w:val="1"/>
                <w:color w:val="auto"/>
              </w:rPr>
              <w:t>(112,344)</w:t>
            </w:r>
          </w:p>
        </w:tc>
        <w:tc>
          <w:tcPr>
            <w:tcW w:w="1920" w:type="dxa"/>
            <w:vAlign w:val="bottom"/>
          </w:tcPr>
          <w:p>
            <w:pPr>
              <w:jc w:val="right"/>
              <w:spacing w:after="0"/>
              <w:rPr>
                <w:sz w:val="20"/>
                <w:szCs w:val="20"/>
                <w:color w:val="auto"/>
              </w:rPr>
            </w:pPr>
            <w:r>
              <w:rPr>
                <w:rFonts w:ascii="Arial" w:cs="Arial" w:eastAsia="Arial" w:hAnsi="Arial"/>
                <w:sz w:val="17"/>
                <w:szCs w:val="17"/>
                <w:color w:val="auto"/>
              </w:rPr>
              <w:t>(113,342)</w:t>
            </w:r>
          </w:p>
        </w:tc>
      </w:tr>
      <w:tr>
        <w:trPr>
          <w:trHeight w:val="272"/>
        </w:trPr>
        <w:tc>
          <w:tcPr>
            <w:tcW w:w="6620" w:type="dxa"/>
            <w:vAlign w:val="bottom"/>
          </w:tcPr>
          <w:p>
            <w:pPr>
              <w:ind w:left="380"/>
              <w:spacing w:after="0"/>
              <w:rPr>
                <w:sz w:val="20"/>
                <w:szCs w:val="20"/>
                <w:color w:val="auto"/>
              </w:rPr>
            </w:pPr>
            <w:r>
              <w:rPr>
                <w:rFonts w:ascii="Arial" w:cs="Arial" w:eastAsia="Arial" w:hAnsi="Arial"/>
                <w:sz w:val="17"/>
                <w:szCs w:val="17"/>
                <w:color w:val="auto"/>
              </w:rPr>
              <w:t>Retained earnings</w:t>
            </w:r>
          </w:p>
        </w:tc>
        <w:tc>
          <w:tcPr>
            <w:tcW w:w="2760" w:type="dxa"/>
            <w:vAlign w:val="bottom"/>
          </w:tcPr>
          <w:p>
            <w:pPr>
              <w:jc w:val="right"/>
              <w:ind w:right="314"/>
              <w:spacing w:after="0"/>
              <w:rPr>
                <w:sz w:val="20"/>
                <w:szCs w:val="20"/>
                <w:color w:val="auto"/>
              </w:rPr>
            </w:pPr>
            <w:r>
              <w:rPr>
                <w:rFonts w:ascii="Arial" w:cs="Arial" w:eastAsia="Arial" w:hAnsi="Arial"/>
                <w:sz w:val="17"/>
                <w:szCs w:val="17"/>
                <w:b w:val="1"/>
                <w:bCs w:val="1"/>
                <w:color w:val="auto"/>
              </w:rPr>
              <w:t>1,168,788</w:t>
            </w:r>
          </w:p>
        </w:tc>
        <w:tc>
          <w:tcPr>
            <w:tcW w:w="1920" w:type="dxa"/>
            <w:vAlign w:val="bottom"/>
          </w:tcPr>
          <w:p>
            <w:pPr>
              <w:jc w:val="right"/>
              <w:spacing w:after="0"/>
              <w:rPr>
                <w:sz w:val="20"/>
                <w:szCs w:val="20"/>
                <w:color w:val="auto"/>
              </w:rPr>
            </w:pPr>
            <w:r>
              <w:rPr>
                <w:rFonts w:ascii="Arial" w:cs="Arial" w:eastAsia="Arial" w:hAnsi="Arial"/>
                <w:sz w:val="17"/>
                <w:szCs w:val="17"/>
                <w:color w:val="auto"/>
              </w:rPr>
              <w:t>927,650</w:t>
            </w:r>
          </w:p>
        </w:tc>
      </w:tr>
      <w:tr>
        <w:trPr>
          <w:trHeight w:val="27"/>
        </w:trPr>
        <w:tc>
          <w:tcPr>
            <w:tcW w:w="662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8"/>
        </w:trPr>
        <w:tc>
          <w:tcPr>
            <w:tcW w:w="6620" w:type="dxa"/>
            <w:vAlign w:val="bottom"/>
          </w:tcPr>
          <w:p>
            <w:pPr>
              <w:spacing w:after="0"/>
              <w:rPr>
                <w:sz w:val="20"/>
                <w:szCs w:val="20"/>
                <w:color w:val="auto"/>
              </w:rPr>
            </w:pPr>
          </w:p>
        </w:tc>
        <w:tc>
          <w:tcPr>
            <w:tcW w:w="2760" w:type="dxa"/>
            <w:vAlign w:val="bottom"/>
          </w:tcPr>
          <w:p>
            <w:pPr>
              <w:jc w:val="right"/>
              <w:ind w:right="314"/>
              <w:spacing w:after="0"/>
              <w:rPr>
                <w:sz w:val="20"/>
                <w:szCs w:val="20"/>
                <w:color w:val="auto"/>
              </w:rPr>
            </w:pPr>
            <w:r>
              <w:rPr>
                <w:rFonts w:ascii="Arial" w:cs="Arial" w:eastAsia="Arial" w:hAnsi="Arial"/>
                <w:sz w:val="17"/>
                <w:szCs w:val="17"/>
                <w:b w:val="1"/>
                <w:bCs w:val="1"/>
                <w:color w:val="auto"/>
              </w:rPr>
              <w:t>7,587,979</w:t>
            </w:r>
          </w:p>
        </w:tc>
        <w:tc>
          <w:tcPr>
            <w:tcW w:w="1920" w:type="dxa"/>
            <w:vAlign w:val="bottom"/>
          </w:tcPr>
          <w:p>
            <w:pPr>
              <w:jc w:val="right"/>
              <w:spacing w:after="0"/>
              <w:rPr>
                <w:sz w:val="20"/>
                <w:szCs w:val="20"/>
                <w:color w:val="auto"/>
              </w:rPr>
            </w:pPr>
            <w:r>
              <w:rPr>
                <w:rFonts w:ascii="Arial" w:cs="Arial" w:eastAsia="Arial" w:hAnsi="Arial"/>
                <w:sz w:val="17"/>
                <w:szCs w:val="17"/>
                <w:color w:val="auto"/>
              </w:rPr>
              <w:t>7,329,566</w:t>
            </w:r>
          </w:p>
        </w:tc>
      </w:tr>
      <w:tr>
        <w:trPr>
          <w:trHeight w:val="32"/>
        </w:trPr>
        <w:tc>
          <w:tcPr>
            <w:tcW w:w="662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Merger reserve</w:t>
      </w:r>
    </w:p>
    <w:p>
      <w:pPr>
        <w:spacing w:after="0" w:line="231" w:lineRule="exact"/>
        <w:rPr>
          <w:sz w:val="20"/>
          <w:szCs w:val="20"/>
          <w:color w:val="auto"/>
        </w:rPr>
      </w:pPr>
    </w:p>
    <w:p>
      <w:pPr>
        <w:jc w:val="both"/>
        <w:ind w:left="380" w:right="60"/>
        <w:spacing w:after="0" w:line="271" w:lineRule="auto"/>
        <w:rPr>
          <w:sz w:val="20"/>
          <w:szCs w:val="20"/>
          <w:color w:val="auto"/>
        </w:rPr>
      </w:pPr>
      <w:r>
        <w:rPr>
          <w:rFonts w:ascii="Arial" w:cs="Arial" w:eastAsia="Arial" w:hAnsi="Arial"/>
          <w:sz w:val="17"/>
          <w:szCs w:val="17"/>
          <w:color w:val="auto"/>
        </w:rPr>
        <w:t>On 1 July 2021, the Company completed the acquisition of PRA by means of a merger whereby Indigo Merger Sub, Inc., a Delaware corporation and subsidiary of the Company, merged with and into PRA, the parent of the PRA Health Sciences Group. Upon completion of the Merger, pursuant to the terms of the Merger Agreement, PRA became a wholly owned subsidiary of the Company. The transaction resulted in the issuance of 27,372,427 shares to the former stockholders of PRA. The Company issued these shares at the prevailing market price and recognised the premium of $5,656.2 million on issuance of these shares as a merger reserve as required under Irish Company Law.</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Other undenominated capital</w:t>
      </w:r>
    </w:p>
    <w:p>
      <w:pPr>
        <w:spacing w:after="0" w:line="244" w:lineRule="exact"/>
        <w:rPr>
          <w:sz w:val="20"/>
          <w:szCs w:val="20"/>
          <w:color w:val="auto"/>
        </w:rPr>
      </w:pPr>
    </w:p>
    <w:p>
      <w:pPr>
        <w:jc w:val="both"/>
        <w:ind w:left="380" w:right="60"/>
        <w:spacing w:after="0" w:line="280" w:lineRule="auto"/>
        <w:rPr>
          <w:sz w:val="20"/>
          <w:szCs w:val="20"/>
          <w:color w:val="auto"/>
        </w:rPr>
      </w:pPr>
      <w:r>
        <w:rPr>
          <w:rFonts w:ascii="Arial" w:cs="Arial" w:eastAsia="Arial" w:hAnsi="Arial"/>
          <w:sz w:val="17"/>
          <w:szCs w:val="17"/>
          <w:color w:val="auto"/>
        </w:rPr>
        <w:t>Other undenominated capital comprises the nominal value of shares repurchased and cancelled by the Company and transferred from share capital to other undenominated capital as required under Irish Company Law. During the period ended 5 June 2025, 1,360,537 ordinary shares were repurchased and cancelled by the Company (2024: 2,179,699).</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Share-based payment reserve</w:t>
      </w:r>
    </w:p>
    <w:p>
      <w:pPr>
        <w:spacing w:after="0" w:line="2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share-based payment reserve is used to account for share-based payments.</w:t>
      </w:r>
    </w:p>
    <w:p>
      <w:pPr>
        <w:spacing w:after="0" w:line="24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Other reserve</w:t>
      </w:r>
    </w:p>
    <w:p>
      <w:pPr>
        <w:spacing w:after="0" w:line="244" w:lineRule="exact"/>
        <w:rPr>
          <w:sz w:val="20"/>
          <w:szCs w:val="20"/>
          <w:color w:val="auto"/>
        </w:rPr>
      </w:pPr>
    </w:p>
    <w:p>
      <w:pPr>
        <w:jc w:val="both"/>
        <w:ind w:left="380" w:right="60"/>
        <w:spacing w:after="0" w:line="280" w:lineRule="auto"/>
        <w:rPr>
          <w:sz w:val="20"/>
          <w:szCs w:val="20"/>
          <w:color w:val="auto"/>
        </w:rPr>
      </w:pPr>
      <w:r>
        <w:rPr>
          <w:rFonts w:ascii="Arial" w:cs="Arial" w:eastAsia="Arial" w:hAnsi="Arial"/>
          <w:sz w:val="17"/>
          <w:szCs w:val="17"/>
          <w:color w:val="auto"/>
        </w:rPr>
        <w:t>In 2005 the Group recognised a capital contribution of $6.1 million being the fair value of outstanding ordinary shares transferred to Mr Peter Gray, formerly Vice Chair of the Board of Directors and formerly Chief Executive Officer, by founding Directors, Dr. John Climax and Dr. Ronan Lambe.</w:t>
      </w:r>
    </w:p>
    <w:p>
      <w:pPr>
        <w:spacing w:after="0" w:line="183" w:lineRule="exact"/>
        <w:rPr>
          <w:sz w:val="20"/>
          <w:szCs w:val="20"/>
          <w:color w:val="auto"/>
        </w:rPr>
      </w:pPr>
    </w:p>
    <w:p>
      <w:pPr>
        <w:jc w:val="both"/>
        <w:ind w:left="360" w:right="60"/>
        <w:spacing w:after="0" w:line="277" w:lineRule="auto"/>
        <w:rPr>
          <w:sz w:val="20"/>
          <w:szCs w:val="20"/>
          <w:color w:val="auto"/>
        </w:rPr>
      </w:pPr>
      <w:r>
        <w:rPr>
          <w:rFonts w:ascii="Arial" w:cs="Arial" w:eastAsia="Arial" w:hAnsi="Arial"/>
          <w:sz w:val="17"/>
          <w:szCs w:val="17"/>
          <w:color w:val="auto"/>
        </w:rPr>
        <w:t>On 1 July 2023, ICON plc transferred the trade of its Italian branch to ICON Holdings Clinical Research International Limited in exchange for the allotment and issuance of 9,214 ordinary shares of €1.00 each in the share capital of ICON Holdings Clinical Research International Limited, issued at a premium of €2,086.85 per share. The disposal of the trade has resulted in a gain of $13.5 million being recorded in Other Reserve in the Company Statement of Changes in Equity.</w:t>
      </w:r>
    </w:p>
    <w:p>
      <w:pPr>
        <w:spacing w:after="0" w:line="200" w:lineRule="exact"/>
        <w:rPr>
          <w:sz w:val="20"/>
          <w:szCs w:val="20"/>
          <w:color w:val="auto"/>
        </w:rPr>
      </w:pP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00"/>
          </w:cols>
          <w:pgMar w:left="320" w:top="113" w:right="279" w:bottom="1440" w:gutter="0" w:footer="0" w:header="0"/>
        </w:sectPr>
      </w:pPr>
    </w:p>
    <w:bookmarkStart w:id="19" w:name="page20"/>
    <w:bookmarkEnd w:id="19"/>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color w:val="auto"/>
        </w:rPr>
        <w:t>Notes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0" w:right="8260" w:hanging="377"/>
        <w:spacing w:after="0" w:line="549" w:lineRule="auto"/>
        <w:tabs>
          <w:tab w:leader="none" w:pos="389"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 and reserves </w:t>
      </w:r>
      <w:r>
        <w:rPr>
          <w:rFonts w:ascii="Arial" w:cs="Arial" w:eastAsia="Arial" w:hAnsi="Arial"/>
          <w:sz w:val="17"/>
          <w:szCs w:val="17"/>
          <w:i w:val="1"/>
          <w:iCs w:val="1"/>
          <w:color w:val="auto"/>
        </w:rPr>
        <w:t>(continued)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Other reserve (continued)</w:t>
      </w:r>
    </w:p>
    <w:p>
      <w:pPr>
        <w:jc w:val="both"/>
        <w:ind w:left="360"/>
        <w:spacing w:after="0" w:line="280" w:lineRule="auto"/>
        <w:rPr>
          <w:sz w:val="20"/>
          <w:szCs w:val="20"/>
          <w:color w:val="auto"/>
        </w:rPr>
      </w:pPr>
      <w:r>
        <w:rPr>
          <w:rFonts w:ascii="Arial" w:cs="Arial" w:eastAsia="Arial" w:hAnsi="Arial"/>
          <w:sz w:val="17"/>
          <w:szCs w:val="17"/>
          <w:color w:val="auto"/>
        </w:rPr>
        <w:t>On 1 October 2023, ICON plc transferred its interest in ICON Japan, with a carrying value of $3.1 million, to PRA Health Sciences KK in exchange for a loan note of amounting to $10.9 million. The transaction resulted in the Company recording a gain on disposal of $7.8 million in Other Reserve in the Company Statement of Changes in Equity.</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Foreign currency reserve</w:t>
      </w:r>
    </w:p>
    <w:p>
      <w:pPr>
        <w:spacing w:after="0" w:line="257" w:lineRule="exact"/>
        <w:rPr>
          <w:sz w:val="20"/>
          <w:szCs w:val="20"/>
          <w:color w:val="auto"/>
        </w:rPr>
      </w:pPr>
    </w:p>
    <w:p>
      <w:pPr>
        <w:jc w:val="both"/>
        <w:ind w:left="380"/>
        <w:spacing w:after="0" w:line="291" w:lineRule="auto"/>
        <w:rPr>
          <w:sz w:val="20"/>
          <w:szCs w:val="20"/>
          <w:color w:val="auto"/>
        </w:rPr>
      </w:pPr>
      <w:r>
        <w:rPr>
          <w:rFonts w:ascii="Arial" w:cs="Arial" w:eastAsia="Arial" w:hAnsi="Arial"/>
          <w:sz w:val="17"/>
          <w:szCs w:val="17"/>
          <w:color w:val="auto"/>
        </w:rPr>
        <w:t>The currency reserve comprises all foreign exchange differences arising from the translation of the financial statements of foreign currency denominated operations of the Company.</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Retained earnings</w:t>
      </w:r>
    </w:p>
    <w:p>
      <w:pPr>
        <w:spacing w:after="0" w:line="244" w:lineRule="exact"/>
        <w:rPr>
          <w:sz w:val="20"/>
          <w:szCs w:val="20"/>
          <w:color w:val="auto"/>
        </w:rPr>
      </w:pPr>
    </w:p>
    <w:p>
      <w:pPr>
        <w:jc w:val="both"/>
        <w:ind w:left="380"/>
        <w:spacing w:after="0" w:line="307" w:lineRule="auto"/>
        <w:rPr>
          <w:sz w:val="20"/>
          <w:szCs w:val="20"/>
          <w:color w:val="auto"/>
        </w:rPr>
      </w:pPr>
      <w:r>
        <w:rPr>
          <w:rFonts w:ascii="Arial" w:cs="Arial" w:eastAsia="Arial" w:hAnsi="Arial"/>
          <w:sz w:val="17"/>
          <w:szCs w:val="17"/>
          <w:color w:val="auto"/>
        </w:rPr>
        <w:t>During the period ended 5 June 2025, the Company redeemed a total of 1,360,537 ordinary shares for total consideration of $250.0 million (2024: 2,179,699 ordinary shares were redeemed by the Company).</w:t>
      </w:r>
    </w:p>
    <w:p>
      <w:pPr>
        <w:spacing w:after="0" w:line="158" w:lineRule="exact"/>
        <w:rPr>
          <w:sz w:val="20"/>
          <w:szCs w:val="20"/>
          <w:color w:val="auto"/>
        </w:rPr>
      </w:pPr>
    </w:p>
    <w:p>
      <w:pPr>
        <w:ind w:left="380" w:hanging="377"/>
        <w:spacing w:after="0"/>
        <w:tabs>
          <w:tab w:leader="none" w:pos="38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Litigation</w:t>
      </w:r>
    </w:p>
    <w:p>
      <w:pPr>
        <w:spacing w:after="0" w:line="246" w:lineRule="exact"/>
        <w:rPr>
          <w:rFonts w:ascii="Arial" w:cs="Arial" w:eastAsia="Arial" w:hAnsi="Arial"/>
          <w:sz w:val="17"/>
          <w:szCs w:val="17"/>
          <w:b w:val="1"/>
          <w:bCs w:val="1"/>
          <w:color w:val="auto"/>
        </w:rPr>
      </w:pPr>
    </w:p>
    <w:p>
      <w:pPr>
        <w:jc w:val="both"/>
        <w:ind w:left="38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unfavourable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favour.</w:t>
      </w:r>
    </w:p>
    <w:p>
      <w:pPr>
        <w:spacing w:after="0" w:line="202" w:lineRule="exact"/>
        <w:rPr>
          <w:sz w:val="20"/>
          <w:szCs w:val="20"/>
          <w:color w:val="auto"/>
        </w:rPr>
      </w:pPr>
    </w:p>
    <w:p>
      <w:pPr>
        <w:jc w:val="both"/>
        <w:ind w:left="360"/>
        <w:spacing w:after="0" w:line="271" w:lineRule="auto"/>
        <w:rPr>
          <w:sz w:val="20"/>
          <w:szCs w:val="20"/>
          <w:color w:val="auto"/>
        </w:rPr>
      </w:pPr>
      <w:r>
        <w:rPr>
          <w:rFonts w:ascii="Arial" w:cs="Arial" w:eastAsia="Arial" w:hAnsi="Arial"/>
          <w:sz w:val="17"/>
          <w:szCs w:val="17"/>
          <w:color w:val="auto"/>
        </w:rPr>
        <w:t>The Company, its Chief Executive Officer, and its former Chief Financial Officer have been named as defendants in two class action lawsuits involving similar claims, filed in the United States District Court for the Eastern District of New York on 10 February 2025 (Shing v. ICON plc, et al.) and 2 April 2025 (Police and Fire Retirement System of the City of Detroit v. ICON plc), respectively, alleging that defendants made misleading statements regarding the Company’s financial performance and future business prospects in violation of Sections 10(b) and 20(a) of the Securities Exchange Act of 1934. The Company intends to defend these lawsuits vigorously.</w:t>
      </w:r>
    </w:p>
    <w:p>
      <w:pPr>
        <w:spacing w:after="0" w:line="188" w:lineRule="exact"/>
        <w:rPr>
          <w:sz w:val="20"/>
          <w:szCs w:val="20"/>
          <w:color w:val="auto"/>
        </w:rPr>
      </w:pPr>
    </w:p>
    <w:p>
      <w:pPr>
        <w:ind w:left="340" w:hanging="337"/>
        <w:spacing w:after="0"/>
        <w:tabs>
          <w:tab w:leader="none" w:pos="34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Group relationships and controlling parties</w:t>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is a public limited company incorporated in the Republic of Ireland. The Company’s ordinary shares are traded on the NASDAQ market. The Company prepares annual consolidated financial statements for itself and its subsidiary undertakings. These consolidated</w:t>
      </w:r>
    </w:p>
    <w:p>
      <w:pPr>
        <w:ind w:left="380"/>
        <w:spacing w:after="0"/>
        <w:rPr>
          <w:sz w:val="20"/>
          <w:szCs w:val="20"/>
          <w:color w:val="auto"/>
        </w:rPr>
      </w:pPr>
      <w:r>
        <w:rPr>
          <w:rFonts w:ascii="Arial" w:cs="Arial" w:eastAsia="Arial" w:hAnsi="Arial"/>
          <w:sz w:val="17"/>
          <w:szCs w:val="17"/>
          <w:color w:val="auto"/>
        </w:rPr>
        <w:t xml:space="preserve">financial statements may be obtained from the Company’s website </w:t>
      </w:r>
      <w:r>
        <w:rPr>
          <w:rFonts w:ascii="Arial" w:cs="Arial" w:eastAsia="Arial" w:hAnsi="Arial"/>
          <w:sz w:val="17"/>
          <w:szCs w:val="17"/>
          <w:u w:val="single" w:color="auto"/>
          <w:color w:val="0000FF"/>
        </w:rPr>
        <w:t>www.iconplc.com</w:t>
      </w:r>
      <w:r>
        <w:rPr>
          <w:rFonts w:ascii="Arial" w:cs="Arial" w:eastAsia="Arial" w:hAnsi="Arial"/>
          <w:sz w:val="17"/>
          <w:szCs w:val="17"/>
          <w:color w:val="auto"/>
        </w:rPr>
        <w:t>.</w:t>
      </w:r>
    </w:p>
    <w:p>
      <w:pPr>
        <w:spacing w:after="0" w:line="226" w:lineRule="exact"/>
        <w:rPr>
          <w:sz w:val="20"/>
          <w:szCs w:val="20"/>
          <w:color w:val="auto"/>
        </w:rPr>
      </w:pPr>
    </w:p>
    <w:p>
      <w:pPr>
        <w:ind w:left="440" w:hanging="437"/>
        <w:spacing w:after="0"/>
        <w:tabs>
          <w:tab w:leader="none" w:pos="4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have been no material events since the balance sheet date requiring disclosure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13" w:right="339" w:bottom="1440" w:gutter="0" w:footer="0" w:header="0"/>
        </w:sectPr>
      </w:pPr>
    </w:p>
    <w:bookmarkStart w:id="20" w:name="page21"/>
    <w:bookmarkEnd w:id="20"/>
    <w:p>
      <w:pPr>
        <w:spacing w:after="0"/>
        <w:rPr>
          <w:sz w:val="20"/>
          <w:szCs w:val="20"/>
          <w:color w:val="auto"/>
        </w:rPr>
      </w:pPr>
      <w:r>
        <w:rPr>
          <w:rFonts w:ascii="Arial" w:cs="Arial" w:eastAsia="Arial" w:hAnsi="Arial"/>
          <w:sz w:val="31"/>
          <w:szCs w:val="31"/>
          <w:color w:val="auto"/>
        </w:rPr>
        <w:t xml:space="preserve">ICON plc </w:t>
      </w:r>
      <w:r>
        <w:rPr>
          <w:rFonts w:ascii="Arial" w:cs="Arial" w:eastAsia="Arial" w:hAnsi="Arial"/>
          <w:sz w:val="17"/>
          <w:szCs w:val="17"/>
          <w:color w:val="auto"/>
        </w:rPr>
        <w:t>(unaudited non-consolidated non-statutory interim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color w:val="auto"/>
        </w:rPr>
        <w:t>Notes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60" w:hanging="457"/>
        <w:spacing w:after="0"/>
        <w:tabs>
          <w:tab w:leader="none" w:pos="4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Approval of financial statements</w:t>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unaudited interim financial statements were approved on 10 June 2025.</w:t>
      </w:r>
    </w:p>
    <w:p>
      <w:pPr>
        <w:spacing w:after="0" w:line="200" w:lineRule="exact"/>
        <w:rPr>
          <w:sz w:val="20"/>
          <w:szCs w:val="20"/>
          <w:color w:val="auto"/>
        </w:rPr>
      </w:pPr>
    </w:p>
    <w:p>
      <w:pPr>
        <w:spacing w:after="0" w:line="32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16</w:t>
      </w:r>
    </w:p>
    <w:sectPr>
      <w:pgSz w:w="11900" w:h="16838" w:orient="portrait"/>
      <w:cols w:equalWidth="0" w:num="1">
        <w:col w:w="10139"/>
      </w:cols>
      <w:pgMar w:left="32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2"/>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6"/>
    </w:lvl>
  </w:abstractNum>
  <w:abstractNum w:abstractNumId="9">
    <w:nsid w:val="66EF438D"/>
    <w:multiLevelType w:val="hybridMultilevel"/>
    <w:lvl w:ilvl="0">
      <w:lvlJc w:val="left"/>
      <w:lvlText w:val="%1."/>
      <w:numFmt w:val="decimal"/>
      <w:start w:val="7"/>
    </w:lvl>
  </w:abstractNum>
  <w:abstractNum w:abstractNumId="10">
    <w:nsid w:val="140E0F76"/>
    <w:multiLevelType w:val="hybridMultilevel"/>
    <w:lvl w:ilvl="0">
      <w:lvlJc w:val="left"/>
      <w:lvlText w:val="%1."/>
      <w:numFmt w:val="decimal"/>
      <w:start w:val="8"/>
    </w:lvl>
  </w:abstractNum>
  <w:abstractNum w:abstractNumId="11">
    <w:nsid w:val="3352255A"/>
    <w:multiLevelType w:val="hybridMultilevel"/>
    <w:lvl w:ilvl="0">
      <w:lvlJc w:val="left"/>
      <w:lvlText w:val="%1."/>
      <w:numFmt w:val="decimal"/>
      <w:start w:val="9"/>
    </w:lvl>
  </w:abstractNum>
  <w:abstractNum w:abstractNumId="12">
    <w:nsid w:val="109CF92E"/>
    <w:multiLevelType w:val="hybridMultilevel"/>
    <w:lvl w:ilvl="0">
      <w:lvlJc w:val="left"/>
      <w:lvlText w:val="%1."/>
      <w:numFmt w:val="decimal"/>
      <w:start w:val="10"/>
    </w:lvl>
  </w:abstractNum>
  <w:abstractNum w:abstractNumId="13">
    <w:nsid w:val="DED7263"/>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2025-06-18T16:21:25Z</dcterms:created>
  <dcterms:modified xsi:type="dcterms:W3CDTF">2025-06-18T16:21:25Z</dcterms:modified>
</cp:coreProperties>
</file>