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FORM 6-K</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Report of Foreign Private Issuer</w:t>
      </w:r>
    </w:p>
    <w:p>
      <w:pPr>
        <w:jc w:val="center"/>
        <w:spacing w:after="0" w:line="226" w:lineRule="auto"/>
        <w:rPr>
          <w:sz w:val="20"/>
          <w:szCs w:val="20"/>
          <w:color w:val="auto"/>
        </w:rPr>
      </w:pPr>
      <w:r>
        <w:rPr>
          <w:rFonts w:ascii="Arial" w:cs="Arial" w:eastAsia="Arial" w:hAnsi="Arial"/>
          <w:sz w:val="14"/>
          <w:szCs w:val="14"/>
          <w:b w:val="1"/>
          <w:bCs w:val="1"/>
          <w:color w:val="auto"/>
        </w:rPr>
        <w:t>Pursuant to Rule 13a - 16 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the Securities Exchange Act of 1934</w:t>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 the quarterly period ended September 30, 2008</w:t>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ICON plc</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(Registrant’s name)</w:t>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0-29714</w:t>
      </w:r>
    </w:p>
    <w:p>
      <w:pPr>
        <w:jc w:val="center"/>
        <w:spacing w:after="0"/>
        <w:rPr>
          <w:sz w:val="20"/>
          <w:szCs w:val="20"/>
          <w:color w:val="auto"/>
        </w:rPr>
      </w:pPr>
      <w:r>
        <w:rPr>
          <w:rFonts w:ascii="Arial" w:cs="Arial" w:eastAsia="Arial" w:hAnsi="Arial"/>
          <w:sz w:val="14"/>
          <w:szCs w:val="14"/>
          <w:color w:val="auto"/>
        </w:rPr>
        <w:t>(Commission file number)</w:t>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South County Business Park, Leopardstown, Dublin 18, Ireland.</w:t>
      </w: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files or will file annual reports under cover Form 20-F or Form 40-F.</w:t>
      </w:r>
    </w:p>
    <w:p>
      <w:pPr>
        <w:spacing w:after="0" w:line="227" w:lineRule="exact"/>
        <w:rPr>
          <w:sz w:val="24"/>
          <w:szCs w:val="24"/>
          <w:color w:val="auto"/>
        </w:rPr>
      </w:pPr>
    </w:p>
    <w:p>
      <w:pPr>
        <w:ind w:left="3640"/>
        <w:spacing w:after="0"/>
        <w:tabs>
          <w:tab w:leader="none" w:pos="6260" w:val="left"/>
        </w:tabs>
        <w:rPr>
          <w:sz w:val="20"/>
          <w:szCs w:val="20"/>
          <w:color w:val="auto"/>
        </w:rPr>
      </w:pPr>
      <w:r>
        <w:rPr>
          <w:rFonts w:ascii="Arial" w:cs="Arial" w:eastAsia="Arial" w:hAnsi="Arial"/>
          <w:sz w:val="14"/>
          <w:szCs w:val="14"/>
          <w:color w:val="auto"/>
        </w:rPr>
        <w:t>Yes___</w:t>
      </w:r>
      <w:r>
        <w:rPr>
          <w:rFonts w:ascii="Arial" w:cs="Arial" w:eastAsia="Arial" w:hAnsi="Arial"/>
          <w:sz w:val="14"/>
          <w:szCs w:val="14"/>
          <w:b w:val="1"/>
          <w:bCs w:val="1"/>
          <w:color w:val="auto"/>
        </w:rPr>
        <w:t>X</w:t>
      </w:r>
      <w:r>
        <w:rPr>
          <w:rFonts w:ascii="Arial" w:cs="Arial" w:eastAsia="Arial" w:hAnsi="Arial"/>
          <w:sz w:val="14"/>
          <w:szCs w:val="14"/>
          <w:color w:val="auto"/>
        </w:rPr>
        <w:t>___</w:t>
      </w:r>
      <w:r>
        <w:rPr>
          <w:sz w:val="20"/>
          <w:szCs w:val="20"/>
          <w:color w:val="auto"/>
        </w:rPr>
        <w:tab/>
      </w:r>
      <w:r>
        <w:rPr>
          <w:rFonts w:ascii="Arial" w:cs="Arial" w:eastAsia="Arial" w:hAnsi="Arial"/>
          <w:sz w:val="13"/>
          <w:szCs w:val="13"/>
          <w:color w:val="auto"/>
        </w:rPr>
        <w:t>No___</w:t>
      </w:r>
      <w:r>
        <w:rPr>
          <w:rFonts w:ascii="Arial" w:cs="Arial" w:eastAsia="Arial" w:hAnsi="Arial"/>
          <w:sz w:val="13"/>
          <w:szCs w:val="13"/>
          <w:b w:val="1"/>
          <w:bCs w:val="1"/>
          <w:color w:val="auto"/>
        </w:rPr>
        <w:t>_</w:t>
      </w:r>
      <w:r>
        <w:rPr>
          <w:rFonts w:ascii="Arial" w:cs="Arial" w:eastAsia="Arial" w:hAnsi="Arial"/>
          <w:sz w:val="13"/>
          <w:szCs w:val="13"/>
          <w:color w:val="auto"/>
        </w:rPr>
        <w:t>___</w:t>
      </w:r>
    </w:p>
    <w:p>
      <w:pPr>
        <w:spacing w:after="0" w:line="23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101(b)(1):</w:t>
      </w:r>
    </w:p>
    <w:p>
      <w:pPr>
        <w:spacing w:after="0" w:line="231" w:lineRule="exact"/>
        <w:rPr>
          <w:sz w:val="24"/>
          <w:szCs w:val="24"/>
          <w:color w:val="auto"/>
        </w:rPr>
      </w:pPr>
    </w:p>
    <w:p>
      <w:pPr>
        <w:ind w:left="3700"/>
        <w:spacing w:after="0"/>
        <w:tabs>
          <w:tab w:leader="none" w:pos="6260" w:val="left"/>
        </w:tabs>
        <w:rPr>
          <w:sz w:val="20"/>
          <w:szCs w:val="20"/>
          <w:color w:val="auto"/>
        </w:rPr>
      </w:pPr>
      <w:r>
        <w:rPr>
          <w:rFonts w:ascii="Arial" w:cs="Arial" w:eastAsia="Arial" w:hAnsi="Arial"/>
          <w:sz w:val="14"/>
          <w:szCs w:val="14"/>
          <w:color w:val="auto"/>
        </w:rPr>
        <w:t>Yes______</w:t>
      </w:r>
      <w:r>
        <w:rPr>
          <w:sz w:val="20"/>
          <w:szCs w:val="20"/>
          <w:color w:val="auto"/>
        </w:rPr>
        <w:tab/>
      </w:r>
      <w:r>
        <w:rPr>
          <w:rFonts w:ascii="Arial" w:cs="Arial" w:eastAsia="Arial" w:hAnsi="Arial"/>
          <w:sz w:val="13"/>
          <w:szCs w:val="13"/>
          <w:color w:val="auto"/>
        </w:rPr>
        <w:t>No___X___</w:t>
      </w:r>
    </w:p>
    <w:p>
      <w:pPr>
        <w:spacing w:after="0" w:line="23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101(b)(7):</w:t>
      </w:r>
    </w:p>
    <w:p>
      <w:pPr>
        <w:spacing w:after="0" w:line="231" w:lineRule="exact"/>
        <w:rPr>
          <w:sz w:val="24"/>
          <w:szCs w:val="24"/>
          <w:color w:val="auto"/>
        </w:rPr>
      </w:pPr>
    </w:p>
    <w:p>
      <w:pPr>
        <w:ind w:left="3700"/>
        <w:spacing w:after="0"/>
        <w:tabs>
          <w:tab w:leader="none" w:pos="6260" w:val="left"/>
        </w:tabs>
        <w:rPr>
          <w:sz w:val="20"/>
          <w:szCs w:val="20"/>
          <w:color w:val="auto"/>
        </w:rPr>
      </w:pPr>
      <w:r>
        <w:rPr>
          <w:rFonts w:ascii="Arial" w:cs="Arial" w:eastAsia="Arial" w:hAnsi="Arial"/>
          <w:sz w:val="14"/>
          <w:szCs w:val="14"/>
          <w:color w:val="auto"/>
        </w:rPr>
        <w:t>Yes______</w:t>
      </w:r>
      <w:r>
        <w:rPr>
          <w:sz w:val="20"/>
          <w:szCs w:val="20"/>
          <w:color w:val="auto"/>
        </w:rPr>
        <w:tab/>
      </w:r>
      <w:r>
        <w:rPr>
          <w:rFonts w:ascii="Arial" w:cs="Arial" w:eastAsia="Arial" w:hAnsi="Arial"/>
          <w:sz w:val="13"/>
          <w:szCs w:val="13"/>
          <w:color w:val="auto"/>
        </w:rPr>
        <w:t>No___X___</w:t>
      </w:r>
    </w:p>
    <w:p>
      <w:pPr>
        <w:spacing w:after="0" w:line="231" w:lineRule="exact"/>
        <w:rPr>
          <w:sz w:val="24"/>
          <w:szCs w:val="24"/>
          <w:color w:val="auto"/>
        </w:rPr>
      </w:pPr>
    </w:p>
    <w:p>
      <w:pPr>
        <w:ind w:right="200"/>
        <w:spacing w:after="0" w:line="253" w:lineRule="auto"/>
        <w:rPr>
          <w:sz w:val="20"/>
          <w:szCs w:val="20"/>
          <w:color w:val="auto"/>
        </w:rPr>
      </w:pPr>
      <w:r>
        <w:rPr>
          <w:rFonts w:ascii="Arial" w:cs="Arial" w:eastAsia="Arial" w:hAnsi="Arial"/>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5320" w:type="dxa"/>
            <w:vAlign w:val="bottom"/>
          </w:tcPr>
          <w:p>
            <w:pPr>
              <w:ind w:left="3700"/>
              <w:spacing w:after="0"/>
              <w:rPr>
                <w:sz w:val="20"/>
                <w:szCs w:val="20"/>
                <w:color w:val="auto"/>
              </w:rPr>
            </w:pPr>
            <w:r>
              <w:rPr>
                <w:rFonts w:ascii="Arial" w:cs="Arial" w:eastAsia="Arial" w:hAnsi="Arial"/>
                <w:sz w:val="14"/>
                <w:szCs w:val="14"/>
                <w:color w:val="auto"/>
              </w:rPr>
              <w:t>Yes______</w:t>
            </w:r>
          </w:p>
        </w:tc>
        <w:tc>
          <w:tcPr>
            <w:tcW w:w="6100" w:type="dxa"/>
            <w:vAlign w:val="bottom"/>
            <w:gridSpan w:val="2"/>
          </w:tcPr>
          <w:p>
            <w:pPr>
              <w:ind w:left="960"/>
              <w:spacing w:after="0"/>
              <w:rPr>
                <w:sz w:val="20"/>
                <w:szCs w:val="20"/>
                <w:color w:val="auto"/>
              </w:rPr>
            </w:pPr>
            <w:r>
              <w:rPr>
                <w:rFonts w:ascii="Arial" w:cs="Arial" w:eastAsia="Arial" w:hAnsi="Arial"/>
                <w:sz w:val="14"/>
                <w:szCs w:val="14"/>
                <w:color w:val="auto"/>
              </w:rPr>
              <w:t>No___X___</w:t>
            </w:r>
          </w:p>
        </w:tc>
      </w:tr>
      <w:tr>
        <w:trPr>
          <w:trHeight w:val="392"/>
        </w:trPr>
        <w:tc>
          <w:tcPr>
            <w:tcW w:w="6740" w:type="dxa"/>
            <w:vAlign w:val="bottom"/>
            <w:gridSpan w:val="2"/>
          </w:tcPr>
          <w:p>
            <w:pPr>
              <w:spacing w:after="0"/>
              <w:rPr>
                <w:sz w:val="20"/>
                <w:szCs w:val="20"/>
                <w:color w:val="auto"/>
              </w:rPr>
            </w:pPr>
            <w:r>
              <w:rPr>
                <w:rFonts w:ascii="Arial" w:cs="Arial" w:eastAsia="Arial" w:hAnsi="Arial"/>
                <w:sz w:val="14"/>
                <w:szCs w:val="14"/>
                <w:color w:val="auto"/>
                <w:w w:val="96"/>
              </w:rPr>
              <w:t>If “Yes” is marked, indicate below the file number assigned to the registrant in connection with Rule 12g3-2(b):82</w:t>
            </w:r>
          </w:p>
        </w:tc>
        <w:tc>
          <w:tcPr>
            <w:tcW w:w="4680" w:type="dxa"/>
            <w:vAlign w:val="bottom"/>
          </w:tcPr>
          <w:p>
            <w:pPr>
              <w:ind w:left="140"/>
              <w:spacing w:after="0"/>
              <w:rPr>
                <w:sz w:val="20"/>
                <w:szCs w:val="20"/>
                <w:color w:val="auto"/>
              </w:rPr>
            </w:pPr>
            <w:r>
              <w:rPr>
                <w:rFonts w:ascii="Arial" w:cs="Arial" w:eastAsia="Arial" w:hAnsi="Arial"/>
                <w:sz w:val="14"/>
                <w:szCs w:val="14"/>
                <w:b w:val="1"/>
                <w:bCs w:val="1"/>
                <w:color w:val="auto"/>
              </w:rPr>
              <w:t>N/A</w:t>
            </w:r>
          </w:p>
        </w:tc>
      </w:tr>
      <w:tr>
        <w:trPr>
          <w:trHeight w:val="103"/>
        </w:trPr>
        <w:tc>
          <w:tcPr>
            <w:tcW w:w="532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4680" w:type="dxa"/>
            <w:vAlign w:val="bottom"/>
            <w:tcBorders>
              <w:bottom w:val="single" w:sz="8" w:color="808080"/>
            </w:tcBorders>
          </w:tcPr>
          <w:p>
            <w:pPr>
              <w:spacing w:after="0"/>
              <w:rPr>
                <w:sz w:val="8"/>
                <w:szCs w:val="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1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ICON plc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Quarterly Period Ended September 30, 2008</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300" w:type="dxa"/>
            <w:vAlign w:val="bottom"/>
            <w:gridSpan w:val="2"/>
          </w:tcPr>
          <w:p>
            <w:pPr>
              <w:spacing w:after="0"/>
              <w:rPr>
                <w:sz w:val="20"/>
                <w:szCs w:val="20"/>
                <w:color w:val="auto"/>
              </w:rPr>
            </w:pPr>
            <w:r>
              <w:rPr>
                <w:rFonts w:ascii="Arial" w:cs="Arial" w:eastAsia="Arial" w:hAnsi="Arial"/>
                <w:sz w:val="14"/>
                <w:szCs w:val="14"/>
                <w:b w:val="1"/>
                <w:bCs w:val="1"/>
                <w:color w:val="auto"/>
              </w:rPr>
              <w:t>CONTENTS</w:t>
            </w: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10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w:t>
            </w:r>
          </w:p>
        </w:tc>
        <w:tc>
          <w:tcPr>
            <w:tcW w:w="11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0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Condensed Consolidated Balance Sheets as at September 30, 2008 and December 31, 2007</w:t>
            </w:r>
          </w:p>
        </w:tc>
        <w:tc>
          <w:tcPr>
            <w:tcW w:w="11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0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Condensed Consolidated Statements of Operations for the three and nine months ended September 30, 2008 and the three and nine months ended September 30, 2007</w:t>
            </w:r>
          </w:p>
        </w:tc>
        <w:tc>
          <w:tcPr>
            <w:tcW w:w="11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0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Condensed Consolidated Statements of Cash Flows for the nine months ended September 30, 2008 and the nine months ended September 30, 2007</w:t>
            </w:r>
          </w:p>
        </w:tc>
        <w:tc>
          <w:tcPr>
            <w:tcW w:w="11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0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Condensed Consolidated Statements of Shareholders’ Equity and Comprehensive Income</w:t>
            </w:r>
          </w:p>
        </w:tc>
        <w:tc>
          <w:tcPr>
            <w:tcW w:w="11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0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Notes to the Condensed Consolidated Financial Statements</w:t>
            </w:r>
          </w:p>
        </w:tc>
        <w:tc>
          <w:tcPr>
            <w:tcW w:w="11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0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Management’s Discussion and Analysis of Financial Condition and Results of Operations</w:t>
            </w:r>
          </w:p>
        </w:tc>
        <w:tc>
          <w:tcPr>
            <w:tcW w:w="11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0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Signature Page</w:t>
            </w:r>
          </w:p>
        </w:tc>
        <w:tc>
          <w:tcPr>
            <w:tcW w:w="11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102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4"/>
          <w:szCs w:val="14"/>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5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ICON plc</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As used herein, “ICON”, the “Company” and “we” refer to ICON plc and its consolidated subsidiaries, unless the context requires otherwise.</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As of September 30, 2008, we had approximately 6,570 employees worldwide, with operations in 71 locations in 38 countries, including the United States and major markets in Europe and Rest of World. For the nine months ended September 30, 2008 we derived approximately 44.4%, 47.4%, and 8.2% of our net revenue in the United States, Europe and Rest of World,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Headquartered in Dublin, Ireland, we began operations in 1990 and have expanded our business through internal growth and strategic acquisitions.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Developments</w:t>
      </w:r>
    </w:p>
    <w:p>
      <w:pPr>
        <w:spacing w:after="0" w:line="235"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On July 21, 2008, the Company’s shareholders approved a bonus issue of ordinary shares (the “Bonus Issue”) to shareholders of record as of the close of business on August 8, 2008 (the “Record Date”). The Bonus Issue provided for each shareholder to receive one bonus ordinary share for each ordinary share held as of the Record Date, effecting the equivalent of a 2-for-1 stock split. The Bonus shares were issued on August 11, 2008, to Ordinary Shareholders and on August 12, 2008, to holders of American Depositary Shares (“ADSs”). NASDAQ adjusted the trading price of ICON's ADSs to effect the Bonus Issue prior to the opening of trading on August 13, 2008. All outstanding ordinary share amounts referenced in the following unaudited condensed consolidated financial statements and the notes thereto give effect to the Bonus Issue as if had occurred as of the date referenced.</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On February 11, 2008, the Company acquired 100% of the common stock of Healthcare Discoveries Inc. (“Healthcare Discoveries”) for an initial cash consideration of approximately $11.1 million, excluding costs of acquisition. Healthcare Discoveries, located in San Antonio, Texas, USA, is engaged in the provision of Phase I clinical trials management activities. Further consideration of up to $10.0 million may become payable during the year ended December 31, 2008, if certain performance milestones are achieved.</w:t>
      </w:r>
    </w:p>
    <w:p>
      <w:pPr>
        <w:spacing w:after="0" w:line="210" w:lineRule="exact"/>
        <w:rPr>
          <w:sz w:val="20"/>
          <w:szCs w:val="20"/>
          <w:color w:val="auto"/>
        </w:rPr>
      </w:pPr>
    </w:p>
    <w:p>
      <w:pPr>
        <w:jc w:val="both"/>
        <w:spacing w:after="0" w:line="291" w:lineRule="auto"/>
        <w:rPr>
          <w:sz w:val="20"/>
          <w:szCs w:val="20"/>
          <w:color w:val="auto"/>
        </w:rPr>
      </w:pPr>
      <w:r>
        <w:rPr>
          <w:rFonts w:ascii="Arial" w:cs="Arial" w:eastAsia="Arial" w:hAnsi="Arial"/>
          <w:sz w:val="13"/>
          <w:szCs w:val="13"/>
          <w:color w:val="auto"/>
        </w:rPr>
        <w:t>On February 4, 2008, an uncommitted credit facility was negotiated with Citibank N.A, for $30 million. Interest is calculated at the London Interbank Market rate plus a margin. $12.0 million of this facility was drawn down in February 2008, primarily to fund the acquisition of Healthcare Discoveries. On September 30, 2008, the $12.0 million previously drawn down was repaid in full.</w:t>
      </w:r>
    </w:p>
    <w:p>
      <w:pPr>
        <w:spacing w:after="0" w:line="178"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On July 9, 2007, ICON plc entered into a five year committed multi-currency facility agreement for €35 million ($49.4 million) with The Governor and Company of the Bank of Ireland. The facility bears interest at an annual rate equal to the reference rate of EURIBOR plus a margin. Our obligations under the facility are secured by certain composite guarantees and indemnities and pledges in favour of the bank. On July 10, 2007, the Company drew down €29.5 million ($41.6 million) of the facility to fund the acquisition of DOCS International. On October 15, 2007, the remaining €5.5 million ($7.8 million) of the facility was drawn down to cover expenditure on the expansion on the facility in Dublin, Republic of Ireland.</w:t>
      </w:r>
    </w:p>
    <w:p>
      <w:pPr>
        <w:spacing w:after="0" w:line="209"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On October 17, 2007, an uncommitted credit facility was negotiated with Allied Irish Banks plc, for €30 million ($42.3 million). Interest is calculated at the EUR Interbank rate plus a margin. The facility is secured by the same composite guarantees and indemnities in place for the Bank of Ireland committed facility. On December 31, 2007, this facility was fully drawn. The funds were used to refinance overdraft facilities in place to fund expenditure on the Dublin facility. On January 8, 2008, the facility with Allied Irish Banks plc was increased to €50 million ($70.5 million). All terms of this facility remain the same. On September 30, 2008, €21.4 million ($30.2 million) of this facility was drawn. The facility is due to be reviewed on October 31, 2008.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ICON plc</w:t>
      </w:r>
    </w:p>
    <w:p>
      <w:pPr>
        <w:jc w:val="center"/>
        <w:spacing w:after="0" w:line="225" w:lineRule="auto"/>
        <w:rPr>
          <w:sz w:val="20"/>
          <w:szCs w:val="20"/>
          <w:color w:val="auto"/>
        </w:rPr>
      </w:pPr>
      <w:r>
        <w:rPr>
          <w:rFonts w:ascii="Arial" w:cs="Arial" w:eastAsia="Arial" w:hAnsi="Arial"/>
          <w:sz w:val="14"/>
          <w:szCs w:val="14"/>
          <w:b w:val="1"/>
          <w:bCs w:val="1"/>
          <w:color w:val="auto"/>
        </w:rPr>
        <w:t>CONDENSED CONSOLIDATED BALANCE SHEETS</w:t>
      </w:r>
    </w:p>
    <w:p>
      <w:pPr>
        <w:jc w:val="center"/>
        <w:spacing w:after="0"/>
        <w:rPr>
          <w:sz w:val="20"/>
          <w:szCs w:val="20"/>
          <w:color w:val="auto"/>
        </w:rPr>
      </w:pPr>
      <w:r>
        <w:rPr>
          <w:rFonts w:ascii="Arial" w:cs="Arial" w:eastAsia="Arial" w:hAnsi="Arial"/>
          <w:sz w:val="14"/>
          <w:szCs w:val="14"/>
          <w:b w:val="1"/>
          <w:bCs w:val="1"/>
          <w:color w:val="auto"/>
        </w:rPr>
        <w:t>AS AT SEPTEMBER 30, 2008 AND DECEMBER 31, 2007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3"/>
          </w:tcPr>
          <w:p>
            <w:pPr>
              <w:jc w:val="right"/>
              <w:ind w:right="100"/>
              <w:spacing w:after="0" w:line="158"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71"/>
              </w:rPr>
              <w:t>thousands)</w:t>
            </w:r>
          </w:p>
        </w:tc>
        <w:tc>
          <w:tcPr>
            <w:tcW w:w="8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(in</w:t>
            </w:r>
          </w:p>
        </w:tc>
        <w:tc>
          <w:tcPr>
            <w:tcW w:w="86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2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568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2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Cash and cash equivalents</w:t>
            </w:r>
          </w:p>
        </w:tc>
        <w:tc>
          <w:tcPr>
            <w:tcW w:w="2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92,428</w:t>
            </w:r>
          </w:p>
        </w:tc>
        <w:tc>
          <w:tcPr>
            <w:tcW w:w="860" w:type="dxa"/>
            <w:vAlign w:val="bottom"/>
            <w:gridSpan w:val="2"/>
            <w:shd w:val="clear" w:color="auto" w:fill="CCEEFF"/>
          </w:tcPr>
          <w:p>
            <w:pPr>
              <w:jc w:val="center"/>
              <w:ind w:right="3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76,881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Short term investments - available for sale</w:t>
            </w:r>
          </w:p>
        </w:tc>
        <w:tc>
          <w:tcPr>
            <w:tcW w:w="2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42,726</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41,752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2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179,553</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129,865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Unbilled revenue</w:t>
            </w:r>
          </w:p>
        </w:tc>
        <w:tc>
          <w:tcPr>
            <w:tcW w:w="2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138,864</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144,661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 receivables</w:t>
            </w:r>
          </w:p>
        </w:tc>
        <w:tc>
          <w:tcPr>
            <w:tcW w:w="2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13,243</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Deferred tax asset</w:t>
            </w:r>
          </w:p>
        </w:tc>
        <w:tc>
          <w:tcPr>
            <w:tcW w:w="2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6,342</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4,919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Prepayments and other current assets</w:t>
            </w:r>
          </w:p>
        </w:tc>
        <w:tc>
          <w:tcPr>
            <w:tcW w:w="2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21,624</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16,449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Income taxes receivable</w:t>
            </w:r>
          </w:p>
        </w:tc>
        <w:tc>
          <w:tcPr>
            <w:tcW w:w="24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685</w:t>
            </w:r>
          </w:p>
        </w:tc>
        <w:tc>
          <w:tcPr>
            <w:tcW w:w="2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2,448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Total current assets</w:t>
            </w:r>
          </w:p>
        </w:tc>
        <w:tc>
          <w:tcPr>
            <w:tcW w:w="2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495,465</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423,146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2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Property, plant and equipment, net</w:t>
            </w:r>
          </w:p>
        </w:tc>
        <w:tc>
          <w:tcPr>
            <w:tcW w:w="2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165,227</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133,426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Goodwill</w:t>
            </w:r>
          </w:p>
        </w:tc>
        <w:tc>
          <w:tcPr>
            <w:tcW w:w="2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130,318</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123,879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Non-current other assets</w:t>
            </w:r>
          </w:p>
        </w:tc>
        <w:tc>
          <w:tcPr>
            <w:tcW w:w="2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2,288</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Non-current income taxes receivable</w:t>
            </w:r>
          </w:p>
        </w:tc>
        <w:tc>
          <w:tcPr>
            <w:tcW w:w="2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4,552</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3,049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Non-current deferred tax asset</w:t>
            </w:r>
          </w:p>
        </w:tc>
        <w:tc>
          <w:tcPr>
            <w:tcW w:w="2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7,499</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5,703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Intangible asset</w:t>
            </w:r>
          </w:p>
        </w:tc>
        <w:tc>
          <w:tcPr>
            <w:tcW w:w="24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3,307</w:t>
            </w:r>
          </w:p>
        </w:tc>
        <w:tc>
          <w:tcPr>
            <w:tcW w:w="2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1,795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2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808,656</w:t>
            </w:r>
          </w:p>
        </w:tc>
        <w:tc>
          <w:tcPr>
            <w:tcW w:w="860" w:type="dxa"/>
            <w:vAlign w:val="bottom"/>
            <w:gridSpan w:val="2"/>
            <w:shd w:val="clear" w:color="auto" w:fill="CCEEFF"/>
          </w:tcPr>
          <w:p>
            <w:pPr>
              <w:jc w:val="center"/>
              <w:ind w:right="3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693,138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Borders>
              <w:top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LIABILITIES AND SHAREHOLDERS’ EQUITY</w:t>
            </w:r>
          </w:p>
        </w:tc>
        <w:tc>
          <w:tcPr>
            <w:tcW w:w="2440" w:type="dxa"/>
            <w:vAlign w:val="bottom"/>
            <w:tcBorders>
              <w:top w:val="single" w:sz="8" w:color="CCEEFF"/>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2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Accounts payable</w:t>
            </w:r>
          </w:p>
        </w:tc>
        <w:tc>
          <w:tcPr>
            <w:tcW w:w="2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12,344</w:t>
            </w: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13,459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Payments on account</w:t>
            </w:r>
          </w:p>
        </w:tc>
        <w:tc>
          <w:tcPr>
            <w:tcW w:w="2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129,030</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96,553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Other liabilities</w:t>
            </w:r>
          </w:p>
        </w:tc>
        <w:tc>
          <w:tcPr>
            <w:tcW w:w="2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101,315</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70,743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Deferred tax liability</w:t>
            </w:r>
          </w:p>
        </w:tc>
        <w:tc>
          <w:tcPr>
            <w:tcW w:w="2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789</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Bank credit lines and loan facilities</w:t>
            </w:r>
          </w:p>
        </w:tc>
        <w:tc>
          <w:tcPr>
            <w:tcW w:w="2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42,524</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43,767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tcBorders>
              <w:bottom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taxes payable</w:t>
            </w:r>
          </w:p>
        </w:tc>
        <w:tc>
          <w:tcPr>
            <w:tcW w:w="244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4,708</w:t>
            </w:r>
          </w:p>
        </w:tc>
        <w:tc>
          <w:tcPr>
            <w:tcW w:w="2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4,955</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00"/>
              <w:spacing w:after="0" w:line="149" w:lineRule="exact"/>
              <w:rPr>
                <w:sz w:val="20"/>
                <w:szCs w:val="20"/>
                <w:color w:val="auto"/>
              </w:rPr>
            </w:pPr>
            <w:r>
              <w:rPr>
                <w:rFonts w:ascii="Arial" w:cs="Arial" w:eastAsia="Arial" w:hAnsi="Arial"/>
                <w:sz w:val="14"/>
                <w:szCs w:val="14"/>
                <w:color w:val="auto"/>
              </w:rPr>
              <w:t>Total current liabilities</w:t>
            </w:r>
          </w:p>
        </w:tc>
        <w:tc>
          <w:tcPr>
            <w:tcW w:w="2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290,710</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229,875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2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Long term government grants</w:t>
            </w:r>
          </w:p>
        </w:tc>
        <w:tc>
          <w:tcPr>
            <w:tcW w:w="2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1,456</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Long term finance leases</w:t>
            </w:r>
          </w:p>
        </w:tc>
        <w:tc>
          <w:tcPr>
            <w:tcW w:w="2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546</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Non-current income taxes payable</w:t>
            </w:r>
          </w:p>
        </w:tc>
        <w:tc>
          <w:tcPr>
            <w:tcW w:w="2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14,737</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13,906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Non-current deferred tax liability</w:t>
            </w:r>
          </w:p>
        </w:tc>
        <w:tc>
          <w:tcPr>
            <w:tcW w:w="2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8,466</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Non-current other liabilities</w:t>
            </w:r>
          </w:p>
        </w:tc>
        <w:tc>
          <w:tcPr>
            <w:tcW w:w="2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1,626</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1,394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Non-current bank credit lines &amp; loan facilities</w:t>
            </w:r>
          </w:p>
        </w:tc>
        <w:tc>
          <w:tcPr>
            <w:tcW w:w="2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37,023</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51,062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Minority interest</w:t>
            </w:r>
          </w:p>
        </w:tc>
        <w:tc>
          <w:tcPr>
            <w:tcW w:w="2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2,015</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1,307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Shareholders' Equity:</w:t>
            </w:r>
          </w:p>
        </w:tc>
        <w:tc>
          <w:tcPr>
            <w:tcW w:w="2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Ordinary shares, par value 6 euro cents per share; 100,000,000 shares authorized,</w:t>
            </w:r>
          </w:p>
        </w:tc>
        <w:tc>
          <w:tcPr>
            <w:tcW w:w="2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58,500,155 shares issued and outstanding at September 30, 2008 and</w:t>
            </w:r>
          </w:p>
        </w:tc>
        <w:tc>
          <w:tcPr>
            <w:tcW w:w="2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57,670,488 shares issued and outstanding at December 31, 2007</w:t>
            </w:r>
          </w:p>
        </w:tc>
        <w:tc>
          <w:tcPr>
            <w:tcW w:w="2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4,918</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4,843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Additional paid-in capital</w:t>
            </w:r>
          </w:p>
        </w:tc>
        <w:tc>
          <w:tcPr>
            <w:tcW w:w="2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160,244</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143,639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Accumulated other comprehensive income</w:t>
            </w:r>
          </w:p>
        </w:tc>
        <w:tc>
          <w:tcPr>
            <w:tcW w:w="2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21,730</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31,828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tcBorders>
              <w:bottom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Retained earnings</w:t>
            </w:r>
          </w:p>
        </w:tc>
        <w:tc>
          <w:tcPr>
            <w:tcW w:w="244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265,185</w:t>
            </w:r>
          </w:p>
        </w:tc>
        <w:tc>
          <w:tcPr>
            <w:tcW w:w="2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208,090</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Total Shareholders' Equity</w:t>
            </w:r>
          </w:p>
        </w:tc>
        <w:tc>
          <w:tcPr>
            <w:tcW w:w="2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452,077</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388,400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6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Total Liabilities and Shareholders' Equity</w:t>
            </w:r>
          </w:p>
        </w:tc>
        <w:tc>
          <w:tcPr>
            <w:tcW w:w="2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808,656</w:t>
            </w: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693,138</w:t>
            </w:r>
          </w:p>
        </w:tc>
        <w:tc>
          <w:tcPr>
            <w:tcW w:w="0" w:type="dxa"/>
            <w:vAlign w:val="bottom"/>
          </w:tcPr>
          <w:p>
            <w:pPr>
              <w:spacing w:after="0"/>
              <w:rPr>
                <w:sz w:val="1"/>
                <w:szCs w:val="1"/>
                <w:color w:val="auto"/>
              </w:rPr>
            </w:pPr>
          </w:p>
        </w:tc>
      </w:tr>
      <w:tr>
        <w:trPr>
          <w:trHeight w:val="21"/>
        </w:trPr>
        <w:tc>
          <w:tcPr>
            <w:tcW w:w="5680" w:type="dxa"/>
            <w:vAlign w:val="bottom"/>
            <w:gridSpan w:val="2"/>
            <w:vMerge w:val="restart"/>
          </w:tcPr>
          <w:p>
            <w:pPr>
              <w:spacing w:after="0"/>
              <w:rPr>
                <w:sz w:val="20"/>
                <w:szCs w:val="20"/>
                <w:color w:val="auto"/>
              </w:rPr>
            </w:pPr>
            <w:r>
              <w:rPr>
                <w:rFonts w:ascii="Arial" w:cs="Arial" w:eastAsia="Arial" w:hAnsi="Arial"/>
                <w:sz w:val="14"/>
                <w:szCs w:val="14"/>
                <w:color w:val="auto"/>
                <w:w w:val="91"/>
              </w:rPr>
              <w:t>The accompanying notes are an integral part of these condensed consolidated financial statements.</w:t>
            </w:r>
          </w:p>
        </w:tc>
        <w:tc>
          <w:tcPr>
            <w:tcW w:w="2440" w:type="dxa"/>
            <w:vAlign w:val="bottom"/>
            <w:vMerge w:val="restart"/>
          </w:tcPr>
          <w:p>
            <w:pPr>
              <w:jc w:val="right"/>
              <w:ind w:right="2312"/>
              <w:spacing w:after="0"/>
              <w:rPr>
                <w:sz w:val="20"/>
                <w:szCs w:val="20"/>
                <w:color w:val="auto"/>
              </w:rPr>
            </w:pPr>
            <w:r>
              <w:rPr>
                <w:rFonts w:ascii="Arial" w:cs="Arial" w:eastAsia="Arial" w:hAnsi="Arial"/>
                <w:sz w:val="10"/>
                <w:szCs w:val="10"/>
                <w:color w:val="auto"/>
                <w:w w:val="71"/>
              </w:rPr>
              <w:t>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5680" w:type="dxa"/>
            <w:vAlign w:val="bottom"/>
            <w:gridSpan w:val="2"/>
            <w:vMerge w:val="continue"/>
          </w:tcPr>
          <w:p>
            <w:pPr>
              <w:spacing w:after="0"/>
              <w:rPr>
                <w:sz w:val="13"/>
                <w:szCs w:val="13"/>
                <w:color w:val="auto"/>
              </w:rPr>
            </w:pPr>
          </w:p>
        </w:tc>
        <w:tc>
          <w:tcPr>
            <w:tcW w:w="24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4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660" w:type="dxa"/>
            <w:vAlign w:val="bottom"/>
            <w:tcBorders>
              <w:bottom w:val="single" w:sz="8" w:color="808080"/>
            </w:tcBorders>
          </w:tcPr>
          <w:p>
            <w:pPr>
              <w:spacing w:after="0"/>
              <w:rPr>
                <w:sz w:val="8"/>
                <w:szCs w:val="8"/>
                <w:color w:val="auto"/>
              </w:rPr>
            </w:pPr>
          </w:p>
        </w:tc>
        <w:tc>
          <w:tcPr>
            <w:tcW w:w="24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ICON plc</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OPERATIONS FOR THE THREE AND NINE MONTHS ENDED SEPTEMBER 30, 2008 AND SEPTEMBER 30, 2007 (UNAUDITED)</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60" w:type="dxa"/>
            <w:vAlign w:val="bottom"/>
            <w:gridSpan w:val="5"/>
          </w:tcPr>
          <w:p>
            <w:pPr>
              <w:jc w:val="right"/>
              <w:ind w:right="1043"/>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27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240"/>
              <w:spacing w:after="0" w:line="126" w:lineRule="exact"/>
              <w:rPr>
                <w:sz w:val="20"/>
                <w:szCs w:val="20"/>
                <w:color w:val="auto"/>
              </w:rPr>
            </w:pPr>
            <w:r>
              <w:rPr>
                <w:rFonts w:ascii="Arial" w:cs="Arial" w:eastAsia="Arial" w:hAnsi="Arial"/>
                <w:sz w:val="14"/>
                <w:szCs w:val="14"/>
                <w:b w:val="1"/>
                <w:bCs w:val="1"/>
                <w:color w:val="auto"/>
              </w:rPr>
              <w:t>September 30,</w:t>
            </w:r>
          </w:p>
        </w:tc>
        <w:tc>
          <w:tcPr>
            <w:tcW w:w="2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right"/>
              <w:ind w:right="220"/>
              <w:spacing w:after="0" w:line="126" w:lineRule="exact"/>
              <w:rPr>
                <w:sz w:val="20"/>
                <w:szCs w:val="20"/>
                <w:color w:val="auto"/>
              </w:rPr>
            </w:pPr>
            <w:r>
              <w:rPr>
                <w:rFonts w:ascii="Arial" w:cs="Arial" w:eastAsia="Arial" w:hAnsi="Arial"/>
                <w:sz w:val="14"/>
                <w:szCs w:val="14"/>
                <w:b w:val="1"/>
                <w:bCs w:val="1"/>
                <w:color w:val="auto"/>
              </w:rPr>
              <w:t>September 30,</w:t>
            </w:r>
          </w:p>
        </w:tc>
        <w:tc>
          <w:tcPr>
            <w:tcW w:w="2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tcPr>
          <w:p>
            <w:pPr>
              <w:jc w:val="right"/>
              <w:ind w:right="183"/>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86"/>
        </w:trPr>
        <w:tc>
          <w:tcPr>
            <w:tcW w:w="5160" w:type="dxa"/>
            <w:vAlign w:val="bottom"/>
            <w:gridSpan w:val="2"/>
            <w:vMerge w:val="restart"/>
          </w:tcPr>
          <w:p>
            <w:pPr>
              <w:spacing w:after="0"/>
              <w:rPr>
                <w:sz w:val="20"/>
                <w:szCs w:val="20"/>
                <w:color w:val="auto"/>
              </w:rPr>
            </w:pPr>
            <w:r>
              <w:rPr>
                <w:rFonts w:ascii="Arial" w:cs="Arial" w:eastAsia="Arial" w:hAnsi="Arial"/>
                <w:sz w:val="14"/>
                <w:szCs w:val="14"/>
                <w:color w:val="auto"/>
              </w:rPr>
              <w:t>Revenue:</w:t>
            </w: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w w:val="89"/>
              </w:rPr>
              <w:t>(in thousands except</w:t>
            </w:r>
          </w:p>
        </w:tc>
        <w:tc>
          <w:tcPr>
            <w:tcW w:w="240" w:type="dxa"/>
            <w:vAlign w:val="bottom"/>
          </w:tcPr>
          <w:p>
            <w:pPr>
              <w:jc w:val="right"/>
              <w:spacing w:after="0"/>
              <w:rPr>
                <w:sz w:val="20"/>
                <w:szCs w:val="20"/>
                <w:color w:val="auto"/>
              </w:rPr>
            </w:pPr>
            <w:r>
              <w:rPr>
                <w:rFonts w:ascii="Arial" w:cs="Arial" w:eastAsia="Arial" w:hAnsi="Arial"/>
                <w:sz w:val="11"/>
                <w:szCs w:val="11"/>
                <w:b w:val="1"/>
                <w:bCs w:val="1"/>
                <w:color w:val="auto"/>
                <w:w w:val="74"/>
              </w:rPr>
              <w:t>share</w:t>
            </w:r>
          </w:p>
        </w:tc>
        <w:tc>
          <w:tcPr>
            <w:tcW w:w="13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7"/>
              </w:rPr>
              <w:t>and per share data)</w:t>
            </w:r>
          </w:p>
        </w:tc>
        <w:tc>
          <w:tcPr>
            <w:tcW w:w="2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5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revenue</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313,637</w:t>
            </w:r>
          </w:p>
        </w:tc>
        <w:tc>
          <w:tcPr>
            <w:tcW w:w="280" w:type="dxa"/>
            <w:vAlign w:val="bottom"/>
            <w:shd w:val="clear" w:color="auto" w:fill="CCEEFF"/>
          </w:tcPr>
          <w:p>
            <w:pPr>
              <w:jc w:val="right"/>
              <w:ind w:right="164"/>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183"/>
              <w:spacing w:after="0" w:line="149" w:lineRule="exact"/>
              <w:rPr>
                <w:sz w:val="20"/>
                <w:szCs w:val="20"/>
                <w:color w:val="auto"/>
              </w:rPr>
            </w:pPr>
            <w:r>
              <w:rPr>
                <w:rFonts w:ascii="Arial" w:cs="Arial" w:eastAsia="Arial" w:hAnsi="Arial"/>
                <w:sz w:val="14"/>
                <w:szCs w:val="14"/>
                <w:color w:val="auto"/>
              </w:rPr>
              <w:t>231,819</w:t>
            </w:r>
          </w:p>
        </w:tc>
        <w:tc>
          <w:tcPr>
            <w:tcW w:w="260" w:type="dxa"/>
            <w:vAlign w:val="bottom"/>
            <w:shd w:val="clear" w:color="auto" w:fill="CCEEFF"/>
          </w:tcPr>
          <w:p>
            <w:pPr>
              <w:jc w:val="right"/>
              <w:ind w:right="144"/>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914,082</w:t>
            </w:r>
          </w:p>
        </w:tc>
        <w:tc>
          <w:tcPr>
            <w:tcW w:w="2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625,942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Subcontractor costs</w:t>
            </w:r>
          </w:p>
        </w:tc>
        <w:tc>
          <w:tcPr>
            <w:tcW w:w="280" w:type="dxa"/>
            <w:vAlign w:val="bottom"/>
          </w:tcPr>
          <w:p>
            <w:pPr>
              <w:spacing w:after="0"/>
              <w:rPr>
                <w:sz w:val="13"/>
                <w:szCs w:val="13"/>
                <w:color w:val="auto"/>
              </w:rPr>
            </w:pP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(88,126)</w:t>
            </w:r>
          </w:p>
        </w:tc>
        <w:tc>
          <w:tcPr>
            <w:tcW w:w="280" w:type="dxa"/>
            <w:vAlign w:val="bottom"/>
          </w:tcPr>
          <w:p>
            <w:pPr>
              <w:spacing w:after="0"/>
              <w:rPr>
                <w:sz w:val="13"/>
                <w:szCs w:val="13"/>
                <w:color w:val="auto"/>
              </w:rPr>
            </w:pPr>
          </w:p>
        </w:tc>
        <w:tc>
          <w:tcPr>
            <w:tcW w:w="1340" w:type="dxa"/>
            <w:vAlign w:val="bottom"/>
            <w:gridSpan w:val="2"/>
          </w:tcPr>
          <w:p>
            <w:pPr>
              <w:jc w:val="right"/>
              <w:ind w:right="143"/>
              <w:spacing w:after="0" w:line="149" w:lineRule="exact"/>
              <w:rPr>
                <w:sz w:val="20"/>
                <w:szCs w:val="20"/>
                <w:color w:val="auto"/>
              </w:rPr>
            </w:pPr>
            <w:r>
              <w:rPr>
                <w:rFonts w:ascii="Arial" w:cs="Arial" w:eastAsia="Arial" w:hAnsi="Arial"/>
                <w:sz w:val="14"/>
                <w:szCs w:val="14"/>
                <w:color w:val="auto"/>
              </w:rPr>
              <w:t>(64,903)</w:t>
            </w:r>
          </w:p>
        </w:tc>
        <w:tc>
          <w:tcPr>
            <w:tcW w:w="260" w:type="dxa"/>
            <w:vAlign w:val="bottom"/>
          </w:tcPr>
          <w:p>
            <w:pPr>
              <w:spacing w:after="0"/>
              <w:rPr>
                <w:sz w:val="13"/>
                <w:szCs w:val="13"/>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(268,927)</w:t>
            </w:r>
          </w:p>
        </w:tc>
        <w:tc>
          <w:tcPr>
            <w:tcW w:w="280" w:type="dxa"/>
            <w:vAlign w:val="bottom"/>
          </w:tcPr>
          <w:p>
            <w:pPr>
              <w:spacing w:after="0"/>
              <w:rPr>
                <w:sz w:val="13"/>
                <w:szCs w:val="13"/>
                <w:color w:val="auto"/>
              </w:rPr>
            </w:pP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(175,890)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Net revenue</w:t>
            </w:r>
          </w:p>
        </w:tc>
        <w:tc>
          <w:tcPr>
            <w:tcW w:w="28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225,511</w:t>
            </w:r>
          </w:p>
        </w:tc>
        <w:tc>
          <w:tcPr>
            <w:tcW w:w="280" w:type="dxa"/>
            <w:vAlign w:val="bottom"/>
          </w:tcPr>
          <w:p>
            <w:pPr>
              <w:spacing w:after="0"/>
              <w:rPr>
                <w:sz w:val="12"/>
                <w:szCs w:val="12"/>
                <w:color w:val="auto"/>
              </w:rPr>
            </w:pPr>
          </w:p>
        </w:tc>
        <w:tc>
          <w:tcPr>
            <w:tcW w:w="1340" w:type="dxa"/>
            <w:vAlign w:val="bottom"/>
            <w:gridSpan w:val="2"/>
          </w:tcPr>
          <w:p>
            <w:pPr>
              <w:jc w:val="right"/>
              <w:ind w:right="183"/>
              <w:spacing w:after="0" w:line="149" w:lineRule="exact"/>
              <w:rPr>
                <w:sz w:val="20"/>
                <w:szCs w:val="20"/>
                <w:color w:val="auto"/>
              </w:rPr>
            </w:pPr>
            <w:r>
              <w:rPr>
                <w:rFonts w:ascii="Arial" w:cs="Arial" w:eastAsia="Arial" w:hAnsi="Arial"/>
                <w:sz w:val="14"/>
                <w:szCs w:val="14"/>
                <w:color w:val="auto"/>
              </w:rPr>
              <w:t>166,916</w:t>
            </w:r>
          </w:p>
        </w:tc>
        <w:tc>
          <w:tcPr>
            <w:tcW w:w="260" w:type="dxa"/>
            <w:vAlign w:val="bottom"/>
          </w:tcPr>
          <w:p>
            <w:pPr>
              <w:spacing w:after="0"/>
              <w:rPr>
                <w:sz w:val="12"/>
                <w:szCs w:val="12"/>
                <w:color w:val="auto"/>
              </w:rPr>
            </w:pP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645,155</w:t>
            </w:r>
          </w:p>
        </w:tc>
        <w:tc>
          <w:tcPr>
            <w:tcW w:w="28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450,052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2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127,948</w:t>
            </w:r>
          </w:p>
        </w:tc>
        <w:tc>
          <w:tcPr>
            <w:tcW w:w="2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3"/>
              <w:spacing w:after="0" w:line="149" w:lineRule="exact"/>
              <w:rPr>
                <w:sz w:val="20"/>
                <w:szCs w:val="20"/>
                <w:color w:val="auto"/>
              </w:rPr>
            </w:pPr>
            <w:r>
              <w:rPr>
                <w:rFonts w:ascii="Arial" w:cs="Arial" w:eastAsia="Arial" w:hAnsi="Arial"/>
                <w:sz w:val="14"/>
                <w:szCs w:val="14"/>
                <w:color w:val="auto"/>
              </w:rPr>
              <w:t>91,675</w:t>
            </w:r>
          </w:p>
        </w:tc>
        <w:tc>
          <w:tcPr>
            <w:tcW w:w="2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364,113</w:t>
            </w: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254,107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 expense</w:t>
            </w:r>
          </w:p>
        </w:tc>
        <w:tc>
          <w:tcPr>
            <w:tcW w:w="28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62,494</w:t>
            </w:r>
          </w:p>
        </w:tc>
        <w:tc>
          <w:tcPr>
            <w:tcW w:w="280" w:type="dxa"/>
            <w:vAlign w:val="bottom"/>
          </w:tcPr>
          <w:p>
            <w:pPr>
              <w:spacing w:after="0"/>
              <w:rPr>
                <w:sz w:val="12"/>
                <w:szCs w:val="12"/>
                <w:color w:val="auto"/>
              </w:rPr>
            </w:pPr>
          </w:p>
        </w:tc>
        <w:tc>
          <w:tcPr>
            <w:tcW w:w="1340" w:type="dxa"/>
            <w:vAlign w:val="bottom"/>
            <w:gridSpan w:val="2"/>
          </w:tcPr>
          <w:p>
            <w:pPr>
              <w:jc w:val="right"/>
              <w:ind w:right="183"/>
              <w:spacing w:after="0" w:line="149" w:lineRule="exact"/>
              <w:rPr>
                <w:sz w:val="20"/>
                <w:szCs w:val="20"/>
                <w:color w:val="auto"/>
              </w:rPr>
            </w:pPr>
            <w:r>
              <w:rPr>
                <w:rFonts w:ascii="Arial" w:cs="Arial" w:eastAsia="Arial" w:hAnsi="Arial"/>
                <w:sz w:val="14"/>
                <w:szCs w:val="14"/>
                <w:color w:val="auto"/>
              </w:rPr>
              <w:t>51,518</w:t>
            </w:r>
          </w:p>
        </w:tc>
        <w:tc>
          <w:tcPr>
            <w:tcW w:w="260" w:type="dxa"/>
            <w:vAlign w:val="bottom"/>
          </w:tcPr>
          <w:p>
            <w:pPr>
              <w:spacing w:after="0"/>
              <w:rPr>
                <w:sz w:val="12"/>
                <w:szCs w:val="12"/>
                <w:color w:val="auto"/>
              </w:rPr>
            </w:pP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187,328</w:t>
            </w:r>
          </w:p>
        </w:tc>
        <w:tc>
          <w:tcPr>
            <w:tcW w:w="28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132,864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7,937</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5,020</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20,676</w:t>
            </w:r>
          </w:p>
        </w:tc>
        <w:tc>
          <w:tcPr>
            <w:tcW w:w="2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13,626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Total costs and expenses</w:t>
            </w:r>
          </w:p>
        </w:tc>
        <w:tc>
          <w:tcPr>
            <w:tcW w:w="280" w:type="dxa"/>
            <w:vAlign w:val="bottom"/>
          </w:tcPr>
          <w:p>
            <w:pPr>
              <w:spacing w:after="0"/>
              <w:rPr>
                <w:sz w:val="13"/>
                <w:szCs w:val="13"/>
                <w:color w:val="auto"/>
              </w:rPr>
            </w:pP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198,379</w:t>
            </w:r>
          </w:p>
        </w:tc>
        <w:tc>
          <w:tcPr>
            <w:tcW w:w="280" w:type="dxa"/>
            <w:vAlign w:val="bottom"/>
          </w:tcPr>
          <w:p>
            <w:pPr>
              <w:spacing w:after="0"/>
              <w:rPr>
                <w:sz w:val="13"/>
                <w:szCs w:val="13"/>
                <w:color w:val="auto"/>
              </w:rPr>
            </w:pPr>
          </w:p>
        </w:tc>
        <w:tc>
          <w:tcPr>
            <w:tcW w:w="1340" w:type="dxa"/>
            <w:vAlign w:val="bottom"/>
            <w:gridSpan w:val="2"/>
          </w:tcPr>
          <w:p>
            <w:pPr>
              <w:jc w:val="right"/>
              <w:ind w:right="183"/>
              <w:spacing w:after="0" w:line="149" w:lineRule="exact"/>
              <w:rPr>
                <w:sz w:val="20"/>
                <w:szCs w:val="20"/>
                <w:color w:val="auto"/>
              </w:rPr>
            </w:pPr>
            <w:r>
              <w:rPr>
                <w:rFonts w:ascii="Arial" w:cs="Arial" w:eastAsia="Arial" w:hAnsi="Arial"/>
                <w:sz w:val="14"/>
                <w:szCs w:val="14"/>
                <w:color w:val="auto"/>
              </w:rPr>
              <w:t>148,213</w:t>
            </w:r>
          </w:p>
        </w:tc>
        <w:tc>
          <w:tcPr>
            <w:tcW w:w="260" w:type="dxa"/>
            <w:vAlign w:val="bottom"/>
          </w:tcPr>
          <w:p>
            <w:pPr>
              <w:spacing w:after="0"/>
              <w:rPr>
                <w:sz w:val="13"/>
                <w:szCs w:val="13"/>
                <w:color w:val="auto"/>
              </w:rPr>
            </w:pP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572,117</w:t>
            </w:r>
          </w:p>
        </w:tc>
        <w:tc>
          <w:tcPr>
            <w:tcW w:w="280" w:type="dxa"/>
            <w:vAlign w:val="bottom"/>
          </w:tcPr>
          <w:p>
            <w:pPr>
              <w:spacing w:after="0"/>
              <w:rPr>
                <w:sz w:val="13"/>
                <w:szCs w:val="13"/>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400,597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Income from operations</w:t>
            </w:r>
          </w:p>
        </w:tc>
        <w:tc>
          <w:tcPr>
            <w:tcW w:w="28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27,132</w:t>
            </w:r>
          </w:p>
        </w:tc>
        <w:tc>
          <w:tcPr>
            <w:tcW w:w="280" w:type="dxa"/>
            <w:vAlign w:val="bottom"/>
          </w:tcPr>
          <w:p>
            <w:pPr>
              <w:spacing w:after="0"/>
              <w:rPr>
                <w:sz w:val="12"/>
                <w:szCs w:val="12"/>
                <w:color w:val="auto"/>
              </w:rPr>
            </w:pPr>
          </w:p>
        </w:tc>
        <w:tc>
          <w:tcPr>
            <w:tcW w:w="1340" w:type="dxa"/>
            <w:vAlign w:val="bottom"/>
            <w:gridSpan w:val="2"/>
          </w:tcPr>
          <w:p>
            <w:pPr>
              <w:jc w:val="right"/>
              <w:ind w:right="183"/>
              <w:spacing w:after="0" w:line="149" w:lineRule="exact"/>
              <w:rPr>
                <w:sz w:val="20"/>
                <w:szCs w:val="20"/>
                <w:color w:val="auto"/>
              </w:rPr>
            </w:pPr>
            <w:r>
              <w:rPr>
                <w:rFonts w:ascii="Arial" w:cs="Arial" w:eastAsia="Arial" w:hAnsi="Arial"/>
                <w:sz w:val="14"/>
                <w:szCs w:val="14"/>
                <w:color w:val="auto"/>
              </w:rPr>
              <w:t>18,703</w:t>
            </w:r>
          </w:p>
        </w:tc>
        <w:tc>
          <w:tcPr>
            <w:tcW w:w="260" w:type="dxa"/>
            <w:vAlign w:val="bottom"/>
          </w:tcPr>
          <w:p>
            <w:pPr>
              <w:spacing w:after="0"/>
              <w:rPr>
                <w:sz w:val="12"/>
                <w:szCs w:val="12"/>
                <w:color w:val="auto"/>
              </w:rPr>
            </w:pP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73,038</w:t>
            </w:r>
          </w:p>
        </w:tc>
        <w:tc>
          <w:tcPr>
            <w:tcW w:w="28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49,455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3"/>
              <w:spacing w:after="0" w:line="149" w:lineRule="exact"/>
              <w:rPr>
                <w:sz w:val="20"/>
                <w:szCs w:val="20"/>
                <w:color w:val="auto"/>
              </w:rPr>
            </w:pPr>
            <w:r>
              <w:rPr>
                <w:rFonts w:ascii="Arial" w:cs="Arial" w:eastAsia="Arial" w:hAnsi="Arial"/>
                <w:sz w:val="14"/>
                <w:szCs w:val="14"/>
                <w:color w:val="auto"/>
              </w:rPr>
              <w:t>927</w:t>
            </w:r>
          </w:p>
        </w:tc>
        <w:tc>
          <w:tcPr>
            <w:tcW w:w="2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2,208</w:t>
            </w: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3,027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13"/>
                <w:szCs w:val="13"/>
                <w:color w:val="auto"/>
              </w:rPr>
            </w:pP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(889)</w:t>
            </w:r>
          </w:p>
        </w:tc>
        <w:tc>
          <w:tcPr>
            <w:tcW w:w="280" w:type="dxa"/>
            <w:vAlign w:val="bottom"/>
          </w:tcPr>
          <w:p>
            <w:pPr>
              <w:spacing w:after="0"/>
              <w:rPr>
                <w:sz w:val="13"/>
                <w:szCs w:val="13"/>
                <w:color w:val="auto"/>
              </w:rPr>
            </w:pPr>
          </w:p>
        </w:tc>
        <w:tc>
          <w:tcPr>
            <w:tcW w:w="1340" w:type="dxa"/>
            <w:vAlign w:val="bottom"/>
            <w:gridSpan w:val="2"/>
          </w:tcPr>
          <w:p>
            <w:pPr>
              <w:jc w:val="right"/>
              <w:ind w:right="143"/>
              <w:spacing w:after="0" w:line="149" w:lineRule="exact"/>
              <w:rPr>
                <w:sz w:val="20"/>
                <w:szCs w:val="20"/>
                <w:color w:val="auto"/>
              </w:rPr>
            </w:pPr>
            <w:r>
              <w:rPr>
                <w:rFonts w:ascii="Arial" w:cs="Arial" w:eastAsia="Arial" w:hAnsi="Arial"/>
                <w:sz w:val="14"/>
                <w:szCs w:val="14"/>
                <w:color w:val="auto"/>
              </w:rPr>
              <w:t>(911)</w:t>
            </w:r>
          </w:p>
        </w:tc>
        <w:tc>
          <w:tcPr>
            <w:tcW w:w="260" w:type="dxa"/>
            <w:vAlign w:val="bottom"/>
          </w:tcPr>
          <w:p>
            <w:pPr>
              <w:spacing w:after="0"/>
              <w:rPr>
                <w:sz w:val="13"/>
                <w:szCs w:val="13"/>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(2,951)</w:t>
            </w:r>
          </w:p>
        </w:tc>
        <w:tc>
          <w:tcPr>
            <w:tcW w:w="280" w:type="dxa"/>
            <w:vAlign w:val="bottom"/>
          </w:tcPr>
          <w:p>
            <w:pPr>
              <w:spacing w:after="0"/>
              <w:rPr>
                <w:sz w:val="13"/>
                <w:szCs w:val="13"/>
                <w:color w:val="auto"/>
              </w:rPr>
            </w:pP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(948)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Income before provision for income taxes</w:t>
            </w:r>
          </w:p>
        </w:tc>
        <w:tc>
          <w:tcPr>
            <w:tcW w:w="28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26,908</w:t>
            </w:r>
          </w:p>
        </w:tc>
        <w:tc>
          <w:tcPr>
            <w:tcW w:w="280" w:type="dxa"/>
            <w:vAlign w:val="bottom"/>
          </w:tcPr>
          <w:p>
            <w:pPr>
              <w:spacing w:after="0"/>
              <w:rPr>
                <w:sz w:val="12"/>
                <w:szCs w:val="12"/>
                <w:color w:val="auto"/>
              </w:rPr>
            </w:pPr>
          </w:p>
        </w:tc>
        <w:tc>
          <w:tcPr>
            <w:tcW w:w="1340" w:type="dxa"/>
            <w:vAlign w:val="bottom"/>
            <w:gridSpan w:val="2"/>
          </w:tcPr>
          <w:p>
            <w:pPr>
              <w:jc w:val="right"/>
              <w:ind w:right="183"/>
              <w:spacing w:after="0" w:line="149" w:lineRule="exact"/>
              <w:rPr>
                <w:sz w:val="20"/>
                <w:szCs w:val="20"/>
                <w:color w:val="auto"/>
              </w:rPr>
            </w:pPr>
            <w:r>
              <w:rPr>
                <w:rFonts w:ascii="Arial" w:cs="Arial" w:eastAsia="Arial" w:hAnsi="Arial"/>
                <w:sz w:val="14"/>
                <w:szCs w:val="14"/>
                <w:color w:val="auto"/>
              </w:rPr>
              <w:t>18,719</w:t>
            </w:r>
          </w:p>
        </w:tc>
        <w:tc>
          <w:tcPr>
            <w:tcW w:w="260" w:type="dxa"/>
            <w:vAlign w:val="bottom"/>
          </w:tcPr>
          <w:p>
            <w:pPr>
              <w:spacing w:after="0"/>
              <w:rPr>
                <w:sz w:val="12"/>
                <w:szCs w:val="12"/>
                <w:color w:val="auto"/>
              </w:rPr>
            </w:pP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72,295</w:t>
            </w:r>
          </w:p>
        </w:tc>
        <w:tc>
          <w:tcPr>
            <w:tcW w:w="28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51,534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w:t>
            </w:r>
          </w:p>
        </w:tc>
        <w:tc>
          <w:tcPr>
            <w:tcW w:w="2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(5,355)</w:t>
            </w:r>
          </w:p>
        </w:tc>
        <w:tc>
          <w:tcPr>
            <w:tcW w:w="2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43"/>
              <w:spacing w:after="0" w:line="149" w:lineRule="exact"/>
              <w:rPr>
                <w:sz w:val="20"/>
                <w:szCs w:val="20"/>
                <w:color w:val="auto"/>
              </w:rPr>
            </w:pPr>
            <w:r>
              <w:rPr>
                <w:rFonts w:ascii="Arial" w:cs="Arial" w:eastAsia="Arial" w:hAnsi="Arial"/>
                <w:sz w:val="14"/>
                <w:szCs w:val="14"/>
                <w:color w:val="auto"/>
              </w:rPr>
              <w:t>(4,158)</w:t>
            </w:r>
          </w:p>
        </w:tc>
        <w:tc>
          <w:tcPr>
            <w:tcW w:w="2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(14,493)</w:t>
            </w: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(11,344)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280" w:type="dxa"/>
            <w:vAlign w:val="bottom"/>
          </w:tcPr>
          <w:p>
            <w:pPr>
              <w:spacing w:after="0"/>
              <w:rPr>
                <w:sz w:val="13"/>
                <w:szCs w:val="13"/>
                <w:color w:val="auto"/>
              </w:rPr>
            </w:pP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(173)</w:t>
            </w:r>
          </w:p>
        </w:tc>
        <w:tc>
          <w:tcPr>
            <w:tcW w:w="280" w:type="dxa"/>
            <w:vAlign w:val="bottom"/>
          </w:tcPr>
          <w:p>
            <w:pPr>
              <w:spacing w:after="0"/>
              <w:rPr>
                <w:sz w:val="13"/>
                <w:szCs w:val="13"/>
                <w:color w:val="auto"/>
              </w:rPr>
            </w:pPr>
          </w:p>
        </w:tc>
        <w:tc>
          <w:tcPr>
            <w:tcW w:w="1340" w:type="dxa"/>
            <w:vAlign w:val="bottom"/>
            <w:gridSpan w:val="2"/>
          </w:tcPr>
          <w:p>
            <w:pPr>
              <w:jc w:val="right"/>
              <w:ind w:right="143"/>
              <w:spacing w:after="0" w:line="149" w:lineRule="exact"/>
              <w:rPr>
                <w:sz w:val="20"/>
                <w:szCs w:val="20"/>
                <w:color w:val="auto"/>
              </w:rPr>
            </w:pPr>
            <w:r>
              <w:rPr>
                <w:rFonts w:ascii="Arial" w:cs="Arial" w:eastAsia="Arial" w:hAnsi="Arial"/>
                <w:sz w:val="14"/>
                <w:szCs w:val="14"/>
                <w:color w:val="auto"/>
              </w:rPr>
              <w:t>(60)</w:t>
            </w:r>
          </w:p>
        </w:tc>
        <w:tc>
          <w:tcPr>
            <w:tcW w:w="260" w:type="dxa"/>
            <w:vAlign w:val="bottom"/>
          </w:tcPr>
          <w:p>
            <w:pPr>
              <w:spacing w:after="0"/>
              <w:rPr>
                <w:sz w:val="13"/>
                <w:szCs w:val="13"/>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(707)</w:t>
            </w:r>
          </w:p>
        </w:tc>
        <w:tc>
          <w:tcPr>
            <w:tcW w:w="280" w:type="dxa"/>
            <w:vAlign w:val="bottom"/>
          </w:tcPr>
          <w:p>
            <w:pPr>
              <w:spacing w:after="0"/>
              <w:rPr>
                <w:sz w:val="13"/>
                <w:szCs w:val="13"/>
                <w:color w:val="auto"/>
              </w:rPr>
            </w:pP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21,380</w:t>
            </w:r>
          </w:p>
        </w:tc>
        <w:tc>
          <w:tcPr>
            <w:tcW w:w="280" w:type="dxa"/>
            <w:vAlign w:val="bottom"/>
          </w:tcPr>
          <w:p>
            <w:pPr>
              <w:jc w:val="right"/>
              <w:ind w:right="164"/>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183"/>
              <w:spacing w:after="0" w:line="149" w:lineRule="exact"/>
              <w:rPr>
                <w:sz w:val="20"/>
                <w:szCs w:val="20"/>
                <w:color w:val="auto"/>
              </w:rPr>
            </w:pPr>
            <w:r>
              <w:rPr>
                <w:rFonts w:ascii="Arial" w:cs="Arial" w:eastAsia="Arial" w:hAnsi="Arial"/>
                <w:sz w:val="14"/>
                <w:szCs w:val="14"/>
                <w:color w:val="auto"/>
              </w:rPr>
              <w:t>14,501</w:t>
            </w:r>
          </w:p>
        </w:tc>
        <w:tc>
          <w:tcPr>
            <w:tcW w:w="260" w:type="dxa"/>
            <w:vAlign w:val="bottom"/>
          </w:tcPr>
          <w:p>
            <w:pPr>
              <w:jc w:val="right"/>
              <w:ind w:right="144"/>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57,095</w:t>
            </w:r>
          </w:p>
        </w:tc>
        <w:tc>
          <w:tcPr>
            <w:tcW w:w="2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40,082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income per Ordinary Share:</w:t>
            </w: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160"/>
              <w:spacing w:after="0" w:line="149" w:lineRule="exact"/>
              <w:rPr>
                <w:sz w:val="20"/>
                <w:szCs w:val="20"/>
                <w:color w:val="auto"/>
              </w:rPr>
            </w:pPr>
            <w:r>
              <w:rPr>
                <w:rFonts w:ascii="Arial" w:cs="Arial" w:eastAsia="Arial" w:hAnsi="Arial"/>
                <w:sz w:val="14"/>
                <w:szCs w:val="14"/>
                <w:color w:val="auto"/>
              </w:rPr>
              <w:t>Basic</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0.37</w:t>
            </w:r>
          </w:p>
        </w:tc>
        <w:tc>
          <w:tcPr>
            <w:tcW w:w="240" w:type="dxa"/>
            <w:vAlign w:val="bottom"/>
          </w:tcPr>
          <w:p>
            <w:pPr>
              <w:spacing w:after="0"/>
              <w:rPr>
                <w:sz w:val="12"/>
                <w:szCs w:val="12"/>
                <w:color w:val="auto"/>
              </w:rPr>
            </w:pPr>
          </w:p>
        </w:tc>
        <w:tc>
          <w:tcPr>
            <w:tcW w:w="280" w:type="dxa"/>
            <w:vAlign w:val="bottom"/>
          </w:tcPr>
          <w:p>
            <w:pPr>
              <w:jc w:val="right"/>
              <w:ind w:right="164"/>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0.25</w:t>
            </w:r>
          </w:p>
        </w:tc>
        <w:tc>
          <w:tcPr>
            <w:tcW w:w="240" w:type="dxa"/>
            <w:vAlign w:val="bottom"/>
          </w:tcPr>
          <w:p>
            <w:pPr>
              <w:spacing w:after="0"/>
              <w:rPr>
                <w:sz w:val="12"/>
                <w:szCs w:val="12"/>
                <w:color w:val="auto"/>
              </w:rPr>
            </w:pPr>
          </w:p>
        </w:tc>
        <w:tc>
          <w:tcPr>
            <w:tcW w:w="260" w:type="dxa"/>
            <w:vAlign w:val="bottom"/>
          </w:tcPr>
          <w:p>
            <w:pPr>
              <w:jc w:val="right"/>
              <w:ind w:right="144"/>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0.98</w:t>
            </w:r>
          </w:p>
        </w:tc>
        <w:tc>
          <w:tcPr>
            <w:tcW w:w="2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1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Diluted</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0.35</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64"/>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0.24</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44"/>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0.93</w:t>
            </w:r>
          </w:p>
        </w:tc>
        <w:tc>
          <w:tcPr>
            <w:tcW w:w="2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0.67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number of Ordinary Shares outstanding:</w:t>
            </w: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160"/>
              <w:spacing w:after="0" w:line="149" w:lineRule="exact"/>
              <w:rPr>
                <w:sz w:val="20"/>
                <w:szCs w:val="20"/>
                <w:color w:val="auto"/>
              </w:rPr>
            </w:pPr>
            <w:r>
              <w:rPr>
                <w:rFonts w:ascii="Arial" w:cs="Arial" w:eastAsia="Arial" w:hAnsi="Arial"/>
                <w:sz w:val="14"/>
                <w:szCs w:val="14"/>
                <w:color w:val="auto"/>
              </w:rPr>
              <w:t>Basic</w:t>
            </w:r>
          </w:p>
        </w:tc>
        <w:tc>
          <w:tcPr>
            <w:tcW w:w="2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58,451,960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right"/>
              <w:ind w:right="183"/>
              <w:spacing w:after="0" w:line="149" w:lineRule="exact"/>
              <w:rPr>
                <w:sz w:val="20"/>
                <w:szCs w:val="20"/>
                <w:color w:val="auto"/>
              </w:rPr>
            </w:pPr>
            <w:r>
              <w:rPr>
                <w:rFonts w:ascii="Arial" w:cs="Arial" w:eastAsia="Arial" w:hAnsi="Arial"/>
                <w:sz w:val="14"/>
                <w:szCs w:val="14"/>
                <w:color w:val="auto"/>
              </w:rPr>
              <w:t>57,521,452</w:t>
            </w:r>
          </w:p>
        </w:tc>
        <w:tc>
          <w:tcPr>
            <w:tcW w:w="260" w:type="dxa"/>
            <w:vAlign w:val="bottom"/>
          </w:tcPr>
          <w:p>
            <w:pPr>
              <w:spacing w:after="0"/>
              <w:rPr>
                <w:sz w:val="12"/>
                <w:szCs w:val="12"/>
                <w:color w:val="auto"/>
              </w:rPr>
            </w:pP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58,156,869</w:t>
            </w:r>
          </w:p>
        </w:tc>
        <w:tc>
          <w:tcPr>
            <w:tcW w:w="28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57,339,596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40" w:type="dxa"/>
            <w:vAlign w:val="bottom"/>
            <w:shd w:val="clear" w:color="auto" w:fill="CCEEFF"/>
          </w:tcPr>
          <w:p>
            <w:pPr>
              <w:ind w:left="160"/>
              <w:spacing w:after="0" w:line="142" w:lineRule="exact"/>
              <w:rPr>
                <w:sz w:val="20"/>
                <w:szCs w:val="20"/>
                <w:color w:val="auto"/>
              </w:rPr>
            </w:pPr>
            <w:r>
              <w:rPr>
                <w:rFonts w:ascii="Arial" w:cs="Arial" w:eastAsia="Arial" w:hAnsi="Arial"/>
                <w:sz w:val="14"/>
                <w:szCs w:val="14"/>
                <w:color w:val="auto"/>
              </w:rPr>
              <w:t>Diluted</w:t>
            </w: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61,847,265</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59,652,914</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61,357,893</w:t>
            </w: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59,429,170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5680" w:right="5680" w:hanging="5669"/>
        <w:spacing w:after="0" w:line="383" w:lineRule="auto"/>
        <w:rPr>
          <w:sz w:val="20"/>
          <w:szCs w:val="20"/>
          <w:color w:val="auto"/>
        </w:rPr>
      </w:pPr>
      <w:r>
        <w:rPr>
          <w:rFonts w:ascii="Arial" w:cs="Arial" w:eastAsia="Arial" w:hAnsi="Arial"/>
          <w:sz w:val="9"/>
          <w:szCs w:val="9"/>
          <w:color w:val="auto"/>
        </w:rPr>
        <w:t>The accompanying notes are an integral part of these condensed consolidated financial statements.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161925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ICON plc</w:t>
      </w:r>
    </w:p>
    <w:p>
      <w:pPr>
        <w:jc w:val="center"/>
        <w:spacing w:after="0" w:line="225" w:lineRule="auto"/>
        <w:rPr>
          <w:sz w:val="20"/>
          <w:szCs w:val="20"/>
          <w:color w:val="auto"/>
        </w:rPr>
      </w:pPr>
      <w:r>
        <w:rPr>
          <w:rFonts w:ascii="Arial" w:cs="Arial" w:eastAsia="Arial" w:hAnsi="Arial"/>
          <w:sz w:val="14"/>
          <w:szCs w:val="14"/>
          <w:b w:val="1"/>
          <w:bCs w:val="1"/>
          <w:color w:val="auto"/>
        </w:rPr>
        <w:t>CONDENSED CONSOLIDATED STATEMENTS OF CASH FLOWS</w:t>
      </w:r>
    </w:p>
    <w:p>
      <w:pPr>
        <w:jc w:val="center"/>
        <w:spacing w:after="0" w:line="222" w:lineRule="auto"/>
        <w:rPr>
          <w:sz w:val="20"/>
          <w:szCs w:val="20"/>
          <w:color w:val="auto"/>
        </w:rPr>
      </w:pPr>
      <w:r>
        <w:rPr>
          <w:rFonts w:ascii="Arial" w:cs="Arial" w:eastAsia="Arial" w:hAnsi="Arial"/>
          <w:sz w:val="14"/>
          <w:szCs w:val="14"/>
          <w:b w:val="1"/>
          <w:bCs w:val="1"/>
          <w:color w:val="auto"/>
        </w:rPr>
        <w:t>FOR THE NINE MONTHS ENDED SEPTEMBER 30, 2008 AND SEPTEMBER 30, 2007</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68"/>
              <w:spacing w:after="0" w:line="126" w:lineRule="exact"/>
              <w:rPr>
                <w:sz w:val="20"/>
                <w:szCs w:val="20"/>
                <w:color w:val="auto"/>
              </w:rPr>
            </w:pPr>
            <w:r>
              <w:rPr>
                <w:rFonts w:ascii="Arial" w:cs="Arial" w:eastAsia="Arial" w:hAnsi="Arial"/>
                <w:sz w:val="14"/>
                <w:szCs w:val="14"/>
                <w:b w:val="1"/>
                <w:bCs w:val="1"/>
                <w:color w:val="auto"/>
              </w:rPr>
              <w:t>September 30,</w:t>
            </w: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(in</w:t>
            </w:r>
          </w:p>
        </w:tc>
        <w:tc>
          <w:tcPr>
            <w:tcW w:w="1360" w:type="dxa"/>
            <w:vAlign w:val="bottom"/>
            <w:gridSpan w:val="4"/>
          </w:tcPr>
          <w:p>
            <w:pPr>
              <w:jc w:val="center"/>
              <w:ind w:right="748"/>
              <w:spacing w:after="0"/>
              <w:rPr>
                <w:sz w:val="20"/>
                <w:szCs w:val="20"/>
                <w:color w:val="auto"/>
              </w:rPr>
            </w:pPr>
            <w:r>
              <w:rPr>
                <w:rFonts w:ascii="Arial" w:cs="Arial" w:eastAsia="Arial" w:hAnsi="Arial"/>
                <w:sz w:val="14"/>
                <w:szCs w:val="14"/>
                <w:b w:val="1"/>
                <w:bCs w:val="1"/>
                <w:color w:val="auto"/>
                <w:w w:val="71"/>
              </w:rPr>
              <w:t>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5680" w:type="dxa"/>
            <w:vAlign w:val="bottom"/>
            <w:gridSpan w:val="2"/>
            <w:vMerge w:val="continue"/>
          </w:tcPr>
          <w:p>
            <w:pPr>
              <w:spacing w:after="0"/>
              <w:rPr>
                <w:sz w:val="9"/>
                <w:szCs w:val="9"/>
                <w:color w:val="auto"/>
              </w:rPr>
            </w:pPr>
          </w:p>
        </w:tc>
        <w:tc>
          <w:tcPr>
            <w:tcW w:w="3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3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57,095</w:t>
            </w:r>
          </w:p>
        </w:tc>
        <w:tc>
          <w:tcPr>
            <w:tcW w:w="24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on disposal of property, plant and equipment</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20,676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13,626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grants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60"/>
              <w:spacing w:after="0" w:line="149" w:lineRule="exact"/>
              <w:rPr>
                <w:sz w:val="20"/>
                <w:szCs w:val="20"/>
                <w:color w:val="auto"/>
              </w:rPr>
            </w:pPr>
            <w:r>
              <w:rPr>
                <w:rFonts w:ascii="Arial" w:cs="Arial" w:eastAsia="Arial" w:hAnsi="Arial"/>
                <w:sz w:val="14"/>
                <w:szCs w:val="14"/>
                <w:color w:val="auto"/>
              </w:rPr>
              <w:t>Share compensation expense</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4,433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Deferred taxes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(425)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60"/>
              <w:spacing w:after="0" w:line="149" w:lineRule="exact"/>
              <w:rPr>
                <w:sz w:val="20"/>
                <w:szCs w:val="20"/>
                <w:color w:val="auto"/>
              </w:rPr>
            </w:pPr>
            <w:r>
              <w:rPr>
                <w:rFonts w:ascii="Arial" w:cs="Arial" w:eastAsia="Arial" w:hAnsi="Arial"/>
                <w:sz w:val="14"/>
                <w:szCs w:val="14"/>
                <w:color w:val="auto"/>
              </w:rPr>
              <w:t>Minority interest</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707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Increase in accounts receivable</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(53,749)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(19,532)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Decrease/(increase) in unbilled revenue</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4,871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(32,089)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(Increase)/decrease in other receivables</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(8,011)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in prepayments and other current assets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(6,452)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60"/>
              <w:spacing w:after="0" w:line="149" w:lineRule="exact"/>
              <w:rPr>
                <w:sz w:val="20"/>
                <w:szCs w:val="20"/>
                <w:color w:val="auto"/>
              </w:rPr>
            </w:pPr>
            <w:r>
              <w:rPr>
                <w:rFonts w:ascii="Arial" w:cs="Arial" w:eastAsia="Arial" w:hAnsi="Arial"/>
                <w:sz w:val="14"/>
                <w:szCs w:val="14"/>
                <w:color w:val="auto"/>
              </w:rPr>
              <w:t>Increase in other non current assets</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(148)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in payments on account</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33,283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Increase in other liabilities</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32,905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Increase in other non current liabilities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Increase in income taxes payable</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2,316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6,295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(Decrease)/increase in accounts payable</w:t>
            </w:r>
          </w:p>
        </w:tc>
        <w:tc>
          <w:tcPr>
            <w:tcW w:w="3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(1,776)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2,487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60" w:type="dxa"/>
            <w:vAlign w:val="bottom"/>
            <w:tcBorders>
              <w:top w:val="single" w:sz="8" w:color="CCEEFF"/>
            </w:tcBorders>
          </w:tcPr>
          <w:p>
            <w:pPr>
              <w:spacing w:after="0"/>
              <w:rPr>
                <w:sz w:val="12"/>
                <w:szCs w:val="12"/>
                <w:color w:val="auto"/>
              </w:rPr>
            </w:pPr>
          </w:p>
        </w:tc>
        <w:tc>
          <w:tcPr>
            <w:tcW w:w="31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86,035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19,918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Purchase of property, plant and equipment</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(53,565)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(49,660)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Purchase of subsidiary undertakings and acquisition costs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(11,977)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(40,568)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60"/>
              <w:spacing w:after="0" w:line="149" w:lineRule="exact"/>
              <w:rPr>
                <w:sz w:val="20"/>
                <w:szCs w:val="20"/>
                <w:color w:val="auto"/>
              </w:rPr>
            </w:pPr>
            <w:r>
              <w:rPr>
                <w:rFonts w:ascii="Arial" w:cs="Arial" w:eastAsia="Arial" w:hAnsi="Arial"/>
                <w:sz w:val="14"/>
                <w:szCs w:val="14"/>
                <w:color w:val="auto"/>
              </w:rPr>
              <w:t>Purchase of short term investments</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(15,000)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Sale of short term investments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14,026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60"/>
              <w:spacing w:after="0" w:line="149" w:lineRule="exact"/>
              <w:rPr>
                <w:sz w:val="20"/>
                <w:szCs w:val="20"/>
                <w:color w:val="auto"/>
              </w:rPr>
            </w:pPr>
            <w:r>
              <w:rPr>
                <w:rFonts w:ascii="Arial" w:cs="Arial" w:eastAsia="Arial" w:hAnsi="Arial"/>
                <w:sz w:val="14"/>
                <w:szCs w:val="14"/>
                <w:color w:val="auto"/>
              </w:rPr>
              <w:t>Cash received/(overdraft assumed) on acquisition</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Grants received</w:t>
            </w:r>
          </w:p>
        </w:tc>
        <w:tc>
          <w:tcPr>
            <w:tcW w:w="31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(66,111)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(81,536)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6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(Repayment)/drawdown of bank credit lines and loan facilities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(13,977)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65,487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Proceeds from exercise of share options</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8,384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 issuance costs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(128)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Tax benefit from the exercise of share options</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3,991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of other liabilities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Net cash (used in)/provided by financing activities</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(1,752)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70,541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movements on cash</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(2,625)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2"/>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Net increase in cash and cash equivalents</w:t>
            </w:r>
          </w:p>
        </w:tc>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68"/>
              <w:spacing w:after="0"/>
              <w:rPr>
                <w:sz w:val="20"/>
                <w:szCs w:val="20"/>
                <w:color w:val="auto"/>
              </w:rPr>
            </w:pPr>
            <w:r>
              <w:rPr>
                <w:rFonts w:ascii="Arial" w:cs="Arial" w:eastAsia="Arial" w:hAnsi="Arial"/>
                <w:sz w:val="14"/>
                <w:szCs w:val="14"/>
                <w:color w:val="auto"/>
              </w:rPr>
              <w:t>15,547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6,460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3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76,881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63,039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60" w:type="dxa"/>
            <w:vAlign w:val="bottom"/>
            <w:tcBorders>
              <w:top w:val="single" w:sz="8" w:color="CCEEFF"/>
            </w:tcBorders>
          </w:tcPr>
          <w:p>
            <w:pPr>
              <w:spacing w:after="0"/>
              <w:rPr>
                <w:sz w:val="12"/>
                <w:szCs w:val="12"/>
                <w:color w:val="auto"/>
              </w:rPr>
            </w:pPr>
          </w:p>
        </w:tc>
        <w:tc>
          <w:tcPr>
            <w:tcW w:w="31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at end of period</w:t>
            </w:r>
          </w:p>
        </w:tc>
        <w:tc>
          <w:tcPr>
            <w:tcW w:w="3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92,428</w:t>
            </w:r>
          </w:p>
        </w:tc>
        <w:tc>
          <w:tcPr>
            <w:tcW w:w="24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69,499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tcBorders>
              <w:top w:val="single" w:sz="8" w:color="CCEEFF"/>
            </w:tcBorders>
          </w:tcPr>
          <w:p>
            <w:pPr>
              <w:spacing w:after="0"/>
              <w:rPr>
                <w:sz w:val="20"/>
                <w:szCs w:val="20"/>
                <w:color w:val="auto"/>
              </w:rPr>
            </w:pPr>
            <w:r>
              <w:rPr>
                <w:rFonts w:ascii="Arial" w:cs="Arial" w:eastAsia="Arial" w:hAnsi="Arial"/>
                <w:sz w:val="14"/>
                <w:szCs w:val="14"/>
                <w:color w:val="auto"/>
                <w:w w:val="91"/>
              </w:rPr>
              <w:t>The accompanying notes are an integral part of these condensed consolidated financial statements.</w:t>
            </w:r>
          </w:p>
        </w:tc>
        <w:tc>
          <w:tcPr>
            <w:tcW w:w="3140" w:type="dxa"/>
            <w:vAlign w:val="bottom"/>
            <w:tcBorders>
              <w:top w:val="single" w:sz="8" w:color="CCEEFF"/>
            </w:tcBorders>
            <w:vMerge w:val="restart"/>
          </w:tcPr>
          <w:p>
            <w:pPr>
              <w:jc w:val="right"/>
              <w:ind w:right="3013"/>
              <w:spacing w:after="0"/>
              <w:rPr>
                <w:sz w:val="20"/>
                <w:szCs w:val="20"/>
                <w:color w:val="auto"/>
              </w:rPr>
            </w:pPr>
            <w:r>
              <w:rPr>
                <w:rFonts w:ascii="Arial" w:cs="Arial" w:eastAsia="Arial" w:hAnsi="Arial"/>
                <w:sz w:val="10"/>
                <w:szCs w:val="10"/>
                <w:color w:val="auto"/>
                <w:w w:val="71"/>
              </w:rPr>
              <w:t>5</w:t>
            </w: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31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660" w:type="dxa"/>
            <w:vAlign w:val="bottom"/>
            <w:tcBorders>
              <w:bottom w:val="single" w:sz="8" w:color="808080"/>
            </w:tcBorders>
          </w:tcPr>
          <w:p>
            <w:pPr>
              <w:spacing w:after="0"/>
              <w:rPr>
                <w:sz w:val="8"/>
                <w:szCs w:val="8"/>
                <w:color w:val="auto"/>
              </w:rPr>
            </w:pPr>
          </w:p>
        </w:tc>
        <w:tc>
          <w:tcPr>
            <w:tcW w:w="3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ICON plc</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SHAREHOLDERS' EQUITY AND COMPREHENSIVE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2"/>
                <w:szCs w:val="12"/>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8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5"/>
              </w:rPr>
              <w:t>Comprehensive</w:t>
            </w:r>
          </w:p>
        </w:tc>
        <w:tc>
          <w:tcPr>
            <w:tcW w:w="3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Income</w:t>
            </w:r>
          </w:p>
        </w:tc>
        <w:tc>
          <w:tcPr>
            <w:tcW w:w="34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2007</w:t>
            </w: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57,670,488</w:t>
            </w:r>
          </w:p>
        </w:tc>
        <w:tc>
          <w:tcPr>
            <w:tcW w:w="4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4,843</w:t>
            </w:r>
          </w:p>
        </w:tc>
        <w:tc>
          <w:tcPr>
            <w:tcW w:w="2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143,639</w:t>
            </w:r>
          </w:p>
        </w:tc>
        <w:tc>
          <w:tcPr>
            <w:tcW w:w="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31,828</w:t>
            </w:r>
          </w:p>
        </w:tc>
        <w:tc>
          <w:tcPr>
            <w:tcW w:w="3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208,090</w:t>
            </w:r>
          </w:p>
        </w:tc>
        <w:tc>
          <w:tcPr>
            <w:tcW w:w="4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388,400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Net income</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57,095</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57,095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Currency translation adjustment (net of tax)</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(10,098)</w:t>
            </w: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top w:val="single" w:sz="8" w:color="CCEEFF"/>
            </w:tcBorders>
          </w:tcPr>
          <w:p>
            <w:pPr>
              <w:ind w:left="160"/>
              <w:spacing w:after="0" w:line="149" w:lineRule="exact"/>
              <w:rPr>
                <w:sz w:val="20"/>
                <w:szCs w:val="20"/>
                <w:color w:val="auto"/>
              </w:rPr>
            </w:pPr>
            <w:r>
              <w:rPr>
                <w:rFonts w:ascii="Arial" w:cs="Arial" w:eastAsia="Arial" w:hAnsi="Arial"/>
                <w:sz w:val="14"/>
                <w:szCs w:val="14"/>
                <w:color w:val="auto"/>
              </w:rPr>
              <w:t>Total comprehensive income</w:t>
            </w:r>
          </w:p>
        </w:tc>
        <w:tc>
          <w:tcPr>
            <w:tcW w:w="11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46,997</w:t>
            </w: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Share issuance costs</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Exercise of share options</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829,667</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w:t>
            </w:r>
          </w:p>
        </w:tc>
        <w:tc>
          <w:tcPr>
            <w:tcW w:w="2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8,309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Non-cash stock compensation expense</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4,433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4,433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Tax benefit on exercise of share options</w:t>
            </w:r>
          </w:p>
        </w:tc>
        <w:tc>
          <w:tcPr>
            <w:tcW w:w="1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3,991</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September 30, 2008</w:t>
            </w:r>
          </w:p>
        </w:tc>
        <w:tc>
          <w:tcPr>
            <w:tcW w:w="128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58,500,155</w:t>
            </w:r>
          </w:p>
        </w:tc>
        <w:tc>
          <w:tcPr>
            <w:tcW w:w="480" w:type="dxa"/>
            <w:vAlign w:val="bottom"/>
            <w:tcBorders>
              <w:bottom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4,918</w:t>
            </w:r>
          </w:p>
        </w:tc>
        <w:tc>
          <w:tcPr>
            <w:tcW w:w="28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160,244</w:t>
            </w:r>
          </w:p>
        </w:tc>
        <w:tc>
          <w:tcPr>
            <w:tcW w:w="200" w:type="dxa"/>
            <w:vAlign w:val="bottom"/>
            <w:tcBorders>
              <w:bottom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21,730</w:t>
            </w:r>
          </w:p>
        </w:tc>
        <w:tc>
          <w:tcPr>
            <w:tcW w:w="34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265,185</w:t>
            </w:r>
          </w:p>
        </w:tc>
        <w:tc>
          <w:tcPr>
            <w:tcW w:w="480" w:type="dxa"/>
            <w:vAlign w:val="bottom"/>
            <w:tcBorders>
              <w:bottom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452,077</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680" w:right="5680" w:hanging="5669"/>
        <w:spacing w:after="0" w:line="383" w:lineRule="auto"/>
        <w:rPr>
          <w:sz w:val="20"/>
          <w:szCs w:val="20"/>
          <w:color w:val="auto"/>
        </w:rPr>
      </w:pPr>
      <w:r>
        <w:rPr>
          <w:rFonts w:ascii="Arial" w:cs="Arial" w:eastAsia="Arial" w:hAnsi="Arial"/>
          <w:sz w:val="9"/>
          <w:szCs w:val="9"/>
          <w:color w:val="auto"/>
        </w:rPr>
        <w:t>The accompanying notes are an integral part of these condensed consolidated financial statements.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161925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ICON plc</w:t>
      </w:r>
    </w:p>
    <w:p>
      <w:pPr>
        <w:jc w:val="center"/>
        <w:spacing w:after="0" w:line="225" w:lineRule="auto"/>
        <w:rPr>
          <w:sz w:val="20"/>
          <w:szCs w:val="20"/>
          <w:color w:val="auto"/>
        </w:rPr>
      </w:pPr>
      <w:r>
        <w:rPr>
          <w:rFonts w:ascii="Arial" w:cs="Arial" w:eastAsia="Arial" w:hAnsi="Arial"/>
          <w:sz w:val="14"/>
          <w:szCs w:val="14"/>
          <w:b w:val="1"/>
          <w:bCs w:val="1"/>
          <w:color w:val="auto"/>
        </w:rPr>
        <w:t>NOTES TO THE CONDENSED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(UNAUDITED)</w:t>
      </w:r>
    </w:p>
    <w:p>
      <w:pPr>
        <w:jc w:val="center"/>
        <w:spacing w:after="0"/>
        <w:rPr>
          <w:sz w:val="20"/>
          <w:szCs w:val="20"/>
          <w:color w:val="auto"/>
        </w:rPr>
      </w:pPr>
      <w:r>
        <w:rPr>
          <w:rFonts w:ascii="Arial" w:cs="Arial" w:eastAsia="Arial" w:hAnsi="Arial"/>
          <w:sz w:val="14"/>
          <w:szCs w:val="14"/>
          <w:b w:val="1"/>
          <w:bCs w:val="1"/>
          <w:color w:val="auto"/>
        </w:rPr>
        <w:t>SEPTEMBER 30, 2008</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Basis of Presentation</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condensed consolidated financial statements should be read in conjunction with the accounting policies and notes to the consolidated financial statements included in ICON’s Form 20-F for the year ended December 31, 2007. Operating results for the nine months ended September 30, 2008, are not necessarily indicative of the results that may be expected for the fiscal period ending December 31, 2008.</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80" w:type="dxa"/>
            <w:vAlign w:val="bottom"/>
            <w:gridSpan w:val="2"/>
          </w:tcPr>
          <w:p>
            <w:pPr>
              <w:spacing w:after="0"/>
              <w:rPr>
                <w:sz w:val="20"/>
                <w:szCs w:val="20"/>
                <w:color w:val="auto"/>
              </w:rPr>
            </w:pPr>
            <w:r>
              <w:rPr>
                <w:rFonts w:ascii="Arial" w:cs="Arial" w:eastAsia="Arial" w:hAnsi="Arial"/>
                <w:sz w:val="14"/>
                <w:szCs w:val="14"/>
                <w:b w:val="1"/>
                <w:bCs w:val="1"/>
                <w:color w:val="auto"/>
              </w:rPr>
              <w:t>2. Goodwill</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54"/>
        </w:trPr>
        <w:tc>
          <w:tcPr>
            <w:tcW w:w="58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24"/>
                <w:szCs w:val="2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8"/>
        </w:trPr>
        <w:tc>
          <w:tcPr>
            <w:tcW w:w="58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2008</w:t>
            </w: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r>
      <w:tr>
        <w:trPr>
          <w:trHeight w:val="149"/>
        </w:trPr>
        <w:tc>
          <w:tcPr>
            <w:tcW w:w="58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2"/>
          </w:tcPr>
          <w:p>
            <w:pPr>
              <w:jc w:val="right"/>
              <w:ind w:right="8"/>
              <w:spacing w:after="0" w:line="149" w:lineRule="exact"/>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80" w:type="dxa"/>
            <w:vAlign w:val="bottom"/>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Opening balance</w:t>
            </w:r>
          </w:p>
        </w:tc>
        <w:tc>
          <w:tcPr>
            <w:tcW w:w="2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123,879</w:t>
            </w:r>
          </w:p>
        </w:tc>
        <w:tc>
          <w:tcPr>
            <w:tcW w:w="48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78,717</w:t>
            </w:r>
          </w:p>
        </w:tc>
        <w:tc>
          <w:tcPr>
            <w:tcW w:w="100" w:type="dxa"/>
            <w:vAlign w:val="bottom"/>
            <w:shd w:val="clear" w:color="auto" w:fill="CCEEFF"/>
          </w:tcPr>
          <w:p>
            <w:pPr>
              <w:spacing w:after="0"/>
              <w:rPr>
                <w:sz w:val="12"/>
                <w:szCs w:val="12"/>
                <w:color w:val="auto"/>
              </w:rPr>
            </w:pPr>
          </w:p>
        </w:tc>
      </w:tr>
      <w:tr>
        <w:trPr>
          <w:trHeight w:val="149"/>
        </w:trPr>
        <w:tc>
          <w:tcPr>
            <w:tcW w:w="580" w:type="dxa"/>
            <w:vAlign w:val="bottom"/>
          </w:tcPr>
          <w:p>
            <w:pPr>
              <w:spacing w:after="0"/>
              <w:rPr>
                <w:sz w:val="12"/>
                <w:szCs w:val="12"/>
                <w:color w:val="auto"/>
              </w:rPr>
            </w:pPr>
          </w:p>
        </w:tc>
        <w:tc>
          <w:tcPr>
            <w:tcW w:w="7300" w:type="dxa"/>
            <w:vAlign w:val="bottom"/>
          </w:tcPr>
          <w:p>
            <w:pPr>
              <w:spacing w:after="0" w:line="149" w:lineRule="exact"/>
              <w:rPr>
                <w:sz w:val="20"/>
                <w:szCs w:val="20"/>
                <w:color w:val="auto"/>
              </w:rPr>
            </w:pPr>
            <w:r>
              <w:rPr>
                <w:rFonts w:ascii="Arial" w:cs="Arial" w:eastAsia="Arial" w:hAnsi="Arial"/>
                <w:sz w:val="14"/>
                <w:szCs w:val="14"/>
                <w:color w:val="auto"/>
              </w:rPr>
              <w:t>Payments made in respect of current period acquisitions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11,170</w:t>
            </w:r>
          </w:p>
        </w:tc>
        <w:tc>
          <w:tcPr>
            <w:tcW w:w="4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42,081</w:t>
            </w:r>
          </w:p>
        </w:tc>
        <w:tc>
          <w:tcPr>
            <w:tcW w:w="100" w:type="dxa"/>
            <w:vAlign w:val="bottom"/>
          </w:tcPr>
          <w:p>
            <w:pPr>
              <w:spacing w:after="0"/>
              <w:rPr>
                <w:sz w:val="12"/>
                <w:szCs w:val="12"/>
                <w:color w:val="auto"/>
              </w:rPr>
            </w:pPr>
          </w:p>
        </w:tc>
      </w:tr>
      <w:tr>
        <w:trPr>
          <w:trHeight w:val="156"/>
        </w:trPr>
        <w:tc>
          <w:tcPr>
            <w:tcW w:w="580" w:type="dxa"/>
            <w:vAlign w:val="bottom"/>
          </w:tcPr>
          <w:p>
            <w:pPr>
              <w:spacing w:after="0"/>
              <w:rPr>
                <w:sz w:val="13"/>
                <w:szCs w:val="13"/>
                <w:color w:val="auto"/>
              </w:rPr>
            </w:pPr>
          </w:p>
        </w:tc>
        <w:tc>
          <w:tcPr>
            <w:tcW w:w="730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Foreign exchange movement</w:t>
            </w:r>
          </w:p>
        </w:tc>
        <w:tc>
          <w:tcPr>
            <w:tcW w:w="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(4,731)</w:t>
            </w:r>
          </w:p>
        </w:tc>
        <w:tc>
          <w:tcPr>
            <w:tcW w:w="4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3,081</w:t>
            </w:r>
          </w:p>
        </w:tc>
        <w:tc>
          <w:tcPr>
            <w:tcW w:w="100" w:type="dxa"/>
            <w:vAlign w:val="bottom"/>
            <w:tcBorders>
              <w:bottom w:val="single" w:sz="8" w:color="CCEEFF"/>
            </w:tcBorders>
            <w:shd w:val="clear" w:color="auto" w:fill="CCEEFF"/>
          </w:tcPr>
          <w:p>
            <w:pPr>
              <w:spacing w:after="0"/>
              <w:rPr>
                <w:sz w:val="13"/>
                <w:szCs w:val="13"/>
                <w:color w:val="auto"/>
              </w:rPr>
            </w:pPr>
          </w:p>
        </w:tc>
      </w:tr>
      <w:tr>
        <w:trPr>
          <w:trHeight w:val="149"/>
        </w:trPr>
        <w:tc>
          <w:tcPr>
            <w:tcW w:w="580" w:type="dxa"/>
            <w:vAlign w:val="bottom"/>
          </w:tcPr>
          <w:p>
            <w:pPr>
              <w:spacing w:after="0"/>
              <w:rPr>
                <w:sz w:val="12"/>
                <w:szCs w:val="12"/>
                <w:color w:val="auto"/>
              </w:rPr>
            </w:pPr>
          </w:p>
        </w:tc>
        <w:tc>
          <w:tcPr>
            <w:tcW w:w="7300" w:type="dxa"/>
            <w:vAlign w:val="bottom"/>
          </w:tcPr>
          <w:p>
            <w:pPr>
              <w:spacing w:after="0" w:line="149" w:lineRule="exact"/>
              <w:rPr>
                <w:sz w:val="20"/>
                <w:szCs w:val="20"/>
                <w:color w:val="auto"/>
              </w:rPr>
            </w:pPr>
            <w:r>
              <w:rPr>
                <w:rFonts w:ascii="Arial" w:cs="Arial" w:eastAsia="Arial" w:hAnsi="Arial"/>
                <w:sz w:val="14"/>
                <w:szCs w:val="14"/>
                <w:color w:val="auto"/>
              </w:rPr>
              <w:t>Closing balance</w:t>
            </w:r>
          </w:p>
        </w:tc>
        <w:tc>
          <w:tcPr>
            <w:tcW w:w="280" w:type="dxa"/>
            <w:vAlign w:val="bottom"/>
            <w:tcBorders>
              <w:bottom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130,318</w:t>
            </w:r>
          </w:p>
        </w:tc>
        <w:tc>
          <w:tcPr>
            <w:tcW w:w="480" w:type="dxa"/>
            <w:vAlign w:val="bottom"/>
            <w:tcBorders>
              <w:bottom w:val="single" w:sz="8" w:color="auto"/>
            </w:tcBorders>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123,879</w:t>
            </w:r>
          </w:p>
        </w:tc>
        <w:tc>
          <w:tcPr>
            <w:tcW w:w="100" w:type="dxa"/>
            <w:vAlign w:val="bottom"/>
          </w:tcPr>
          <w:p>
            <w:pPr>
              <w:spacing w:after="0"/>
              <w:rPr>
                <w:sz w:val="12"/>
                <w:szCs w:val="12"/>
                <w:color w:val="auto"/>
              </w:rPr>
            </w:pPr>
          </w:p>
        </w:tc>
      </w:tr>
      <w:tr>
        <w:trPr>
          <w:trHeight w:val="21"/>
        </w:trPr>
        <w:tc>
          <w:tcPr>
            <w:tcW w:w="5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The goodwill balance relates entirely to the clinical research segment.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Acquisition of Healthcare Discoveries Inc.</w:t>
      </w:r>
    </w:p>
    <w:p>
      <w:pPr>
        <w:spacing w:after="0" w:line="23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On February 11, 2008, the Company acquired 100% of the common stock of Healthcare Discoveries Inc. (“Healthcare Discoveries”) for an initial cash consideration of approximately $11.1 million, excluding costs of acquisition. Healthcare Discoveries, located in San Antonio, Texas, USA, is engaged in the provision of Phase I clinical trial management activities. Further consideration of up to $10.0 million may become payable during the year ended December 31, 2008, if certain performance milestones are achieved.</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 xml:space="preserve">The acquisition of Healthcare Discoveries has been accounted for as a purchase in accordance with FASB Statement No. 141 </w:t>
      </w:r>
      <w:r>
        <w:rPr>
          <w:rFonts w:ascii="Arial" w:cs="Arial" w:eastAsia="Arial" w:hAnsi="Arial"/>
          <w:sz w:val="14"/>
          <w:szCs w:val="14"/>
          <w:i w:val="1"/>
          <w:iCs w:val="1"/>
          <w:color w:val="auto"/>
        </w:rPr>
        <w:t>Business Combinations</w:t>
      </w:r>
      <w:r>
        <w:rPr>
          <w:rFonts w:ascii="Arial" w:cs="Arial" w:eastAsia="Arial" w:hAnsi="Arial"/>
          <w:sz w:val="14"/>
          <w:szCs w:val="14"/>
          <w:color w:val="auto"/>
        </w:rPr>
        <w:t xml:space="preserve"> (“SFAS 141”). The following table summarises the fair values of the assets acquired and the liabilities assumed at the date of acquisition.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At February 11,</w:t>
            </w:r>
          </w:p>
        </w:tc>
        <w:tc>
          <w:tcPr>
            <w:tcW w:w="560" w:type="dxa"/>
            <w:vAlign w:val="bottom"/>
          </w:tcPr>
          <w:p>
            <w:pPr>
              <w:spacing w:after="0"/>
              <w:rPr>
                <w:sz w:val="14"/>
                <w:szCs w:val="14"/>
                <w:color w:val="auto"/>
              </w:rPr>
            </w:pPr>
          </w:p>
        </w:tc>
      </w:tr>
      <w:tr>
        <w:trPr>
          <w:trHeight w:val="178"/>
        </w:trPr>
        <w:tc>
          <w:tcPr>
            <w:tcW w:w="5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49"/>
        </w:trPr>
        <w:tc>
          <w:tcPr>
            <w:tcW w:w="5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w w:val="95"/>
              </w:rPr>
              <w:t>(in thousands)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9"/>
        </w:trPr>
        <w:tc>
          <w:tcPr>
            <w:tcW w:w="58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5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2"/>
                <w:szCs w:val="12"/>
                <w:color w:val="auto"/>
              </w:rPr>
            </w:pPr>
          </w:p>
        </w:tc>
        <w:tc>
          <w:tcPr>
            <w:tcW w:w="560" w:type="dxa"/>
            <w:vAlign w:val="bottom"/>
          </w:tcPr>
          <w:p>
            <w:pPr>
              <w:spacing w:after="0"/>
              <w:rPr>
                <w:sz w:val="12"/>
                <w:szCs w:val="12"/>
                <w:color w:val="auto"/>
              </w:rPr>
            </w:pPr>
          </w:p>
        </w:tc>
      </w:tr>
      <w:tr>
        <w:trPr>
          <w:trHeight w:val="149"/>
        </w:trPr>
        <w:tc>
          <w:tcPr>
            <w:tcW w:w="58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Intangible assets</w:t>
            </w:r>
          </w:p>
        </w:tc>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2,550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9"/>
        </w:trPr>
        <w:tc>
          <w:tcPr>
            <w:tcW w:w="58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5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10,856</w:t>
            </w:r>
          </w:p>
        </w:tc>
        <w:tc>
          <w:tcPr>
            <w:tcW w:w="100" w:type="dxa"/>
            <w:vAlign w:val="bottom"/>
            <w:shd w:val="clear" w:color="auto" w:fill="CCEEFF"/>
          </w:tcPr>
          <w:p>
            <w:pPr>
              <w:spacing w:after="0"/>
              <w:rPr>
                <w:sz w:val="12"/>
                <w:szCs w:val="12"/>
                <w:color w:val="auto"/>
              </w:rPr>
            </w:pPr>
          </w:p>
        </w:tc>
        <w:tc>
          <w:tcPr>
            <w:tcW w:w="560" w:type="dxa"/>
            <w:vAlign w:val="bottom"/>
          </w:tcPr>
          <w:p>
            <w:pPr>
              <w:spacing w:after="0"/>
              <w:rPr>
                <w:sz w:val="12"/>
                <w:szCs w:val="12"/>
                <w:color w:val="auto"/>
              </w:rPr>
            </w:pPr>
          </w:p>
        </w:tc>
      </w:tr>
      <w:tr>
        <w:trPr>
          <w:trHeight w:val="149"/>
        </w:trPr>
        <w:tc>
          <w:tcPr>
            <w:tcW w:w="58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Cash</w:t>
            </w:r>
          </w:p>
        </w:tc>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9"/>
        </w:trPr>
        <w:tc>
          <w:tcPr>
            <w:tcW w:w="58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current assets</w:t>
            </w:r>
          </w:p>
        </w:tc>
        <w:tc>
          <w:tcPr>
            <w:tcW w:w="5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w:t>
            </w:r>
          </w:p>
        </w:tc>
        <w:tc>
          <w:tcPr>
            <w:tcW w:w="100" w:type="dxa"/>
            <w:vAlign w:val="bottom"/>
            <w:shd w:val="clear" w:color="auto" w:fill="CCEEFF"/>
          </w:tcPr>
          <w:p>
            <w:pPr>
              <w:spacing w:after="0"/>
              <w:rPr>
                <w:sz w:val="12"/>
                <w:szCs w:val="12"/>
                <w:color w:val="auto"/>
              </w:rPr>
            </w:pPr>
          </w:p>
        </w:tc>
        <w:tc>
          <w:tcPr>
            <w:tcW w:w="560" w:type="dxa"/>
            <w:vAlign w:val="bottom"/>
          </w:tcPr>
          <w:p>
            <w:pPr>
              <w:spacing w:after="0"/>
              <w:rPr>
                <w:sz w:val="12"/>
                <w:szCs w:val="12"/>
                <w:color w:val="auto"/>
              </w:rPr>
            </w:pPr>
          </w:p>
        </w:tc>
      </w:tr>
      <w:tr>
        <w:trPr>
          <w:trHeight w:val="156"/>
        </w:trPr>
        <w:tc>
          <w:tcPr>
            <w:tcW w:w="580" w:type="dxa"/>
            <w:vAlign w:val="bottom"/>
          </w:tcPr>
          <w:p>
            <w:pPr>
              <w:spacing w:after="0"/>
              <w:rPr>
                <w:sz w:val="13"/>
                <w:szCs w:val="13"/>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5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(2,158)</w:t>
            </w:r>
          </w:p>
        </w:tc>
        <w:tc>
          <w:tcPr>
            <w:tcW w:w="560" w:type="dxa"/>
            <w:vAlign w:val="bottom"/>
          </w:tcPr>
          <w:p>
            <w:pPr>
              <w:spacing w:after="0"/>
              <w:rPr>
                <w:sz w:val="13"/>
                <w:szCs w:val="13"/>
                <w:color w:val="auto"/>
              </w:rPr>
            </w:pPr>
          </w:p>
        </w:tc>
      </w:tr>
      <w:tr>
        <w:trPr>
          <w:trHeight w:val="189"/>
        </w:trPr>
        <w:tc>
          <w:tcPr>
            <w:tcW w:w="580" w:type="dxa"/>
            <w:vAlign w:val="bottom"/>
          </w:tcPr>
          <w:p>
            <w:pPr>
              <w:spacing w:after="0"/>
              <w:rPr>
                <w:sz w:val="16"/>
                <w:szCs w:val="16"/>
                <w:color w:val="auto"/>
              </w:rPr>
            </w:pPr>
          </w:p>
        </w:tc>
        <w:tc>
          <w:tcPr>
            <w:tcW w:w="342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Purchase price</w:t>
            </w:r>
          </w:p>
        </w:tc>
        <w:tc>
          <w:tcPr>
            <w:tcW w:w="5580" w:type="dxa"/>
            <w:vAlign w:val="bottom"/>
            <w:tcBorders>
              <w:top w:val="single" w:sz="8" w:color="auto"/>
              <w:bottom w:val="single" w:sz="8" w:color="auto"/>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11,998</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Pr>
          <w:p>
            <w:pPr>
              <w:spacing w:after="0"/>
              <w:rPr>
                <w:sz w:val="16"/>
                <w:szCs w:val="16"/>
                <w:color w:val="auto"/>
              </w:rPr>
            </w:pPr>
          </w:p>
        </w:tc>
      </w:tr>
      <w:tr>
        <w:trPr>
          <w:trHeight w:val="176"/>
        </w:trPr>
        <w:tc>
          <w:tcPr>
            <w:tcW w:w="5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5440" w:type="dxa"/>
            <w:vAlign w:val="bottom"/>
          </w:tcPr>
          <w:p>
            <w:pPr>
              <w:jc w:val="right"/>
              <w:ind w:right="3628"/>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85"/>
        </w:trPr>
        <w:tc>
          <w:tcPr>
            <w:tcW w:w="580" w:type="dxa"/>
            <w:vAlign w:val="bottom"/>
            <w:tcBorders>
              <w:bottom w:val="single" w:sz="8" w:color="808080"/>
            </w:tcBorders>
          </w:tcPr>
          <w:p>
            <w:pPr>
              <w:spacing w:after="0"/>
              <w:rPr>
                <w:sz w:val="7"/>
                <w:szCs w:val="7"/>
                <w:color w:val="auto"/>
              </w:rPr>
            </w:pPr>
          </w:p>
        </w:tc>
        <w:tc>
          <w:tcPr>
            <w:tcW w:w="3420" w:type="dxa"/>
            <w:vAlign w:val="bottom"/>
            <w:tcBorders>
              <w:bottom w:val="single" w:sz="8" w:color="808080"/>
            </w:tcBorders>
          </w:tcPr>
          <w:p>
            <w:pPr>
              <w:spacing w:after="0"/>
              <w:rPr>
                <w:sz w:val="7"/>
                <w:szCs w:val="7"/>
                <w:color w:val="auto"/>
              </w:rPr>
            </w:pPr>
          </w:p>
        </w:tc>
        <w:tc>
          <w:tcPr>
            <w:tcW w:w="54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spacing w:after="0"/>
        <w:rPr>
          <w:sz w:val="20"/>
          <w:szCs w:val="20"/>
          <w:color w:val="auto"/>
        </w:rPr>
      </w:pPr>
      <w:r>
        <w:rPr>
          <w:rFonts w:ascii="Arial" w:cs="Arial" w:eastAsia="Arial" w:hAnsi="Arial"/>
          <w:sz w:val="14"/>
          <w:szCs w:val="14"/>
          <w:i w:val="1"/>
          <w:iCs w:val="1"/>
          <w:color w:val="auto"/>
        </w:rPr>
        <w:t>Prior Period Acquisitions</w:t>
      </w:r>
    </w:p>
    <w:p>
      <w:pPr>
        <w:spacing w:after="0" w:line="231"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On July 12, 2007, the Company acquired 100% of the common stock of DOCS International (“DOCS”), a European based clinical research staffing organization, for a cash consideration of approximately $40.6 million (€29.5 million), excluding costs of acquisition.</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 xml:space="preserve">The acquisition of DOCS has been accounted for as a purchase in accordance with FASB Statement No. 141 </w:t>
      </w:r>
      <w:r>
        <w:rPr>
          <w:rFonts w:ascii="Arial" w:cs="Arial" w:eastAsia="Arial" w:hAnsi="Arial"/>
          <w:sz w:val="14"/>
          <w:szCs w:val="14"/>
          <w:i w:val="1"/>
          <w:iCs w:val="1"/>
          <w:color w:val="auto"/>
        </w:rPr>
        <w:t>Business Combinations</w:t>
      </w:r>
      <w:r>
        <w:rPr>
          <w:rFonts w:ascii="Arial" w:cs="Arial" w:eastAsia="Arial" w:hAnsi="Arial"/>
          <w:sz w:val="14"/>
          <w:szCs w:val="14"/>
          <w:color w:val="auto"/>
        </w:rPr>
        <w:t xml:space="preserve"> (“SFAS 141”). The following table summarises the fair values of the assets acquired and the liabilities assumed at the date of acquisition.</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At July 12,</w:t>
            </w:r>
          </w:p>
        </w:tc>
      </w:tr>
      <w:tr>
        <w:trPr>
          <w:trHeight w:val="178"/>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w w:val="95"/>
              </w:rPr>
              <w:t>(in thousands)</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3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984</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line="149" w:lineRule="exact"/>
              <w:rPr>
                <w:sz w:val="20"/>
                <w:szCs w:val="20"/>
                <w:color w:val="auto"/>
              </w:rPr>
            </w:pPr>
            <w:r>
              <w:rPr>
                <w:rFonts w:ascii="Arial" w:cs="Arial" w:eastAsia="Arial" w:hAnsi="Arial"/>
                <w:sz w:val="14"/>
                <w:szCs w:val="14"/>
                <w:color w:val="auto"/>
              </w:rPr>
              <w:t>Intangible asset</w:t>
            </w:r>
          </w:p>
        </w:tc>
        <w:tc>
          <w:tcPr>
            <w:tcW w:w="3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2,035</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3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42,395</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line="149" w:lineRule="exact"/>
              <w:rPr>
                <w:sz w:val="20"/>
                <w:szCs w:val="20"/>
                <w:color w:val="auto"/>
              </w:rPr>
            </w:pPr>
            <w:r>
              <w:rPr>
                <w:rFonts w:ascii="Arial" w:cs="Arial" w:eastAsia="Arial" w:hAnsi="Arial"/>
                <w:sz w:val="14"/>
                <w:szCs w:val="14"/>
                <w:color w:val="auto"/>
              </w:rPr>
              <w:t>Bank overdraft</w:t>
            </w:r>
          </w:p>
        </w:tc>
        <w:tc>
          <w:tcPr>
            <w:tcW w:w="3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(2,400)</w:t>
            </w: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current assets</w:t>
            </w:r>
          </w:p>
        </w:tc>
        <w:tc>
          <w:tcPr>
            <w:tcW w:w="3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7,646</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528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3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(9,510)</w:t>
            </w:r>
          </w:p>
        </w:tc>
      </w:tr>
      <w:tr>
        <w:trPr>
          <w:trHeight w:val="189"/>
        </w:trPr>
        <w:tc>
          <w:tcPr>
            <w:tcW w:w="20" w:type="dxa"/>
            <w:vAlign w:val="bottom"/>
          </w:tcPr>
          <w:p>
            <w:pPr>
              <w:spacing w:after="0"/>
              <w:rPr>
                <w:sz w:val="16"/>
                <w:szCs w:val="16"/>
                <w:color w:val="auto"/>
              </w:rPr>
            </w:pPr>
          </w:p>
        </w:tc>
        <w:tc>
          <w:tcPr>
            <w:tcW w:w="528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Purchase price</w:t>
            </w:r>
          </w:p>
        </w:tc>
        <w:tc>
          <w:tcPr>
            <w:tcW w:w="3700" w:type="dxa"/>
            <w:vAlign w:val="bottom"/>
            <w:tcBorders>
              <w:top w:val="single" w:sz="8" w:color="auto"/>
              <w:bottom w:val="single" w:sz="8" w:color="auto"/>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41,150</w:t>
            </w:r>
          </w:p>
        </w:tc>
        <w:tc>
          <w:tcPr>
            <w:tcW w:w="100" w:type="dxa"/>
            <w:vAlign w:val="bottom"/>
            <w:tcBorders>
              <w:bottom w:val="single" w:sz="8" w:color="CCEEFF"/>
            </w:tcBorders>
            <w:shd w:val="clear" w:color="auto" w:fill="CCEEFF"/>
          </w:tcPr>
          <w:p>
            <w:pPr>
              <w:spacing w:after="0"/>
              <w:rPr>
                <w:sz w:val="16"/>
                <w:szCs w:val="16"/>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3. Adoption of the provisions of FASB Interpretation No. 48 </w:t>
      </w:r>
      <w:r>
        <w:rPr>
          <w:rFonts w:ascii="Arial" w:cs="Arial" w:eastAsia="Arial" w:hAnsi="Arial"/>
          <w:sz w:val="14"/>
          <w:szCs w:val="14"/>
          <w:b w:val="1"/>
          <w:bCs w:val="1"/>
          <w:i w:val="1"/>
          <w:iCs w:val="1"/>
          <w:color w:val="auto"/>
        </w:rPr>
        <w:t>Accounting for Uncertainty in Income Taxes</w:t>
      </w:r>
    </w:p>
    <w:p>
      <w:pPr>
        <w:spacing w:after="0" w:line="235"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 xml:space="preserve">In June 2006, the FASB issued FIN 48, </w:t>
      </w:r>
      <w:r>
        <w:rPr>
          <w:rFonts w:ascii="Arial" w:cs="Arial" w:eastAsia="Arial" w:hAnsi="Arial"/>
          <w:sz w:val="14"/>
          <w:szCs w:val="14"/>
          <w:i w:val="1"/>
          <w:iCs w:val="1"/>
          <w:color w:val="auto"/>
        </w:rPr>
        <w:t>Accounting for Uncertainty in Income Taxes – an Interpretation of FASB Statement No. 109, Accounting for Income Taxes</w:t>
      </w:r>
      <w:r>
        <w:rPr>
          <w:rFonts w:ascii="Arial" w:cs="Arial" w:eastAsia="Arial" w:hAnsi="Arial"/>
          <w:sz w:val="14"/>
          <w:szCs w:val="14"/>
          <w:color w:val="auto"/>
        </w:rPr>
        <w:t>. The Interpretation addresses the determination of whether tax benefits claimed or expected to be claimed on a tax return should be recorded in the financial statements.</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Under FIN 48, the Company may recognize the tax benefits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recognized upon ultimate settlement.</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FIN 48 also provides guidance on derecognition, classification, interest and penalties on income taxes, accounting in interim periods and requires increased disclosures.</w:t>
      </w:r>
    </w:p>
    <w:p>
      <w:pPr>
        <w:spacing w:after="0" w:line="23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Company adopted the provisions of FIN 48 effective January 1, 2007. As at September 30, 2008, the Company maintains a $10.2 million liability for unrecognized tax benefit, which is comprised of $8.5 million related to items generating unrecognized tax benefits and $1.7 million for interest and related penalties to such items. The Company recognizes interest accrued on unrecognized tax benefits as an additional income tax expense.</w:t>
      </w:r>
    </w:p>
    <w:p>
      <w:pPr>
        <w:spacing w:after="0" w:line="210"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The Company has analyzed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2003 through 2007 tax years. The Company does not believe that the outcome of any examination will have a material impact on its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4. Net income per ordinary share</w:t>
      </w:r>
    </w:p>
    <w:p>
      <w:pPr>
        <w:spacing w:after="0" w:line="234"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The reconciliation of the number of shares used in the computation of basic and diluted net income per ordinary share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740" w:type="dxa"/>
            <w:vAlign w:val="bottom"/>
            <w:gridSpan w:val="4"/>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600" w:type="dxa"/>
            <w:vAlign w:val="bottom"/>
            <w:gridSpan w:val="4"/>
          </w:tcPr>
          <w:p>
            <w:pPr>
              <w:ind w:left="640"/>
              <w:spacing w:after="0"/>
              <w:rPr>
                <w:sz w:val="20"/>
                <w:szCs w:val="20"/>
                <w:color w:val="auto"/>
              </w:rPr>
            </w:pPr>
            <w:r>
              <w:rPr>
                <w:rFonts w:ascii="Arial" w:cs="Arial" w:eastAsia="Arial" w:hAnsi="Arial"/>
                <w:sz w:val="14"/>
                <w:szCs w:val="14"/>
                <w:b w:val="1"/>
                <w:bCs w:val="1"/>
                <w:color w:val="auto"/>
              </w:rPr>
              <w:t>Nine Months Ended</w:t>
            </w:r>
          </w:p>
        </w:tc>
      </w:tr>
      <w:tr>
        <w:trPr>
          <w:trHeight w:val="126"/>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400" w:type="dxa"/>
            <w:vAlign w:val="bottom"/>
            <w:tcBorders>
              <w:top w:val="single" w:sz="8" w:color="auto"/>
            </w:tcBorders>
            <w:gridSpan w:val="2"/>
          </w:tcPr>
          <w:p>
            <w:pPr>
              <w:ind w:left="660"/>
              <w:spacing w:after="0" w:line="126" w:lineRule="exact"/>
              <w:rPr>
                <w:sz w:val="20"/>
                <w:szCs w:val="20"/>
                <w:color w:val="auto"/>
              </w:rPr>
            </w:pPr>
            <w:r>
              <w:rPr>
                <w:rFonts w:ascii="Arial" w:cs="Arial" w:eastAsia="Arial" w:hAnsi="Arial"/>
                <w:sz w:val="14"/>
                <w:szCs w:val="14"/>
                <w:b w:val="1"/>
                <w:bCs w:val="1"/>
                <w:color w:val="auto"/>
              </w:rPr>
              <w:t>Sept 30,</w:t>
            </w:r>
          </w:p>
        </w:tc>
        <w:tc>
          <w:tcPr>
            <w:tcW w:w="114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rPr>
              <w:t>Sept 30,</w:t>
            </w:r>
          </w:p>
        </w:tc>
        <w:tc>
          <w:tcPr>
            <w:tcW w:w="200" w:type="dxa"/>
            <w:vAlign w:val="bottom"/>
          </w:tcPr>
          <w:p>
            <w:pPr>
              <w:spacing w:after="0"/>
              <w:rPr>
                <w:sz w:val="10"/>
                <w:szCs w:val="10"/>
                <w:color w:val="auto"/>
              </w:rPr>
            </w:pPr>
          </w:p>
        </w:tc>
        <w:tc>
          <w:tcPr>
            <w:tcW w:w="1360" w:type="dxa"/>
            <w:vAlign w:val="bottom"/>
            <w:tcBorders>
              <w:top w:val="single" w:sz="8" w:color="auto"/>
            </w:tcBorders>
            <w:gridSpan w:val="2"/>
          </w:tcPr>
          <w:p>
            <w:pPr>
              <w:jc w:val="right"/>
              <w:ind w:right="220"/>
              <w:spacing w:after="0" w:line="126" w:lineRule="exact"/>
              <w:rPr>
                <w:sz w:val="20"/>
                <w:szCs w:val="20"/>
                <w:color w:val="auto"/>
              </w:rPr>
            </w:pPr>
            <w:r>
              <w:rPr>
                <w:rFonts w:ascii="Arial" w:cs="Arial" w:eastAsia="Arial" w:hAnsi="Arial"/>
                <w:sz w:val="14"/>
                <w:szCs w:val="14"/>
                <w:b w:val="1"/>
                <w:bCs w:val="1"/>
                <w:color w:val="auto"/>
              </w:rPr>
              <w:t>Sept 30,</w:t>
            </w:r>
          </w:p>
        </w:tc>
        <w:tc>
          <w:tcPr>
            <w:tcW w:w="114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rPr>
              <w:t>Sept 30,</w:t>
            </w:r>
          </w:p>
        </w:tc>
        <w:tc>
          <w:tcPr>
            <w:tcW w:w="100" w:type="dxa"/>
            <w:vAlign w:val="bottom"/>
          </w:tcPr>
          <w:p>
            <w:pPr>
              <w:spacing w:after="0"/>
              <w:rPr>
                <w:sz w:val="10"/>
                <w:szCs w:val="10"/>
                <w:color w:val="auto"/>
              </w:rPr>
            </w:pPr>
          </w:p>
        </w:tc>
      </w:tr>
      <w:tr>
        <w:trPr>
          <w:trHeight w:val="178"/>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2008</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2008</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2007</w:t>
            </w:r>
          </w:p>
        </w:tc>
      </w:tr>
      <w:tr>
        <w:trPr>
          <w:trHeight w:val="130"/>
        </w:trPr>
        <w:tc>
          <w:tcPr>
            <w:tcW w:w="20" w:type="dxa"/>
            <w:vAlign w:val="bottom"/>
          </w:tcPr>
          <w:p>
            <w:pPr>
              <w:spacing w:after="0"/>
              <w:rPr>
                <w:sz w:val="11"/>
                <w:szCs w:val="11"/>
                <w:color w:val="auto"/>
              </w:rPr>
            </w:pPr>
          </w:p>
        </w:tc>
        <w:tc>
          <w:tcPr>
            <w:tcW w:w="6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Weighted average number of ordinary shares outstanding for</w:t>
            </w:r>
          </w:p>
        </w:tc>
        <w:tc>
          <w:tcPr>
            <w:tcW w:w="116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basic net income per ordinary share</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58,451,960</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57,521,452</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58,156,869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57,339,596</w:t>
            </w:r>
          </w:p>
        </w:tc>
      </w:tr>
      <w:tr>
        <w:trPr>
          <w:trHeight w:val="156"/>
        </w:trPr>
        <w:tc>
          <w:tcPr>
            <w:tcW w:w="20" w:type="dxa"/>
            <w:vAlign w:val="bottom"/>
          </w:tcPr>
          <w:p>
            <w:pPr>
              <w:spacing w:after="0"/>
              <w:rPr>
                <w:sz w:val="13"/>
                <w:szCs w:val="13"/>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Effect of dilutive share options outstanding</w:t>
            </w:r>
          </w:p>
        </w:tc>
        <w:tc>
          <w:tcPr>
            <w:tcW w:w="1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3,395,305</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2,131,462</w:t>
            </w:r>
          </w:p>
        </w:tc>
        <w:tc>
          <w:tcPr>
            <w:tcW w:w="200" w:type="dxa"/>
            <w:vAlign w:val="bottom"/>
          </w:tcPr>
          <w:p>
            <w:pPr>
              <w:spacing w:after="0"/>
              <w:rPr>
                <w:sz w:val="13"/>
                <w:szCs w:val="13"/>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3,201,024</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2,089,574</w:t>
            </w:r>
          </w:p>
        </w:tc>
      </w:tr>
      <w:tr>
        <w:trPr>
          <w:trHeight w:val="130"/>
        </w:trPr>
        <w:tc>
          <w:tcPr>
            <w:tcW w:w="20" w:type="dxa"/>
            <w:vAlign w:val="bottom"/>
          </w:tcPr>
          <w:p>
            <w:pPr>
              <w:spacing w:after="0"/>
              <w:rPr>
                <w:sz w:val="11"/>
                <w:szCs w:val="11"/>
                <w:color w:val="auto"/>
              </w:rPr>
            </w:pPr>
          </w:p>
        </w:tc>
        <w:tc>
          <w:tcPr>
            <w:tcW w:w="6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Weighted average number of ordinary shares for diluted net</w:t>
            </w:r>
          </w:p>
        </w:tc>
        <w:tc>
          <w:tcPr>
            <w:tcW w:w="11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208"/>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income per ordinary share</w:t>
            </w:r>
          </w:p>
        </w:tc>
        <w:tc>
          <w:tcPr>
            <w:tcW w:w="140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61,847,265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59,652,914</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61,357,893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59,429,170</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Share-Based Payments</w:t>
      </w:r>
    </w:p>
    <w:p>
      <w:pPr>
        <w:spacing w:after="0" w:line="235" w:lineRule="exact"/>
        <w:rPr>
          <w:sz w:val="20"/>
          <w:szCs w:val="20"/>
          <w:color w:val="auto"/>
        </w:rPr>
      </w:pPr>
    </w:p>
    <w:p>
      <w:pPr>
        <w:jc w:val="both"/>
        <w:ind w:right="20"/>
        <w:spacing w:after="0" w:line="234" w:lineRule="auto"/>
        <w:rPr>
          <w:sz w:val="20"/>
          <w:szCs w:val="20"/>
          <w:color w:val="auto"/>
        </w:rPr>
      </w:pPr>
      <w:r>
        <w:rPr>
          <w:rFonts w:ascii="Arial" w:cs="Arial" w:eastAsia="Arial" w:hAnsi="Arial"/>
          <w:sz w:val="14"/>
          <w:szCs w:val="14"/>
          <w:color w:val="auto"/>
        </w:rPr>
        <w:t>On July 21, 2008, the Company adopted the Employee Share Option Plan 2008 (the “2008 Employee Plan”) pursuant to which the Compensation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Committee of the Company’s Board of Directors may grant options to any consultant, adviser or non-executive director retained by the Company or any Subsidiary for the purchase of ordinary shares.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Each option granted under the 2008 Employees Plan or the 2008 Consultants Plan (together the “2008 Option plans”) will be an employee stock option, or NSO, as described in Section 422 or 423 of the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10"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Consulants Option Plan. No options may be granted under the plans after July 21, 2018.</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On July 21, 2008, the Company adopted the the 2008 Employees Restricted Share Unit Plan (the “2008 RSU Plan”) pursuant to which the Compensation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 Awards under the 2008 RSU may be settled in cash or shares.</w:t>
      </w: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On January 17, 2003, the Company adopted the Share Option Plan 2003 (the “2003 Plan”) pursuant to which the Compensation Committee of the Company’s Board of Directors may grant options to officers and other employees of the Company or its subsidiaries for the purchase of ordinary shares. Each option will be an employee stock option, or NSO, as described in Section 422 or 423 of the Code. Each grant of an option under the 2003 Plan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3"/>
          <w:szCs w:val="13"/>
          <w:color w:val="auto"/>
        </w:rPr>
        <w:t>An aggregate of 6.0 million ordinary shares have been reserved under the 2003 Plan;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400,000 ordinary shares. No options can be granted under the 2003 plan after January 17, 2013.</w:t>
      </w:r>
    </w:p>
    <w:p>
      <w:pPr>
        <w:spacing w:after="0" w:line="195"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 xml:space="preserve">In December 2004, the Financial Accounting Standards Board (“FASB”) issued Statement of Accounting Standards (“SFAS”) 123 (revised 2004), </w:t>
      </w:r>
      <w:r>
        <w:rPr>
          <w:rFonts w:ascii="Arial" w:cs="Arial" w:eastAsia="Arial" w:hAnsi="Arial"/>
          <w:sz w:val="14"/>
          <w:szCs w:val="14"/>
          <w:i w:val="1"/>
          <w:iCs w:val="1"/>
          <w:color w:val="auto"/>
        </w:rPr>
        <w:t>Share Based Payment</w:t>
      </w:r>
      <w:r>
        <w:rPr>
          <w:rFonts w:ascii="Arial" w:cs="Arial" w:eastAsia="Arial" w:hAnsi="Arial"/>
          <w:sz w:val="14"/>
          <w:szCs w:val="14"/>
          <w:color w:val="auto"/>
        </w:rPr>
        <w:t xml:space="preserve"> (“SFAS 123R”) which replaced SFAS 123 </w:t>
      </w:r>
      <w:r>
        <w:rPr>
          <w:rFonts w:ascii="Arial" w:cs="Arial" w:eastAsia="Arial" w:hAnsi="Arial"/>
          <w:sz w:val="14"/>
          <w:szCs w:val="14"/>
          <w:i w:val="1"/>
          <w:iCs w:val="1"/>
          <w:color w:val="auto"/>
        </w:rPr>
        <w:t>Accounting for Stock-Based Compensation</w:t>
      </w:r>
      <w:r>
        <w:rPr>
          <w:rFonts w:ascii="Arial" w:cs="Arial" w:eastAsia="Arial" w:hAnsi="Arial"/>
          <w:sz w:val="14"/>
          <w:szCs w:val="14"/>
          <w:color w:val="auto"/>
        </w:rPr>
        <w:t xml:space="preserve"> and supersedes Accounting Principles Board (“APB”) Opinion No. 25 </w:t>
      </w:r>
      <w:r>
        <w:rPr>
          <w:rFonts w:ascii="Arial" w:cs="Arial" w:eastAsia="Arial" w:hAnsi="Arial"/>
          <w:sz w:val="14"/>
          <w:szCs w:val="14"/>
          <w:i w:val="1"/>
          <w:iCs w:val="1"/>
          <w:color w:val="auto"/>
        </w:rPr>
        <w:t>Accounting for Stock Issued to Employees</w:t>
      </w:r>
      <w:r>
        <w:rPr>
          <w:rFonts w:ascii="Arial" w:cs="Arial" w:eastAsia="Arial" w:hAnsi="Arial"/>
          <w:sz w:val="14"/>
          <w:szCs w:val="14"/>
          <w:color w:val="auto"/>
        </w:rPr>
        <w:t>. SFAS 123R requires, with effect from accounting periods beginning after June 15, 2005, that all share based payments to employees, including stock options granted, be recognized in the financial statements based on their grant date fair values.</w:t>
      </w:r>
    </w:p>
    <w:p>
      <w:pPr>
        <w:spacing w:after="0" w:line="209"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The Company has adopted SFAS 123R with effect from January 1, 2006, with the Black-Scholes method of valuation being used to calculate the fair value of options granted. The Company adopted SFAS 123R using the modified-prospective transition method. Under that transition method compensation cost recognized in the period includes; (a) compensation cost for all share-based payments granted prior to, but not yet vested as of, January 1, 2006, based on grant date fair value estimated in accordance with the original provisions of SFAS 123 and (b) compensation cost for all share based payments granted subsequent to January 1, 2006, based on grant date fair values estimated in accordance with the provisions of SFAS 123R. Results for prior periods have not been restated.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option activity for the nine months ended September 30, 2008:</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Options</w:t>
            </w:r>
          </w:p>
        </w:tc>
        <w:tc>
          <w:tcPr>
            <w:tcW w:w="58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Weighted</w:t>
            </w:r>
          </w:p>
        </w:tc>
        <w:tc>
          <w:tcPr>
            <w:tcW w:w="560" w:type="dxa"/>
            <w:vAlign w:val="bottom"/>
          </w:tcPr>
          <w:p>
            <w:pPr>
              <w:spacing w:after="0"/>
              <w:rPr>
                <w:sz w:val="14"/>
                <w:szCs w:val="14"/>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Weighted</w:t>
            </w:r>
          </w:p>
        </w:tc>
        <w:tc>
          <w:tcPr>
            <w:tcW w:w="1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Average</w:t>
            </w:r>
          </w:p>
        </w:tc>
        <w:tc>
          <w:tcPr>
            <w:tcW w:w="5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66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Outstanding</w:t>
            </w:r>
          </w:p>
        </w:tc>
        <w:tc>
          <w:tcPr>
            <w:tcW w:w="580" w:type="dxa"/>
            <w:vAlign w:val="bottom"/>
          </w:tcPr>
          <w:p>
            <w:pPr>
              <w:spacing w:after="0"/>
              <w:rPr>
                <w:sz w:val="12"/>
                <w:szCs w:val="12"/>
                <w:color w:val="auto"/>
              </w:rPr>
            </w:pPr>
          </w:p>
        </w:tc>
        <w:tc>
          <w:tcPr>
            <w:tcW w:w="110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Exercise</w:t>
            </w:r>
          </w:p>
        </w:tc>
        <w:tc>
          <w:tcPr>
            <w:tcW w:w="560" w:type="dxa"/>
            <w:vAlign w:val="bottom"/>
          </w:tcPr>
          <w:p>
            <w:pPr>
              <w:spacing w:after="0"/>
              <w:rPr>
                <w:sz w:val="12"/>
                <w:szCs w:val="12"/>
                <w:color w:val="auto"/>
              </w:rPr>
            </w:pPr>
          </w:p>
        </w:tc>
        <w:tc>
          <w:tcPr>
            <w:tcW w:w="11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Average</w:t>
            </w:r>
          </w:p>
        </w:tc>
        <w:tc>
          <w:tcPr>
            <w:tcW w:w="1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Remaining Contractual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660" w:type="dxa"/>
            <w:vAlign w:val="bottom"/>
          </w:tcPr>
          <w:p>
            <w:pPr>
              <w:jc w:val="right"/>
              <w:ind w:right="88"/>
              <w:spacing w:after="0"/>
              <w:rPr>
                <w:sz w:val="20"/>
                <w:szCs w:val="20"/>
                <w:color w:val="auto"/>
              </w:rPr>
            </w:pPr>
            <w:r>
              <w:rPr>
                <w:rFonts w:ascii="Arial" w:cs="Arial" w:eastAsia="Arial" w:hAnsi="Arial"/>
                <w:sz w:val="14"/>
                <w:szCs w:val="14"/>
                <w:b w:val="1"/>
                <w:bCs w:val="1"/>
                <w:color w:val="auto"/>
              </w:rPr>
              <w:t>Number of Shares</w:t>
            </w:r>
          </w:p>
        </w:tc>
        <w:tc>
          <w:tcPr>
            <w:tcW w:w="58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Price</w:t>
            </w:r>
          </w:p>
        </w:tc>
        <w:tc>
          <w:tcPr>
            <w:tcW w:w="560" w:type="dxa"/>
            <w:vAlign w:val="bottom"/>
          </w:tcPr>
          <w:p>
            <w:pPr>
              <w:spacing w:after="0"/>
              <w:rPr>
                <w:sz w:val="16"/>
                <w:szCs w:val="16"/>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Fair Value</w:t>
            </w:r>
          </w:p>
        </w:tc>
        <w:tc>
          <w:tcPr>
            <w:tcW w:w="1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46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46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Outstanding at December 31, 2007</w:t>
            </w:r>
          </w:p>
        </w:tc>
        <w:tc>
          <w:tcPr>
            <w:tcW w:w="166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4,976,126</w:t>
            </w:r>
          </w:p>
        </w:tc>
        <w:tc>
          <w:tcPr>
            <w:tcW w:w="580" w:type="dxa"/>
            <w:vAlign w:val="bottom"/>
            <w:tcBorders>
              <w:bottom w:val="single" w:sz="8" w:color="auto"/>
            </w:tcBorders>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12.27</w:t>
            </w:r>
          </w:p>
        </w:tc>
        <w:tc>
          <w:tcPr>
            <w:tcW w:w="560" w:type="dxa"/>
            <w:vAlign w:val="bottom"/>
            <w:tcBorders>
              <w:bottom w:val="single" w:sz="8" w:color="auto"/>
            </w:tcBorders>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5.35</w:t>
            </w:r>
          </w:p>
        </w:tc>
        <w:tc>
          <w:tcPr>
            <w:tcW w:w="15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Granted</w:t>
            </w:r>
          </w:p>
        </w:tc>
        <w:tc>
          <w:tcPr>
            <w:tcW w:w="16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1,265,190</w:t>
            </w:r>
          </w:p>
        </w:tc>
        <w:tc>
          <w:tcPr>
            <w:tcW w:w="58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35.43</w:t>
            </w:r>
          </w:p>
        </w:tc>
        <w:tc>
          <w:tcPr>
            <w:tcW w:w="56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12.93</w:t>
            </w: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Exercised</w:t>
            </w:r>
          </w:p>
        </w:tc>
        <w:tc>
          <w:tcPr>
            <w:tcW w:w="16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(829,667)</w:t>
            </w:r>
          </w:p>
        </w:tc>
        <w:tc>
          <w:tcPr>
            <w:tcW w:w="58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10.11</w:t>
            </w:r>
          </w:p>
        </w:tc>
        <w:tc>
          <w:tcPr>
            <w:tcW w:w="56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4.45</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Forfeited</w:t>
            </w:r>
          </w:p>
        </w:tc>
        <w:tc>
          <w:tcPr>
            <w:tcW w:w="166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(133,836)</w:t>
            </w:r>
          </w:p>
        </w:tc>
        <w:tc>
          <w:tcPr>
            <w:tcW w:w="580" w:type="dxa"/>
            <w:vAlign w:val="bottom"/>
            <w:tcBorders>
              <w:bottom w:val="single" w:sz="8" w:color="auto"/>
            </w:tcBorders>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17.62</w:t>
            </w:r>
          </w:p>
        </w:tc>
        <w:tc>
          <w:tcPr>
            <w:tcW w:w="560" w:type="dxa"/>
            <w:vAlign w:val="bottom"/>
            <w:tcBorders>
              <w:bottom w:val="single" w:sz="8" w:color="auto"/>
            </w:tcBorders>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7.17</w:t>
            </w:r>
          </w:p>
        </w:tc>
        <w:tc>
          <w:tcPr>
            <w:tcW w:w="15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September 30, 2008</w:t>
            </w:r>
          </w:p>
        </w:tc>
        <w:tc>
          <w:tcPr>
            <w:tcW w:w="16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5,277,813</w:t>
            </w:r>
          </w:p>
        </w:tc>
        <w:tc>
          <w:tcPr>
            <w:tcW w:w="58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18.02</w:t>
            </w:r>
          </w:p>
        </w:tc>
        <w:tc>
          <w:tcPr>
            <w:tcW w:w="56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7.26</w:t>
            </w:r>
          </w:p>
        </w:tc>
        <w:tc>
          <w:tcPr>
            <w:tcW w:w="1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80" w:type="dxa"/>
            <w:vAlign w:val="bottom"/>
            <w:tcBorders>
              <w:top w:val="single" w:sz="8" w:color="CCEEFF"/>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Exercisable at September 30, 2008</w:t>
            </w:r>
          </w:p>
        </w:tc>
        <w:tc>
          <w:tcPr>
            <w:tcW w:w="166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1,455,913</w:t>
            </w:r>
          </w:p>
        </w:tc>
        <w:tc>
          <w:tcPr>
            <w:tcW w:w="580" w:type="dxa"/>
            <w:vAlign w:val="bottom"/>
            <w:tcBorders>
              <w:bottom w:val="single" w:sz="8" w:color="auto"/>
            </w:tcBorders>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10.84</w:t>
            </w:r>
          </w:p>
        </w:tc>
        <w:tc>
          <w:tcPr>
            <w:tcW w:w="560" w:type="dxa"/>
            <w:vAlign w:val="bottom"/>
            <w:tcBorders>
              <w:bottom w:val="single" w:sz="8" w:color="auto"/>
            </w:tcBorders>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4.67</w:t>
            </w:r>
          </w:p>
        </w:tc>
        <w:tc>
          <w:tcPr>
            <w:tcW w:w="1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4.15</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Share option awards are generally granted with an exercise price equal to the market price of the Company’s shares at date of grant. Share options typically vest over a period of five years from date of grant and expire eight years from date of grant. The maximum contractual term of options outstanding at September 30, 2008, is eight years.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weighted average fair value of stock options granted during the nine months ended September 30, 2008 calculated using the Black-Scholes option pricing model, was $12.93 based on the following assumptions; dividend yield - 0%, risk free interest rate – 1.654% to 3.2%, expected volatility - 35% and weighted average expected life – 5.11 years.</w:t>
      </w:r>
    </w:p>
    <w:p>
      <w:pPr>
        <w:spacing w:after="0" w:line="201"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Expected volatility is based on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gilts zero-coupon yield curve in effect at time of grant for periods corresponding with the expected life of the option.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both"/>
        <w:spacing w:after="0" w:line="252" w:lineRule="auto"/>
        <w:rPr>
          <w:sz w:val="20"/>
          <w:szCs w:val="20"/>
          <w:color w:val="auto"/>
        </w:rPr>
      </w:pPr>
      <w:r>
        <w:rPr>
          <w:rFonts w:ascii="Arial" w:cs="Arial" w:eastAsia="Arial" w:hAnsi="Arial"/>
          <w:sz w:val="14"/>
          <w:szCs w:val="14"/>
          <w:color w:val="auto"/>
        </w:rPr>
        <w:t>On August 7, 2008, the Company issued 6,280 restricted share units to certain employees of the Group. These shares are exercisable over periods ranging from February 26, 2009, to February 26, 2011. The market value of the Company’s shares on date of issue was $41.95.</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Income from operations for the nine months ended September 30, 2008 is stated after charging $4.4 million in respect of non-cash stock compensation expense. Basic and diluted earnings per share for the nine months ended September 30, 2008, had SFAS 123R not been introduced would have been $1.06 and $1.01 respectively. Non-cash stock compensation expense for the three and nine months ended September 30, 2008, has been allocated to direct costs and selling, general and administrative expenses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jc w:val="right"/>
              <w:ind w:right="148"/>
              <w:spacing w:after="0" w:line="126" w:lineRule="exact"/>
              <w:rPr>
                <w:sz w:val="20"/>
                <w:szCs w:val="20"/>
                <w:color w:val="auto"/>
              </w:rPr>
            </w:pPr>
            <w:r>
              <w:rPr>
                <w:rFonts w:ascii="Arial" w:cs="Arial" w:eastAsia="Arial" w:hAnsi="Arial"/>
                <w:sz w:val="14"/>
                <w:szCs w:val="14"/>
                <w:b w:val="1"/>
                <w:bCs w:val="1"/>
                <w:color w:val="auto"/>
              </w:rPr>
              <w:t>Sept 30,</w:t>
            </w: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rPr>
              <w:t>Sept 30,</w:t>
            </w:r>
          </w:p>
        </w:tc>
        <w:tc>
          <w:tcPr>
            <w:tcW w:w="20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ind w:left="140"/>
              <w:spacing w:after="0" w:line="126" w:lineRule="exact"/>
              <w:rPr>
                <w:sz w:val="20"/>
                <w:szCs w:val="20"/>
                <w:color w:val="auto"/>
              </w:rPr>
            </w:pPr>
            <w:r>
              <w:rPr>
                <w:rFonts w:ascii="Arial" w:cs="Arial" w:eastAsia="Arial" w:hAnsi="Arial"/>
                <w:sz w:val="14"/>
                <w:szCs w:val="14"/>
                <w:b w:val="1"/>
                <w:bCs w:val="1"/>
                <w:color w:val="auto"/>
              </w:rPr>
              <w:t>Sept 30,</w:t>
            </w:r>
          </w:p>
        </w:tc>
        <w:tc>
          <w:tcPr>
            <w:tcW w:w="5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89"/>
              </w:rPr>
              <w:t>Sept 30,</w:t>
            </w: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(In</w:t>
            </w:r>
          </w:p>
        </w:tc>
        <w:tc>
          <w:tcPr>
            <w:tcW w:w="1260" w:type="dxa"/>
            <w:vAlign w:val="bottom"/>
            <w:gridSpan w:val="3"/>
          </w:tcPr>
          <w:p>
            <w:pPr>
              <w:jc w:val="right"/>
              <w:ind w:right="628"/>
              <w:spacing w:after="0" w:line="149" w:lineRule="exact"/>
              <w:rPr>
                <w:sz w:val="20"/>
                <w:szCs w:val="20"/>
                <w:color w:val="auto"/>
              </w:rPr>
            </w:pPr>
            <w:r>
              <w:rPr>
                <w:rFonts w:ascii="Arial" w:cs="Arial" w:eastAsia="Arial" w:hAnsi="Arial"/>
                <w:sz w:val="14"/>
                <w:szCs w:val="14"/>
                <w:b w:val="1"/>
                <w:bCs w:val="1"/>
                <w:color w:val="auto"/>
                <w:w w:val="71"/>
              </w:rPr>
              <w:t>thousands</w:t>
            </w:r>
            <w:r>
              <w:rPr>
                <w:rFonts w:ascii="Arial" w:cs="Arial" w:eastAsia="Arial" w:hAnsi="Arial"/>
                <w:sz w:val="14"/>
                <w:szCs w:val="14"/>
                <w:color w:val="auto"/>
                <w:w w:val="71"/>
              </w:rPr>
              <w:t>)</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jc w:val="right"/>
              <w:ind w:right="88"/>
              <w:spacing w:after="0"/>
              <w:rPr>
                <w:sz w:val="20"/>
                <w:szCs w:val="20"/>
                <w:color w:val="auto"/>
              </w:rPr>
            </w:pPr>
            <w:r>
              <w:rPr>
                <w:rFonts w:ascii="Arial" w:cs="Arial" w:eastAsia="Arial" w:hAnsi="Arial"/>
                <w:sz w:val="13"/>
                <w:szCs w:val="13"/>
                <w:b w:val="1"/>
                <w:bCs w:val="1"/>
                <w:color w:val="auto"/>
                <w:w w:val="74"/>
              </w:rPr>
              <w:t>thousands</w:t>
            </w:r>
            <w:r>
              <w:rPr>
                <w:rFonts w:ascii="Arial" w:cs="Arial" w:eastAsia="Arial" w:hAnsi="Arial"/>
                <w:sz w:val="13"/>
                <w:szCs w:val="13"/>
                <w:color w:val="auto"/>
                <w:w w:val="74"/>
              </w:rPr>
              <w: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2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760</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2,420</w:t>
            </w:r>
          </w:p>
        </w:tc>
        <w:tc>
          <w:tcPr>
            <w:tcW w:w="52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2,167</w:t>
            </w:r>
          </w:p>
        </w:tc>
        <w:tc>
          <w:tcPr>
            <w:tcW w:w="100" w:type="dxa"/>
            <w:vAlign w:val="bottom"/>
            <w:shd w:val="clear" w:color="auto" w:fill="CCEEFF"/>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722</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620</w:t>
            </w: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113"/>
              <w:spacing w:after="0" w:line="149" w:lineRule="exact"/>
              <w:rPr>
                <w:sz w:val="20"/>
                <w:szCs w:val="20"/>
                <w:color w:val="auto"/>
              </w:rPr>
            </w:pPr>
            <w:r>
              <w:rPr>
                <w:rFonts w:ascii="Arial" w:cs="Arial" w:eastAsia="Arial" w:hAnsi="Arial"/>
                <w:sz w:val="14"/>
                <w:szCs w:val="14"/>
                <w:color w:val="auto"/>
              </w:rPr>
              <w:t>2,013</w:t>
            </w:r>
          </w:p>
        </w:tc>
        <w:tc>
          <w:tcPr>
            <w:tcW w:w="5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1,773</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80" w:type="dxa"/>
            <w:vAlign w:val="bottom"/>
            <w:tcBorders>
              <w:bottom w:val="single" w:sz="8" w:color="auto"/>
            </w:tcBorders>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gridSpan w:val="3"/>
          </w:tcPr>
          <w:p>
            <w:pPr>
              <w:jc w:val="right"/>
              <w:ind w:right="148"/>
              <w:spacing w:after="0" w:line="149" w:lineRule="exact"/>
              <w:rPr>
                <w:sz w:val="20"/>
                <w:szCs w:val="20"/>
                <w:color w:val="auto"/>
              </w:rPr>
            </w:pPr>
            <w:r>
              <w:rPr>
                <w:rFonts w:ascii="Arial" w:cs="Arial" w:eastAsia="Arial" w:hAnsi="Arial"/>
                <w:sz w:val="14"/>
                <w:szCs w:val="14"/>
                <w:color w:val="auto"/>
              </w:rPr>
              <w:t>1,604</w:t>
            </w:r>
          </w:p>
        </w:tc>
        <w:tc>
          <w:tcPr>
            <w:tcW w:w="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1,380</w:t>
            </w:r>
          </w:p>
        </w:tc>
        <w:tc>
          <w:tcPr>
            <w:tcW w:w="380" w:type="dxa"/>
            <w:vAlign w:val="bottom"/>
            <w:tcBorders>
              <w:bottom w:val="single" w:sz="8" w:color="auto"/>
            </w:tcBorders>
          </w:tcPr>
          <w:p>
            <w:pPr>
              <w:jc w:val="right"/>
              <w:ind w:right="2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gridSpan w:val="2"/>
          </w:tcPr>
          <w:p>
            <w:pPr>
              <w:jc w:val="right"/>
              <w:ind w:right="113"/>
              <w:spacing w:after="0" w:line="149" w:lineRule="exact"/>
              <w:rPr>
                <w:sz w:val="20"/>
                <w:szCs w:val="20"/>
                <w:color w:val="auto"/>
              </w:rPr>
            </w:pPr>
            <w:r>
              <w:rPr>
                <w:rFonts w:ascii="Arial" w:cs="Arial" w:eastAsia="Arial" w:hAnsi="Arial"/>
                <w:sz w:val="14"/>
                <w:szCs w:val="14"/>
                <w:color w:val="auto"/>
              </w:rPr>
              <w:t>4,433</w:t>
            </w:r>
          </w:p>
        </w:tc>
        <w:tc>
          <w:tcPr>
            <w:tcW w:w="520" w:type="dxa"/>
            <w:vAlign w:val="bottom"/>
            <w:tcBorders>
              <w:bottom w:val="single" w:sz="8" w:color="auto"/>
            </w:tcBorders>
          </w:tcPr>
          <w:p>
            <w:pPr>
              <w:jc w:val="right"/>
              <w:ind w:right="368"/>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3,940</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460" w:type="dxa"/>
            <w:vAlign w:val="bottom"/>
            <w:gridSpan w:val="2"/>
            <w:vMerge w:val="restart"/>
          </w:tcPr>
          <w:p>
            <w:pPr>
              <w:spacing w:after="0"/>
              <w:rPr>
                <w:sz w:val="20"/>
                <w:szCs w:val="20"/>
                <w:color w:val="auto"/>
              </w:rPr>
            </w:pPr>
            <w:r>
              <w:rPr>
                <w:rFonts w:ascii="Arial" w:cs="Arial" w:eastAsia="Arial" w:hAnsi="Arial"/>
                <w:sz w:val="14"/>
                <w:szCs w:val="14"/>
                <w:color w:val="auto"/>
              </w:rPr>
              <w:t>Non vested shares outstanding as at September 30, 2008 are as follows:</w:t>
            </w: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54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Options</w:t>
            </w:r>
          </w:p>
        </w:tc>
        <w:tc>
          <w:tcPr>
            <w:tcW w:w="380" w:type="dxa"/>
            <w:vAlign w:val="bottom"/>
          </w:tcPr>
          <w:p>
            <w:pPr>
              <w:spacing w:after="0"/>
              <w:rPr>
                <w:sz w:val="24"/>
                <w:szCs w:val="24"/>
                <w:color w:val="auto"/>
              </w:rPr>
            </w:pPr>
          </w:p>
        </w:tc>
        <w:tc>
          <w:tcPr>
            <w:tcW w:w="13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Weighted Average</w:t>
            </w:r>
          </w:p>
        </w:tc>
        <w:tc>
          <w:tcPr>
            <w:tcW w:w="500" w:type="dxa"/>
            <w:vAlign w:val="bottom"/>
          </w:tcPr>
          <w:p>
            <w:pPr>
              <w:spacing w:after="0"/>
              <w:rPr>
                <w:sz w:val="24"/>
                <w:szCs w:val="24"/>
                <w:color w:val="auto"/>
              </w:rPr>
            </w:pPr>
          </w:p>
        </w:tc>
        <w:tc>
          <w:tcPr>
            <w:tcW w:w="12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Outstanding</w:t>
            </w:r>
          </w:p>
        </w:tc>
        <w:tc>
          <w:tcPr>
            <w:tcW w:w="3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Number of Shares</w:t>
            </w:r>
          </w:p>
        </w:tc>
        <w:tc>
          <w:tcPr>
            <w:tcW w:w="38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Exercise Price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5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 vested outstanding at December 31, 2007</w:t>
            </w: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3,617,898</w:t>
            </w:r>
          </w:p>
        </w:tc>
        <w:tc>
          <w:tcPr>
            <w:tcW w:w="3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13.23</w:t>
            </w:r>
          </w:p>
        </w:tc>
        <w:tc>
          <w:tcPr>
            <w:tcW w:w="50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4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Granted</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1,265,190</w:t>
            </w:r>
          </w:p>
        </w:tc>
        <w:tc>
          <w:tcPr>
            <w:tcW w:w="3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35.43</w:t>
            </w:r>
          </w:p>
        </w:tc>
        <w:tc>
          <w:tcPr>
            <w:tcW w:w="50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Vested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(939,598)</w:t>
            </w:r>
          </w:p>
        </w:tc>
        <w:tc>
          <w:tcPr>
            <w:tcW w:w="3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11.91</w:t>
            </w:r>
          </w:p>
        </w:tc>
        <w:tc>
          <w:tcPr>
            <w:tcW w:w="5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Forfeited</w:t>
            </w: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(121,590)</w:t>
            </w:r>
          </w:p>
        </w:tc>
        <w:tc>
          <w:tcPr>
            <w:tcW w:w="3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17.92</w:t>
            </w:r>
          </w:p>
        </w:tc>
        <w:tc>
          <w:tcPr>
            <w:tcW w:w="50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4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4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Non vested outstanding at September 30, 2008</w:t>
            </w:r>
          </w:p>
        </w:tc>
        <w:tc>
          <w:tcPr>
            <w:tcW w:w="2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3,821,900</w:t>
            </w:r>
          </w:p>
        </w:tc>
        <w:tc>
          <w:tcPr>
            <w:tcW w:w="3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20.76</w:t>
            </w:r>
          </w:p>
        </w:tc>
        <w:tc>
          <w:tcPr>
            <w:tcW w:w="50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8.25</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As at September 30, 2008, total unrecognized compensation cost related to unvested options, which the Company expects to recognize over a weighted average period of 2.32 years, amounted to $19.1 million. The Company has granted options with fair values ranging from $3.17 to $13.93 per option or a weighted average fair value of $5.78 per option. The Company issues new ordinary shares for all options exercised. The total amount of fully vested share options which remained outstanding at September 30, 2008, was 1,455,913. The fully vested options have an average remaining contractual term of 4.15 years and average exercise price of $10.84 and a total intrinsic value of $39.9 million. The total intrinsic value of options exercised during the three months ended September 30, 2008, was $3.9 million (three months ended September 30, 2007, was $1.3 million). The total intrinsic value of options exercised during the nine months ended September 30, 2008, was $23.4 million (nine months ended September 30, 2007, was $10.3 million).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auto"/>
        </w:rPr>
        <w:t>6. Business Segment Information</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Company operates predominantly in the contract clinical research industry providing a broad range of clinical research and integrated product development services on a global basis for the pharmaceutical and biotechnology industries. The Company also has a central laboratory segment primarily based in New York, USA. This, together with laboratory services based in Dublin, form the central laboratory segment information disclosed below.</w:t>
      </w:r>
    </w:p>
    <w:p>
      <w:pPr>
        <w:spacing w:after="0" w:line="210"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The Company's areas of operation outside of Ireland principally include the United States, England, Scotland, France, Germany, Spain, Italy, The Netherlands, Denmark, Sweden, Finland, Russia, Latvia, Lithuania, Ukraine, Poland, Romania, Czech Republic, Hungary, Israel, Australia, New Zealand, Japan, South Korea, China, Taiwan, Hong Kong, Thailand, Singapore, India, South Africa, Canada, Columbia, Mexico, Brazil, Peru, Argentina and Chile. Segment information for the three and nine months ended September 30, 2008, the three and nine months ended September 30, 2007, and as at September 30, 2008, and December 31, 2007,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40" w:type="dxa"/>
            <w:vAlign w:val="bottom"/>
            <w:gridSpan w:val="2"/>
          </w:tcPr>
          <w:p>
            <w:pPr>
              <w:spacing w:after="0"/>
              <w:rPr>
                <w:sz w:val="20"/>
                <w:szCs w:val="20"/>
                <w:color w:val="auto"/>
              </w:rPr>
            </w:pPr>
            <w:r>
              <w:rPr>
                <w:rFonts w:ascii="Arial" w:cs="Arial" w:eastAsia="Arial" w:hAnsi="Arial"/>
                <w:sz w:val="14"/>
                <w:szCs w:val="14"/>
                <w:color w:val="auto"/>
              </w:rPr>
              <w:t>a) The distribution of net revenue by geographical area was as follows:</w:t>
            </w: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24"/>
                <w:szCs w:val="24"/>
                <w:color w:val="auto"/>
              </w:rPr>
            </w:pPr>
          </w:p>
        </w:tc>
        <w:tc>
          <w:tcPr>
            <w:tcW w:w="2420" w:type="dxa"/>
            <w:vAlign w:val="bottom"/>
            <w:gridSpan w:val="6"/>
          </w:tcPr>
          <w:p>
            <w:pPr>
              <w:ind w:lef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ind w:left="120"/>
              <w:spacing w:after="0" w:line="126" w:lineRule="exact"/>
              <w:rPr>
                <w:sz w:val="20"/>
                <w:szCs w:val="20"/>
                <w:color w:val="auto"/>
              </w:rPr>
            </w:pPr>
            <w:r>
              <w:rPr>
                <w:rFonts w:ascii="Arial" w:cs="Arial" w:eastAsia="Arial" w:hAnsi="Arial"/>
                <w:sz w:val="14"/>
                <w:szCs w:val="14"/>
                <w:b w:val="1"/>
                <w:bCs w:val="1"/>
                <w:color w:val="auto"/>
              </w:rPr>
              <w:t>September 30,</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33"/>
              <w:spacing w:after="0" w:line="126" w:lineRule="exact"/>
              <w:rPr>
                <w:sz w:val="20"/>
                <w:szCs w:val="20"/>
                <w:color w:val="auto"/>
              </w:rPr>
            </w:pPr>
            <w:r>
              <w:rPr>
                <w:rFonts w:ascii="Arial" w:cs="Arial" w:eastAsia="Arial" w:hAnsi="Arial"/>
                <w:sz w:val="14"/>
                <w:szCs w:val="14"/>
                <w:b w:val="1"/>
                <w:bCs w:val="1"/>
                <w:color w:val="auto"/>
                <w:w w:val="98"/>
              </w:rPr>
              <w:t>September 30,</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gridSpan w:val="2"/>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200" w:type="dxa"/>
            <w:vAlign w:val="bottom"/>
            <w:vMerge w:val="restart"/>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(in</w:t>
            </w:r>
          </w:p>
        </w:tc>
        <w:tc>
          <w:tcPr>
            <w:tcW w:w="1380" w:type="dxa"/>
            <w:vAlign w:val="bottom"/>
            <w:gridSpan w:val="4"/>
          </w:tcPr>
          <w:p>
            <w:pPr>
              <w:jc w:val="center"/>
              <w:ind w:right="768"/>
              <w:spacing w:after="0" w:line="149" w:lineRule="exact"/>
              <w:rPr>
                <w:sz w:val="20"/>
                <w:szCs w:val="20"/>
                <w:color w:val="auto"/>
              </w:rPr>
            </w:pPr>
            <w:r>
              <w:rPr>
                <w:rFonts w:ascii="Arial" w:cs="Arial" w:eastAsia="Arial" w:hAnsi="Arial"/>
                <w:sz w:val="14"/>
                <w:szCs w:val="14"/>
                <w:b w:val="1"/>
                <w:bCs w:val="1"/>
                <w:color w:val="auto"/>
                <w:w w:val="71"/>
              </w:rPr>
              <w:t>thousands)</w:t>
            </w:r>
          </w:p>
        </w:tc>
        <w:tc>
          <w:tcPr>
            <w:tcW w:w="2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(in</w:t>
            </w:r>
          </w:p>
        </w:tc>
        <w:tc>
          <w:tcPr>
            <w:tcW w:w="1360" w:type="dxa"/>
            <w:vAlign w:val="bottom"/>
            <w:gridSpan w:val="4"/>
          </w:tcPr>
          <w:p>
            <w:pPr>
              <w:jc w:val="right"/>
              <w:ind w:right="748"/>
              <w:spacing w:after="0"/>
              <w:rPr>
                <w:sz w:val="20"/>
                <w:szCs w:val="20"/>
                <w:color w:val="auto"/>
              </w:rPr>
            </w:pPr>
            <w:r>
              <w:rPr>
                <w:rFonts w:ascii="Arial" w:cs="Arial" w:eastAsia="Arial" w:hAnsi="Arial"/>
                <w:sz w:val="13"/>
                <w:szCs w:val="13"/>
                <w:b w:val="1"/>
                <w:bCs w:val="1"/>
                <w:color w:val="auto"/>
                <w:w w:val="74"/>
              </w:rPr>
              <w:t>thousands)</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36,868</w:t>
            </w:r>
          </w:p>
        </w:tc>
        <w:tc>
          <w:tcPr>
            <w:tcW w:w="1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20,047</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109,261</w:t>
            </w: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70,435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72,540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47,598</w:t>
            </w:r>
          </w:p>
        </w:tc>
        <w:tc>
          <w:tcPr>
            <w:tcW w:w="180" w:type="dxa"/>
            <w:vAlign w:val="bottom"/>
          </w:tcPr>
          <w:p>
            <w:pPr>
              <w:spacing w:after="0"/>
              <w:rPr>
                <w:sz w:val="12"/>
                <w:szCs w:val="12"/>
                <w:color w:val="auto"/>
              </w:rPr>
            </w:pPr>
          </w:p>
        </w:tc>
        <w:tc>
          <w:tcPr>
            <w:tcW w:w="106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196,568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115,147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93,601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88,552</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286,236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237,545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Rest of the World</w:t>
            </w:r>
          </w:p>
        </w:tc>
        <w:tc>
          <w:tcPr>
            <w:tcW w:w="8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22,502</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10,719</w:t>
            </w: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33"/>
              <w:spacing w:after="0" w:line="149" w:lineRule="exact"/>
              <w:rPr>
                <w:sz w:val="20"/>
                <w:szCs w:val="20"/>
                <w:color w:val="auto"/>
              </w:rPr>
            </w:pPr>
            <w:r>
              <w:rPr>
                <w:rFonts w:ascii="Arial" w:cs="Arial" w:eastAsia="Arial" w:hAnsi="Arial"/>
                <w:sz w:val="14"/>
                <w:szCs w:val="14"/>
                <w:color w:val="auto"/>
              </w:rPr>
              <w:t>53,090</w:t>
            </w: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26,925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225,511</w:t>
            </w:r>
          </w:p>
        </w:tc>
        <w:tc>
          <w:tcPr>
            <w:tcW w:w="12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166,916</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645,155</w:t>
            </w:r>
          </w:p>
        </w:tc>
        <w:tc>
          <w:tcPr>
            <w:tcW w:w="2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450,052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20" w:type="dxa"/>
            <w:vAlign w:val="bottom"/>
          </w:tcPr>
          <w:p>
            <w:pPr>
              <w:spacing w:after="0"/>
              <w:rPr>
                <w:sz w:val="20"/>
                <w:szCs w:val="20"/>
                <w:color w:val="auto"/>
              </w:rPr>
            </w:pPr>
            <w:r>
              <w:rPr>
                <w:rFonts w:ascii="Arial" w:cs="Arial" w:eastAsia="Arial" w:hAnsi="Arial"/>
                <w:sz w:val="14"/>
                <w:szCs w:val="14"/>
                <w:color w:val="auto"/>
              </w:rPr>
              <w:t>* All sales shown for Ireland are export sales.</w:t>
            </w: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3"/>
        </w:trPr>
        <w:tc>
          <w:tcPr>
            <w:tcW w:w="5240" w:type="dxa"/>
            <w:vAlign w:val="bottom"/>
            <w:gridSpan w:val="2"/>
          </w:tcPr>
          <w:p>
            <w:pPr>
              <w:spacing w:after="0"/>
              <w:rPr>
                <w:sz w:val="20"/>
                <w:szCs w:val="20"/>
                <w:color w:val="auto"/>
              </w:rPr>
            </w:pPr>
            <w:r>
              <w:rPr>
                <w:rFonts w:ascii="Arial" w:cs="Arial" w:eastAsia="Arial" w:hAnsi="Arial"/>
                <w:sz w:val="14"/>
                <w:szCs w:val="14"/>
                <w:color w:val="auto"/>
              </w:rPr>
              <w:t>b) The distribution of net revenue by business segment was as follows:</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24"/>
                <w:szCs w:val="24"/>
                <w:color w:val="auto"/>
              </w:rPr>
            </w:pPr>
          </w:p>
        </w:tc>
        <w:tc>
          <w:tcPr>
            <w:tcW w:w="2420" w:type="dxa"/>
            <w:vAlign w:val="bottom"/>
            <w:gridSpan w:val="6"/>
          </w:tcPr>
          <w:p>
            <w:pPr>
              <w:ind w:lef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ind w:left="120"/>
              <w:spacing w:after="0" w:line="126" w:lineRule="exact"/>
              <w:rPr>
                <w:sz w:val="20"/>
                <w:szCs w:val="20"/>
                <w:color w:val="auto"/>
              </w:rPr>
            </w:pPr>
            <w:r>
              <w:rPr>
                <w:rFonts w:ascii="Arial" w:cs="Arial" w:eastAsia="Arial" w:hAnsi="Arial"/>
                <w:sz w:val="14"/>
                <w:szCs w:val="14"/>
                <w:b w:val="1"/>
                <w:bCs w:val="1"/>
                <w:color w:val="auto"/>
              </w:rPr>
              <w:t>September 30,</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33"/>
              <w:spacing w:after="0" w:line="126" w:lineRule="exact"/>
              <w:rPr>
                <w:sz w:val="20"/>
                <w:szCs w:val="20"/>
                <w:color w:val="auto"/>
              </w:rPr>
            </w:pPr>
            <w:r>
              <w:rPr>
                <w:rFonts w:ascii="Arial" w:cs="Arial" w:eastAsia="Arial" w:hAnsi="Arial"/>
                <w:sz w:val="14"/>
                <w:szCs w:val="14"/>
                <w:b w:val="1"/>
                <w:bCs w:val="1"/>
                <w:color w:val="auto"/>
                <w:w w:val="98"/>
              </w:rPr>
              <w:t>September 30,</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gridSpan w:val="2"/>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200" w:type="dxa"/>
            <w:vAlign w:val="bottom"/>
            <w:vMerge w:val="restart"/>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(in</w:t>
            </w:r>
          </w:p>
        </w:tc>
        <w:tc>
          <w:tcPr>
            <w:tcW w:w="1380" w:type="dxa"/>
            <w:vAlign w:val="bottom"/>
            <w:gridSpan w:val="4"/>
          </w:tcPr>
          <w:p>
            <w:pPr>
              <w:jc w:val="center"/>
              <w:ind w:right="768"/>
              <w:spacing w:after="0" w:line="149" w:lineRule="exact"/>
              <w:rPr>
                <w:sz w:val="20"/>
                <w:szCs w:val="20"/>
                <w:color w:val="auto"/>
              </w:rPr>
            </w:pPr>
            <w:r>
              <w:rPr>
                <w:rFonts w:ascii="Arial" w:cs="Arial" w:eastAsia="Arial" w:hAnsi="Arial"/>
                <w:sz w:val="14"/>
                <w:szCs w:val="14"/>
                <w:b w:val="1"/>
                <w:bCs w:val="1"/>
                <w:color w:val="auto"/>
                <w:w w:val="71"/>
              </w:rPr>
              <w:t>thousands)</w:t>
            </w:r>
          </w:p>
        </w:tc>
        <w:tc>
          <w:tcPr>
            <w:tcW w:w="2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(in</w:t>
            </w:r>
          </w:p>
        </w:tc>
        <w:tc>
          <w:tcPr>
            <w:tcW w:w="1360" w:type="dxa"/>
            <w:vAlign w:val="bottom"/>
            <w:gridSpan w:val="4"/>
          </w:tcPr>
          <w:p>
            <w:pPr>
              <w:jc w:val="right"/>
              <w:ind w:right="748"/>
              <w:spacing w:after="0"/>
              <w:rPr>
                <w:sz w:val="20"/>
                <w:szCs w:val="20"/>
                <w:color w:val="auto"/>
              </w:rPr>
            </w:pPr>
            <w:r>
              <w:rPr>
                <w:rFonts w:ascii="Arial" w:cs="Arial" w:eastAsia="Arial" w:hAnsi="Arial"/>
                <w:sz w:val="13"/>
                <w:szCs w:val="13"/>
                <w:b w:val="1"/>
                <w:bCs w:val="1"/>
                <w:color w:val="auto"/>
                <w:w w:val="74"/>
              </w:rPr>
              <w:t>thousands)</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Central laboratory</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18,507</w:t>
            </w:r>
          </w:p>
        </w:tc>
        <w:tc>
          <w:tcPr>
            <w:tcW w:w="1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13,845</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51,545</w:t>
            </w: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39,802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Clinical research</w:t>
            </w:r>
          </w:p>
        </w:tc>
        <w:tc>
          <w:tcPr>
            <w:tcW w:w="8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207,004</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153,071</w:t>
            </w: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33"/>
              <w:spacing w:after="0" w:line="149" w:lineRule="exact"/>
              <w:rPr>
                <w:sz w:val="20"/>
                <w:szCs w:val="20"/>
                <w:color w:val="auto"/>
              </w:rPr>
            </w:pPr>
            <w:r>
              <w:rPr>
                <w:rFonts w:ascii="Arial" w:cs="Arial" w:eastAsia="Arial" w:hAnsi="Arial"/>
                <w:sz w:val="14"/>
                <w:szCs w:val="14"/>
                <w:color w:val="auto"/>
              </w:rPr>
              <w:t>593,610</w:t>
            </w: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410,250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225,511</w:t>
            </w:r>
          </w:p>
        </w:tc>
        <w:tc>
          <w:tcPr>
            <w:tcW w:w="12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166,916</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645,155</w:t>
            </w:r>
          </w:p>
        </w:tc>
        <w:tc>
          <w:tcPr>
            <w:tcW w:w="2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450,052</w:t>
            </w:r>
          </w:p>
        </w:tc>
        <w:tc>
          <w:tcPr>
            <w:tcW w:w="0" w:type="dxa"/>
            <w:vAlign w:val="bottom"/>
          </w:tcPr>
          <w:p>
            <w:pPr>
              <w:spacing w:after="0"/>
              <w:rPr>
                <w:sz w:val="1"/>
                <w:szCs w:val="1"/>
                <w:color w:val="auto"/>
              </w:rPr>
            </w:pPr>
          </w:p>
        </w:tc>
      </w:tr>
      <w:tr>
        <w:trPr>
          <w:trHeight w:val="400"/>
        </w:trPr>
        <w:tc>
          <w:tcPr>
            <w:tcW w:w="5240" w:type="dxa"/>
            <w:vAlign w:val="bottom"/>
            <w:gridSpan w:val="2"/>
          </w:tcPr>
          <w:p>
            <w:pPr>
              <w:spacing w:after="0"/>
              <w:rPr>
                <w:sz w:val="20"/>
                <w:szCs w:val="20"/>
                <w:color w:val="auto"/>
              </w:rPr>
            </w:pPr>
            <w:r>
              <w:rPr>
                <w:rFonts w:ascii="Arial" w:cs="Arial" w:eastAsia="Arial" w:hAnsi="Arial"/>
                <w:sz w:val="14"/>
                <w:szCs w:val="14"/>
                <w:color w:val="auto"/>
              </w:rPr>
              <w:t>c) The distribution of income from operations by geographical area was as follows:</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24"/>
                <w:szCs w:val="24"/>
                <w:color w:val="auto"/>
              </w:rPr>
            </w:pPr>
          </w:p>
        </w:tc>
        <w:tc>
          <w:tcPr>
            <w:tcW w:w="2420" w:type="dxa"/>
            <w:vAlign w:val="bottom"/>
            <w:gridSpan w:val="6"/>
          </w:tcPr>
          <w:p>
            <w:pPr>
              <w:ind w:lef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ind w:left="120"/>
              <w:spacing w:after="0" w:line="126" w:lineRule="exact"/>
              <w:rPr>
                <w:sz w:val="20"/>
                <w:szCs w:val="20"/>
                <w:color w:val="auto"/>
              </w:rPr>
            </w:pPr>
            <w:r>
              <w:rPr>
                <w:rFonts w:ascii="Arial" w:cs="Arial" w:eastAsia="Arial" w:hAnsi="Arial"/>
                <w:sz w:val="14"/>
                <w:szCs w:val="14"/>
                <w:b w:val="1"/>
                <w:bCs w:val="1"/>
                <w:color w:val="auto"/>
              </w:rPr>
              <w:t>September 30,</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33"/>
              <w:spacing w:after="0" w:line="126" w:lineRule="exact"/>
              <w:rPr>
                <w:sz w:val="20"/>
                <w:szCs w:val="20"/>
                <w:color w:val="auto"/>
              </w:rPr>
            </w:pPr>
            <w:r>
              <w:rPr>
                <w:rFonts w:ascii="Arial" w:cs="Arial" w:eastAsia="Arial" w:hAnsi="Arial"/>
                <w:sz w:val="14"/>
                <w:szCs w:val="14"/>
                <w:b w:val="1"/>
                <w:bCs w:val="1"/>
                <w:color w:val="auto"/>
                <w:w w:val="98"/>
              </w:rPr>
              <w:t>September 30,</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gridSpan w:val="2"/>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200" w:type="dxa"/>
            <w:vAlign w:val="bottom"/>
            <w:vMerge w:val="restart"/>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(in</w:t>
            </w:r>
          </w:p>
        </w:tc>
        <w:tc>
          <w:tcPr>
            <w:tcW w:w="1380" w:type="dxa"/>
            <w:vAlign w:val="bottom"/>
            <w:gridSpan w:val="4"/>
          </w:tcPr>
          <w:p>
            <w:pPr>
              <w:jc w:val="center"/>
              <w:ind w:right="768"/>
              <w:spacing w:after="0" w:line="149" w:lineRule="exact"/>
              <w:rPr>
                <w:sz w:val="20"/>
                <w:szCs w:val="20"/>
                <w:color w:val="auto"/>
              </w:rPr>
            </w:pPr>
            <w:r>
              <w:rPr>
                <w:rFonts w:ascii="Arial" w:cs="Arial" w:eastAsia="Arial" w:hAnsi="Arial"/>
                <w:sz w:val="14"/>
                <w:szCs w:val="14"/>
                <w:b w:val="1"/>
                <w:bCs w:val="1"/>
                <w:color w:val="auto"/>
                <w:w w:val="71"/>
              </w:rPr>
              <w:t>thousands)</w:t>
            </w:r>
          </w:p>
        </w:tc>
        <w:tc>
          <w:tcPr>
            <w:tcW w:w="2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(in</w:t>
            </w:r>
          </w:p>
        </w:tc>
        <w:tc>
          <w:tcPr>
            <w:tcW w:w="1360" w:type="dxa"/>
            <w:vAlign w:val="bottom"/>
            <w:gridSpan w:val="4"/>
          </w:tcPr>
          <w:p>
            <w:pPr>
              <w:jc w:val="right"/>
              <w:ind w:right="748"/>
              <w:spacing w:after="0"/>
              <w:rPr>
                <w:sz w:val="20"/>
                <w:szCs w:val="20"/>
                <w:color w:val="auto"/>
              </w:rPr>
            </w:pPr>
            <w:r>
              <w:rPr>
                <w:rFonts w:ascii="Arial" w:cs="Arial" w:eastAsia="Arial" w:hAnsi="Arial"/>
                <w:sz w:val="13"/>
                <w:szCs w:val="13"/>
                <w:b w:val="1"/>
                <w:bCs w:val="1"/>
                <w:color w:val="auto"/>
                <w:w w:val="74"/>
              </w:rPr>
              <w:t>thousands)</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17,896</w:t>
            </w:r>
          </w:p>
        </w:tc>
        <w:tc>
          <w:tcPr>
            <w:tcW w:w="1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3,342</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40,361</w:t>
            </w: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2,834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3,585</w:t>
            </w:r>
          </w:p>
        </w:tc>
        <w:tc>
          <w:tcPr>
            <w:tcW w:w="180" w:type="dxa"/>
            <w:vAlign w:val="bottom"/>
          </w:tcPr>
          <w:p>
            <w:pPr>
              <w:spacing w:after="0"/>
              <w:rPr>
                <w:sz w:val="12"/>
                <w:szCs w:val="12"/>
                <w:color w:val="auto"/>
              </w:rPr>
            </w:pPr>
          </w:p>
        </w:tc>
        <w:tc>
          <w:tcPr>
            <w:tcW w:w="106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7,337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10,221</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23,781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17,918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Rest of the World</w:t>
            </w:r>
          </w:p>
        </w:tc>
        <w:tc>
          <w:tcPr>
            <w:tcW w:w="8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1,049</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1,555</w:t>
            </w: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33"/>
              <w:spacing w:after="0" w:line="149" w:lineRule="exact"/>
              <w:rPr>
                <w:sz w:val="20"/>
                <w:szCs w:val="20"/>
                <w:color w:val="auto"/>
              </w:rPr>
            </w:pPr>
            <w:r>
              <w:rPr>
                <w:rFonts w:ascii="Arial" w:cs="Arial" w:eastAsia="Arial" w:hAnsi="Arial"/>
                <w:sz w:val="14"/>
                <w:szCs w:val="14"/>
                <w:color w:val="auto"/>
              </w:rPr>
              <w:t>1,559</w:t>
            </w: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1,598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27,132</w:t>
            </w:r>
          </w:p>
        </w:tc>
        <w:tc>
          <w:tcPr>
            <w:tcW w:w="12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18,703</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73,038</w:t>
            </w:r>
          </w:p>
        </w:tc>
        <w:tc>
          <w:tcPr>
            <w:tcW w:w="2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49,455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840" w:type="dxa"/>
            <w:vAlign w:val="bottom"/>
          </w:tcPr>
          <w:p>
            <w:pPr>
              <w:jc w:val="right"/>
              <w:ind w:right="228"/>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522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2"/>
        </w:trPr>
        <w:tc>
          <w:tcPr>
            <w:tcW w:w="5540" w:type="dxa"/>
            <w:vAlign w:val="bottom"/>
          </w:tcPr>
          <w:p>
            <w:pPr>
              <w:spacing w:after="0"/>
              <w:rPr>
                <w:sz w:val="20"/>
                <w:szCs w:val="20"/>
                <w:color w:val="auto"/>
              </w:rPr>
            </w:pPr>
            <w:r>
              <w:rPr>
                <w:rFonts w:ascii="Arial" w:cs="Arial" w:eastAsia="Arial" w:hAnsi="Arial"/>
                <w:sz w:val="14"/>
                <w:szCs w:val="14"/>
                <w:color w:val="auto"/>
              </w:rPr>
              <w:t>d) The distribution of income from operations by business segment was as follows:</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84"/>
        </w:trPr>
        <w:tc>
          <w:tcPr>
            <w:tcW w:w="5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7"/>
          </w:tcPr>
          <w:p>
            <w:pPr>
              <w:ind w:left="460"/>
              <w:spacing w:after="0"/>
              <w:rPr>
                <w:sz w:val="20"/>
                <w:szCs w:val="20"/>
                <w:color w:val="auto"/>
              </w:rPr>
            </w:pPr>
            <w:r>
              <w:rPr>
                <w:rFonts w:ascii="Arial" w:cs="Arial" w:eastAsia="Arial" w:hAnsi="Arial"/>
                <w:sz w:val="14"/>
                <w:szCs w:val="14"/>
                <w:b w:val="1"/>
                <w:bCs w:val="1"/>
                <w:color w:val="auto"/>
              </w:rPr>
              <w:t>Nine Months Ended</w:t>
            </w:r>
          </w:p>
        </w:tc>
      </w:tr>
      <w:tr>
        <w:trPr>
          <w:trHeight w:val="126"/>
        </w:trPr>
        <w:tc>
          <w:tcPr>
            <w:tcW w:w="5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ind w:left="120"/>
              <w:spacing w:after="0" w:line="126" w:lineRule="exact"/>
              <w:rPr>
                <w:sz w:val="20"/>
                <w:szCs w:val="20"/>
                <w:color w:val="auto"/>
              </w:rPr>
            </w:pPr>
            <w:r>
              <w:rPr>
                <w:rFonts w:ascii="Arial" w:cs="Arial" w:eastAsia="Arial" w:hAnsi="Arial"/>
                <w:sz w:val="14"/>
                <w:szCs w:val="14"/>
                <w:b w:val="1"/>
                <w:bCs w:val="1"/>
                <w:color w:val="auto"/>
              </w:rPr>
              <w:t>September 30,</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3"/>
          </w:tcPr>
          <w:p>
            <w:pPr>
              <w:ind w:left="80"/>
              <w:spacing w:after="0" w:line="126" w:lineRule="exact"/>
              <w:rPr>
                <w:sz w:val="20"/>
                <w:szCs w:val="20"/>
                <w:color w:val="auto"/>
              </w:rPr>
            </w:pPr>
            <w:r>
              <w:rPr>
                <w:rFonts w:ascii="Arial" w:cs="Arial" w:eastAsia="Arial" w:hAnsi="Arial"/>
                <w:sz w:val="14"/>
                <w:szCs w:val="14"/>
                <w:b w:val="1"/>
                <w:bCs w:val="1"/>
                <w:color w:val="auto"/>
              </w:rPr>
              <w:t>September 30,</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0"/>
                <w:szCs w:val="10"/>
                <w:color w:val="auto"/>
              </w:rPr>
            </w:pPr>
          </w:p>
        </w:tc>
      </w:tr>
      <w:tr>
        <w:trPr>
          <w:trHeight w:val="178"/>
        </w:trPr>
        <w:tc>
          <w:tcPr>
            <w:tcW w:w="5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r>
      <w:tr>
        <w:trPr>
          <w:trHeight w:val="149"/>
        </w:trPr>
        <w:tc>
          <w:tcPr>
            <w:tcW w:w="5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(in</w:t>
            </w:r>
          </w:p>
        </w:tc>
        <w:tc>
          <w:tcPr>
            <w:tcW w:w="1380" w:type="dxa"/>
            <w:vAlign w:val="bottom"/>
            <w:gridSpan w:val="4"/>
          </w:tcPr>
          <w:p>
            <w:pPr>
              <w:jc w:val="center"/>
              <w:ind w:right="768"/>
              <w:spacing w:after="0" w:line="149" w:lineRule="exact"/>
              <w:rPr>
                <w:sz w:val="20"/>
                <w:szCs w:val="20"/>
                <w:color w:val="auto"/>
              </w:rPr>
            </w:pPr>
            <w:r>
              <w:rPr>
                <w:rFonts w:ascii="Arial" w:cs="Arial" w:eastAsia="Arial" w:hAnsi="Arial"/>
                <w:sz w:val="14"/>
                <w:szCs w:val="14"/>
                <w:b w:val="1"/>
                <w:bCs w:val="1"/>
                <w:color w:val="auto"/>
                <w:w w:val="71"/>
              </w:rPr>
              <w:t>thousands)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(in</w:t>
            </w:r>
          </w:p>
        </w:tc>
        <w:tc>
          <w:tcPr>
            <w:tcW w:w="1360" w:type="dxa"/>
            <w:vAlign w:val="bottom"/>
            <w:gridSpan w:val="5"/>
          </w:tcPr>
          <w:p>
            <w:pPr>
              <w:jc w:val="right"/>
              <w:ind w:right="748"/>
              <w:spacing w:after="0"/>
              <w:rPr>
                <w:sz w:val="20"/>
                <w:szCs w:val="20"/>
                <w:color w:val="auto"/>
              </w:rPr>
            </w:pPr>
            <w:r>
              <w:rPr>
                <w:rFonts w:ascii="Arial" w:cs="Arial" w:eastAsia="Arial" w:hAnsi="Arial"/>
                <w:sz w:val="13"/>
                <w:szCs w:val="13"/>
                <w:b w:val="1"/>
                <w:bCs w:val="1"/>
                <w:color w:val="auto"/>
                <w:w w:val="74"/>
              </w:rPr>
              <w:t>thousands)</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Central laboratory</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1,316</w:t>
            </w:r>
          </w:p>
        </w:tc>
        <w:tc>
          <w:tcPr>
            <w:tcW w:w="1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966</w:t>
            </w:r>
          </w:p>
        </w:tc>
        <w:tc>
          <w:tcPr>
            <w:tcW w:w="1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3,847</w:t>
            </w:r>
          </w:p>
        </w:tc>
        <w:tc>
          <w:tcPr>
            <w:tcW w:w="2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2,759</w:t>
            </w:r>
          </w:p>
        </w:tc>
      </w:tr>
      <w:tr>
        <w:trPr>
          <w:trHeight w:val="156"/>
        </w:trPr>
        <w:tc>
          <w:tcPr>
            <w:tcW w:w="55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Clinical research</w:t>
            </w: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25,816</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17,737</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33"/>
              <w:spacing w:after="0" w:line="149" w:lineRule="exact"/>
              <w:rPr>
                <w:sz w:val="20"/>
                <w:szCs w:val="20"/>
                <w:color w:val="auto"/>
              </w:rPr>
            </w:pPr>
            <w:r>
              <w:rPr>
                <w:rFonts w:ascii="Arial" w:cs="Arial" w:eastAsia="Arial" w:hAnsi="Arial"/>
                <w:sz w:val="14"/>
                <w:szCs w:val="14"/>
                <w:color w:val="auto"/>
              </w:rPr>
              <w:t>69,191</w:t>
            </w: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46,696</w:t>
            </w:r>
          </w:p>
        </w:tc>
      </w:tr>
      <w:tr>
        <w:trPr>
          <w:trHeight w:val="432"/>
        </w:trPr>
        <w:tc>
          <w:tcPr>
            <w:tcW w:w="5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27,132</w:t>
            </w:r>
          </w:p>
        </w:tc>
        <w:tc>
          <w:tcPr>
            <w:tcW w:w="12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18,703</w:t>
            </w:r>
          </w:p>
        </w:tc>
        <w:tc>
          <w:tcPr>
            <w:tcW w:w="2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gridSpan w:val="3"/>
            <w:shd w:val="clear" w:color="auto" w:fill="CCEEFF"/>
          </w:tcPr>
          <w:p>
            <w:pPr>
              <w:jc w:val="right"/>
              <w:ind w:right="33"/>
              <w:spacing w:after="0"/>
              <w:rPr>
                <w:sz w:val="20"/>
                <w:szCs w:val="20"/>
                <w:color w:val="auto"/>
              </w:rPr>
            </w:pPr>
            <w:r>
              <w:rPr>
                <w:rFonts w:ascii="Arial" w:cs="Arial" w:eastAsia="Arial" w:hAnsi="Arial"/>
                <w:sz w:val="14"/>
                <w:szCs w:val="14"/>
                <w:color w:val="auto"/>
              </w:rPr>
              <w:t>73,038</w:t>
            </w:r>
          </w:p>
        </w:tc>
        <w:tc>
          <w:tcPr>
            <w:tcW w:w="2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49,455</w:t>
            </w:r>
          </w:p>
        </w:tc>
      </w:tr>
      <w:tr>
        <w:trPr>
          <w:trHeight w:val="400"/>
        </w:trPr>
        <w:tc>
          <w:tcPr>
            <w:tcW w:w="5540" w:type="dxa"/>
            <w:vAlign w:val="bottom"/>
          </w:tcPr>
          <w:p>
            <w:pPr>
              <w:spacing w:after="0"/>
              <w:rPr>
                <w:sz w:val="20"/>
                <w:szCs w:val="20"/>
                <w:color w:val="auto"/>
              </w:rPr>
            </w:pPr>
            <w:r>
              <w:rPr>
                <w:rFonts w:ascii="Arial" w:cs="Arial" w:eastAsia="Arial" w:hAnsi="Arial"/>
                <w:sz w:val="14"/>
                <w:szCs w:val="14"/>
                <w:color w:val="auto"/>
                <w:w w:val="94"/>
              </w:rPr>
              <w:t>e) The distribution of property, plant and equipment, net, by geographical area was as follows:</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4"/>
        </w:trPr>
        <w:tc>
          <w:tcPr>
            <w:tcW w:w="5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December 31,</w:t>
            </w:r>
          </w:p>
        </w:tc>
      </w:tr>
      <w:tr>
        <w:trPr>
          <w:trHeight w:val="178"/>
        </w:trPr>
        <w:tc>
          <w:tcPr>
            <w:tcW w:w="5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r>
      <w:tr>
        <w:trPr>
          <w:trHeight w:val="149"/>
        </w:trPr>
        <w:tc>
          <w:tcPr>
            <w:tcW w:w="5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13"/>
              <w:spacing w:after="0" w:line="149" w:lineRule="exact"/>
              <w:rPr>
                <w:sz w:val="20"/>
                <w:szCs w:val="20"/>
                <w:color w:val="auto"/>
              </w:rPr>
            </w:pPr>
            <w:r>
              <w:rPr>
                <w:rFonts w:ascii="Arial" w:cs="Arial" w:eastAsia="Arial" w:hAnsi="Arial"/>
                <w:sz w:val="14"/>
                <w:szCs w:val="14"/>
                <w:b w:val="1"/>
                <w:bCs w:val="1"/>
                <w:color w:val="auto"/>
              </w:rPr>
              <w:t>(in</w:t>
            </w:r>
          </w:p>
        </w:tc>
        <w:tc>
          <w:tcPr>
            <w:tcW w:w="1340" w:type="dxa"/>
            <w:vAlign w:val="bottom"/>
            <w:gridSpan w:val="4"/>
          </w:tcPr>
          <w:p>
            <w:pPr>
              <w:jc w:val="center"/>
              <w:ind w:right="748"/>
              <w:spacing w:after="0"/>
              <w:rPr>
                <w:sz w:val="20"/>
                <w:szCs w:val="20"/>
                <w:color w:val="auto"/>
              </w:rPr>
            </w:pPr>
            <w:r>
              <w:rPr>
                <w:rFonts w:ascii="Arial" w:cs="Arial" w:eastAsia="Arial" w:hAnsi="Arial"/>
                <w:sz w:val="13"/>
                <w:szCs w:val="13"/>
                <w:b w:val="1"/>
                <w:bCs w:val="1"/>
                <w:color w:val="auto"/>
                <w:w w:val="74"/>
              </w:rPr>
              <w:t>thousands)</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99,185</w:t>
            </w:r>
          </w:p>
        </w:tc>
        <w:tc>
          <w:tcPr>
            <w:tcW w:w="2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82,127</w:t>
            </w: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right"/>
              <w:ind w:right="33"/>
              <w:spacing w:after="0" w:line="149" w:lineRule="exact"/>
              <w:rPr>
                <w:sz w:val="20"/>
                <w:szCs w:val="20"/>
                <w:color w:val="auto"/>
              </w:rPr>
            </w:pPr>
            <w:r>
              <w:rPr>
                <w:rFonts w:ascii="Arial" w:cs="Arial" w:eastAsia="Arial" w:hAnsi="Arial"/>
                <w:sz w:val="14"/>
                <w:szCs w:val="14"/>
                <w:color w:val="auto"/>
              </w:rPr>
              <w:t>19,959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15,547</w:t>
            </w: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38,242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29,072</w:t>
            </w:r>
          </w:p>
        </w:tc>
      </w:tr>
      <w:tr>
        <w:trPr>
          <w:trHeight w:val="156"/>
        </w:trPr>
        <w:tc>
          <w:tcPr>
            <w:tcW w:w="55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Rest of the World</w:t>
            </w: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33"/>
              <w:spacing w:after="0" w:line="149" w:lineRule="exact"/>
              <w:rPr>
                <w:sz w:val="20"/>
                <w:szCs w:val="20"/>
                <w:color w:val="auto"/>
              </w:rPr>
            </w:pPr>
            <w:r>
              <w:rPr>
                <w:rFonts w:ascii="Arial" w:cs="Arial" w:eastAsia="Arial" w:hAnsi="Arial"/>
                <w:sz w:val="14"/>
                <w:szCs w:val="14"/>
                <w:color w:val="auto"/>
              </w:rPr>
              <w:t>7,841</w:t>
            </w: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6,680</w:t>
            </w:r>
          </w:p>
        </w:tc>
        <w:tc>
          <w:tcPr>
            <w:tcW w:w="100" w:type="dxa"/>
            <w:vAlign w:val="bottom"/>
          </w:tcPr>
          <w:p>
            <w:pPr>
              <w:spacing w:after="0"/>
              <w:rPr>
                <w:sz w:val="13"/>
                <w:szCs w:val="13"/>
                <w:color w:val="auto"/>
              </w:rPr>
            </w:pPr>
          </w:p>
        </w:tc>
      </w:tr>
      <w:tr>
        <w:trPr>
          <w:trHeight w:val="432"/>
        </w:trPr>
        <w:tc>
          <w:tcPr>
            <w:tcW w:w="554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33"/>
              <w:spacing w:after="0"/>
              <w:rPr>
                <w:sz w:val="20"/>
                <w:szCs w:val="20"/>
                <w:color w:val="auto"/>
              </w:rPr>
            </w:pPr>
            <w:r>
              <w:rPr>
                <w:rFonts w:ascii="Arial" w:cs="Arial" w:eastAsia="Arial" w:hAnsi="Arial"/>
                <w:sz w:val="14"/>
                <w:szCs w:val="14"/>
                <w:color w:val="auto"/>
              </w:rPr>
              <w:t>165,227</w:t>
            </w: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133,426</w:t>
            </w:r>
          </w:p>
        </w:tc>
      </w:tr>
      <w:tr>
        <w:trPr>
          <w:trHeight w:val="400"/>
        </w:trPr>
        <w:tc>
          <w:tcPr>
            <w:tcW w:w="554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5"/>
              </w:rPr>
              <w:t>f) The distribution of property, plant and equipment, net, by business segment was as follows:</w:t>
            </w:r>
          </w:p>
        </w:tc>
        <w:tc>
          <w:tcPr>
            <w:tcW w:w="5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354"/>
        </w:trPr>
        <w:tc>
          <w:tcPr>
            <w:tcW w:w="5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December 31,</w:t>
            </w:r>
          </w:p>
        </w:tc>
      </w:tr>
      <w:tr>
        <w:trPr>
          <w:trHeight w:val="178"/>
        </w:trPr>
        <w:tc>
          <w:tcPr>
            <w:tcW w:w="5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r>
      <w:tr>
        <w:trPr>
          <w:trHeight w:val="149"/>
        </w:trPr>
        <w:tc>
          <w:tcPr>
            <w:tcW w:w="5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13"/>
              <w:spacing w:after="0" w:line="149" w:lineRule="exact"/>
              <w:rPr>
                <w:sz w:val="20"/>
                <w:szCs w:val="20"/>
                <w:color w:val="auto"/>
              </w:rPr>
            </w:pPr>
            <w:r>
              <w:rPr>
                <w:rFonts w:ascii="Arial" w:cs="Arial" w:eastAsia="Arial" w:hAnsi="Arial"/>
                <w:sz w:val="14"/>
                <w:szCs w:val="14"/>
                <w:b w:val="1"/>
                <w:bCs w:val="1"/>
                <w:color w:val="auto"/>
              </w:rPr>
              <w:t>(in</w:t>
            </w:r>
          </w:p>
        </w:tc>
        <w:tc>
          <w:tcPr>
            <w:tcW w:w="1340" w:type="dxa"/>
            <w:vAlign w:val="bottom"/>
            <w:gridSpan w:val="4"/>
          </w:tcPr>
          <w:p>
            <w:pPr>
              <w:jc w:val="center"/>
              <w:ind w:right="748"/>
              <w:spacing w:after="0"/>
              <w:rPr>
                <w:sz w:val="20"/>
                <w:szCs w:val="20"/>
                <w:color w:val="auto"/>
              </w:rPr>
            </w:pPr>
            <w:r>
              <w:rPr>
                <w:rFonts w:ascii="Arial" w:cs="Arial" w:eastAsia="Arial" w:hAnsi="Arial"/>
                <w:sz w:val="13"/>
                <w:szCs w:val="13"/>
                <w:b w:val="1"/>
                <w:bCs w:val="1"/>
                <w:color w:val="auto"/>
                <w:w w:val="74"/>
              </w:rPr>
              <w:t>thousands)</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Central laboratory</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11,466</w:t>
            </w:r>
          </w:p>
        </w:tc>
        <w:tc>
          <w:tcPr>
            <w:tcW w:w="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7,048</w:t>
            </w:r>
          </w:p>
        </w:tc>
      </w:tr>
      <w:tr>
        <w:trPr>
          <w:trHeight w:val="156"/>
        </w:trPr>
        <w:tc>
          <w:tcPr>
            <w:tcW w:w="55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Clinical research</w:t>
            </w: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33"/>
              <w:spacing w:after="0" w:line="149" w:lineRule="exact"/>
              <w:rPr>
                <w:sz w:val="20"/>
                <w:szCs w:val="20"/>
                <w:color w:val="auto"/>
              </w:rPr>
            </w:pPr>
            <w:r>
              <w:rPr>
                <w:rFonts w:ascii="Arial" w:cs="Arial" w:eastAsia="Arial" w:hAnsi="Arial"/>
                <w:sz w:val="14"/>
                <w:szCs w:val="14"/>
                <w:color w:val="auto"/>
              </w:rPr>
              <w:t>153,761</w:t>
            </w: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126,378</w:t>
            </w:r>
          </w:p>
        </w:tc>
        <w:tc>
          <w:tcPr>
            <w:tcW w:w="100" w:type="dxa"/>
            <w:vAlign w:val="bottom"/>
          </w:tcPr>
          <w:p>
            <w:pPr>
              <w:spacing w:after="0"/>
              <w:rPr>
                <w:sz w:val="13"/>
                <w:szCs w:val="13"/>
                <w:color w:val="auto"/>
              </w:rPr>
            </w:pPr>
          </w:p>
        </w:tc>
      </w:tr>
      <w:tr>
        <w:trPr>
          <w:trHeight w:val="432"/>
        </w:trPr>
        <w:tc>
          <w:tcPr>
            <w:tcW w:w="554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33"/>
              <w:spacing w:after="0"/>
              <w:rPr>
                <w:sz w:val="20"/>
                <w:szCs w:val="20"/>
                <w:color w:val="auto"/>
              </w:rPr>
            </w:pPr>
            <w:r>
              <w:rPr>
                <w:rFonts w:ascii="Arial" w:cs="Arial" w:eastAsia="Arial" w:hAnsi="Arial"/>
                <w:sz w:val="14"/>
                <w:szCs w:val="14"/>
                <w:color w:val="auto"/>
              </w:rPr>
              <w:t>165,227</w:t>
            </w: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133,426</w:t>
            </w:r>
          </w:p>
        </w:tc>
      </w:tr>
      <w:tr>
        <w:trPr>
          <w:trHeight w:val="400"/>
        </w:trPr>
        <w:tc>
          <w:tcPr>
            <w:tcW w:w="55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g) The distribution of depreciation and amortization by geographical area was as follows:</w:t>
            </w:r>
          </w:p>
        </w:tc>
        <w:tc>
          <w:tcPr>
            <w:tcW w:w="5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384"/>
        </w:trPr>
        <w:tc>
          <w:tcPr>
            <w:tcW w:w="5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7"/>
          </w:tcPr>
          <w:p>
            <w:pPr>
              <w:ind w:left="460"/>
              <w:spacing w:after="0"/>
              <w:rPr>
                <w:sz w:val="20"/>
                <w:szCs w:val="20"/>
                <w:color w:val="auto"/>
              </w:rPr>
            </w:pPr>
            <w:r>
              <w:rPr>
                <w:rFonts w:ascii="Arial" w:cs="Arial" w:eastAsia="Arial" w:hAnsi="Arial"/>
                <w:sz w:val="14"/>
                <w:szCs w:val="14"/>
                <w:b w:val="1"/>
                <w:bCs w:val="1"/>
                <w:color w:val="auto"/>
              </w:rPr>
              <w:t>Nine Months Ended</w:t>
            </w:r>
          </w:p>
        </w:tc>
      </w:tr>
      <w:tr>
        <w:trPr>
          <w:trHeight w:val="126"/>
        </w:trPr>
        <w:tc>
          <w:tcPr>
            <w:tcW w:w="5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ind w:left="120"/>
              <w:spacing w:after="0" w:line="126" w:lineRule="exact"/>
              <w:rPr>
                <w:sz w:val="20"/>
                <w:szCs w:val="20"/>
                <w:color w:val="auto"/>
              </w:rPr>
            </w:pPr>
            <w:r>
              <w:rPr>
                <w:rFonts w:ascii="Arial" w:cs="Arial" w:eastAsia="Arial" w:hAnsi="Arial"/>
                <w:sz w:val="14"/>
                <w:szCs w:val="14"/>
                <w:b w:val="1"/>
                <w:bCs w:val="1"/>
                <w:color w:val="auto"/>
              </w:rPr>
              <w:t>September 30,</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3"/>
          </w:tcPr>
          <w:p>
            <w:pPr>
              <w:ind w:left="80"/>
              <w:spacing w:after="0" w:line="126" w:lineRule="exact"/>
              <w:rPr>
                <w:sz w:val="20"/>
                <w:szCs w:val="20"/>
                <w:color w:val="auto"/>
              </w:rPr>
            </w:pPr>
            <w:r>
              <w:rPr>
                <w:rFonts w:ascii="Arial" w:cs="Arial" w:eastAsia="Arial" w:hAnsi="Arial"/>
                <w:sz w:val="14"/>
                <w:szCs w:val="14"/>
                <w:b w:val="1"/>
                <w:bCs w:val="1"/>
                <w:color w:val="auto"/>
              </w:rPr>
              <w:t>September 30,</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0"/>
                <w:szCs w:val="10"/>
                <w:color w:val="auto"/>
              </w:rPr>
            </w:pPr>
          </w:p>
        </w:tc>
      </w:tr>
      <w:tr>
        <w:trPr>
          <w:trHeight w:val="178"/>
        </w:trPr>
        <w:tc>
          <w:tcPr>
            <w:tcW w:w="5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r>
      <w:tr>
        <w:trPr>
          <w:trHeight w:val="149"/>
        </w:trPr>
        <w:tc>
          <w:tcPr>
            <w:tcW w:w="5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(in</w:t>
            </w:r>
          </w:p>
        </w:tc>
        <w:tc>
          <w:tcPr>
            <w:tcW w:w="1380" w:type="dxa"/>
            <w:vAlign w:val="bottom"/>
            <w:gridSpan w:val="4"/>
          </w:tcPr>
          <w:p>
            <w:pPr>
              <w:jc w:val="center"/>
              <w:ind w:right="768"/>
              <w:spacing w:after="0" w:line="149" w:lineRule="exact"/>
              <w:rPr>
                <w:sz w:val="20"/>
                <w:szCs w:val="20"/>
                <w:color w:val="auto"/>
              </w:rPr>
            </w:pPr>
            <w:r>
              <w:rPr>
                <w:rFonts w:ascii="Arial" w:cs="Arial" w:eastAsia="Arial" w:hAnsi="Arial"/>
                <w:sz w:val="14"/>
                <w:szCs w:val="14"/>
                <w:b w:val="1"/>
                <w:bCs w:val="1"/>
                <w:color w:val="auto"/>
                <w:w w:val="71"/>
              </w:rPr>
              <w:t>thousands)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(in</w:t>
            </w:r>
          </w:p>
        </w:tc>
        <w:tc>
          <w:tcPr>
            <w:tcW w:w="1360" w:type="dxa"/>
            <w:vAlign w:val="bottom"/>
            <w:gridSpan w:val="5"/>
          </w:tcPr>
          <w:p>
            <w:pPr>
              <w:jc w:val="right"/>
              <w:ind w:right="748"/>
              <w:spacing w:after="0"/>
              <w:rPr>
                <w:sz w:val="20"/>
                <w:szCs w:val="20"/>
                <w:color w:val="auto"/>
              </w:rPr>
            </w:pPr>
            <w:r>
              <w:rPr>
                <w:rFonts w:ascii="Arial" w:cs="Arial" w:eastAsia="Arial" w:hAnsi="Arial"/>
                <w:sz w:val="13"/>
                <w:szCs w:val="13"/>
                <w:b w:val="1"/>
                <w:bCs w:val="1"/>
                <w:color w:val="auto"/>
                <w:w w:val="74"/>
              </w:rPr>
              <w:t>thousands)</w:t>
            </w: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3,179</w:t>
            </w:r>
          </w:p>
        </w:tc>
        <w:tc>
          <w:tcPr>
            <w:tcW w:w="1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1,731</w:t>
            </w: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7,252</w:t>
            </w:r>
          </w:p>
        </w:tc>
        <w:tc>
          <w:tcPr>
            <w:tcW w:w="2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4,493</w:t>
            </w: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1,321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906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right"/>
              <w:ind w:right="33"/>
              <w:spacing w:after="0" w:line="149" w:lineRule="exact"/>
              <w:rPr>
                <w:sz w:val="20"/>
                <w:szCs w:val="20"/>
                <w:color w:val="auto"/>
              </w:rPr>
            </w:pPr>
            <w:r>
              <w:rPr>
                <w:rFonts w:ascii="Arial" w:cs="Arial" w:eastAsia="Arial" w:hAnsi="Arial"/>
                <w:sz w:val="14"/>
                <w:szCs w:val="14"/>
                <w:color w:val="auto"/>
              </w:rPr>
              <w:t>4,335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2,358</w:t>
            </w: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1,982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7,431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5,703</w:t>
            </w:r>
          </w:p>
        </w:tc>
      </w:tr>
      <w:tr>
        <w:trPr>
          <w:trHeight w:val="156"/>
        </w:trPr>
        <w:tc>
          <w:tcPr>
            <w:tcW w:w="55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Rest of the World</w:t>
            </w: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585</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401</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33"/>
              <w:spacing w:after="0" w:line="149" w:lineRule="exact"/>
              <w:rPr>
                <w:sz w:val="20"/>
                <w:szCs w:val="20"/>
                <w:color w:val="auto"/>
              </w:rPr>
            </w:pPr>
            <w:r>
              <w:rPr>
                <w:rFonts w:ascii="Arial" w:cs="Arial" w:eastAsia="Arial" w:hAnsi="Arial"/>
                <w:sz w:val="14"/>
                <w:szCs w:val="14"/>
                <w:color w:val="auto"/>
              </w:rPr>
              <w:t>1,658</w:t>
            </w: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1,072</w:t>
            </w:r>
          </w:p>
        </w:tc>
      </w:tr>
      <w:tr>
        <w:trPr>
          <w:trHeight w:val="432"/>
        </w:trPr>
        <w:tc>
          <w:tcPr>
            <w:tcW w:w="5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7,937</w:t>
            </w:r>
          </w:p>
        </w:tc>
        <w:tc>
          <w:tcPr>
            <w:tcW w:w="12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5,020</w:t>
            </w:r>
          </w:p>
        </w:tc>
        <w:tc>
          <w:tcPr>
            <w:tcW w:w="2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gridSpan w:val="3"/>
            <w:shd w:val="clear" w:color="auto" w:fill="CCEEFF"/>
          </w:tcPr>
          <w:p>
            <w:pPr>
              <w:jc w:val="right"/>
              <w:ind w:right="33"/>
              <w:spacing w:after="0"/>
              <w:rPr>
                <w:sz w:val="20"/>
                <w:szCs w:val="20"/>
                <w:color w:val="auto"/>
              </w:rPr>
            </w:pPr>
            <w:r>
              <w:rPr>
                <w:rFonts w:ascii="Arial" w:cs="Arial" w:eastAsia="Arial" w:hAnsi="Arial"/>
                <w:sz w:val="14"/>
                <w:szCs w:val="14"/>
                <w:color w:val="auto"/>
              </w:rPr>
              <w:t>20,676</w:t>
            </w:r>
          </w:p>
        </w:tc>
        <w:tc>
          <w:tcPr>
            <w:tcW w:w="2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13,626</w:t>
            </w:r>
          </w:p>
        </w:tc>
      </w:tr>
      <w:tr>
        <w:trPr>
          <w:trHeight w:val="176"/>
        </w:trPr>
        <w:tc>
          <w:tcPr>
            <w:tcW w:w="5540" w:type="dxa"/>
            <w:vAlign w:val="bottom"/>
          </w:tcPr>
          <w:p>
            <w:pPr>
              <w:spacing w:after="0"/>
              <w:rPr>
                <w:sz w:val="15"/>
                <w:szCs w:val="15"/>
                <w:color w:val="auto"/>
              </w:rPr>
            </w:pPr>
          </w:p>
        </w:tc>
        <w:tc>
          <w:tcPr>
            <w:tcW w:w="540" w:type="dxa"/>
            <w:vAlign w:val="bottom"/>
          </w:tcPr>
          <w:p>
            <w:pPr>
              <w:jc w:val="right"/>
              <w:ind w:right="228"/>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85"/>
        </w:trPr>
        <w:tc>
          <w:tcPr>
            <w:tcW w:w="554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2"/>
        </w:trPr>
        <w:tc>
          <w:tcPr>
            <w:tcW w:w="5400" w:type="dxa"/>
            <w:vAlign w:val="bottom"/>
          </w:tcPr>
          <w:p>
            <w:pPr>
              <w:spacing w:after="0"/>
              <w:rPr>
                <w:sz w:val="20"/>
                <w:szCs w:val="20"/>
                <w:color w:val="auto"/>
              </w:rPr>
            </w:pPr>
            <w:r>
              <w:rPr>
                <w:rFonts w:ascii="Arial" w:cs="Arial" w:eastAsia="Arial" w:hAnsi="Arial"/>
                <w:sz w:val="14"/>
                <w:szCs w:val="14"/>
                <w:color w:val="auto"/>
                <w:w w:val="98"/>
              </w:rPr>
              <w:t>h) The distribution of depreciation and amortization by business segment was as follows:</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5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6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ind w:lef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6"/>
        </w:trPr>
        <w:tc>
          <w:tcPr>
            <w:tcW w:w="5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ind w:left="220"/>
              <w:spacing w:after="0" w:line="126" w:lineRule="exact"/>
              <w:rPr>
                <w:sz w:val="20"/>
                <w:szCs w:val="20"/>
                <w:color w:val="auto"/>
              </w:rPr>
            </w:pPr>
            <w:r>
              <w:rPr>
                <w:rFonts w:ascii="Arial" w:cs="Arial" w:eastAsia="Arial" w:hAnsi="Arial"/>
                <w:sz w:val="14"/>
                <w:szCs w:val="14"/>
                <w:b w:val="1"/>
                <w:bCs w:val="1"/>
                <w:color w:val="auto"/>
              </w:rPr>
              <w:t>September</w:t>
            </w: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rPr>
              <w:t>September</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4"/>
                <w:szCs w:val="14"/>
                <w:b w:val="1"/>
                <w:bCs w:val="1"/>
                <w:color w:val="auto"/>
              </w:rPr>
              <w:t>September</w:t>
            </w:r>
          </w:p>
        </w:tc>
        <w:tc>
          <w:tcPr>
            <w:tcW w:w="2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rPr>
              <w:t>September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(in</w:t>
            </w:r>
          </w:p>
        </w:tc>
        <w:tc>
          <w:tcPr>
            <w:tcW w:w="6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71"/>
              </w:rPr>
              <w:t>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(in</w:t>
            </w:r>
          </w:p>
        </w:tc>
        <w:tc>
          <w:tcPr>
            <w:tcW w:w="1360" w:type="dxa"/>
            <w:vAlign w:val="bottom"/>
            <w:gridSpan w:val="4"/>
          </w:tcPr>
          <w:p>
            <w:pPr>
              <w:jc w:val="right"/>
              <w:ind w:right="748"/>
              <w:spacing w:after="0"/>
              <w:rPr>
                <w:sz w:val="20"/>
                <w:szCs w:val="20"/>
                <w:color w:val="auto"/>
              </w:rPr>
            </w:pPr>
            <w:r>
              <w:rPr>
                <w:rFonts w:ascii="Arial" w:cs="Arial" w:eastAsia="Arial" w:hAnsi="Arial"/>
                <w:sz w:val="13"/>
                <w:szCs w:val="13"/>
                <w:b w:val="1"/>
                <w:bCs w:val="1"/>
                <w:color w:val="auto"/>
                <w:w w:val="74"/>
              </w:rPr>
              <w:t>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Central laboratory</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715</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1,752</w:t>
            </w:r>
          </w:p>
        </w:tc>
        <w:tc>
          <w:tcPr>
            <w:tcW w:w="380" w:type="dxa"/>
            <w:vAlign w:val="bottom"/>
            <w:gridSpan w:val="2"/>
            <w:shd w:val="clear" w:color="auto" w:fill="CCEEFF"/>
          </w:tcPr>
          <w:p>
            <w:pPr>
              <w:jc w:val="center"/>
              <w:ind w:left="9"/>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1,358</w:t>
            </w:r>
          </w:p>
        </w:tc>
        <w:tc>
          <w:tcPr>
            <w:tcW w:w="0" w:type="dxa"/>
            <w:vAlign w:val="bottom"/>
          </w:tcPr>
          <w:p>
            <w:pPr>
              <w:spacing w:after="0"/>
              <w:rPr>
                <w:sz w:val="1"/>
                <w:szCs w:val="1"/>
                <w:color w:val="auto"/>
              </w:rPr>
            </w:pPr>
          </w:p>
        </w:tc>
      </w:tr>
      <w:tr>
        <w:trPr>
          <w:trHeight w:val="156"/>
        </w:trPr>
        <w:tc>
          <w:tcPr>
            <w:tcW w:w="54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Clinical research</w:t>
            </w:r>
          </w:p>
        </w:tc>
        <w:tc>
          <w:tcPr>
            <w:tcW w:w="6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7,222</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4,505</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18,924</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12,268</w:t>
            </w:r>
          </w:p>
        </w:tc>
        <w:tc>
          <w:tcPr>
            <w:tcW w:w="0" w:type="dxa"/>
            <w:vAlign w:val="bottom"/>
          </w:tcPr>
          <w:p>
            <w:pPr>
              <w:spacing w:after="0"/>
              <w:rPr>
                <w:sz w:val="1"/>
                <w:szCs w:val="1"/>
                <w:color w:val="auto"/>
              </w:rPr>
            </w:pPr>
          </w:p>
        </w:tc>
      </w:tr>
      <w:tr>
        <w:trPr>
          <w:trHeight w:val="432"/>
        </w:trPr>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7,937</w:t>
            </w:r>
          </w:p>
        </w:tc>
        <w:tc>
          <w:tcPr>
            <w:tcW w:w="12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5,020</w:t>
            </w:r>
          </w:p>
        </w:tc>
        <w:tc>
          <w:tcPr>
            <w:tcW w:w="2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20,676</w:t>
            </w:r>
          </w:p>
        </w:tc>
        <w:tc>
          <w:tcPr>
            <w:tcW w:w="380" w:type="dxa"/>
            <w:vAlign w:val="bottom"/>
            <w:tcBorders>
              <w:bottom w:val="single" w:sz="8" w:color="auto"/>
            </w:tcBorders>
            <w:gridSpan w:val="2"/>
            <w:shd w:val="clear" w:color="auto" w:fill="CCEEFF"/>
          </w:tcPr>
          <w:p>
            <w:pPr>
              <w:jc w:val="center"/>
              <w:ind w:left="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13,626</w:t>
            </w:r>
          </w:p>
        </w:tc>
        <w:tc>
          <w:tcPr>
            <w:tcW w:w="0" w:type="dxa"/>
            <w:vAlign w:val="bottom"/>
          </w:tcPr>
          <w:p>
            <w:pPr>
              <w:spacing w:after="0"/>
              <w:rPr>
                <w:sz w:val="1"/>
                <w:szCs w:val="1"/>
                <w:color w:val="auto"/>
              </w:rPr>
            </w:pPr>
          </w:p>
        </w:tc>
      </w:tr>
      <w:tr>
        <w:trPr>
          <w:trHeight w:val="400"/>
        </w:trPr>
        <w:tc>
          <w:tcPr>
            <w:tcW w:w="5400" w:type="dxa"/>
            <w:vAlign w:val="bottom"/>
          </w:tcPr>
          <w:p>
            <w:pPr>
              <w:spacing w:after="0"/>
              <w:rPr>
                <w:sz w:val="20"/>
                <w:szCs w:val="20"/>
                <w:color w:val="auto"/>
              </w:rPr>
            </w:pPr>
            <w:r>
              <w:rPr>
                <w:rFonts w:ascii="Arial" w:cs="Arial" w:eastAsia="Arial" w:hAnsi="Arial"/>
                <w:sz w:val="14"/>
                <w:szCs w:val="14"/>
                <w:color w:val="auto"/>
              </w:rPr>
              <w:t>i) The distribution of total assets by geographical area was as follows:</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September 30,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11"/>
        </w:trPr>
        <w:tc>
          <w:tcPr>
            <w:tcW w:w="5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5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13"/>
              <w:spacing w:after="0" w:line="149" w:lineRule="exact"/>
              <w:rPr>
                <w:sz w:val="20"/>
                <w:szCs w:val="20"/>
                <w:color w:val="auto"/>
              </w:rPr>
            </w:pPr>
            <w:r>
              <w:rPr>
                <w:rFonts w:ascii="Arial" w:cs="Arial" w:eastAsia="Arial" w:hAnsi="Arial"/>
                <w:sz w:val="14"/>
                <w:szCs w:val="14"/>
                <w:b w:val="1"/>
                <w:bCs w:val="1"/>
                <w:color w:val="auto"/>
              </w:rPr>
              <w:t>(in</w:t>
            </w:r>
          </w:p>
        </w:tc>
        <w:tc>
          <w:tcPr>
            <w:tcW w:w="1340" w:type="dxa"/>
            <w:vAlign w:val="bottom"/>
            <w:gridSpan w:val="3"/>
          </w:tcPr>
          <w:p>
            <w:pPr>
              <w:jc w:val="center"/>
              <w:ind w:right="748"/>
              <w:spacing w:after="0"/>
              <w:rPr>
                <w:sz w:val="20"/>
                <w:szCs w:val="20"/>
                <w:color w:val="auto"/>
              </w:rPr>
            </w:pPr>
            <w:r>
              <w:rPr>
                <w:rFonts w:ascii="Arial" w:cs="Arial" w:eastAsia="Arial" w:hAnsi="Arial"/>
                <w:sz w:val="13"/>
                <w:szCs w:val="13"/>
                <w:b w:val="1"/>
                <w:bCs w:val="1"/>
                <w:color w:val="auto"/>
                <w:w w:val="74"/>
              </w:rPr>
              <w:t>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218,908</w:t>
            </w:r>
          </w:p>
        </w:tc>
        <w:tc>
          <w:tcPr>
            <w:tcW w:w="380" w:type="dxa"/>
            <w:vAlign w:val="bottom"/>
            <w:gridSpan w:val="2"/>
            <w:shd w:val="clear" w:color="auto" w:fill="CCEEFF"/>
          </w:tcPr>
          <w:p>
            <w:pPr>
              <w:jc w:val="center"/>
              <w:ind w:left="9"/>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202,293</w:t>
            </w:r>
          </w:p>
        </w:tc>
        <w:tc>
          <w:tcPr>
            <w:tcW w:w="0" w:type="dxa"/>
            <w:vAlign w:val="bottom"/>
          </w:tcPr>
          <w:p>
            <w:pPr>
              <w:spacing w:after="0"/>
              <w:rPr>
                <w:sz w:val="1"/>
                <w:szCs w:val="1"/>
                <w:color w:val="auto"/>
              </w:rPr>
            </w:pPr>
          </w:p>
        </w:tc>
      </w:tr>
      <w:tr>
        <w:trPr>
          <w:trHeight w:val="149"/>
        </w:trPr>
        <w:tc>
          <w:tcPr>
            <w:tcW w:w="540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217,283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161,746</w:t>
            </w:r>
          </w:p>
        </w:tc>
        <w:tc>
          <w:tcPr>
            <w:tcW w:w="0" w:type="dxa"/>
            <w:vAlign w:val="bottom"/>
          </w:tcPr>
          <w:p>
            <w:pPr>
              <w:spacing w:after="0"/>
              <w:rPr>
                <w:sz w:val="1"/>
                <w:szCs w:val="1"/>
                <w:color w:val="auto"/>
              </w:rPr>
            </w:pPr>
          </w:p>
        </w:tc>
      </w:tr>
      <w:tr>
        <w:trPr>
          <w:trHeight w:val="149"/>
        </w:trPr>
        <w:tc>
          <w:tcPr>
            <w:tcW w:w="5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345,764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301,183</w:t>
            </w:r>
          </w:p>
        </w:tc>
        <w:tc>
          <w:tcPr>
            <w:tcW w:w="0" w:type="dxa"/>
            <w:vAlign w:val="bottom"/>
          </w:tcPr>
          <w:p>
            <w:pPr>
              <w:spacing w:after="0"/>
              <w:rPr>
                <w:sz w:val="1"/>
                <w:szCs w:val="1"/>
                <w:color w:val="auto"/>
              </w:rPr>
            </w:pPr>
          </w:p>
        </w:tc>
      </w:tr>
      <w:tr>
        <w:trPr>
          <w:trHeight w:val="156"/>
        </w:trPr>
        <w:tc>
          <w:tcPr>
            <w:tcW w:w="54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Rest of the World</w:t>
            </w:r>
          </w:p>
        </w:tc>
        <w:tc>
          <w:tcPr>
            <w:tcW w:w="6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26,701</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27,916</w:t>
            </w:r>
          </w:p>
        </w:tc>
        <w:tc>
          <w:tcPr>
            <w:tcW w:w="0" w:type="dxa"/>
            <w:vAlign w:val="bottom"/>
          </w:tcPr>
          <w:p>
            <w:pPr>
              <w:spacing w:after="0"/>
              <w:rPr>
                <w:sz w:val="1"/>
                <w:szCs w:val="1"/>
                <w:color w:val="auto"/>
              </w:rPr>
            </w:pPr>
          </w:p>
        </w:tc>
      </w:tr>
      <w:tr>
        <w:trPr>
          <w:trHeight w:val="432"/>
        </w:trPr>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68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808,656</w:t>
            </w:r>
          </w:p>
        </w:tc>
        <w:tc>
          <w:tcPr>
            <w:tcW w:w="380" w:type="dxa"/>
            <w:vAlign w:val="bottom"/>
            <w:tcBorders>
              <w:bottom w:val="single" w:sz="8" w:color="auto"/>
            </w:tcBorders>
            <w:gridSpan w:val="2"/>
            <w:shd w:val="clear" w:color="auto" w:fill="CCEEFF"/>
          </w:tcPr>
          <w:p>
            <w:pPr>
              <w:jc w:val="center"/>
              <w:ind w:left="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693,138</w:t>
            </w:r>
          </w:p>
        </w:tc>
        <w:tc>
          <w:tcPr>
            <w:tcW w:w="0" w:type="dxa"/>
            <w:vAlign w:val="bottom"/>
          </w:tcPr>
          <w:p>
            <w:pPr>
              <w:spacing w:after="0"/>
              <w:rPr>
                <w:sz w:val="1"/>
                <w:szCs w:val="1"/>
                <w:color w:val="auto"/>
              </w:rPr>
            </w:pPr>
          </w:p>
        </w:tc>
      </w:tr>
      <w:tr>
        <w:trPr>
          <w:trHeight w:val="400"/>
        </w:trPr>
        <w:tc>
          <w:tcPr>
            <w:tcW w:w="5400" w:type="dxa"/>
            <w:vAlign w:val="bottom"/>
          </w:tcPr>
          <w:p>
            <w:pPr>
              <w:spacing w:after="0"/>
              <w:rPr>
                <w:sz w:val="20"/>
                <w:szCs w:val="20"/>
                <w:color w:val="auto"/>
              </w:rPr>
            </w:pPr>
            <w:r>
              <w:rPr>
                <w:rFonts w:ascii="Arial" w:cs="Arial" w:eastAsia="Arial" w:hAnsi="Arial"/>
                <w:sz w:val="14"/>
                <w:szCs w:val="14"/>
                <w:color w:val="auto"/>
              </w:rPr>
              <w:t>j) The distribution of total assets by business segment was as follows:</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5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September 30,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5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13"/>
              <w:spacing w:after="0" w:line="149" w:lineRule="exact"/>
              <w:rPr>
                <w:sz w:val="20"/>
                <w:szCs w:val="20"/>
                <w:color w:val="auto"/>
              </w:rPr>
            </w:pPr>
            <w:r>
              <w:rPr>
                <w:rFonts w:ascii="Arial" w:cs="Arial" w:eastAsia="Arial" w:hAnsi="Arial"/>
                <w:sz w:val="14"/>
                <w:szCs w:val="14"/>
                <w:b w:val="1"/>
                <w:bCs w:val="1"/>
                <w:color w:val="auto"/>
              </w:rPr>
              <w:t>(in</w:t>
            </w:r>
          </w:p>
        </w:tc>
        <w:tc>
          <w:tcPr>
            <w:tcW w:w="1340" w:type="dxa"/>
            <w:vAlign w:val="bottom"/>
            <w:gridSpan w:val="3"/>
          </w:tcPr>
          <w:p>
            <w:pPr>
              <w:jc w:val="center"/>
              <w:ind w:right="748"/>
              <w:spacing w:after="0"/>
              <w:rPr>
                <w:sz w:val="20"/>
                <w:szCs w:val="20"/>
                <w:color w:val="auto"/>
              </w:rPr>
            </w:pPr>
            <w:r>
              <w:rPr>
                <w:rFonts w:ascii="Arial" w:cs="Arial" w:eastAsia="Arial" w:hAnsi="Arial"/>
                <w:sz w:val="13"/>
                <w:szCs w:val="13"/>
                <w:b w:val="1"/>
                <w:bCs w:val="1"/>
                <w:color w:val="auto"/>
                <w:w w:val="74"/>
              </w:rPr>
              <w:t>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Central laboratory</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49,134</w:t>
            </w:r>
          </w:p>
        </w:tc>
        <w:tc>
          <w:tcPr>
            <w:tcW w:w="380" w:type="dxa"/>
            <w:vAlign w:val="bottom"/>
            <w:gridSpan w:val="2"/>
            <w:shd w:val="clear" w:color="auto" w:fill="CCEEFF"/>
          </w:tcPr>
          <w:p>
            <w:pPr>
              <w:jc w:val="center"/>
              <w:ind w:left="9"/>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40,562</w:t>
            </w:r>
          </w:p>
        </w:tc>
        <w:tc>
          <w:tcPr>
            <w:tcW w:w="0" w:type="dxa"/>
            <w:vAlign w:val="bottom"/>
          </w:tcPr>
          <w:p>
            <w:pPr>
              <w:spacing w:after="0"/>
              <w:rPr>
                <w:sz w:val="1"/>
                <w:szCs w:val="1"/>
                <w:color w:val="auto"/>
              </w:rPr>
            </w:pPr>
          </w:p>
        </w:tc>
      </w:tr>
      <w:tr>
        <w:trPr>
          <w:trHeight w:val="156"/>
        </w:trPr>
        <w:tc>
          <w:tcPr>
            <w:tcW w:w="54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Clinical research</w:t>
            </w:r>
          </w:p>
        </w:tc>
        <w:tc>
          <w:tcPr>
            <w:tcW w:w="6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759,522</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652,576</w:t>
            </w:r>
          </w:p>
        </w:tc>
        <w:tc>
          <w:tcPr>
            <w:tcW w:w="0" w:type="dxa"/>
            <w:vAlign w:val="bottom"/>
          </w:tcPr>
          <w:p>
            <w:pPr>
              <w:spacing w:after="0"/>
              <w:rPr>
                <w:sz w:val="1"/>
                <w:szCs w:val="1"/>
                <w:color w:val="auto"/>
              </w:rPr>
            </w:pPr>
          </w:p>
        </w:tc>
      </w:tr>
      <w:tr>
        <w:trPr>
          <w:trHeight w:val="432"/>
        </w:trPr>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68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808,656</w:t>
            </w:r>
          </w:p>
        </w:tc>
        <w:tc>
          <w:tcPr>
            <w:tcW w:w="380" w:type="dxa"/>
            <w:vAlign w:val="bottom"/>
            <w:tcBorders>
              <w:bottom w:val="single" w:sz="8" w:color="auto"/>
            </w:tcBorders>
            <w:gridSpan w:val="2"/>
            <w:shd w:val="clear" w:color="auto" w:fill="CCEEFF"/>
          </w:tcPr>
          <w:p>
            <w:pPr>
              <w:jc w:val="center"/>
              <w:ind w:left="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693,138</w:t>
            </w:r>
          </w:p>
        </w:tc>
        <w:tc>
          <w:tcPr>
            <w:tcW w:w="0" w:type="dxa"/>
            <w:vAlign w:val="bottom"/>
          </w:tcPr>
          <w:p>
            <w:pPr>
              <w:spacing w:after="0"/>
              <w:rPr>
                <w:sz w:val="1"/>
                <w:szCs w:val="1"/>
                <w:color w:val="auto"/>
              </w:rPr>
            </w:pPr>
          </w:p>
        </w:tc>
      </w:tr>
      <w:tr>
        <w:trPr>
          <w:trHeight w:val="176"/>
        </w:trPr>
        <w:tc>
          <w:tcPr>
            <w:tcW w:w="5400" w:type="dxa"/>
            <w:vAlign w:val="bottom"/>
          </w:tcPr>
          <w:p>
            <w:pPr>
              <w:spacing w:after="0"/>
              <w:rPr>
                <w:sz w:val="15"/>
                <w:szCs w:val="15"/>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14</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540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auto"/>
        </w:rPr>
        <w:t>ICON plc</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2007. The Consolidated Financial Statements have been prepared in accordance with accounting principles generally accepted in the United States.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Clinical Development - from compound selection to Phase I-IV clinical studies. We have the operational flexibility to provide development services on a stand-alone basis or as part of an integrated “full service” solution. Our primary approach is to use dedicated teams to achieve optimum results, but we can implement a range of resourcing models to suit client requirements.</w:t>
      </w:r>
    </w:p>
    <w:p>
      <w:pPr>
        <w:spacing w:after="0" w:line="209"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In a highly fragmented industry, we are one of a small number of companies with the capability and expertise to conduct clinical trials in all major therapeutic areas on a global basis. Currently, we have approximately 6,570 employees, in 71 locations in 38 countries, providing Phase I - IV Clinical Trial Management, Drug Development Support Services, Data Management and Biostatistics and Central Laboratory and Imaging Services. For the nine months ended September 30, 2008, we derived approximately 44.4% , 47.4%, and 8.2% of our net revenue in the United States, Europe and Rest of World, respectively.</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from contracts is recognized on the basis of the relationship between time incurred and the total estimated duration of the trial or on a fee-for-service basis according to the particular circumstances of the contract. 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Direct costs consist primarily of compensation, associated fringe benefits and share based compensation expense for project-related employees and other direct project driven costs. Selling, general and administrative expenses consist of compensation, related fringe benefits and share based compensation expense for selling and administrative employees, professional services, advertising costs and all costs related to facilities and information systems.</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As the nature of ICON's business involves the management of projects having a typical duration of one to three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0"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jc w:val="both"/>
        <w:spacing w:after="0" w:line="243" w:lineRule="auto"/>
        <w:rPr>
          <w:sz w:val="20"/>
          <w:szCs w:val="20"/>
          <w:color w:val="auto"/>
        </w:rPr>
      </w:pPr>
      <w:r>
        <w:rPr>
          <w:rFonts w:ascii="Arial" w:cs="Arial" w:eastAsia="Arial" w:hAnsi="Arial"/>
          <w:sz w:val="13"/>
          <w:szCs w:val="13"/>
          <w:color w:val="auto"/>
        </w:rPr>
        <w:t>In addition to translation exposures, we are also subject to transaction exposures because the currency in which contracts are priced can be different from the currencies in which costs relating to those contracts are incurred. We have 19 operations operating in U.S. dollars, 11 trading in Euros, 6 in pounds Sterling, 3 in Indian Rupee, 2 each in Russian Rouble, Japanese Yen, Swedish Krona and Polish Zloty, and 1 each in Australian dollars, Singapore dollars, Israeli New Shekels, Latvian Lats, Argentine Peso, South African Rand, Canadian dollar, Hungarian Forint, Danish Krone, Czech Koruna, Ukraine Hryvnia, Romanian New Leu, Hong Kong dollar, Taiwan dollar, Mexican Peso, Brazilian Real, Chilean Peso, South Korean Won, Thai Baht, Chinese Yuan Renminbi, Lithuanian Litas, Peruvian Neuvo Sol, Columbian Peso &amp; New Zealand dollars.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Euros or pounds Sterling,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ICON's results of operations. This risk is partially mitigated by clauses in certain of our contracts which allow for price renegotiation with our clients if changes in the relative value of those currencies exceed predetermined tolerances. We regularly review our currency exposures and hedge a portion of these, using forward exchange contracts, where they are not covered by natural hedges.</w:t>
      </w:r>
    </w:p>
    <w:p>
      <w:pPr>
        <w:spacing w:after="0" w:line="212" w:lineRule="exact"/>
        <w:rPr>
          <w:sz w:val="20"/>
          <w:szCs w:val="20"/>
          <w:color w:val="auto"/>
        </w:rPr>
      </w:pPr>
    </w:p>
    <w:p>
      <w:pPr>
        <w:jc w:val="both"/>
        <w:ind w:right="20"/>
        <w:spacing w:after="0" w:line="238" w:lineRule="auto"/>
        <w:rPr>
          <w:sz w:val="20"/>
          <w:szCs w:val="20"/>
          <w:color w:val="auto"/>
        </w:rPr>
      </w:pPr>
      <w:r>
        <w:rPr>
          <w:rFonts w:ascii="Arial" w:cs="Arial" w:eastAsia="Arial" w:hAnsi="Arial"/>
          <w:sz w:val="14"/>
          <w:szCs w:val="14"/>
          <w:color w:val="auto"/>
        </w:rPr>
        <w:t>As we conduct operations on a global basis, our effective tax rate has depended and will depend on the geographic distribution of our revenue and earnings among locations with varying tax rates. ICON's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Three Months Ended September 30, 2008 compared with Three Months Ended September 30, 2007</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4240" w:type="dxa"/>
            <w:vAlign w:val="bottom"/>
          </w:tcPr>
          <w:p>
            <w:pPr>
              <w:spacing w:after="0"/>
              <w:rPr>
                <w:sz w:val="15"/>
                <w:szCs w:val="15"/>
                <w:color w:val="auto"/>
              </w:rPr>
            </w:pPr>
          </w:p>
        </w:tc>
        <w:tc>
          <w:tcPr>
            <w:tcW w:w="4580" w:type="dxa"/>
            <w:vAlign w:val="bottom"/>
            <w:gridSpan w:val="4"/>
          </w:tcPr>
          <w:p>
            <w:pPr>
              <w:jc w:val="right"/>
              <w:ind w:right="250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240" w:type="dxa"/>
            <w:vAlign w:val="bottom"/>
          </w:tcPr>
          <w:p>
            <w:pPr>
              <w:spacing w:after="0"/>
              <w:rPr>
                <w:sz w:val="10"/>
                <w:szCs w:val="10"/>
                <w:color w:val="auto"/>
              </w:rPr>
            </w:pPr>
          </w:p>
        </w:tc>
        <w:tc>
          <w:tcPr>
            <w:tcW w:w="1540" w:type="dxa"/>
            <w:vAlign w:val="bottom"/>
            <w:tcBorders>
              <w:top w:val="single" w:sz="8" w:color="auto"/>
            </w:tcBorders>
            <w:gridSpan w:val="2"/>
          </w:tcPr>
          <w:p>
            <w:pPr>
              <w:jc w:val="right"/>
              <w:ind w:right="220"/>
              <w:spacing w:after="0" w:line="126" w:lineRule="exact"/>
              <w:rPr>
                <w:sz w:val="20"/>
                <w:szCs w:val="20"/>
                <w:color w:val="auto"/>
              </w:rPr>
            </w:pPr>
            <w:r>
              <w:rPr>
                <w:rFonts w:ascii="Arial" w:cs="Arial" w:eastAsia="Arial" w:hAnsi="Arial"/>
                <w:sz w:val="14"/>
                <w:szCs w:val="14"/>
                <w:b w:val="1"/>
                <w:bCs w:val="1"/>
                <w:color w:val="auto"/>
              </w:rPr>
              <w:t>September 30,</w:t>
            </w:r>
          </w:p>
        </w:tc>
        <w:tc>
          <w:tcPr>
            <w:tcW w:w="13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rPr>
              <w:t>September 30,</w:t>
            </w:r>
          </w:p>
        </w:tc>
        <w:tc>
          <w:tcPr>
            <w:tcW w:w="17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24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172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to 2008</w:t>
            </w:r>
          </w:p>
        </w:tc>
        <w:tc>
          <w:tcPr>
            <w:tcW w:w="0" w:type="dxa"/>
            <w:vAlign w:val="bottom"/>
          </w:tcPr>
          <w:p>
            <w:pPr>
              <w:spacing w:after="0"/>
              <w:rPr>
                <w:sz w:val="1"/>
                <w:szCs w:val="1"/>
                <w:color w:val="auto"/>
              </w:rPr>
            </w:pPr>
          </w:p>
        </w:tc>
      </w:tr>
      <w:tr>
        <w:trPr>
          <w:trHeight w:val="153"/>
        </w:trPr>
        <w:tc>
          <w:tcPr>
            <w:tcW w:w="4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60" w:type="dxa"/>
            <w:vAlign w:val="bottom"/>
            <w:gridSpan w:val="2"/>
          </w:tcPr>
          <w:p>
            <w:pPr>
              <w:jc w:val="right"/>
              <w:ind w:right="140"/>
              <w:spacing w:after="0" w:line="15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8"/>
        </w:trPr>
        <w:tc>
          <w:tcPr>
            <w:tcW w:w="4240" w:type="dxa"/>
            <w:vAlign w:val="bottom"/>
          </w:tcPr>
          <w:p>
            <w:pPr>
              <w:spacing w:after="0"/>
              <w:rPr>
                <w:sz w:val="15"/>
                <w:szCs w:val="15"/>
                <w:color w:val="auto"/>
              </w:rPr>
            </w:pPr>
          </w:p>
        </w:tc>
        <w:tc>
          <w:tcPr>
            <w:tcW w:w="4580" w:type="dxa"/>
            <w:vAlign w:val="bottom"/>
            <w:gridSpan w:val="4"/>
          </w:tcPr>
          <w:p>
            <w:pPr>
              <w:jc w:val="right"/>
              <w:ind w:right="2340"/>
              <w:spacing w:after="0"/>
              <w:rPr>
                <w:sz w:val="20"/>
                <w:szCs w:val="20"/>
                <w:color w:val="auto"/>
              </w:rPr>
            </w:pPr>
            <w:r>
              <w:rPr>
                <w:rFonts w:ascii="Arial" w:cs="Arial" w:eastAsia="Arial" w:hAnsi="Arial"/>
                <w:sz w:val="14"/>
                <w:szCs w:val="14"/>
                <w:b w:val="1"/>
                <w:bCs w:val="1"/>
                <w:color w:val="auto"/>
              </w:rPr>
              <w:t>Percentage of Net Revenue</w:t>
            </w:r>
          </w:p>
        </w:tc>
        <w:tc>
          <w:tcPr>
            <w:tcW w:w="14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72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Net revenue</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w:t>
            </w:r>
          </w:p>
        </w:tc>
        <w:tc>
          <w:tcPr>
            <w:tcW w:w="3040" w:type="dxa"/>
            <w:vAlign w:val="bottom"/>
            <w:gridSpan w:val="2"/>
            <w:shd w:val="clear" w:color="auto" w:fill="CCEEFF"/>
          </w:tcPr>
          <w:p>
            <w:pPr>
              <w:jc w:val="right"/>
              <w:ind w:right="1600"/>
              <w:spacing w:after="0"/>
              <w:rPr>
                <w:sz w:val="20"/>
                <w:szCs w:val="20"/>
                <w:color w:val="auto"/>
              </w:rPr>
            </w:pPr>
            <w:r>
              <w:rPr>
                <w:rFonts w:ascii="Arial" w:cs="Arial" w:eastAsia="Arial" w:hAnsi="Arial"/>
                <w:sz w:val="14"/>
                <w:szCs w:val="14"/>
                <w:color w:val="auto"/>
              </w:rPr>
              <w:t>100.0%</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149"/>
        </w:trPr>
        <w:tc>
          <w:tcPr>
            <w:tcW w:w="424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Direct costs</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56.7%</w:t>
            </w:r>
          </w:p>
        </w:tc>
        <w:tc>
          <w:tcPr>
            <w:tcW w:w="3040" w:type="dxa"/>
            <w:vAlign w:val="bottom"/>
            <w:gridSpan w:val="2"/>
            <w:shd w:val="clear" w:color="auto" w:fill="CCEEFF"/>
          </w:tcPr>
          <w:p>
            <w:pPr>
              <w:jc w:val="right"/>
              <w:ind w:right="1600"/>
              <w:spacing w:after="0"/>
              <w:rPr>
                <w:sz w:val="20"/>
                <w:szCs w:val="20"/>
                <w:color w:val="auto"/>
              </w:rPr>
            </w:pPr>
            <w:r>
              <w:rPr>
                <w:rFonts w:ascii="Arial" w:cs="Arial" w:eastAsia="Arial" w:hAnsi="Arial"/>
                <w:sz w:val="14"/>
                <w:szCs w:val="14"/>
                <w:color w:val="auto"/>
              </w:rPr>
              <w:t>54.9%</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1540" w:type="dxa"/>
            <w:vAlign w:val="bottom"/>
            <w:gridSpan w:val="2"/>
          </w:tcPr>
          <w:p>
            <w:pPr>
              <w:jc w:val="right"/>
              <w:ind w:right="100"/>
              <w:spacing w:after="0"/>
              <w:rPr>
                <w:sz w:val="20"/>
                <w:szCs w:val="20"/>
                <w:color w:val="auto"/>
              </w:rPr>
            </w:pPr>
            <w:r>
              <w:rPr>
                <w:rFonts w:ascii="Arial" w:cs="Arial" w:eastAsia="Arial" w:hAnsi="Arial"/>
                <w:sz w:val="14"/>
                <w:szCs w:val="14"/>
                <w:color w:val="auto"/>
              </w:rPr>
              <w:t>27.7%</w:t>
            </w:r>
          </w:p>
        </w:tc>
        <w:tc>
          <w:tcPr>
            <w:tcW w:w="3040" w:type="dxa"/>
            <w:vAlign w:val="bottom"/>
            <w:gridSpan w:val="2"/>
          </w:tcPr>
          <w:p>
            <w:pPr>
              <w:jc w:val="right"/>
              <w:ind w:right="1600"/>
              <w:spacing w:after="0"/>
              <w:rPr>
                <w:sz w:val="20"/>
                <w:szCs w:val="20"/>
                <w:color w:val="auto"/>
              </w:rPr>
            </w:pPr>
            <w:r>
              <w:rPr>
                <w:rFonts w:ascii="Arial" w:cs="Arial" w:eastAsia="Arial" w:hAnsi="Arial"/>
                <w:sz w:val="14"/>
                <w:szCs w:val="14"/>
                <w:color w:val="auto"/>
              </w:rPr>
              <w:t>30.9%</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w:t>
            </w:r>
          </w:p>
        </w:tc>
        <w:tc>
          <w:tcPr>
            <w:tcW w:w="3040" w:type="dxa"/>
            <w:vAlign w:val="bottom"/>
            <w:gridSpan w:val="2"/>
            <w:shd w:val="clear" w:color="auto" w:fill="CCEEFF"/>
          </w:tcPr>
          <w:p>
            <w:pPr>
              <w:jc w:val="right"/>
              <w:ind w:right="1600"/>
              <w:spacing w:after="0"/>
              <w:rPr>
                <w:sz w:val="20"/>
                <w:szCs w:val="20"/>
                <w:color w:val="auto"/>
              </w:rPr>
            </w:pPr>
            <w:r>
              <w:rPr>
                <w:rFonts w:ascii="Arial" w:cs="Arial" w:eastAsia="Arial" w:hAnsi="Arial"/>
                <w:sz w:val="14"/>
                <w:szCs w:val="14"/>
                <w:color w:val="auto"/>
              </w:rPr>
              <w:t>3.0%</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258"/>
        </w:trPr>
        <w:tc>
          <w:tcPr>
            <w:tcW w:w="4240" w:type="dxa"/>
            <w:vAlign w:val="bottom"/>
          </w:tcPr>
          <w:p>
            <w:pPr>
              <w:spacing w:after="0"/>
              <w:rPr>
                <w:sz w:val="20"/>
                <w:szCs w:val="20"/>
                <w:color w:val="auto"/>
              </w:rPr>
            </w:pPr>
            <w:r>
              <w:rPr>
                <w:rFonts w:ascii="Arial" w:cs="Arial" w:eastAsia="Arial" w:hAnsi="Arial"/>
                <w:sz w:val="14"/>
                <w:szCs w:val="14"/>
                <w:color w:val="auto"/>
              </w:rPr>
              <w:t>Income from operations</w:t>
            </w:r>
          </w:p>
        </w:tc>
        <w:tc>
          <w:tcPr>
            <w:tcW w:w="1540" w:type="dxa"/>
            <w:vAlign w:val="bottom"/>
            <w:gridSpan w:val="2"/>
          </w:tcPr>
          <w:p>
            <w:pPr>
              <w:jc w:val="right"/>
              <w:ind w:right="100"/>
              <w:spacing w:after="0"/>
              <w:rPr>
                <w:sz w:val="20"/>
                <w:szCs w:val="20"/>
                <w:color w:val="auto"/>
              </w:rPr>
            </w:pPr>
            <w:r>
              <w:rPr>
                <w:rFonts w:ascii="Arial" w:cs="Arial" w:eastAsia="Arial" w:hAnsi="Arial"/>
                <w:sz w:val="14"/>
                <w:szCs w:val="14"/>
                <w:color w:val="auto"/>
              </w:rPr>
              <w:t>12.0%</w:t>
            </w:r>
          </w:p>
        </w:tc>
        <w:tc>
          <w:tcPr>
            <w:tcW w:w="3040" w:type="dxa"/>
            <w:vAlign w:val="bottom"/>
            <w:gridSpan w:val="2"/>
          </w:tcPr>
          <w:p>
            <w:pPr>
              <w:jc w:val="right"/>
              <w:ind w:right="1600"/>
              <w:spacing w:after="0"/>
              <w:rPr>
                <w:sz w:val="20"/>
                <w:szCs w:val="20"/>
                <w:color w:val="auto"/>
              </w:rPr>
            </w:pPr>
            <w:r>
              <w:rPr>
                <w:rFonts w:ascii="Arial" w:cs="Arial" w:eastAsia="Arial" w:hAnsi="Arial"/>
                <w:sz w:val="14"/>
                <w:szCs w:val="14"/>
                <w:color w:val="auto"/>
              </w:rPr>
              <w:t>11.2%</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Net revenue increased by $58.6 million, or 35.1%, from $166.9 million for the three months ended September 30, 2007, to $225.5 million for the three months ended September 30, 2008. In the three months ended September 30, 2008, net revenue from our central laboratory business increased by 33.7%, from $13.8 million, to $18.5 million, while our clinical research segment grew by 35.2%, from $153.1 million, to $207.0 million, over the period ended September 30, 2007. This increase in net revenue has resulted from a combination of increased business from existing clients, business won from new clients, increased use of outsourcing by the pharmaceutical, biotechnology and medical device industries and an underlying increase in research and development spending.</w:t>
      </w:r>
    </w:p>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Direct costs increased by $36.3 million, or 39.6%, from $91.7 million for the three months ended September 30, 2007, to $127.9 million for the three months ended September 30, 2008, primarily due to increased personnel related costs of $32.5 million resulting from a higher number of project-related employees. The remainder of the movement resulted primarily from increased laboratory and consulting expenses. Direct costs as a percentage of net revenue increased from 54.9% for the three months ended September 30, 2007, to 56.7% for three months ended September 30, 2008.</w:t>
      </w:r>
    </w:p>
    <w:p>
      <w:pPr>
        <w:spacing w:after="0" w:line="195"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Selling, general and administrative expenses increased by $11.0 million, or 21.3%, from $51.5 million for the three months ended September 30, 2007, to $62.5 million for the three months ended September 30, 2008. The increase in SG&amp;A costs is primarily driven by increased personnel related costs of $8.0 million resulting from increased levels of selling and administrative employees to support the continued expansion of the business. In addition to these personnel costs there were additional rent and utility charges of $4.2 million arising from further office openings since the quarter ended September 30, 2007. As a percentage of net revenue, selling, general and administrative expenses, decreased from 30.9% in the three months ended September 30, 2007, to 27.7% in the three months ended September 30, 2008.</w:t>
      </w: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jc w:val="both"/>
        <w:spacing w:after="0" w:line="231" w:lineRule="auto"/>
        <w:rPr>
          <w:sz w:val="20"/>
          <w:szCs w:val="20"/>
          <w:color w:val="auto"/>
        </w:rPr>
      </w:pPr>
      <w:r>
        <w:rPr>
          <w:rFonts w:ascii="Arial" w:cs="Arial" w:eastAsia="Arial" w:hAnsi="Arial"/>
          <w:sz w:val="14"/>
          <w:szCs w:val="14"/>
          <w:color w:val="auto"/>
        </w:rPr>
        <w:t>Depreciation and amortization expense increased by $2.9 million, or 58.1%, from $5.0 million for the three months ended September 30, 2007, to $7.9 million for the three months ended September 30, 2008. As a percentage of net revenue, depreciation and amortization increased from 3.0% in the three months ended September 30, 2007 to 3.5% in the three months ended September 30, 2008. The increase in absolute terms arises primarily from construction of the Company’s new facility in Dublin, Republic of Ireland, and the ongoing investment in global infrastructure and information technology to support the Company’s current and future growth together with increased amortisation of intangible assets following the acquisitions of DOCS International in July 2007 and Healthcare Discoveries in February 2008.</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Income from operations increased by $8.4 million, or 45.1%, from $18.7 million for the three months ended September 30, 2007, to $27.1 million for the three months ended September 30, 2008. As a percentage of net revenue, income from operations increased from 11.2% for the three months ended September 30, 2007, to 12.0% of net revenues for the three months ended September 30, 2008. The operating income for the quarter is derived after the recognition of the non cash stock compensation charge of $1.6 million.</w:t>
      </w:r>
    </w:p>
    <w:p>
      <w:pPr>
        <w:spacing w:after="0" w:line="210"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The three months ended September 30, 2008, saw a continued improvement in the performance of the central laboratory business, with results improving from an operating profit of 7.0% for the three months ended September 30, 2007, to an operating profit of 7.1% for the three months ended September 30, 2008. The central laboratory constitutes approximately 8.2% of our business revenues for the three months ended September 30, 2008. Operating margins for our clinical research segment increased to 12.5% in the three months ended September 30, 2008, from 11.6% for the three months ended September 30, 2007.</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Net interest expense for the three months ended September 30, 2008, was $0.2 million, a decrease of $0.2 million on a neutral net interest income of $0.016 million for the three months ended September 30, 2007.</w:t>
      </w:r>
    </w:p>
    <w:p>
      <w:pPr>
        <w:spacing w:after="0" w:line="201"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Our provision for income taxes increased from $4.2 million for the three months ended September 30, 2007, to $5.4 million for the three months ended September 30, 2008. ICON plc’s effective tax rate for the three months ended September 30, 2008, was 19.9% compared with 22.2% for the three months ended September 30, 2007. The effective tax rate is principally a function of the distribution of pre-tax profits in the territories in which the Group operates.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i w:val="1"/>
          <w:iCs w:val="1"/>
          <w:color w:val="auto"/>
        </w:rPr>
        <w:t>Nine Months Ended September 30, 2008 Compared with Nine Months Ended September 30, 2007</w:t>
      </w:r>
    </w:p>
    <w:p>
      <w:pPr>
        <w:spacing w:after="0" w:line="230" w:lineRule="exact"/>
        <w:rPr>
          <w:sz w:val="20"/>
          <w:szCs w:val="20"/>
          <w:color w:val="auto"/>
        </w:rPr>
      </w:pPr>
    </w:p>
    <w:p>
      <w:pPr>
        <w:ind w:right="180"/>
        <w:spacing w:after="0" w:line="253" w:lineRule="auto"/>
        <w:rPr>
          <w:sz w:val="20"/>
          <w:szCs w:val="20"/>
          <w:color w:val="auto"/>
        </w:rPr>
      </w:pPr>
      <w:r>
        <w:rPr>
          <w:rFonts w:ascii="Arial" w:cs="Arial" w:eastAsia="Arial" w:hAnsi="Arial"/>
          <w:sz w:val="14"/>
          <w:szCs w:val="14"/>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4240" w:type="dxa"/>
            <w:vAlign w:val="bottom"/>
          </w:tcPr>
          <w:p>
            <w:pPr>
              <w:spacing w:after="0"/>
              <w:rPr>
                <w:sz w:val="15"/>
                <w:szCs w:val="15"/>
                <w:color w:val="auto"/>
              </w:rPr>
            </w:pPr>
          </w:p>
        </w:tc>
        <w:tc>
          <w:tcPr>
            <w:tcW w:w="4580" w:type="dxa"/>
            <w:vAlign w:val="bottom"/>
            <w:gridSpan w:val="4"/>
          </w:tcPr>
          <w:p>
            <w:pPr>
              <w:jc w:val="right"/>
              <w:ind w:right="2540"/>
              <w:spacing w:after="0"/>
              <w:rPr>
                <w:sz w:val="20"/>
                <w:szCs w:val="20"/>
                <w:color w:val="auto"/>
              </w:rPr>
            </w:pPr>
            <w:r>
              <w:rPr>
                <w:rFonts w:ascii="Arial" w:cs="Arial" w:eastAsia="Arial" w:hAnsi="Arial"/>
                <w:sz w:val="14"/>
                <w:szCs w:val="14"/>
                <w:b w:val="1"/>
                <w:bCs w:val="1"/>
                <w:color w:val="auto"/>
              </w:rPr>
              <w:t>Nine Months Ended</w:t>
            </w: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240" w:type="dxa"/>
            <w:vAlign w:val="bottom"/>
          </w:tcPr>
          <w:p>
            <w:pPr>
              <w:spacing w:after="0"/>
              <w:rPr>
                <w:sz w:val="10"/>
                <w:szCs w:val="10"/>
                <w:color w:val="auto"/>
              </w:rPr>
            </w:pPr>
          </w:p>
        </w:tc>
        <w:tc>
          <w:tcPr>
            <w:tcW w:w="1540" w:type="dxa"/>
            <w:vAlign w:val="bottom"/>
            <w:tcBorders>
              <w:top w:val="single" w:sz="8" w:color="auto"/>
            </w:tcBorders>
            <w:gridSpan w:val="2"/>
          </w:tcPr>
          <w:p>
            <w:pPr>
              <w:jc w:val="right"/>
              <w:ind w:right="220"/>
              <w:spacing w:after="0" w:line="126" w:lineRule="exact"/>
              <w:rPr>
                <w:sz w:val="20"/>
                <w:szCs w:val="20"/>
                <w:color w:val="auto"/>
              </w:rPr>
            </w:pPr>
            <w:r>
              <w:rPr>
                <w:rFonts w:ascii="Arial" w:cs="Arial" w:eastAsia="Arial" w:hAnsi="Arial"/>
                <w:sz w:val="14"/>
                <w:szCs w:val="14"/>
                <w:b w:val="1"/>
                <w:bCs w:val="1"/>
                <w:color w:val="auto"/>
              </w:rPr>
              <w:t>September 30,</w:t>
            </w:r>
          </w:p>
        </w:tc>
        <w:tc>
          <w:tcPr>
            <w:tcW w:w="13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rPr>
              <w:t>September 30,</w:t>
            </w:r>
          </w:p>
        </w:tc>
        <w:tc>
          <w:tcPr>
            <w:tcW w:w="17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24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172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to 2008</w:t>
            </w:r>
          </w:p>
        </w:tc>
        <w:tc>
          <w:tcPr>
            <w:tcW w:w="0" w:type="dxa"/>
            <w:vAlign w:val="bottom"/>
          </w:tcPr>
          <w:p>
            <w:pPr>
              <w:spacing w:after="0"/>
              <w:rPr>
                <w:sz w:val="1"/>
                <w:szCs w:val="1"/>
                <w:color w:val="auto"/>
              </w:rPr>
            </w:pPr>
          </w:p>
        </w:tc>
      </w:tr>
      <w:tr>
        <w:trPr>
          <w:trHeight w:val="153"/>
        </w:trPr>
        <w:tc>
          <w:tcPr>
            <w:tcW w:w="4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60" w:type="dxa"/>
            <w:vAlign w:val="bottom"/>
            <w:gridSpan w:val="2"/>
          </w:tcPr>
          <w:p>
            <w:pPr>
              <w:jc w:val="right"/>
              <w:ind w:right="140"/>
              <w:spacing w:after="0" w:line="15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8"/>
        </w:trPr>
        <w:tc>
          <w:tcPr>
            <w:tcW w:w="4240" w:type="dxa"/>
            <w:vAlign w:val="bottom"/>
          </w:tcPr>
          <w:p>
            <w:pPr>
              <w:spacing w:after="0"/>
              <w:rPr>
                <w:sz w:val="15"/>
                <w:szCs w:val="15"/>
                <w:color w:val="auto"/>
              </w:rPr>
            </w:pPr>
          </w:p>
        </w:tc>
        <w:tc>
          <w:tcPr>
            <w:tcW w:w="4580" w:type="dxa"/>
            <w:vAlign w:val="bottom"/>
            <w:gridSpan w:val="4"/>
          </w:tcPr>
          <w:p>
            <w:pPr>
              <w:jc w:val="right"/>
              <w:ind w:right="2340"/>
              <w:spacing w:after="0"/>
              <w:rPr>
                <w:sz w:val="20"/>
                <w:szCs w:val="20"/>
                <w:color w:val="auto"/>
              </w:rPr>
            </w:pPr>
            <w:r>
              <w:rPr>
                <w:rFonts w:ascii="Arial" w:cs="Arial" w:eastAsia="Arial" w:hAnsi="Arial"/>
                <w:sz w:val="14"/>
                <w:szCs w:val="14"/>
                <w:b w:val="1"/>
                <w:bCs w:val="1"/>
                <w:color w:val="auto"/>
              </w:rPr>
              <w:t>Percentage of Net Revenue</w:t>
            </w:r>
          </w:p>
        </w:tc>
        <w:tc>
          <w:tcPr>
            <w:tcW w:w="14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72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Net revenue</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3040" w:type="dxa"/>
            <w:vAlign w:val="bottom"/>
            <w:gridSpan w:val="2"/>
            <w:shd w:val="clear" w:color="auto" w:fill="CCEEFF"/>
          </w:tcPr>
          <w:p>
            <w:pPr>
              <w:jc w:val="right"/>
              <w:ind w:right="1600"/>
              <w:spacing w:after="0"/>
              <w:rPr>
                <w:sz w:val="20"/>
                <w:szCs w:val="20"/>
                <w:color w:val="auto"/>
              </w:rPr>
            </w:pPr>
            <w:r>
              <w:rPr>
                <w:rFonts w:ascii="Arial" w:cs="Arial" w:eastAsia="Arial" w:hAnsi="Arial"/>
                <w:sz w:val="14"/>
                <w:szCs w:val="14"/>
                <w:color w:val="auto"/>
              </w:rPr>
              <w:t>100.0%</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149"/>
        </w:trPr>
        <w:tc>
          <w:tcPr>
            <w:tcW w:w="424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Direct costs</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56.4%</w:t>
            </w:r>
          </w:p>
        </w:tc>
        <w:tc>
          <w:tcPr>
            <w:tcW w:w="3040" w:type="dxa"/>
            <w:vAlign w:val="bottom"/>
            <w:gridSpan w:val="2"/>
            <w:shd w:val="clear" w:color="auto" w:fill="CCEEFF"/>
          </w:tcPr>
          <w:p>
            <w:pPr>
              <w:jc w:val="right"/>
              <w:ind w:right="1600"/>
              <w:spacing w:after="0"/>
              <w:rPr>
                <w:sz w:val="20"/>
                <w:szCs w:val="20"/>
                <w:color w:val="auto"/>
              </w:rPr>
            </w:pPr>
            <w:r>
              <w:rPr>
                <w:rFonts w:ascii="Arial" w:cs="Arial" w:eastAsia="Arial" w:hAnsi="Arial"/>
                <w:sz w:val="14"/>
                <w:szCs w:val="14"/>
                <w:color w:val="auto"/>
              </w:rPr>
              <w:t>56.5%</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1540" w:type="dxa"/>
            <w:vAlign w:val="bottom"/>
            <w:gridSpan w:val="2"/>
          </w:tcPr>
          <w:p>
            <w:pPr>
              <w:jc w:val="right"/>
              <w:ind w:right="100"/>
              <w:spacing w:after="0"/>
              <w:rPr>
                <w:sz w:val="20"/>
                <w:szCs w:val="20"/>
                <w:color w:val="auto"/>
              </w:rPr>
            </w:pPr>
            <w:r>
              <w:rPr>
                <w:rFonts w:ascii="Arial" w:cs="Arial" w:eastAsia="Arial" w:hAnsi="Arial"/>
                <w:sz w:val="14"/>
                <w:szCs w:val="14"/>
                <w:color w:val="auto"/>
              </w:rPr>
              <w:t>29.0%</w:t>
            </w:r>
          </w:p>
        </w:tc>
        <w:tc>
          <w:tcPr>
            <w:tcW w:w="3040" w:type="dxa"/>
            <w:vAlign w:val="bottom"/>
            <w:gridSpan w:val="2"/>
          </w:tcPr>
          <w:p>
            <w:pPr>
              <w:jc w:val="right"/>
              <w:ind w:right="1600"/>
              <w:spacing w:after="0"/>
              <w:rPr>
                <w:sz w:val="20"/>
                <w:szCs w:val="20"/>
                <w:color w:val="auto"/>
              </w:rPr>
            </w:pPr>
            <w:r>
              <w:rPr>
                <w:rFonts w:ascii="Arial" w:cs="Arial" w:eastAsia="Arial" w:hAnsi="Arial"/>
                <w:sz w:val="14"/>
                <w:szCs w:val="14"/>
                <w:color w:val="auto"/>
              </w:rPr>
              <w:t>29.5%</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w:t>
            </w:r>
          </w:p>
        </w:tc>
        <w:tc>
          <w:tcPr>
            <w:tcW w:w="3040" w:type="dxa"/>
            <w:vAlign w:val="bottom"/>
            <w:gridSpan w:val="2"/>
            <w:shd w:val="clear" w:color="auto" w:fill="CCEEFF"/>
          </w:tcPr>
          <w:p>
            <w:pPr>
              <w:jc w:val="right"/>
              <w:ind w:right="1600"/>
              <w:spacing w:after="0"/>
              <w:rPr>
                <w:sz w:val="20"/>
                <w:szCs w:val="20"/>
                <w:color w:val="auto"/>
              </w:rPr>
            </w:pPr>
            <w:r>
              <w:rPr>
                <w:rFonts w:ascii="Arial" w:cs="Arial" w:eastAsia="Arial" w:hAnsi="Arial"/>
                <w:sz w:val="14"/>
                <w:szCs w:val="14"/>
                <w:color w:val="auto"/>
              </w:rPr>
              <w:t>3.0%</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58"/>
        </w:trPr>
        <w:tc>
          <w:tcPr>
            <w:tcW w:w="4240" w:type="dxa"/>
            <w:vAlign w:val="bottom"/>
          </w:tcPr>
          <w:p>
            <w:pPr>
              <w:spacing w:after="0"/>
              <w:rPr>
                <w:sz w:val="20"/>
                <w:szCs w:val="20"/>
                <w:color w:val="auto"/>
              </w:rPr>
            </w:pPr>
            <w:r>
              <w:rPr>
                <w:rFonts w:ascii="Arial" w:cs="Arial" w:eastAsia="Arial" w:hAnsi="Arial"/>
                <w:sz w:val="14"/>
                <w:szCs w:val="14"/>
                <w:color w:val="auto"/>
              </w:rPr>
              <w:t>Income from operations</w:t>
            </w:r>
          </w:p>
        </w:tc>
        <w:tc>
          <w:tcPr>
            <w:tcW w:w="1540" w:type="dxa"/>
            <w:vAlign w:val="bottom"/>
            <w:gridSpan w:val="2"/>
          </w:tcPr>
          <w:p>
            <w:pPr>
              <w:jc w:val="right"/>
              <w:ind w:right="100"/>
              <w:spacing w:after="0"/>
              <w:rPr>
                <w:sz w:val="20"/>
                <w:szCs w:val="20"/>
                <w:color w:val="auto"/>
              </w:rPr>
            </w:pPr>
            <w:r>
              <w:rPr>
                <w:rFonts w:ascii="Arial" w:cs="Arial" w:eastAsia="Arial" w:hAnsi="Arial"/>
                <w:sz w:val="14"/>
                <w:szCs w:val="14"/>
                <w:color w:val="auto"/>
              </w:rPr>
              <w:t>11.3%</w:t>
            </w:r>
          </w:p>
        </w:tc>
        <w:tc>
          <w:tcPr>
            <w:tcW w:w="3040" w:type="dxa"/>
            <w:vAlign w:val="bottom"/>
            <w:gridSpan w:val="2"/>
          </w:tcPr>
          <w:p>
            <w:pPr>
              <w:jc w:val="right"/>
              <w:ind w:right="1600"/>
              <w:spacing w:after="0"/>
              <w:rPr>
                <w:sz w:val="20"/>
                <w:szCs w:val="20"/>
                <w:color w:val="auto"/>
              </w:rPr>
            </w:pPr>
            <w:r>
              <w:rPr>
                <w:rFonts w:ascii="Arial" w:cs="Arial" w:eastAsia="Arial" w:hAnsi="Arial"/>
                <w:sz w:val="14"/>
                <w:szCs w:val="14"/>
                <w:color w:val="auto"/>
              </w:rPr>
              <w:t>11.0%</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47.7%</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Net revenue increased by $195.1 million, or 43.4%, from $450.1 million for the nine months ended September 30, 2007, to $645.2 million for the nine months ended September 30, 2008. During the nine months ended September 30, 2008, net revenue from our central laboratory business increased by 29.5% from $39.8 million to $51.5 million, while our clinical research segment grew by 44.7% from $410.3 million to $593.6 million over the prior period. This increase in net revenue has resulted from a combination of increased business from existing clients, business won from new clients, increased use of outsourcing by the pharmaceutical, biotechnology and medical device industries and an underlying increase in research and development spending.</w:t>
      </w:r>
    </w:p>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Direct costs increased by $110.1 million, or 43.3%, from $254.1 million for the nine months ended September 30, 2007, to $364.1 million for the nine months ended September 30, 2008, primarily due to increased personnel related costs of $99.3 million resulting from a higher number of project related employees. The remainder of the movement resulted from an increase in general overhead costs. Direct costs as a percentage of net revenue decreased from 56.5% for the nine months ended September 30, 2007, to 56.4% for the nine months ended September 30, 2008.</w:t>
      </w:r>
    </w:p>
    <w:p>
      <w:pPr>
        <w:spacing w:after="0" w:line="195"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Selling, general and administrative expenses increased by $54.5 million, or 41.0%, from $132.9 million for the nine months ended September 30, 2007, to $187.3 million for the nine months ended September 30, 2008. As a percentage of net revenue, selling, general and administrative expenses, decreased from 29.5% for the nine months ended September 30, 2007, to 29.0% for the nine months ended September 30, 2008. The movement in SG&amp;A costs is primarily attributable to increased personnel related costs of $27.4 million resulting from higher levels of selling and administrative employees to support the continued expansion of the business, increased rent and utility charges of $9.9 million from further office openings, increased IT expenses of $3.1 million and increased professional, legal and accounting costs of $3.5 million.</w:t>
      </w:r>
    </w:p>
    <w:p>
      <w:pPr>
        <w:spacing w:after="0" w:line="211"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Depreciation and amortization expense increased by $7.1 million, or 51.7%, from $13.6 million for the nine months ended September 30, 2007 to $20.7 million for the nine months ended September 30, 2008. As a percentage of net revenue, depreciation and amortization, increased from 3.0% for the nine months ended September 30, 2007 to 3.2% for the nine months ended September 30, 2008. The increase in absolute terms arises primarily from construction of the Company’s new facility in Dublin, Republic of Ireland, and the ongoing investment in global infrastructure and information technology to support the Company’s current and future growth together with the increased amortisation of intangible assets following the acquisition of DOCS International in July 2007 and Healthcare Discoveries in February 2008.</w:t>
      </w:r>
    </w:p>
    <w:p>
      <w:pPr>
        <w:spacing w:after="0" w:line="211"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Income from operations increased by $23.6 million, or 47.7%, from $49.5 million for the nine months ended September 30, 2007, to $73.0 million for the nine months ended September 30, 2008. As a percentage of net revenue, income from operations increased from 11.0% for the nine months ended September 30, 2007 to 11.3% for the nine months ended September 30, 2008. The operating income for the nine months is derived after the recognition of the non cash stock compensation charge of $4.4 million. As a percentage of net revenue, the central laboratory business’s operating profits increased to 7.5% for the nine months ended September 30, 2008, compared to 6.9% for the nine months ended September 30, 2007, due to the efficiencies gained from higher testing volumes in fiscal 2008. For the nine months ended September 30, 2008, the central laboratory constituted approximately 8.0% of our business revenues.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both"/>
        <w:spacing w:after="0" w:line="237" w:lineRule="auto"/>
        <w:rPr>
          <w:sz w:val="20"/>
          <w:szCs w:val="20"/>
          <w:color w:val="auto"/>
        </w:rPr>
      </w:pPr>
      <w:r>
        <w:rPr>
          <w:rFonts w:ascii="Arial" w:cs="Arial" w:eastAsia="Arial" w:hAnsi="Arial"/>
          <w:sz w:val="14"/>
          <w:szCs w:val="14"/>
          <w:color w:val="auto"/>
        </w:rPr>
        <w:t>Net interest expense for the nine months ended September 30, 2008, was $0.7 million, a decrease of $2.8 million on net interest income of $2.1 million for the nine months ended September 30, 2007. The Company entered into a number of significant banking facilities in the period since July 2007, to fund the acquisition of DOCS International in July 2007, ($40.6 million), the acquisition of Healthcare Discoveries in February 2008, ($11.1 million), and the construction of the Company’s new facility in Dublin, Republic of Ireland.</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ICON's effective tax rate for the nine months ended September 30, 2008, was 20.0% compared with 22.0% for the nine months ended September 30, 2007.</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35"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The CRO industry generally is not capital intensive. Since our inception, we have financed our operations and growth primarily with cash flows from operations, net proceeds of $49.1 million raised in our initial public offering in May 1998, net proceeds of $44.3 million raised in our public offering in August 2003 and net borrowings of $79.5 million used to finance the acquisitions of DOCS International and Healthcare Discoveries, and expenditure on the expansion of our Dublin facility. Our principal operating cash needs are payment of salaries, office rents, travel expenditures and payments to subcontractors. The aggregate amount of employee compensation paid in the nine months ended September 30, 2008, amounted to $384.9 million, compared to $272.2 million for the nine months ended September 30, 2007. Investing activities primarily reflect capital expenditures for facilities and information systems enhancements, the sale and purchase of short-term investments and acquisitions.</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Our clinical research and development contracts are generally fixed price with some variable components and range in duration from a few months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instalments over the contract's duration and in some cases upon the achievement of certain milestones. Accordingly, cash receipts do not necessarily correspond to costs incurred and revenue recognized on contracts.</w:t>
      </w:r>
    </w:p>
    <w:p>
      <w:pPr>
        <w:spacing w:after="0" w:line="199"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As of September 30, 2008, our working capital amounted to $204.8 million, compared to $193.3 million at December 31, 2007. The other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was 54 days at September 30, 2008, compared to 66 days at December 31, 2007.</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Net cash provided by operating activities was $86.0 million for the nine months ended September 30, 2008, compared to $19.9 million for the nine months ended September 30, 2007. The increase in net cash from operating activities is primarily due to the increase in payments on account and other liabilities.</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Net cash used in investing activities was $66.1 million for the nine months ended September 30, 2008, compared to $81.5 million for the nine months ended September 30, 2007. Net cash used in investing activities was primarily used to finance the Company’s investment in its global infrastructure and information technology in the period of $53.6 million and the acquisition of Healthcare Discoveries in February 2008 for $12.0 million including the costs of acquisition of $0.9 million.</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Net cash used by financing activities was $1.8 million for the nine months ended September 30, 2008, compared to $70.5 million provided for the nine months ended September 30, 2007. The Company drew down $65.5 million in bank credit lines and loan facilities during the nine months ended September 30, 2007. A further $30.4 million was drawn down during the nine months ended September 30, 2008, primarily to fund the acquisition of Healthcare Discoveries in February 2008, the construction of the new facility located in Dublin, Republic of Ireland and the ongoing investment in global infrastructure and information technology to support the Company’s current and future growth. This was offset by repayments of $44.4 million during the nine months ended September 30, 2008, proceeds received from the exercise of share options of $8.4 million and the corporate tax benefit associated with the exercise of share options of $4.0 million.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both"/>
        <w:spacing w:after="0" w:line="252" w:lineRule="auto"/>
        <w:rPr>
          <w:sz w:val="20"/>
          <w:szCs w:val="20"/>
          <w:color w:val="auto"/>
        </w:rPr>
      </w:pPr>
      <w:r>
        <w:rPr>
          <w:rFonts w:ascii="Arial" w:cs="Arial" w:eastAsia="Arial" w:hAnsi="Arial"/>
          <w:sz w:val="14"/>
          <w:szCs w:val="14"/>
          <w:color w:val="auto"/>
        </w:rPr>
        <w:t>As a result of these cash flows, cash and cash equivalents increased by $15.5 milllion for the nine months ended September 30, 2008, compared to $6.5 million for the nine months ended September 30, 2007.</w:t>
      </w:r>
    </w:p>
    <w:p>
      <w:pPr>
        <w:spacing w:after="0" w:line="201"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On July 9, 2007, ICON plc entered into a five year committed multi-currency facility agreement for €35 million ($49.4 million) with The Governor and Company of the Bank of Ireland. The facility bears interest at an annual rate equal to the reference rate of EURIBOR plus a margin. Our obligations under the facility are secured by certain composite guarantees and indemnities and pledges in favour of the bank. On July 10, 2007, the Company drew down €29.5 million ($41.6 million) of the facility to fund the acquisition of DOCS International. On October 15, 2007, the remaining €5.5 million ($7.8 million) of the facility was drawn down to cover expenditure on the expansion of the Company’s facility in Dublin, Republic of Ireland.</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On October 17, 2007, an uncommitted credit facility was negotiated with Allied Irish Banks plc, for €30 million ($42.3 million). Interest is calculated at the EUR Interbank rate plus a margin. The facility is secured by the same composite guarantees and indemnities in place for the Bank of Ireland committed facility. On December 31, 2007, this facility was fully drawn. The funds were used to refinance overdraft facilities in place to fund expenditure on the Dublin facility. On January 8, 2008, the facility with Allied Irish Banks plc was increased to €50 million ($70.5 million). All terms of this facility remain the same. On September 30, 2008, €21.4 million ($30.2 million) of this facility was drawn. The facility is due to be reviewed on October 31, 2008.</w:t>
      </w:r>
    </w:p>
    <w:p>
      <w:pPr>
        <w:spacing w:after="0" w:line="199" w:lineRule="exact"/>
        <w:rPr>
          <w:sz w:val="20"/>
          <w:szCs w:val="20"/>
          <w:color w:val="auto"/>
        </w:rPr>
      </w:pPr>
    </w:p>
    <w:p>
      <w:pPr>
        <w:jc w:val="both"/>
        <w:spacing w:after="0" w:line="291" w:lineRule="auto"/>
        <w:rPr>
          <w:sz w:val="20"/>
          <w:szCs w:val="20"/>
          <w:color w:val="auto"/>
        </w:rPr>
      </w:pPr>
      <w:r>
        <w:rPr>
          <w:rFonts w:ascii="Arial" w:cs="Arial" w:eastAsia="Arial" w:hAnsi="Arial"/>
          <w:sz w:val="13"/>
          <w:szCs w:val="13"/>
          <w:color w:val="auto"/>
        </w:rPr>
        <w:t>On February 4, 2008, an uncommitted credit facility was negotiated with Citibank N.A, for $30 million. Interest is calculated at the London Interbank Market rate plus a margin. $12.0 million of this facility was drawn down in February 2008, primarily to fund the acquisition of Healthcare Discoveries. On September 30, 2008, the $12.0 million previously drawn down was repaid in full.</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The average margin payable on the above mentioned facilities is 0.64 per cent.</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current available overdraft facility with Allied Irish Banks plc is €2 million ($2.8 million). The applicable interest rate when utilised is the bank’s prime rate and is repayable on demand if the Company defaults under its obligations as specified in the loan agreement. As of September 30, 2008, the facility was undrawn and available.</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Inflation</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We believe the effects of inflation generally do not have a material adverse impact on our operations or financial conditions.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Proceedings</w:t>
      </w:r>
    </w:p>
    <w:p>
      <w:pPr>
        <w:spacing w:after="0" w:line="235" w:lineRule="exact"/>
        <w:rPr>
          <w:sz w:val="20"/>
          <w:szCs w:val="20"/>
          <w:color w:val="auto"/>
        </w:rPr>
      </w:pPr>
    </w:p>
    <w:p>
      <w:pPr>
        <w:ind w:right="480"/>
        <w:spacing w:after="0" w:line="230" w:lineRule="auto"/>
        <w:rPr>
          <w:sz w:val="20"/>
          <w:szCs w:val="20"/>
          <w:color w:val="auto"/>
        </w:rPr>
      </w:pPr>
      <w:r>
        <w:rPr>
          <w:rFonts w:ascii="Arial" w:cs="Arial" w:eastAsia="Arial" w:hAnsi="Arial"/>
          <w:sz w:val="14"/>
          <w:szCs w:val="14"/>
          <w:color w:val="auto"/>
        </w:rPr>
        <w:t>We are not party to any litigation or other legal proceedings that we believe could reasonably be expected to have a material adverse effect on our business, results of operations and financial condition.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ind w:left="5260"/>
        <w:spacing w:after="0"/>
        <w:rPr>
          <w:sz w:val="20"/>
          <w:szCs w:val="20"/>
          <w:color w:val="auto"/>
        </w:rPr>
      </w:pPr>
      <w:r>
        <w:rPr>
          <w:rFonts w:ascii="Arial" w:cs="Arial" w:eastAsia="Arial" w:hAnsi="Arial"/>
          <w:sz w:val="14"/>
          <w:szCs w:val="14"/>
          <w:b w:val="1"/>
          <w:bCs w:val="1"/>
          <w:color w:val="auto"/>
        </w:rPr>
        <w:t>SIGNATURES</w:t>
      </w: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ICON plc</w:t>
            </w:r>
          </w:p>
        </w:tc>
      </w:tr>
      <w:tr>
        <w:trPr>
          <w:trHeight w:val="714"/>
        </w:trPr>
        <w:tc>
          <w:tcPr>
            <w:tcW w:w="57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4"/>
                <w:szCs w:val="14"/>
                <w:color w:val="auto"/>
              </w:rPr>
              <w:t>/s/ Ciaran Murray</w:t>
            </w:r>
          </w:p>
        </w:tc>
      </w:tr>
      <w:tr>
        <w:trPr>
          <w:trHeight w:val="150"/>
        </w:trPr>
        <w:tc>
          <w:tcPr>
            <w:tcW w:w="5720" w:type="dxa"/>
            <w:vAlign w:val="bottom"/>
          </w:tcPr>
          <w:p>
            <w:pPr>
              <w:spacing w:after="0" w:line="151" w:lineRule="exact"/>
              <w:rPr>
                <w:sz w:val="20"/>
                <w:szCs w:val="20"/>
                <w:color w:val="auto"/>
              </w:rPr>
            </w:pPr>
            <w:r>
              <w:rPr>
                <w:rFonts w:ascii="Arial" w:cs="Arial" w:eastAsia="Arial" w:hAnsi="Arial"/>
                <w:sz w:val="14"/>
                <w:szCs w:val="14"/>
                <w:color w:val="auto"/>
              </w:rPr>
              <w:t>Date October 21, 2008</w:t>
            </w:r>
          </w:p>
        </w:tc>
        <w:tc>
          <w:tcPr>
            <w:tcW w:w="1020" w:type="dxa"/>
            <w:vAlign w:val="bottom"/>
            <w:tcBorders>
              <w:top w:val="single" w:sz="8" w:color="auto"/>
            </w:tcBorders>
          </w:tcPr>
          <w:p>
            <w:pPr>
              <w:spacing w:after="0" w:line="151" w:lineRule="exact"/>
              <w:rPr>
                <w:sz w:val="20"/>
                <w:szCs w:val="20"/>
                <w:color w:val="auto"/>
              </w:rPr>
            </w:pPr>
            <w:r>
              <w:rPr>
                <w:rFonts w:ascii="Arial" w:cs="Arial" w:eastAsia="Arial" w:hAnsi="Arial"/>
                <w:sz w:val="14"/>
                <w:szCs w:val="14"/>
                <w:color w:val="auto"/>
              </w:rPr>
              <w:t>Ciaran Murray</w:t>
            </w:r>
          </w:p>
        </w:tc>
        <w:tc>
          <w:tcPr>
            <w:tcW w:w="320" w:type="dxa"/>
            <w:vAlign w:val="bottom"/>
          </w:tcPr>
          <w:p>
            <w:pPr>
              <w:spacing w:after="0"/>
              <w:rPr>
                <w:sz w:val="13"/>
                <w:szCs w:val="13"/>
                <w:color w:val="auto"/>
              </w:rPr>
            </w:pPr>
          </w:p>
        </w:tc>
      </w:tr>
      <w:tr>
        <w:trPr>
          <w:trHeight w:val="182"/>
        </w:trPr>
        <w:tc>
          <w:tcPr>
            <w:tcW w:w="572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Arial" w:cs="Arial" w:eastAsia="Arial" w:hAnsi="Arial"/>
                <w:sz w:val="14"/>
                <w:szCs w:val="14"/>
                <w:color w:val="auto"/>
                <w:w w:val="95"/>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21</w:t>
      </w:r>
    </w:p>
    <w:sectPr>
      <w:pgSz w:w="11900" w:h="16838" w:orient="portrait"/>
      <w:cols w:equalWidth="0" w:num="1">
        <w:col w:w="10560"/>
      </w:cols>
      <w:pgMar w:left="240" w:top="118"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2019-12-14T20:50:38Z</dcterms:created>
  <dcterms:modified xsi:type="dcterms:W3CDTF">2019-12-14T20:50:38Z</dcterms:modified>
</cp:coreProperties>
</file>