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7"/>
          <w:szCs w:val="27"/>
          <w:b w:val="1"/>
          <w:bCs w:val="1"/>
          <w:color w:val="auto"/>
        </w:rPr>
        <w:t>FORM 6-K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13a-16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7"/>
          <w:szCs w:val="17"/>
          <w:b w:val="1"/>
          <w:bCs w:val="1"/>
          <w:color w:val="auto"/>
        </w:rPr>
        <w:t>he Securities Exchange Act of 1934</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month ended June, 2014</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ICON plc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0-29714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South County Business Park, Leopardstown, Dublin 18, Ireland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Brendan Brennan, CFO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South County Business Park, Leopardstown, Dublin 18, Ireland.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Brendan.Brennan@iconplc.com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00-353-1-291-2000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27" w:lineRule="exact"/>
        <w:rPr>
          <w:sz w:val="24"/>
          <w:szCs w:val="24"/>
          <w:color w:val="auto"/>
        </w:rPr>
      </w:pPr>
    </w:p>
    <w:p>
      <w:pPr>
        <w:ind w:left="3040"/>
        <w:spacing w:after="0"/>
        <w:tabs>
          <w:tab w:leader="none" w:pos="6000" w:val="left"/>
        </w:tabs>
        <w:rPr>
          <w:sz w:val="20"/>
          <w:szCs w:val="20"/>
          <w:color w:val="auto"/>
        </w:rPr>
      </w:pPr>
      <w:r>
        <w:rPr>
          <w:rFonts w:ascii="Times New Roman" w:cs="Times New Roman" w:eastAsia="Times New Roman" w:hAnsi="Times New Roman"/>
          <w:sz w:val="17"/>
          <w:szCs w:val="17"/>
          <w:color w:val="auto"/>
        </w:rPr>
        <w:t>Yes___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r>
        <w:rPr>
          <w:sz w:val="20"/>
          <w:szCs w:val="20"/>
          <w:color w:val="auto"/>
        </w:rPr>
        <w:tab/>
      </w:r>
      <w:r>
        <w:rPr>
          <w:rFonts w:ascii="Times New Roman" w:cs="Times New Roman" w:eastAsia="Times New Roman" w:hAnsi="Times New Roman"/>
          <w:sz w:val="16"/>
          <w:szCs w:val="16"/>
          <w:color w:val="auto"/>
        </w:rPr>
        <w:t>No___</w:t>
      </w:r>
      <w:r>
        <w:rPr>
          <w:rFonts w:ascii="Times New Roman" w:cs="Times New Roman" w:eastAsia="Times New Roman" w:hAnsi="Times New Roman"/>
          <w:sz w:val="16"/>
          <w:szCs w:val="16"/>
          <w:b w:val="1"/>
          <w:bCs w:val="1"/>
          <w:color w:val="auto"/>
        </w:rPr>
        <w:t>_</w:t>
      </w:r>
      <w:r>
        <w:rPr>
          <w:rFonts w:ascii="Times New Roman" w:cs="Times New Roman" w:eastAsia="Times New Roman" w:hAnsi="Times New Roman"/>
          <w:sz w:val="16"/>
          <w:szCs w:val="16"/>
          <w:color w:val="auto"/>
        </w:rPr>
        <w:t>___</w:t>
      </w:r>
    </w:p>
    <w:p>
      <w:pPr>
        <w:spacing w:after="0" w:line="19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Indicate by check mark whether the registrant is submitting the Form 6-K in paper as permitted by Regulation S-T Rule 101(b)</w:t>
      </w:r>
    </w:p>
    <w:p>
      <w:pPr>
        <w:spacing w:after="0" w:line="2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(1):</w:t>
      </w:r>
    </w:p>
    <w:p>
      <w:pPr>
        <w:spacing w:after="0" w:line="9" w:lineRule="exact"/>
        <w:rPr>
          <w:sz w:val="24"/>
          <w:szCs w:val="24"/>
          <w:color w:val="auto"/>
        </w:rPr>
      </w:pPr>
    </w:p>
    <w:p>
      <w:pPr>
        <w:ind w:left="3040"/>
        <w:spacing w:after="0"/>
        <w:tabs>
          <w:tab w:leader="none" w:pos="6000" w:val="left"/>
        </w:tabs>
        <w:rPr>
          <w:sz w:val="20"/>
          <w:szCs w:val="20"/>
          <w:color w:val="auto"/>
        </w:rPr>
      </w:pPr>
      <w:r>
        <w:rPr>
          <w:rFonts w:ascii="Times New Roman" w:cs="Times New Roman" w:eastAsia="Times New Roman" w:hAnsi="Times New Roman"/>
          <w:sz w:val="17"/>
          <w:szCs w:val="17"/>
          <w:color w:val="auto"/>
        </w:rPr>
        <w:t>Yes______</w:t>
      </w:r>
      <w:r>
        <w:rPr>
          <w:sz w:val="20"/>
          <w:szCs w:val="20"/>
          <w:color w:val="auto"/>
        </w:rPr>
        <w:tab/>
      </w:r>
      <w:r>
        <w:rPr>
          <w:rFonts w:ascii="Times New Roman" w:cs="Times New Roman" w:eastAsia="Times New Roman" w:hAnsi="Times New Roman"/>
          <w:sz w:val="16"/>
          <w:szCs w:val="16"/>
          <w:color w:val="auto"/>
        </w:rPr>
        <w:t>No___</w:t>
      </w:r>
      <w:r>
        <w:rPr>
          <w:rFonts w:ascii="Times New Roman" w:cs="Times New Roman" w:eastAsia="Times New Roman" w:hAnsi="Times New Roman"/>
          <w:sz w:val="16"/>
          <w:szCs w:val="16"/>
          <w:b w:val="1"/>
          <w:bCs w:val="1"/>
          <w:color w:val="auto"/>
        </w:rPr>
        <w:t>X</w:t>
      </w:r>
      <w:r>
        <w:rPr>
          <w:rFonts w:ascii="Times New Roman" w:cs="Times New Roman" w:eastAsia="Times New Roman" w:hAnsi="Times New Roman"/>
          <w:sz w:val="16"/>
          <w:szCs w:val="16"/>
          <w:color w:val="auto"/>
        </w:rPr>
        <w:t>___</w:t>
      </w:r>
    </w:p>
    <w:p>
      <w:pPr>
        <w:spacing w:after="0" w:line="19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Indicate by check mark whether the registrant is submitting the Form 6-K in paper as permitted by Regulation S-T Rule 101(b)</w:t>
      </w:r>
    </w:p>
    <w:p>
      <w:pPr>
        <w:spacing w:after="0" w:line="27"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(7):</w:t>
      </w:r>
    </w:p>
    <w:p>
      <w:pPr>
        <w:spacing w:after="0" w:line="9" w:lineRule="exact"/>
        <w:rPr>
          <w:sz w:val="24"/>
          <w:szCs w:val="24"/>
          <w:color w:val="auto"/>
        </w:rPr>
      </w:pPr>
    </w:p>
    <w:p>
      <w:pPr>
        <w:ind w:left="3040"/>
        <w:spacing w:after="0"/>
        <w:tabs>
          <w:tab w:leader="none" w:pos="6000" w:val="left"/>
        </w:tabs>
        <w:rPr>
          <w:sz w:val="20"/>
          <w:szCs w:val="20"/>
          <w:color w:val="auto"/>
        </w:rPr>
      </w:pPr>
      <w:r>
        <w:rPr>
          <w:rFonts w:ascii="Times New Roman" w:cs="Times New Roman" w:eastAsia="Times New Roman" w:hAnsi="Times New Roman"/>
          <w:sz w:val="17"/>
          <w:szCs w:val="17"/>
          <w:color w:val="auto"/>
        </w:rPr>
        <w:t>Yes______</w:t>
      </w:r>
      <w:r>
        <w:rPr>
          <w:sz w:val="20"/>
          <w:szCs w:val="20"/>
          <w:color w:val="auto"/>
        </w:rPr>
        <w:tab/>
      </w:r>
      <w:r>
        <w:rPr>
          <w:rFonts w:ascii="Times New Roman" w:cs="Times New Roman" w:eastAsia="Times New Roman" w:hAnsi="Times New Roman"/>
          <w:sz w:val="16"/>
          <w:szCs w:val="16"/>
          <w:color w:val="auto"/>
        </w:rPr>
        <w:t>No___</w:t>
      </w:r>
      <w:r>
        <w:rPr>
          <w:rFonts w:ascii="Times New Roman" w:cs="Times New Roman" w:eastAsia="Times New Roman" w:hAnsi="Times New Roman"/>
          <w:sz w:val="16"/>
          <w:szCs w:val="16"/>
          <w:b w:val="1"/>
          <w:bCs w:val="1"/>
          <w:color w:val="auto"/>
        </w:rPr>
        <w:t>X</w:t>
      </w:r>
      <w:r>
        <w:rPr>
          <w:rFonts w:ascii="Times New Roman" w:cs="Times New Roman" w:eastAsia="Times New Roman" w:hAnsi="Times New Roman"/>
          <w:sz w:val="16"/>
          <w:szCs w:val="16"/>
          <w:color w:val="auto"/>
        </w:rPr>
        <w:t>___</w:t>
      </w:r>
    </w:p>
    <w:p>
      <w:pPr>
        <w:spacing w:after="0" w:line="197" w:lineRule="exact"/>
        <w:rPr>
          <w:sz w:val="24"/>
          <w:szCs w:val="24"/>
          <w:color w:val="auto"/>
        </w:rPr>
      </w:pPr>
    </w:p>
    <w:p>
      <w:pPr>
        <w:ind w:left="80" w:right="159"/>
        <w:spacing w:after="0" w:line="262" w:lineRule="auto"/>
        <w:rPr>
          <w:sz w:val="20"/>
          <w:szCs w:val="20"/>
          <w:color w:val="auto"/>
        </w:rPr>
      </w:pPr>
      <w:r>
        <w:rPr>
          <w:rFonts w:ascii="Times New Roman" w:cs="Times New Roman" w:eastAsia="Times New Roman" w:hAnsi="Times New Roman"/>
          <w:sz w:val="17"/>
          <w:szCs w:val="17"/>
          <w:color w:val="auto"/>
        </w:rPr>
        <w:t>Indicate by check mark whether the registrant by furnishing the information contained in this Form is also thereby furnishing the information to the Commission pursuant to Rule12g3-2(b) under the Securities Exchange Act of 1934.</w:t>
      </w:r>
    </w:p>
    <w:p>
      <w:pPr>
        <w:ind w:left="3040"/>
        <w:spacing w:after="0"/>
        <w:tabs>
          <w:tab w:leader="none" w:pos="6000" w:val="left"/>
        </w:tabs>
        <w:rPr>
          <w:sz w:val="20"/>
          <w:szCs w:val="20"/>
          <w:color w:val="auto"/>
        </w:rPr>
      </w:pPr>
      <w:r>
        <w:rPr>
          <w:rFonts w:ascii="Times New Roman" w:cs="Times New Roman" w:eastAsia="Times New Roman" w:hAnsi="Times New Roman"/>
          <w:sz w:val="17"/>
          <w:szCs w:val="17"/>
          <w:color w:val="auto"/>
        </w:rPr>
        <w:t>Yes______</w:t>
      </w:r>
      <w:r>
        <w:rPr>
          <w:sz w:val="20"/>
          <w:szCs w:val="20"/>
          <w:color w:val="auto"/>
        </w:rPr>
        <w:tab/>
      </w:r>
      <w:r>
        <w:rPr>
          <w:rFonts w:ascii="Times New Roman" w:cs="Times New Roman" w:eastAsia="Times New Roman" w:hAnsi="Times New Roman"/>
          <w:sz w:val="16"/>
          <w:szCs w:val="16"/>
          <w:color w:val="auto"/>
        </w:rPr>
        <w:t>No___</w:t>
      </w:r>
      <w:r>
        <w:rPr>
          <w:rFonts w:ascii="Times New Roman" w:cs="Times New Roman" w:eastAsia="Times New Roman" w:hAnsi="Times New Roman"/>
          <w:sz w:val="16"/>
          <w:szCs w:val="16"/>
          <w:b w:val="1"/>
          <w:bCs w:val="1"/>
          <w:color w:val="auto"/>
        </w:rPr>
        <w:t>X</w:t>
      </w:r>
      <w:r>
        <w:rPr>
          <w:rFonts w:ascii="Times New Roman" w:cs="Times New Roman" w:eastAsia="Times New Roman" w:hAnsi="Times New Roman"/>
          <w:sz w:val="16"/>
          <w:szCs w:val="16"/>
          <w:color w:val="auto"/>
        </w:rPr>
        <w:t>___</w:t>
      </w:r>
    </w:p>
    <w:p>
      <w:pPr>
        <w:spacing w:after="0" w:line="193"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auto"/>
        </w:rPr>
        <w:t xml:space="preserve">If "Yes" is marked, indicate below the file number assigned to the registrant in connection with Rule 12g3-2(b):82 </w:t>
      </w:r>
      <w:r>
        <w:rPr>
          <w:rFonts w:ascii="Times New Roman" w:cs="Times New Roman" w:eastAsia="Times New Roman" w:hAnsi="Times New Roman"/>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-762000</wp:posOffset>
            </wp:positionH>
            <wp:positionV relativeFrom="paragraph">
              <wp:posOffset>520700</wp:posOffset>
            </wp:positionV>
            <wp:extent cx="725805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151765</wp:posOffset>
            </wp:positionH>
            <wp:positionV relativeFrom="page">
              <wp:posOffset>387350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t>EXHIBIT LIST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w:t>
            </w:r>
          </w:p>
        </w:tc>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437"/>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Notice of Annual General Meeting</w:t>
            </w:r>
          </w:p>
        </w:tc>
      </w:tr>
      <w:tr>
        <w:trPr>
          <w:trHeight w:val="205"/>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880" w:type="dxa"/>
            <w:vAlign w:val="bottom"/>
          </w:tcPr>
          <w:p>
            <w:pPr>
              <w:spacing w:after="0"/>
              <w:rPr>
                <w:sz w:val="17"/>
                <w:szCs w:val="17"/>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Proxy Card</w:t>
            </w:r>
          </w:p>
        </w:tc>
      </w:tr>
      <w:tr>
        <w:trPr>
          <w:trHeight w:val="222"/>
        </w:trPr>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99.3</w:t>
            </w:r>
          </w:p>
        </w:tc>
        <w:tc>
          <w:tcPr>
            <w:tcW w:w="8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ICON plc Annual Report</w:t>
            </w:r>
          </w:p>
        </w:tc>
      </w:tr>
      <w:tr>
        <w:trPr>
          <w:trHeight w:val="828"/>
        </w:trPr>
        <w:tc>
          <w:tcPr>
            <w:tcW w:w="5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6"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387350</wp:posOffset>
            </wp:positionV>
            <wp:extent cx="727456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20955"/>
                    </a:xfrm>
                    <a:prstGeom prst="rect">
                      <a:avLst/>
                    </a:prstGeom>
                    <a:noFill/>
                  </pic:spPr>
                </pic:pic>
              </a:graphicData>
            </a:graphic>
          </wp:anchor>
        </w:drawing>
        <w:t>SIGNATURES</w:t>
      </w:r>
    </w:p>
    <w:p>
      <w:pPr>
        <w:spacing w:after="0" w:line="2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Brendan Brennan</w:t>
      </w:r>
    </w:p>
    <w:p>
      <w:pPr>
        <w:spacing w:after="0" w:line="27" w:lineRule="exact"/>
        <w:rPr>
          <w:sz w:val="20"/>
          <w:szCs w:val="20"/>
          <w:color w:val="auto"/>
        </w:rPr>
      </w:pPr>
    </w:p>
    <w:p>
      <w:pPr>
        <w:ind w:left="6860" w:right="2900" w:hanging="6863"/>
        <w:spacing w:after="0" w:line="263" w:lineRule="auto"/>
        <w:tabs>
          <w:tab w:leader="none" w:pos="6840" w:val="left"/>
        </w:tabs>
        <w:rPr>
          <w:sz w:val="20"/>
          <w:szCs w:val="20"/>
          <w:color w:val="auto"/>
        </w:rPr>
      </w:pPr>
      <w:r>
        <w:rPr>
          <w:rFonts w:ascii="Times New Roman" w:cs="Times New Roman" w:eastAsia="Times New Roman" w:hAnsi="Times New Roman"/>
          <w:sz w:val="17"/>
          <w:szCs w:val="17"/>
          <w:color w:val="auto"/>
        </w:rPr>
        <w:t>Date: June 19, 2014</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1360"/>
          </w:cols>
          <w:pgMar w:left="240" w:top="926"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29 July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737235</wp:posOffset>
            </wp:positionV>
            <wp:extent cx="2309495" cy="796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949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“Company” or “ICON”)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DOCUMENT IS IMPORTANT AND REQUIRES YOUR IMMEDIATE ATTENTION.</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If you are in any doubt as to the action to be taken, you should consult with your independent financial adviser who, if you are taking advice in the Republic of Ireland, is authorised or exempted under the European Communities (Markets in Financial Instruments) Regulations (Nos. 1 to 3) 2007 or the Investment Intermediaries Act, 1995</w:t>
      </w:r>
      <w:r>
        <w:rPr>
          <w:rFonts w:ascii="Times New Roman" w:cs="Times New Roman" w:eastAsia="Times New Roman" w:hAnsi="Times New Roman"/>
          <w:sz w:val="17"/>
          <w:szCs w:val="17"/>
          <w:b w:val="1"/>
          <w:bCs w:val="1"/>
          <w:color w:val="auto"/>
        </w:rPr>
        <w:t>.</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you have sold or transferred your entire holding of ordinary shares in ICON,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color w:val="auto"/>
        </w:rPr>
        <w:t>19 June,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All ICON Shareholders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Shareholder</w:t>
      </w:r>
    </w:p>
    <w:p>
      <w:pPr>
        <w:spacing w:after="0" w:line="200" w:lineRule="exact"/>
        <w:rPr>
          <w:sz w:val="20"/>
          <w:szCs w:val="20"/>
          <w:color w:val="auto"/>
        </w:rPr>
      </w:pPr>
    </w:p>
    <w:p>
      <w:pPr>
        <w:spacing w:after="0" w:line="26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 xml:space="preserve">This letter encloses the notice of the Annual General Meeting of ICON plc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to be held at 8.30am (Dublin time) on 29 July 2014. Before dealing with the business of the AGM, I would like to congratulate ICON Management and all employees on a successful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2013, ICON built on the achievements of and momentum created during 2012. Some of the key 2013 highlights were:</w:t>
      </w:r>
    </w:p>
    <w:p>
      <w:pPr>
        <w:spacing w:after="0" w:line="240" w:lineRule="exact"/>
        <w:rPr>
          <w:sz w:val="20"/>
          <w:szCs w:val="20"/>
          <w:color w:val="auto"/>
        </w:rPr>
      </w:pPr>
    </w:p>
    <w:p>
      <w:pPr>
        <w:ind w:left="620" w:hanging="404"/>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per share increased to $1.77 in 2013 compared with $1 in 2012.</w:t>
      </w:r>
    </w:p>
    <w:p>
      <w:pPr>
        <w:spacing w:after="0" w:line="26" w:lineRule="exact"/>
        <w:rPr>
          <w:rFonts w:ascii="Times New Roman" w:cs="Times New Roman" w:eastAsia="Times New Roman" w:hAnsi="Times New Roman"/>
          <w:sz w:val="17"/>
          <w:szCs w:val="17"/>
          <w:color w:val="auto"/>
        </w:rPr>
      </w:pPr>
    </w:p>
    <w:p>
      <w:pPr>
        <w:ind w:left="620" w:hanging="404"/>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and successfully integrated the Clinical Trials Services Division of Cross Country Healthcare into DOCS, ICON’s resourcing and FSP business.</w:t>
      </w:r>
    </w:p>
    <w:p>
      <w:pPr>
        <w:spacing w:after="0" w:line="9" w:lineRule="exact"/>
        <w:rPr>
          <w:rFonts w:ascii="Times New Roman" w:cs="Times New Roman" w:eastAsia="Times New Roman" w:hAnsi="Times New Roman"/>
          <w:sz w:val="17"/>
          <w:szCs w:val="17"/>
          <w:color w:val="auto"/>
        </w:rPr>
      </w:pPr>
    </w:p>
    <w:p>
      <w:pPr>
        <w:ind w:left="620" w:hanging="404"/>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grew to $1.34 billion in 2013 compared with $1.12 billion in 2012.</w:t>
      </w:r>
    </w:p>
    <w:p>
      <w:pPr>
        <w:spacing w:after="0" w:line="9" w:lineRule="exact"/>
        <w:rPr>
          <w:rFonts w:ascii="Times New Roman" w:cs="Times New Roman" w:eastAsia="Times New Roman" w:hAnsi="Times New Roman"/>
          <w:sz w:val="17"/>
          <w:szCs w:val="17"/>
          <w:color w:val="auto"/>
        </w:rPr>
      </w:pPr>
    </w:p>
    <w:p>
      <w:pPr>
        <w:ind w:left="620" w:hanging="404"/>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share price was $28.13 at the start of 2013 and it was $40.42 at the end of 2013.</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ICON Board feels that ICON is well positioned for future development and growth due to the strength of our Management team, the skills and hard work of our employees and the expected continued growth in outsourcing to global CROs.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Further information on 2013 is available in our Annual Report and Form 20-F which are on our website at </w:t>
      </w:r>
      <w:r>
        <w:rPr>
          <w:rFonts w:ascii="Times New Roman" w:cs="Times New Roman" w:eastAsia="Times New Roman" w:hAnsi="Times New Roman"/>
          <w:sz w:val="17"/>
          <w:szCs w:val="17"/>
          <w:u w:val="single" w:color="auto"/>
          <w:color w:val="auto"/>
        </w:rPr>
        <w:t>http://investor.iconplc.com/annuals.cfm.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Business of the AGM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8 resolutions in total which deal with:</w:t>
      </w:r>
    </w:p>
    <w:p>
      <w:pPr>
        <w:spacing w:after="0" w:line="9" w:lineRule="exact"/>
        <w:rPr>
          <w:sz w:val="20"/>
          <w:szCs w:val="20"/>
          <w:color w:val="auto"/>
        </w:rPr>
      </w:pPr>
    </w:p>
    <w:p>
      <w:pPr>
        <w:ind w:left="620" w:hanging="381"/>
        <w:spacing w:after="0" w:line="251" w:lineRule="auto"/>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re-election of Dr. John Climax, Prof. Dermot Kelleher, Ms. Mary Pendergast and Dr. Hugh Brady as directors (please see section below “ICON Board Update” for more details);</w:t>
      </w:r>
    </w:p>
    <w:p>
      <w:pPr>
        <w:ind w:left="620" w:hanging="381"/>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our 2013 accounts;</w:t>
      </w:r>
    </w:p>
    <w:p>
      <w:pPr>
        <w:spacing w:after="0" w:line="9" w:lineRule="exact"/>
        <w:rPr>
          <w:rFonts w:ascii="Times New Roman" w:cs="Times New Roman" w:eastAsia="Times New Roman" w:hAnsi="Times New Roman"/>
          <w:sz w:val="17"/>
          <w:szCs w:val="17"/>
          <w:color w:val="auto"/>
        </w:rPr>
      </w:pPr>
    </w:p>
    <w:p>
      <w:pPr>
        <w:ind w:left="620" w:hanging="381"/>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appointment of auditors;</w:t>
      </w:r>
    </w:p>
    <w:p>
      <w:pPr>
        <w:spacing w:after="0" w:line="9" w:lineRule="exact"/>
        <w:rPr>
          <w:rFonts w:ascii="Times New Roman" w:cs="Times New Roman" w:eastAsia="Times New Roman" w:hAnsi="Times New Roman"/>
          <w:sz w:val="17"/>
          <w:szCs w:val="17"/>
          <w:color w:val="auto"/>
        </w:rPr>
      </w:pPr>
    </w:p>
    <w:p>
      <w:pPr>
        <w:ind w:left="620" w:hanging="381"/>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 back of shares; and</w:t>
      </w:r>
    </w:p>
    <w:p>
      <w:pPr>
        <w:spacing w:after="0" w:line="9" w:lineRule="exact"/>
        <w:rPr>
          <w:rFonts w:ascii="Times New Roman" w:cs="Times New Roman" w:eastAsia="Times New Roman" w:hAnsi="Times New Roman"/>
          <w:sz w:val="17"/>
          <w:szCs w:val="17"/>
          <w:color w:val="auto"/>
        </w:rPr>
      </w:pPr>
    </w:p>
    <w:p>
      <w:pPr>
        <w:ind w:left="620" w:hanging="381"/>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reissue of treasury shares.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Please note that, as ICON is a foreign private issuer, we are not obliged to provide and as with previous AGMs we are not providing this year a “say on pay” shareholder resolution on executive remuneration. However, for your reference, details of and the rationale for the 2013 compensation of ICON’s 3 executive officers and long term incentives issued to them in March 2014 are set out in the Schedule to this letter.</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Also, you will notice that there are no resolutions proposed for this AGM in relation to the authority to issue shares. This is because, at last year’s AGM, share issuance resolutions with 5 year duration were passed. After the publication of our AGM notice in 2013, we confirmed that we do not intend to issue more than 5% of our issued share capital in any year of the 5 year authority without offering shares to existing shareholders on a pro rata basis. I am happy to confirm here again that this remains our intention.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ICON Board Update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Ms. Cathrin Petty retired from the Board in January 2014 as she took a senior executive role in investment banking. I would like to thank her on behalf of the ICON Board for her distinguished service and we wish her all the best with her new role. We were delighted to add two new highly qualified and skilled non-executive directors to the Board when Ms. Mary Pendergast joined the Board in February 2014 and Dr. Hugh Brady joined the Board in April 2014. It should also be noted that a majority of the Board (7 of the 9 directors) and all members of the Audit, Nominating and Governance and Compensation and Organisation Committees of the Board are independent for the purposes of the NASDAQ rules. Only Mr. Ciaran Murray, our CEO, and Dr. John Climax are not independent as per the NASDAQ Rules.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sectPr>
      </w:pPr>
    </w:p>
    <w:bookmarkStart w:id="5" w:name="page6"/>
    <w:bookmarkEnd w:id="5"/>
    <w:p>
      <w:pPr>
        <w:jc w:val="both"/>
        <w:spacing w:after="0" w:line="267" w:lineRule="auto"/>
        <w:rPr>
          <w:sz w:val="20"/>
          <w:szCs w:val="20"/>
          <w:color w:val="auto"/>
        </w:rPr>
      </w:pPr>
      <w:r>
        <w:rPr>
          <w:rFonts w:ascii="Times New Roman" w:cs="Times New Roman" w:eastAsia="Times New Roman" w:hAnsi="Times New Roman"/>
          <w:sz w:val="17"/>
          <w:szCs w:val="17"/>
          <w:color w:val="auto"/>
        </w:rPr>
        <w:t>At the AGM, in accordance with our Articles of Association (bye-laws), one third of the Board plus any directors appointed since the 2013 AGM will stand for re-election. This means that Dr. John Climax and Prof. Dermot Kelleher (as existing directors) plus Ms. Mary Pendergast and Dr. Hugh Brady (appointed since the 2013 AGM) will offer themselves for re-election. Biographies of the directors standing for re-election are included in the attached summary of the resolutions.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relation to the re-election of Prof. Dermot Kelleher, from his appointment to the ICON Board in May 2008 until the end of 2012, he had a 100% attendance record at Board meetings. However, with my prior consent, he was excused from attending both the February and April Board meetings in 2013 due to scheduling conflicts created by his appointment in October 2012 as the Dean of the Faculty of Medicine of Imperial College London. Since then, he has attended all other Board meetings and has indicated he will be able to attend all remaining scheduled meetings in 2014. The ICON Board regards the 2 missed meetings in 2013 (there were 5 meetings in total in 2013) as arising due to exceptional circumstances and that Prof. Kelleher’s commitment and value to the Board is shown by his pre 2013 100% attendance record and strong contribution at Board level.</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relation to the re-election of Dr. John Climax, Dr. Climax co-founded ICON with Dr. Ronan Lambe in 1990 and has extensive experience and connections in the CRO industry. When Dr. Climax retired as Chairman of the Board in 2009, ICON put in place a 3 year consultancy agreement with Rotrua Limited (a company controlled by Dr. Climax) which allowed ICON to avail of his extensive experience and connections outside of his role as a non-executive director. This agreement expired in 2012 and did not create any conflict of interest with his role as a non-executive director of ICON.</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of the directors standing for re-election makes important contributions to the working of the Board (although recognising that 2 of the directors are quite new to the Board) and demonstrates the necessary commitment to the role and provides valuable skills, knowledge and experience. I can confirm that the ICON Board is satisfied that each Director does not have a relationship that, in the opinion of the Board, would interfere with exercising independent judgement in carrying out his or her responsibilities.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Form of Proxy and Voting &amp; Details of Resolutions</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Form of Proxy for the AGM is enclosed separately. Please refer to pages 11 and 12 for details as to how to vote your shares and return your form of proxy. Also, the resolutions are summarized on pages 7 to 8 and the full text of the resolutions is on pages 9 and 10.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Recommendation</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Your Board believes that the resolutions to be proposed at the AGM are in the best interests of the Company and its shareholders. Accordingly, your directors unanimously recommend that you vote in favour of all resolutions as they intend to do in respect of the shares held by them. On 10 June 2014, the directors held 1,373,121 Ordinary Shares representing approximately 2.22% of the issued ordinary share capital of the Company.</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162560</wp:posOffset>
            </wp:positionV>
            <wp:extent cx="1057275" cy="658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7275" cy="65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Thomas Lynch</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 Executive Compensation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2013 Compensation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compensation (excluding long term incentives) for ICON’s 3 executive officers in respect of 2013 was: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780" w:type="dxa"/>
            <w:vAlign w:val="bottom"/>
            <w:tcBorders>
              <w:top w:val="single" w:sz="8" w:color="auto"/>
              <w:left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3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5"/>
        </w:trPr>
        <w:tc>
          <w:tcPr>
            <w:tcW w:w="27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Contribution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w:t>
            </w:r>
          </w:p>
        </w:tc>
      </w:tr>
      <w:tr>
        <w:trPr>
          <w:trHeight w:val="226"/>
        </w:trPr>
        <w:tc>
          <w:tcPr>
            <w:tcW w:w="278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euros)</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US$)</w:t>
            </w:r>
          </w:p>
        </w:tc>
      </w:tr>
      <w:tr>
        <w:trPr>
          <w:trHeight w:val="415"/>
        </w:trPr>
        <w:tc>
          <w:tcPr>
            <w:tcW w:w="2780" w:type="dxa"/>
            <w:vAlign w:val="bottom"/>
            <w:tcBorders>
              <w:left w:val="single" w:sz="8" w:color="auto"/>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($000s)</w:t>
            </w:r>
          </w:p>
        </w:tc>
      </w:tr>
      <w:tr>
        <w:trPr>
          <w:trHeight w:val="411"/>
        </w:trPr>
        <w:tc>
          <w:tcPr>
            <w:tcW w:w="27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Mr. Ciaran Murray</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713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1,120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89</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1,952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2,588</w:t>
            </w:r>
          </w:p>
        </w:tc>
      </w:tr>
      <w:tr>
        <w:trPr>
          <w:trHeight w:val="210"/>
        </w:trPr>
        <w:tc>
          <w:tcPr>
            <w:tcW w:w="27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411"/>
        </w:trPr>
        <w:tc>
          <w:tcPr>
            <w:tcW w:w="27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Dr. Steve Cutler</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423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511</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124</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1,080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1,436</w:t>
            </w:r>
          </w:p>
        </w:tc>
      </w:tr>
      <w:tr>
        <w:trPr>
          <w:trHeight w:val="210"/>
        </w:trPr>
        <w:tc>
          <w:tcPr>
            <w:tcW w:w="27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411"/>
        </w:trPr>
        <w:tc>
          <w:tcPr>
            <w:tcW w:w="27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Mr. Brendan Brennan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342</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23</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730</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967</w:t>
            </w:r>
          </w:p>
        </w:tc>
      </w:tr>
      <w:tr>
        <w:trPr>
          <w:trHeight w:val="210"/>
        </w:trPr>
        <w:tc>
          <w:tcPr>
            <w:tcW w:w="278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respect of long term incentives, in March 2014 the executive officers were issued stock options and performance stock units to incentivise them in a manner consistent with the Company’s and shareholders’ interests. These were issued under a Long Term Incentive Plan approved by the Compensation and Organisation Committee in February 2014.</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Compensation and Organisation Committee was independently advised by Towers Watson in relation to the Long Term Incentive Plan. Shareholder approval of the plan was not required as the Company is a foreign private issuer and the Company has determined to use home country practice. The plan consists of the following (which were all issued in March 2014):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Performance Stock Units (PSUs) </w:t>
      </w:r>
      <w:r>
        <w:rPr>
          <w:rFonts w:ascii="Times New Roman" w:cs="Times New Roman" w:eastAsia="Times New Roman" w:hAnsi="Times New Roman"/>
          <w:sz w:val="17"/>
          <w:szCs w:val="17"/>
          <w:color w:val="auto"/>
        </w:rPr>
        <w:t>– restricted stock units which vest subject to the following 2 conditions: (i) the Company’s cumulative EPS for 2014 to 2016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EPS Period</w:t>
      </w:r>
      <w:r>
        <w:rPr>
          <w:rFonts w:ascii="Times New Roman" w:cs="Times New Roman" w:eastAsia="Times New Roman" w:hAnsi="Times New Roman"/>
          <w:sz w:val="17"/>
          <w:szCs w:val="17"/>
          <w:color w:val="auto"/>
        </w:rPr>
        <w:t>) and (ii) the executive still being employed by March 2017. Assuming the employment condition is met, if the actual EPS for the EPS Period:</w:t>
      </w:r>
    </w:p>
    <w:p>
      <w:pPr>
        <w:spacing w:after="0" w:line="9" w:lineRule="exact"/>
        <w:rPr>
          <w:sz w:val="20"/>
          <w:szCs w:val="20"/>
          <w:color w:val="auto"/>
        </w:rPr>
      </w:pPr>
    </w:p>
    <w:p>
      <w:pPr>
        <w:ind w:left="620" w:hanging="38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less than the threshold EPS set out in the plan, none of the PSUs vest; or</w:t>
      </w:r>
    </w:p>
    <w:p>
      <w:pPr>
        <w:spacing w:after="0" w:line="9" w:lineRule="exact"/>
        <w:rPr>
          <w:rFonts w:ascii="Times New Roman" w:cs="Times New Roman" w:eastAsia="Times New Roman" w:hAnsi="Times New Roman"/>
          <w:sz w:val="17"/>
          <w:szCs w:val="17"/>
          <w:color w:val="auto"/>
        </w:rPr>
      </w:pPr>
    </w:p>
    <w:p>
      <w:pPr>
        <w:ind w:left="620" w:hanging="381"/>
        <w:spacing w:after="0" w:line="25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more than the threshold EPS but less than target EPS set out in the plan, some of the target amount of PSUs shall vest depending on the shortfall from actual to target EPS; or</w:t>
      </w:r>
    </w:p>
    <w:p>
      <w:pPr>
        <w:ind w:left="620" w:hanging="38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equals the target EPS, the target number of PSUs shall vest; or</w:t>
      </w:r>
    </w:p>
    <w:p>
      <w:pPr>
        <w:spacing w:after="0" w:line="9" w:lineRule="exact"/>
        <w:rPr>
          <w:rFonts w:ascii="Times New Roman" w:cs="Times New Roman" w:eastAsia="Times New Roman" w:hAnsi="Times New Roman"/>
          <w:sz w:val="17"/>
          <w:szCs w:val="17"/>
          <w:color w:val="auto"/>
        </w:rPr>
      </w:pPr>
    </w:p>
    <w:p>
      <w:pPr>
        <w:ind w:left="620" w:hanging="381"/>
        <w:spacing w:after="0" w:line="26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exceeds the EPS target, the target number of PSUs shall vest and additional PSUs shall be issued depending on the level of overachievement (but capped at the same amount as the target PSUs).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Share Options </w:t>
      </w:r>
      <w:r>
        <w:rPr>
          <w:rFonts w:ascii="Times New Roman" w:cs="Times New Roman" w:eastAsia="Times New Roman" w:hAnsi="Times New Roman"/>
          <w:sz w:val="17"/>
          <w:szCs w:val="17"/>
          <w:color w:val="auto"/>
        </w:rPr>
        <w:t>– options which vest over a 5 year period after they issue at a rate of 20% per year if the executive remains employed.</w:t>
      </w: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is important to note that both these forms of long term incentives only reward the executives when value is created for the Company and/or the shareholders. In respect of the PSUs, the level of reward to the executive is determined by the cumulative 2014 to 2016 EPS and the share price after the PSUs vest. However, as above, if the threshold level of 2014 to 2016 EPS is not achieved, the executive does not receive any reward whatsoever from having been issued with these PSUs. Similarly, in respect of the stock options awarded, these only have value to the executive if the Company’s share price after vesting exceeds the grant price of the options.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jc w:val="both"/>
        <w:spacing w:after="0" w:line="267" w:lineRule="auto"/>
        <w:rPr>
          <w:sz w:val="20"/>
          <w:szCs w:val="20"/>
          <w:color w:val="auto"/>
        </w:rPr>
      </w:pPr>
      <w:r>
        <w:rPr>
          <w:rFonts w:ascii="Times New Roman" w:cs="Times New Roman" w:eastAsia="Times New Roman" w:hAnsi="Times New Roman"/>
          <w:sz w:val="17"/>
          <w:szCs w:val="17"/>
          <w:color w:val="auto"/>
        </w:rPr>
        <w:t>Based on all awards being valued at the share price when the awards were granted in March 2014, stock options being valued using the Black Scholes method and, most importantly, the actual EPS for the EPS Period equalling the target EPS as set out in the plan and the executives all remaining employed until March 2019 (by when the last 20% tranche of the Share Options will vest), the total value of awards granted under the plan to the 3 executives will be: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Mr. Ciaran Murray </w:t>
      </w:r>
      <w:r>
        <w:rPr>
          <w:rFonts w:ascii="Times New Roman" w:cs="Times New Roman" w:eastAsia="Times New Roman" w:hAnsi="Times New Roman"/>
          <w:sz w:val="17"/>
          <w:szCs w:val="17"/>
          <w:color w:val="auto"/>
        </w:rPr>
        <w:t>– $4,467,924 (consisting of $2,992,895 for his PSUs and $1,475,029 for his Share Options).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Dr. Steve Cutler </w:t>
      </w:r>
      <w:r>
        <w:rPr>
          <w:rFonts w:ascii="Times New Roman" w:cs="Times New Roman" w:eastAsia="Times New Roman" w:hAnsi="Times New Roman"/>
          <w:sz w:val="17"/>
          <w:szCs w:val="17"/>
          <w:color w:val="auto"/>
        </w:rPr>
        <w:t>– $2,255,022 (consisting of $1,510,839 for his PSUs and $744,183 for his Share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Mr. Brendan Brennan </w:t>
      </w:r>
      <w:r>
        <w:rPr>
          <w:rFonts w:ascii="Times New Roman" w:cs="Times New Roman" w:eastAsia="Times New Roman" w:hAnsi="Times New Roman"/>
          <w:sz w:val="17"/>
          <w:szCs w:val="17"/>
          <w:color w:val="auto"/>
        </w:rPr>
        <w:t>- $714,460 (consisting of $478,718 for his PSUs and $235,742 for his Share Options).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order to ensure that these executive officers retain meaningful amounts of equity in the Company, the Compensation and Organisation Committee put in place an equity retention policy in May 2014. The policy requires that, subject to the cap discussed below, the 3 executive officers retain for a period of 5 years from vesting 20% of each equity grant issued to them after 1 January 2014.</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It is important to note that the executives can have tax liabilities when PSUs vest (irrespective of whether the PSUs are sold on vesting or retained). Accordingly, the 20% retention obligation was set taking into account that, for example, an Irish based executive would under current tax laws have to pay tax on vesting equal to the value of approximately 50% of the vested PSUs. Assuming he sold approximately 50% of his vested PSUs to fund his tax obligation, he would then be free to sell a further approximately 30% of the vested PSUs but would be obliged to retain 20% of the vested PSUs for a 5 year period.</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respect of the cap referred to above, the retention obligations in the equity retention policy are capped at twice the executive officer’s base salary. This means that the policy does not oblige the executive officer to hold ICON shares worth more than twice his base salary and accordingly once the executive officer holds ICON shares worth in aggregate twice his base salary, he is free to sell other ICON shares in excess of these shares. The rationale for this is that holding shares worth twice base salary means that the executive officer has a meaningful equity stake in the Company and, as a result, additional retention obligations are not required.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AGM RESOLUTIONS</w:t>
      </w:r>
    </w:p>
    <w:p>
      <w:pPr>
        <w:spacing w:after="0" w:line="2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There are 8 separate resolutions in total - 6 ordinary resolutions (which require approval of a simple majority of the votes cast in person or by proxy) and 2 special resolutions (which require approval of 75% of the votes cast in person or by proxy).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Ordinary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Resolution 1 </w:t>
      </w:r>
      <w:r>
        <w:rPr>
          <w:rFonts w:ascii="Times New Roman" w:cs="Times New Roman" w:eastAsia="Times New Roman" w:hAnsi="Times New Roman"/>
          <w:sz w:val="17"/>
          <w:szCs w:val="17"/>
          <w:color w:val="auto"/>
        </w:rPr>
        <w:t>– to re-elect, by separate resolutions, the following non-executive directors:</w:t>
      </w:r>
    </w:p>
    <w:p>
      <w:pPr>
        <w:spacing w:after="0" w:line="219"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Resolution 1.1 </w:t>
      </w:r>
      <w:r>
        <w:rPr>
          <w:rFonts w:ascii="Times New Roman" w:cs="Times New Roman" w:eastAsia="Times New Roman" w:hAnsi="Times New Roman"/>
          <w:sz w:val="17"/>
          <w:szCs w:val="17"/>
          <w:color w:val="auto"/>
        </w:rPr>
        <w:t>– re-election of Dr. John Climax as a director. Dr. Climax, one of the Company’s co-founders, served as Chief Executive Officer from June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1990 to October 2002 and then as Chairman of the Board from November 2002 to December 2009. From January 2010 he has held a position as a non-executive director of the Company. Dr. Climax has over 25 years of experience in the contract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w:t>
      </w:r>
    </w:p>
    <w:p>
      <w:pPr>
        <w:spacing w:after="0" w:line="194"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Resolution 1.2 </w:t>
      </w:r>
      <w:r>
        <w:rPr>
          <w:rFonts w:ascii="Times New Roman" w:cs="Times New Roman" w:eastAsia="Times New Roman" w:hAnsi="Times New Roman"/>
          <w:sz w:val="17"/>
          <w:szCs w:val="17"/>
          <w:color w:val="auto"/>
        </w:rPr>
        <w:t>– re-election of Prof. Dermot Kelleher as a director. Prof. Kelleher has served as a non-executive director of the Company since May 2008.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Prof. Kelleher is currently Vice President (Health) and Dean of the Faculty of Medicine at Imperial College London and Dean of the Lee Kong Chian School of Medicine Singapore, a partnership between Imperial College London and Nanyang Technological University (NTU), which was formed in 2010. From 2004 to 2012 he was Head of the School of Medicine and Vice Provost for Medical Affairs at Trinity College, Dublin, Ireland where he led the development of the Institute of Molecular Medicine and Molecular Medicine Ireland. His research interests have focused on gastrointestinal infectious and inflammatory diseases and over a distinguished thirty year career he has led significant research projects in this field. Alongside his notable academic appointments, he has served as a visiting research scientist with a major pharmaceutical company and has been a founder of a number of biotechnology companies.</w:t>
      </w:r>
    </w:p>
    <w:p>
      <w:pPr>
        <w:spacing w:after="0" w:line="199" w:lineRule="exact"/>
        <w:rPr>
          <w:sz w:val="20"/>
          <w:szCs w:val="20"/>
          <w:color w:val="auto"/>
        </w:rPr>
      </w:pPr>
    </w:p>
    <w:p>
      <w:pPr>
        <w:jc w:val="both"/>
        <w:ind w:left="6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Resolution 1.3 </w:t>
      </w:r>
      <w:r>
        <w:rPr>
          <w:rFonts w:ascii="Times New Roman" w:cs="Times New Roman" w:eastAsia="Times New Roman" w:hAnsi="Times New Roman"/>
          <w:sz w:val="17"/>
          <w:szCs w:val="17"/>
          <w:color w:val="auto"/>
        </w:rPr>
        <w:t>– re-election of Ms. Mary Pendergast as a director. Ms. Pendergast was appointed by the Board in February 2014. She is an expert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regulatory aspects of drug development and is President of Pendergast Consulting, a consulting firm that advises biopharmaceutical companies, patient groups, professional and advocacy organisations, governments and academic and financial institutions. Prior to founding her own firm, Ms. Pendergast was Executive Vice President of Government Affairs at Elan Corporation from 1998 to 2003. Ms. Pendergast also spent more than 18 years at the US Food and Drug Administration (FDA), serving as Deputy Commissioner and Senior Advisor to the FDA Commissioner and Associate Chief Counsel for Enforcement. Ms. Pendergast is also a board member of AesRx, ARCH Foundation and Impax Laboratories, Inc.</w:t>
      </w:r>
    </w:p>
    <w:p>
      <w:pPr>
        <w:spacing w:after="0" w:line="194" w:lineRule="exact"/>
        <w:rPr>
          <w:sz w:val="20"/>
          <w:szCs w:val="20"/>
          <w:color w:val="auto"/>
        </w:rPr>
      </w:pPr>
    </w:p>
    <w:p>
      <w:pPr>
        <w:jc w:val="both"/>
        <w:ind w:left="620"/>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Resolution 1.4 </w:t>
      </w:r>
      <w:r>
        <w:rPr>
          <w:rFonts w:ascii="Times New Roman" w:cs="Times New Roman" w:eastAsia="Times New Roman" w:hAnsi="Times New Roman"/>
          <w:sz w:val="17"/>
          <w:szCs w:val="17"/>
          <w:color w:val="auto"/>
        </w:rPr>
        <w:t>– re-election of Dr. Hugh Brady as a director. Dr. Brady was appointed by the Board in April 2014. He is President Emeritus of University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College Dublin (UCD), one of Europe’s leading research-intensive universities, where he served as President from 2004 until the end of 2013. During his tenure Dr. Brady oversaw a significant expansion of UCD’s science, engineering and biomedical research capacity, including the development of the Conway Institute for Biomedical Research, UCD Clinical Research Centre and the Dublin Academic Medical Centre. In addition, he led a major growth in UCD’s international footprint, including the establishment of the Beijing-Dublin International College and the UCD Shenzhen Health Sciences Institute in China. A nephrologist by training, Dr. Brady was Professor of Medicine and Therapeutics at UCD before being appointed the university’s President. He returned to Ireland having built a successful career as a physician and biomedical research scientist in the US, where he spent nine years at Harvard University, including a period as Associate Professor of Medicine. In parallel with his academic career at Harvard, he served as Director of the Renal Division of the Brockton/West Roxbury VA Medical Center and Consultant Physician at the Brigham and Women’s Hospital, Boston. He has an international reputation in the pathogenesis of diabetic kidney disease and renal inflammation. Dr.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ind w:right="1140"/>
        <w:spacing w:after="0" w:line="284" w:lineRule="auto"/>
        <w:rPr>
          <w:sz w:val="20"/>
          <w:szCs w:val="20"/>
          <w:color w:val="auto"/>
        </w:rPr>
      </w:pPr>
      <w:r>
        <w:rPr>
          <w:rFonts w:ascii="Times New Roman" w:cs="Times New Roman" w:eastAsia="Times New Roman" w:hAnsi="Times New Roman"/>
          <w:sz w:val="17"/>
          <w:szCs w:val="17"/>
          <w:color w:val="auto"/>
        </w:rPr>
        <w:t xml:space="preserve">Further information on the experience, qualifications and industry knowledge of the directors is available from the Annual Report and/or Form 20-F at </w:t>
      </w:r>
      <w:r>
        <w:rPr>
          <w:rFonts w:ascii="Times New Roman" w:cs="Times New Roman" w:eastAsia="Times New Roman" w:hAnsi="Times New Roman"/>
          <w:sz w:val="17"/>
          <w:szCs w:val="17"/>
          <w:u w:val="single" w:color="auto"/>
          <w:color w:val="auto"/>
        </w:rPr>
        <w:t>http://investor.iconplc.com/annuals.cfm</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Resolution 2 </w:t>
      </w:r>
      <w:r>
        <w:rPr>
          <w:rFonts w:ascii="Times New Roman" w:cs="Times New Roman" w:eastAsia="Times New Roman" w:hAnsi="Times New Roman"/>
          <w:sz w:val="17"/>
          <w:szCs w:val="17"/>
          <w:color w:val="auto"/>
        </w:rPr>
        <w:t>– to receive and consider ICON’s 2013 accounts which have been audited by KPMG, ICON’s independent auditors.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Resolution 3 </w:t>
      </w:r>
      <w:r>
        <w:rPr>
          <w:rFonts w:ascii="Times New Roman" w:cs="Times New Roman" w:eastAsia="Times New Roman" w:hAnsi="Times New Roman"/>
          <w:sz w:val="17"/>
          <w:szCs w:val="17"/>
          <w:color w:val="auto"/>
        </w:rPr>
        <w:t>– authorises the directors to fix the remuneration of the auditors.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Special Business</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special business of the meeting authorises the Company to buy back shares and authorises the price range at which the company can reissue the shares. The buy-back resolution has been put to our shareholders on an annual basis for many years and is considered standard business by most Irish public companies. In accordance with Irish law, in order to reissue these shares, our shareholders must approve the price range at which the shares may be reissued.</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Resolution 4 - </w:t>
      </w:r>
      <w:r>
        <w:rPr>
          <w:rFonts w:ascii="Times New Roman" w:cs="Times New Roman" w:eastAsia="Times New Roman" w:hAnsi="Times New Roman"/>
          <w:sz w:val="17"/>
          <w:szCs w:val="17"/>
          <w:color w:val="auto"/>
        </w:rPr>
        <w:t>authorises the Company to purchase in the market (buy-back) up to 10% of the outstanding shares in the Company. It is important both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and shareholders that the Company has this flexibility to implement a buy back (without having to seek further shareholder approval) if the market conditions favour a buy back. It should also be noted that the NASDAQ rules do not require shareholder approval to do a share buy-back and this resolution is required as the Company is an Irish incorporated company and Irish law requires shareholders to pass such a resolution to give directors the authority to put a buy back in place. The authority under this resolution expires on the earlier of the 2015 Annual General Meeting and 28 January 2016.</w:t>
      </w:r>
    </w:p>
    <w:p>
      <w:pPr>
        <w:spacing w:after="0" w:line="1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Resolution 5 – </w:t>
      </w:r>
      <w:r>
        <w:rPr>
          <w:rFonts w:ascii="Times New Roman" w:cs="Times New Roman" w:eastAsia="Times New Roman" w:hAnsi="Times New Roman"/>
          <w:sz w:val="17"/>
          <w:szCs w:val="17"/>
          <w:color w:val="auto"/>
        </w:rPr>
        <w:t>authorises the price range at which the Company can reissue shares that it holds as treasury shares. Any share buyback activity by the Company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 in ordinary shares either being cancelled or re-issued as treasury shares. We may reissue treasury shares that we acquire through our proposed share buyback activities in connection with our executive compensation programme, our employee restricted share unit programme and our other compensation programmes. As a result of using this authority in this way, ICON would avoid the need to issue new shares (and the resulting shareholder dilution) when vesting of equity awards triggers the requirement to issue shares to employees.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Irish company law, our shareholders must authorise the price range at which we may reissue any shares held in treasury. In this proposal, that price range is expressed as a minimum and maximum percentage of the prevailing market price (as defined below). Under Irish law, this authorisation expires after eighteen months unless renewed; accordingly, we expect to propose renewal of this authorisation at subsequent annual general meetings.</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authority being sought from shareholders provides that the minimum and maximum prices at which an ordinary share held in treasury may be reissued are 95% and 120%, respectively, of the average closing price per ordinary share of the Company, as reported by NASDAQ, for the thirty (30) trading days immediately preceding the proposed date of re-issuance. Any reissuance of treasury shares will be at price levels that the Board considers in the best interests of our shareholders.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4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NOTICE </w:t>
      </w:r>
      <w:r>
        <w:rPr>
          <w:rFonts w:ascii="Times New Roman" w:cs="Times New Roman" w:eastAsia="Times New Roman" w:hAnsi="Times New Roman"/>
          <w:sz w:val="17"/>
          <w:szCs w:val="17"/>
          <w:color w:val="auto"/>
        </w:rPr>
        <w:t>is hereby given that the Annual General Meeting of the Company will be held at ICON plc Headquarters, South County Business Park, Leopardstown,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Dublin 18, Ireland on 29 July 2014 at 8.30 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consider and, if thought fit, pass the following ordinary resolutions:</w:t>
      </w:r>
    </w:p>
    <w:p>
      <w:pPr>
        <w:spacing w:after="0" w:line="240" w:lineRule="exact"/>
        <w:rPr>
          <w:sz w:val="20"/>
          <w:szCs w:val="20"/>
          <w:color w:val="auto"/>
        </w:rPr>
      </w:pPr>
    </w:p>
    <w:p>
      <w:pPr>
        <w:ind w:left="620" w:hanging="618"/>
        <w:spacing w:after="0" w:line="284"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by separate resolutions, the following individuals who retire as Directors in accordance with the Articles of Association of the Company and, being eligible, offer themselves for re-election:</w:t>
      </w:r>
    </w:p>
    <w:p>
      <w:pPr>
        <w:spacing w:after="0" w:line="17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   Dr. John Climax;</w:t>
      </w:r>
    </w:p>
    <w:p>
      <w:pPr>
        <w:spacing w:after="0" w:line="26"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   Prof. Dermot Kelleher;</w:t>
      </w:r>
    </w:p>
    <w:p>
      <w:pPr>
        <w:spacing w:after="0" w:line="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   Ms. Mary Pendergast; and</w:t>
      </w:r>
    </w:p>
    <w:p>
      <w:pPr>
        <w:spacing w:after="0" w:line="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   Dr. Hugh Brady</w:t>
      </w:r>
    </w:p>
    <w:p>
      <w:pPr>
        <w:spacing w:after="0" w:line="222"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and consider the accounts for the year ended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xml:space="preserve"> December 2013 and the reports of the Directors and auditors thereon.</w:t>
      </w:r>
    </w:p>
    <w:p>
      <w:pPr>
        <w:spacing w:after="0" w:line="170" w:lineRule="exact"/>
        <w:rPr>
          <w:rFonts w:ascii="Times New Roman" w:cs="Times New Roman" w:eastAsia="Times New Roman" w:hAnsi="Times New Roman"/>
          <w:sz w:val="17"/>
          <w:szCs w:val="17"/>
          <w:color w:val="auto"/>
        </w:rPr>
      </w:pPr>
    </w:p>
    <w:p>
      <w:pPr>
        <w:ind w:left="620" w:hanging="61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authorise the Directors to fix the remuneration of the auditors.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consider and, if thought fit, pass the following special resolutions:</w:t>
      </w:r>
    </w:p>
    <w:p>
      <w:pPr>
        <w:spacing w:after="0" w:line="240" w:lineRule="exact"/>
        <w:rPr>
          <w:sz w:val="20"/>
          <w:szCs w:val="20"/>
          <w:color w:val="auto"/>
        </w:rPr>
      </w:pPr>
    </w:p>
    <w:p>
      <w:pPr>
        <w:jc w:val="both"/>
        <w:ind w:left="620" w:hanging="618"/>
        <w:spacing w:after="0" w:line="262"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Company and/or any subsidiary (as such expression is defined by Section 155 of the Companies Act, 1963) of the Company be and they are hereby generally authorised to make overseas market purchases (as defined by Section 212 of the Companies Act, 1990, as amended) of shares of any class of the Company on such terms and conditions and in such manner as the Directors or, as the case may be, the Directors of such subsidiary, may from time to time determine in accordance with and subject to the provisions of the Companies Act, 1990 and the following restrictions and provisions:</w:t>
      </w:r>
    </w:p>
    <w:p>
      <w:pPr>
        <w:spacing w:after="0" w:line="196" w:lineRule="exact"/>
        <w:rPr>
          <w:rFonts w:ascii="Times New Roman" w:cs="Times New Roman" w:eastAsia="Times New Roman" w:hAnsi="Times New Roman"/>
          <w:sz w:val="17"/>
          <w:szCs w:val="17"/>
          <w:color w:val="auto"/>
        </w:rPr>
      </w:pPr>
    </w:p>
    <w:p>
      <w:pPr>
        <w:ind w:left="1240" w:hanging="638"/>
        <w:spacing w:after="0" w:line="284" w:lineRule="auto"/>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aggregate number of shares authorised to be acquired pursuant to this resolution shall not exceed 10% of the aggregate number of shares issued by the Company at the close of business on date of passing of this resolution;</w:t>
      </w:r>
    </w:p>
    <w:p>
      <w:pPr>
        <w:spacing w:after="0" w:line="177" w:lineRule="exact"/>
        <w:rPr>
          <w:rFonts w:ascii="Times New Roman" w:cs="Times New Roman" w:eastAsia="Times New Roman" w:hAnsi="Times New Roman"/>
          <w:sz w:val="17"/>
          <w:szCs w:val="17"/>
          <w:color w:val="auto"/>
        </w:rPr>
      </w:pPr>
    </w:p>
    <w:p>
      <w:pPr>
        <w:ind w:left="1240" w:hanging="643"/>
        <w:spacing w:after="0"/>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price (exclusive of expenses) which may be paid for any such share shall be an amount equal to the nominal value thereof;</w:t>
      </w:r>
    </w:p>
    <w:p>
      <w:pPr>
        <w:spacing w:after="0" w:line="239" w:lineRule="exact"/>
        <w:rPr>
          <w:rFonts w:ascii="Times New Roman" w:cs="Times New Roman" w:eastAsia="Times New Roman" w:hAnsi="Times New Roman"/>
          <w:sz w:val="17"/>
          <w:szCs w:val="17"/>
          <w:color w:val="auto"/>
        </w:rPr>
      </w:pPr>
    </w:p>
    <w:p>
      <w:pPr>
        <w:jc w:val="both"/>
        <w:ind w:left="1240" w:hanging="648"/>
        <w:spacing w:after="0" w:line="267" w:lineRule="auto"/>
        <w:tabs>
          <w:tab w:leader="none" w:pos="12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price (exclusive of expenses) to be paid for any ordinary share shall be an amount equal to 115% of the NASDAQ Official Close Price (the “NOCP”) (as reported by NASDAQ) of the Company’s ordinary shares on the trading day preceding the day on which the relevant shares are purchased by the Company.</w:t>
      </w:r>
    </w:p>
    <w:p>
      <w:pPr>
        <w:spacing w:after="0" w:line="193" w:lineRule="exact"/>
        <w:rPr>
          <w:sz w:val="20"/>
          <w:szCs w:val="20"/>
          <w:color w:val="auto"/>
        </w:rPr>
      </w:pPr>
    </w:p>
    <w:p>
      <w:pPr>
        <w:jc w:val="both"/>
        <w:ind w:left="620"/>
        <w:spacing w:after="0" w:line="262" w:lineRule="auto"/>
        <w:rPr>
          <w:sz w:val="20"/>
          <w:szCs w:val="20"/>
          <w:color w:val="auto"/>
        </w:rPr>
      </w:pPr>
      <w:r>
        <w:rPr>
          <w:rFonts w:ascii="Times New Roman" w:cs="Times New Roman" w:eastAsia="Times New Roman" w:hAnsi="Times New Roman"/>
          <w:sz w:val="17"/>
          <w:szCs w:val="17"/>
          <w:color w:val="auto"/>
        </w:rPr>
        <w:t>The authority hereby conferred shall expire on the earlier of the date of the next Annual General Meeting of the Company or 28 January 2016 or (if earlier) unless previously varied, revoked or renewed in accordance with the provisions of section 215 of the Companies Act 1990. The Company or any subsidiary may before such expiry make a contract for the purchase of shares which would or might be wholly or partly executed after such expiry and may make a purchase of shares pursuant to any such contract as if the authority herby conferred had not expired.”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623"/>
        </w:trPr>
        <w:tc>
          <w:tcPr>
            <w:tcW w:w="74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ind w:left="620" w:hanging="61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reissue price range at which any treasury shares held by the Company may be reissued off-market shall be as follows:</w:t>
      </w:r>
    </w:p>
    <w:p>
      <w:pPr>
        <w:spacing w:after="0" w:line="239" w:lineRule="exact"/>
        <w:rPr>
          <w:rFonts w:ascii="Times New Roman" w:cs="Times New Roman" w:eastAsia="Times New Roman" w:hAnsi="Times New Roman"/>
          <w:sz w:val="17"/>
          <w:szCs w:val="17"/>
          <w:color w:val="auto"/>
        </w:rPr>
      </w:pPr>
    </w:p>
    <w:p>
      <w:pPr>
        <w:ind w:left="1240" w:hanging="623"/>
        <w:spacing w:after="0"/>
        <w:tabs>
          <w:tab w:leader="none" w:pos="12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price at which such treasury share may be reissued off-market shall be an amount equal to 120% of the "market price"; and</w:t>
      </w:r>
    </w:p>
    <w:p>
      <w:pPr>
        <w:spacing w:after="0" w:line="239" w:lineRule="exact"/>
        <w:rPr>
          <w:rFonts w:ascii="Times New Roman" w:cs="Times New Roman" w:eastAsia="Times New Roman" w:hAnsi="Times New Roman"/>
          <w:sz w:val="17"/>
          <w:szCs w:val="17"/>
          <w:color w:val="auto"/>
        </w:rPr>
      </w:pPr>
    </w:p>
    <w:p>
      <w:pPr>
        <w:jc w:val="both"/>
        <w:ind w:left="1240" w:hanging="623"/>
        <w:spacing w:after="0" w:line="267" w:lineRule="auto"/>
        <w:tabs>
          <w:tab w:leader="none" w:pos="12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minimum price at which a treasury share may be reissued off-market shall be the nominal value of the share where such a share is required to satisfy an obligation under an employee share plan operated by the Company or, in all other cases, an amount equal to 95% of the "market price"; and</w:t>
      </w:r>
    </w:p>
    <w:p>
      <w:pPr>
        <w:spacing w:after="0" w:line="192" w:lineRule="exact"/>
        <w:rPr>
          <w:rFonts w:ascii="Times New Roman" w:cs="Times New Roman" w:eastAsia="Times New Roman" w:hAnsi="Times New Roman"/>
          <w:sz w:val="17"/>
          <w:szCs w:val="17"/>
          <w:color w:val="auto"/>
        </w:rPr>
      </w:pPr>
    </w:p>
    <w:p>
      <w:pPr>
        <w:ind w:left="1240" w:hanging="623"/>
        <w:spacing w:after="0" w:line="284" w:lineRule="auto"/>
        <w:tabs>
          <w:tab w:leader="none" w:pos="12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 the "market price" shall mean the average closing price per ordinary share of the Company, as reported by NASDAQ, for the thirty (30) trading days immediately preceding the proposed date of re-issuance.</w:t>
      </w:r>
    </w:p>
    <w:p>
      <w:pPr>
        <w:spacing w:after="0" w:line="178"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The authority hereby conferred to reissue treasury shares shall expire eighteen months from the date of the passing of this resolution unless previously varied or renewed in accordance with the provisions of Section 209 of the Companies Act 1990.”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1243965" cy="4470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43965" cy="447040"/>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Diarmaid Cunningham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 June, 2014</w:t>
      </w:r>
    </w:p>
    <w:p>
      <w:pPr>
        <w:spacing w:after="0" w:line="217" w:lineRule="exact"/>
        <w:rPr>
          <w:sz w:val="20"/>
          <w:szCs w:val="20"/>
          <w:color w:val="auto"/>
        </w:rPr>
      </w:pPr>
    </w:p>
    <w:p>
      <w:pPr>
        <w:sectPr>
          <w:pgSz w:w="11900" w:h="16838" w:orient="portrait"/>
          <w:cols w:equalWidth="0" w:num="2">
            <w:col w:w="8420" w:space="720"/>
            <w:col w:w="2280"/>
          </w:cols>
          <w:pgMar w:left="240" w:top="494" w:right="2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Office: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County Business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Leopardstown,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18</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4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623"/>
        </w:trPr>
        <w:tc>
          <w:tcPr>
            <w:tcW w:w="742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240" w:lineRule="exact"/>
        <w:rPr>
          <w:sz w:val="20"/>
          <w:szCs w:val="20"/>
          <w:color w:val="auto"/>
        </w:rPr>
      </w:pPr>
    </w:p>
    <w:p>
      <w:pPr>
        <w:ind w:left="620" w:hanging="618"/>
        <w:spacing w:after="0"/>
        <w:tabs>
          <w:tab w:leader="none" w:pos="6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Information and Documentation</w:t>
      </w:r>
    </w:p>
    <w:p>
      <w:pPr>
        <w:spacing w:after="0" w:line="30" w:lineRule="exact"/>
        <w:rPr>
          <w:rFonts w:ascii="Times New Roman" w:cs="Times New Roman" w:eastAsia="Times New Roman" w:hAnsi="Times New Roman"/>
          <w:sz w:val="17"/>
          <w:szCs w:val="17"/>
          <w:b w:val="1"/>
          <w:bCs w:val="1"/>
          <w:color w:val="auto"/>
        </w:rPr>
      </w:pPr>
    </w:p>
    <w:p>
      <w:pPr>
        <w:ind w:left="6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Information regarding the Annual Meeting is available on the Company’s website </w:t>
      </w:r>
      <w:r>
        <w:rPr>
          <w:rFonts w:ascii="Times New Roman" w:cs="Times New Roman" w:eastAsia="Times New Roman" w:hAnsi="Times New Roman"/>
          <w:sz w:val="17"/>
          <w:szCs w:val="17"/>
          <w:u w:val="single" w:color="auto"/>
          <w:color w:val="auto"/>
        </w:rPr>
        <w:t>www.iconplc.com</w:t>
      </w:r>
      <w:r>
        <w:rPr>
          <w:rFonts w:ascii="Times New Roman" w:cs="Times New Roman" w:eastAsia="Times New Roman" w:hAnsi="Times New Roman"/>
          <w:sz w:val="17"/>
          <w:szCs w:val="17"/>
          <w:color w:val="auto"/>
        </w:rPr>
        <w:t xml:space="preserve"> and from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If you require a paper copy of the Form 20-F or Annual Report please contactInvestor Relations at 1-888-381-7923 or IR@iconplc.com.</w:t>
      </w:r>
    </w:p>
    <w:p>
      <w:pPr>
        <w:spacing w:after="0" w:line="190" w:lineRule="exact"/>
        <w:rPr>
          <w:rFonts w:ascii="Times New Roman" w:cs="Times New Roman" w:eastAsia="Times New Roman" w:hAnsi="Times New Roman"/>
          <w:sz w:val="17"/>
          <w:szCs w:val="17"/>
          <w:b w:val="1"/>
          <w:bCs w:val="1"/>
          <w:color w:val="auto"/>
        </w:rPr>
      </w:pPr>
    </w:p>
    <w:p>
      <w:pPr>
        <w:ind w:left="620" w:hanging="618"/>
        <w:spacing w:after="0"/>
        <w:tabs>
          <w:tab w:leader="none" w:pos="6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eligible to vote and how?</w:t>
      </w:r>
    </w:p>
    <w:p>
      <w:pPr>
        <w:spacing w:after="0" w:line="30" w:lineRule="exact"/>
        <w:rPr>
          <w:rFonts w:ascii="Times New Roman" w:cs="Times New Roman" w:eastAsia="Times New Roman" w:hAnsi="Times New Roman"/>
          <w:sz w:val="17"/>
          <w:szCs w:val="17"/>
          <w:b w:val="1"/>
          <w:bCs w:val="1"/>
          <w:color w:val="auto"/>
        </w:rPr>
      </w:pPr>
    </w:p>
    <w:p>
      <w:pPr>
        <w:jc w:val="both"/>
        <w:ind w:left="6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your shares are actually registered in your name, you are a shareholder of record. Shareholders of record who are entered in the register of Members of the Company as at 4.59pm Dublin time on 25 July 2014 or if the Meeting is adjourned, at 4.59pm Dublin time on the day that falls 48 hours before the time appointed for the adjourned meeting shall be entitled to attend, speak, ask questions and vote at the Meeting, or if relevant, any adjournment thereof. Changes in the register after that time will be disregarded in determining the right of any person to attend and/or vote at the meeting. For those shareholders whose shares are not held in their name, but rather in an account at a brokerage firm, bank, dealer or other similar organisation, who in turn hold through The Depository Trust Company (“DTC”), then their entitlement to vote is determined as at 5 June 2014.</w:t>
      </w:r>
    </w:p>
    <w:p>
      <w:pPr>
        <w:spacing w:after="0" w:line="206"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Depending on whether your shares are registered in your name or whether your shares are held in a "street name" the arrangements are as follows:</w:t>
      </w:r>
    </w:p>
    <w:p>
      <w:pPr>
        <w:spacing w:after="0" w:line="233"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Shareholder of Record: Shares Registered in Your Name</w:t>
      </w:r>
    </w:p>
    <w:p>
      <w:pPr>
        <w:spacing w:after="0" w:line="245" w:lineRule="exact"/>
        <w:rPr>
          <w:rFonts w:ascii="Times New Roman" w:cs="Times New Roman" w:eastAsia="Times New Roman" w:hAnsi="Times New Roman"/>
          <w:sz w:val="17"/>
          <w:szCs w:val="17"/>
          <w:b w:val="1"/>
          <w:bCs w:val="1"/>
          <w:color w:val="auto"/>
        </w:rPr>
      </w:pPr>
    </w:p>
    <w:p>
      <w:pPr>
        <w:jc w:val="both"/>
        <w:ind w:left="6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 shareholder of record, you may vote in person at the Annual Meeting or vote by proxy. In the case of joint holders the vote of the senior member who tenders a vote, whether in person or by proxy, shall be accepted to the exclusion of the votes of the other shareholder of record and, for this purpose, seniority shall be determined by the order in which the names stand in the Register of Members in respect of the joint holding. The appointment of a proxy will not preclude a shareholder of record from attending, speaking, asking questions and voting at the meeting should the shareholder subsequently wish to do so. A proxy need not be a Member of the Company. If you wish to appoint more than one proxy or a person not listed on the form of proxy, please contact Investor Relations at 1-888-381-7923 or IR@iconplc.com.</w:t>
      </w:r>
    </w:p>
    <w:p>
      <w:pPr>
        <w:spacing w:after="0" w:line="199" w:lineRule="exact"/>
        <w:rPr>
          <w:rFonts w:ascii="Times New Roman" w:cs="Times New Roman" w:eastAsia="Times New Roman" w:hAnsi="Times New Roman"/>
          <w:sz w:val="17"/>
          <w:szCs w:val="17"/>
          <w:b w:val="1"/>
          <w:bCs w:val="1"/>
          <w:color w:val="auto"/>
        </w:rPr>
      </w:pPr>
    </w:p>
    <w:p>
      <w:pPr>
        <w:jc w:val="both"/>
        <w:ind w:left="6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Form of Proxy is enclosed with this notice of Meeting for shareholders of record. To be effective, the Form of Proxy duly completed and executed, together with any authority under which it is executed, or a copy thereof certified, must be deposited at the registered office of the Company or, at the member’s option, Vote Processing, c/o Broadridge, 51 Mercedes Way, Edgewood, NY 11717, so as to be received no later than 4.59pm Dublin time on 25 July 2014 or if the Annual Meeting is adjourned, at 4.59pm Dublin time on the day that falls 48 hours before the time appointed for the adjourned Meeting or (in the case of a poll taken otherwise than at or on the same day as the Annual Meeting or adjourned Meeting) at least 48 hours before the taking of the poll at which it is to be used. Any alteration to the Form of Proxy must be initialed by the person who signs it.</w:t>
      </w:r>
    </w:p>
    <w:p>
      <w:pPr>
        <w:spacing w:after="0" w:line="199" w:lineRule="exact"/>
        <w:rPr>
          <w:rFonts w:ascii="Times New Roman" w:cs="Times New Roman" w:eastAsia="Times New Roman" w:hAnsi="Times New Roman"/>
          <w:sz w:val="17"/>
          <w:szCs w:val="17"/>
          <w:b w:val="1"/>
          <w:bCs w:val="1"/>
          <w:color w:val="auto"/>
        </w:rPr>
      </w:pPr>
    </w:p>
    <w:p>
      <w:pPr>
        <w:jc w:val="both"/>
        <w:ind w:left="62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Alternatively, provided it is received no later than 4.59pm Dublin time on 25 July 2014 or if the Annual Meeting is adjourned, at 4.59pm Dublin time on the day that falls 48 hours before the time appointed for the adjourned Annual Meeting or (in the case of a poll taken otherwise than at or on the same day as the Annual Meeting or adjourned Annual Meeting) at least 48 hours before the taking of the poll at which it is to be used, the appointment of a proxy may be submitted electronically, subject to the applicable terms and conditions, via the Internet by accessing Broadridge’s website </w:t>
      </w:r>
      <w:r>
        <w:rPr>
          <w:rFonts w:ascii="Times New Roman" w:cs="Times New Roman" w:eastAsia="Times New Roman" w:hAnsi="Times New Roman"/>
          <w:sz w:val="17"/>
          <w:szCs w:val="17"/>
          <w:b w:val="1"/>
          <w:bCs w:val="1"/>
          <w:color w:val="auto"/>
        </w:rPr>
        <w:t>www.proxyvote.com</w:t>
      </w:r>
      <w:r>
        <w:rPr>
          <w:rFonts w:ascii="Times New Roman" w:cs="Times New Roman" w:eastAsia="Times New Roman" w:hAnsi="Times New Roman"/>
          <w:sz w:val="17"/>
          <w:szCs w:val="17"/>
          <w:color w:val="auto"/>
        </w:rPr>
        <w:t xml:space="preserve"> and, when you follow the instructions on the website, the information you need to appoint your proxy electronically is included on the top of your Form of Proxy.</w:t>
      </w:r>
    </w:p>
    <w:p>
      <w:pPr>
        <w:spacing w:after="0" w:line="200"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case of a corporation the Form of Proxy must be either executed under seal or signed on its behalf by a duly authorised officer or attorney.</w:t>
      </w:r>
    </w:p>
    <w:p>
      <w:pPr>
        <w:spacing w:after="0" w:line="233"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Beneficial Owner: Shares Registered in the Name of a Broker, Bank or Other Agent</w:t>
      </w:r>
    </w:p>
    <w:p>
      <w:pPr>
        <w:spacing w:after="0" w:line="245" w:lineRule="exact"/>
        <w:rPr>
          <w:rFonts w:ascii="Times New Roman" w:cs="Times New Roman" w:eastAsia="Times New Roman" w:hAnsi="Times New Roman"/>
          <w:sz w:val="17"/>
          <w:szCs w:val="17"/>
          <w:b w:val="1"/>
          <w:bCs w:val="1"/>
          <w:color w:val="auto"/>
        </w:rPr>
      </w:pPr>
    </w:p>
    <w:p>
      <w:pPr>
        <w:jc w:val="both"/>
        <w:ind w:left="6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as at 5 June 2014 your shares were not held in your name, but rather in an account at a brokerage firm, bank, dealer or other similar organisation, who in turn hold through The Depository Trust Company (“DTC”), then you are the beneficial owner of shares held in “street name” and these proxy materials are being forwarded to you by that organisation, together with instructions as to voting. </w:t>
      </w:r>
      <w:r>
        <w:rPr>
          <w:rFonts w:ascii="Times New Roman" w:cs="Times New Roman" w:eastAsia="Times New Roman" w:hAnsi="Times New Roman"/>
          <w:sz w:val="17"/>
          <w:szCs w:val="17"/>
          <w:b w:val="1"/>
          <w:bCs w:val="1"/>
          <w:color w:val="auto"/>
        </w:rPr>
        <w:t>You will need to carefully follow the instructions from your broker,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bank or other agent or contact your broker, bank or other agent if you have any queries.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3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623"/>
        </w:trPr>
        <w:tc>
          <w:tcPr>
            <w:tcW w:w="74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14" w:name="page15"/>
    <w:bookmarkEnd w:id="14"/>
    <w:p>
      <w:pPr>
        <w:jc w:val="both"/>
        <w:ind w:left="620"/>
        <w:spacing w:after="0" w:line="267" w:lineRule="auto"/>
        <w:rPr>
          <w:sz w:val="20"/>
          <w:szCs w:val="20"/>
          <w:color w:val="auto"/>
        </w:rPr>
      </w:pPr>
      <w:r>
        <w:rPr>
          <w:rFonts w:ascii="Times New Roman" w:cs="Times New Roman" w:eastAsia="Times New Roman" w:hAnsi="Times New Roman"/>
          <w:sz w:val="17"/>
          <w:szCs w:val="17"/>
          <w:color w:val="auto"/>
        </w:rPr>
        <w:t>As a beneficial owner, you have the right to direct your broker or other agent on how to vote the shares in your account as per the instructions enclosed by your broker. You are also invited to attend the Annual Meeting. However, since you are not the shareholder of record, you may not vote your shares in person at the Annual Meeting unless you contact your broker and obtain a valid proxy card from your broker or other agent.</w:t>
      </w:r>
    </w:p>
    <w:p>
      <w:pPr>
        <w:spacing w:after="0" w:line="193"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17"/>
          <w:szCs w:val="17"/>
          <w:color w:val="auto"/>
        </w:rPr>
        <w:t>Therefore as a beneficial owner of shares registered in the name of your broker, bank or other agent, who in turn hold through DTC, you should have received a voting instruction card and voting instructions with these proxy materials from that organisation rather than from us. Simply complete and mail the voting instruction card as per the instructions from your broker, bank or other agent to ensure that your vote is counted.</w:t>
      </w:r>
    </w:p>
    <w:p>
      <w:pPr>
        <w:spacing w:after="0" w:line="189" w:lineRule="exact"/>
        <w:rPr>
          <w:sz w:val="20"/>
          <w:szCs w:val="20"/>
          <w:color w:val="auto"/>
        </w:rPr>
      </w:pPr>
    </w:p>
    <w:p>
      <w:pPr>
        <w:ind w:left="620" w:hanging="618"/>
        <w:spacing w:after="0"/>
        <w:tabs>
          <w:tab w:leader="none" w:pos="6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many votes do you have?</w:t>
      </w:r>
    </w:p>
    <w:p>
      <w:pPr>
        <w:spacing w:after="0" w:line="30" w:lineRule="exact"/>
        <w:rPr>
          <w:rFonts w:ascii="Times New Roman" w:cs="Times New Roman" w:eastAsia="Times New Roman" w:hAnsi="Times New Roman"/>
          <w:sz w:val="17"/>
          <w:szCs w:val="17"/>
          <w:b w:val="1"/>
          <w:bCs w:val="1"/>
          <w:color w:val="auto"/>
        </w:rPr>
      </w:pPr>
    </w:p>
    <w:p>
      <w:pPr>
        <w:jc w:val="both"/>
        <w:ind w:left="6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total number of issued ordinary shares on 10 June 2014 was 61,857,675. On a vote on a show of hands, every shareholder present in person and every proxy has one vote (but no individual shall have more than one vote). On a poll every shareholder present in person and every proxy shall have one vote for every share carrying rights of which he is the holder or proxy. Ordinary Resolutions are required to be passed by a simple majority of shareholders voting in person or by proxy. Special Resolutions are required to be passed by a majority of 75 per cent of shareholders voting in person or by proxy.</w:t>
      </w:r>
    </w:p>
    <w:p>
      <w:pPr>
        <w:spacing w:after="0" w:line="198" w:lineRule="exact"/>
        <w:rPr>
          <w:rFonts w:ascii="Times New Roman" w:cs="Times New Roman" w:eastAsia="Times New Roman" w:hAnsi="Times New Roman"/>
          <w:sz w:val="17"/>
          <w:szCs w:val="17"/>
          <w:b w:val="1"/>
          <w:bCs w:val="1"/>
          <w:color w:val="auto"/>
        </w:rPr>
      </w:pPr>
    </w:p>
    <w:p>
      <w:pPr>
        <w:ind w:left="620" w:hanging="618"/>
        <w:spacing w:after="0"/>
        <w:tabs>
          <w:tab w:leader="none" w:pos="6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Broker Voting</w:t>
      </w:r>
    </w:p>
    <w:p>
      <w:pPr>
        <w:spacing w:after="0" w:line="30" w:lineRule="exact"/>
        <w:rPr>
          <w:rFonts w:ascii="Times New Roman" w:cs="Times New Roman" w:eastAsia="Times New Roman" w:hAnsi="Times New Roman"/>
          <w:sz w:val="17"/>
          <w:szCs w:val="17"/>
          <w:b w:val="1"/>
          <w:bCs w:val="1"/>
          <w:color w:val="auto"/>
        </w:rPr>
      </w:pPr>
    </w:p>
    <w:p>
      <w:pPr>
        <w:jc w:val="both"/>
        <w:ind w:left="6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your shares are held by a broker on your behalf (that is, in “street name”), and you do not instruct the broker as to how to vote these shares on Resolutions No. 1.1, 1.2, 1.3, 1.4, 2, 4 and 5, the broker may not exercise discretion to vote for or against those proposals. This would be a “broker non-vote” and these shares will not be counted as having been voted on the applicable proposal. With respect to Resolution No. 3, the broker may exercise its discretion to vote for or against that proposal in the absence of your instruction. </w:t>
      </w:r>
      <w:r>
        <w:rPr>
          <w:rFonts w:ascii="Times New Roman" w:cs="Times New Roman" w:eastAsia="Times New Roman" w:hAnsi="Times New Roman"/>
          <w:sz w:val="17"/>
          <w:szCs w:val="17"/>
          <w:b w:val="1"/>
          <w:bCs w:val="1"/>
          <w:color w:val="auto"/>
        </w:rPr>
        <w:t>Please instruct your bank or broker so your vote can be counted</w:t>
      </w:r>
      <w:r>
        <w:rPr>
          <w:rFonts w:ascii="Times New Roman" w:cs="Times New Roman" w:eastAsia="Times New Roman" w:hAnsi="Times New Roman"/>
          <w:sz w:val="17"/>
          <w:szCs w:val="17"/>
          <w:color w:val="auto"/>
        </w:rPr>
        <w:t>.</w:t>
      </w:r>
    </w:p>
    <w:p>
      <w:pPr>
        <w:spacing w:after="0" w:line="198" w:lineRule="exact"/>
        <w:rPr>
          <w:rFonts w:ascii="Times New Roman" w:cs="Times New Roman" w:eastAsia="Times New Roman" w:hAnsi="Times New Roman"/>
          <w:sz w:val="17"/>
          <w:szCs w:val="17"/>
          <w:b w:val="1"/>
          <w:bCs w:val="1"/>
          <w:color w:val="auto"/>
        </w:rPr>
      </w:pPr>
    </w:p>
    <w:p>
      <w:pPr>
        <w:ind w:left="620" w:right="6820" w:hanging="618"/>
        <w:spacing w:after="0" w:line="281" w:lineRule="auto"/>
        <w:tabs>
          <w:tab w:leader="none" w:pos="62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Can I change my vote after submitting my proxy? </w:t>
      </w:r>
      <w:r>
        <w:rPr>
          <w:rFonts w:ascii="Times New Roman" w:cs="Times New Roman" w:eastAsia="Times New Roman" w:hAnsi="Times New Roman"/>
          <w:sz w:val="16"/>
          <w:szCs w:val="16"/>
          <w:b w:val="1"/>
          <w:bCs w:val="1"/>
          <w:i w:val="1"/>
          <w:iCs w:val="1"/>
          <w:color w:val="auto"/>
        </w:rPr>
        <w:t>Shareholder of Record: Shares Registered in Your Name</w:t>
      </w:r>
    </w:p>
    <w:p>
      <w:pPr>
        <w:ind w:left="62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Yes. You can revoke your proxy at any time before the final vote at the Annual Meeting. If you are the record holder of your shares, you may revoke your proxy in any one of three ways:</w:t>
      </w:r>
    </w:p>
    <w:p>
      <w:pPr>
        <w:spacing w:after="0" w:line="194" w:lineRule="exact"/>
        <w:rPr>
          <w:rFonts w:ascii="Times New Roman" w:cs="Times New Roman" w:eastAsia="Times New Roman" w:hAnsi="Times New Roman"/>
          <w:sz w:val="16"/>
          <w:szCs w:val="16"/>
          <w:b w:val="1"/>
          <w:bCs w:val="1"/>
          <w:color w:val="auto"/>
        </w:rPr>
      </w:pPr>
    </w:p>
    <w:p>
      <w:pPr>
        <w:ind w:left="1240" w:hanging="324"/>
        <w:spacing w:after="0"/>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with a later date;</w:t>
      </w:r>
    </w:p>
    <w:p>
      <w:pPr>
        <w:spacing w:after="0" w:line="239" w:lineRule="exact"/>
        <w:rPr>
          <w:rFonts w:ascii="Times New Roman" w:cs="Times New Roman" w:eastAsia="Times New Roman" w:hAnsi="Times New Roman"/>
          <w:sz w:val="17"/>
          <w:szCs w:val="17"/>
          <w:color w:val="auto"/>
        </w:rPr>
      </w:pPr>
    </w:p>
    <w:p>
      <w:pPr>
        <w:jc w:val="both"/>
        <w:ind w:left="1240" w:hanging="324"/>
        <w:spacing w:after="0" w:line="262" w:lineRule="auto"/>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written notice that you are revoking your proxy to Erina Fox, Assistant Company Secretary, ICON plc at the registered office of the Company (being South County Business Park, Leopardstown, Dublin 18, Ireland). Your notice must be received no later than 4.59pm Dublin time on 25 July 2014 or if the Annual Meeting is adjourned, by 4.59pm Dublin time on the day that falls 48 hours before the time appointed for the adjourned meeting shall be entitled to attend, speak, ask questions and vote at the Annual Meeting, or if relevant, any adjournment thereof; or</w:t>
      </w:r>
    </w:p>
    <w:p>
      <w:pPr>
        <w:spacing w:after="0" w:line="196" w:lineRule="exact"/>
        <w:rPr>
          <w:rFonts w:ascii="Times New Roman" w:cs="Times New Roman" w:eastAsia="Times New Roman" w:hAnsi="Times New Roman"/>
          <w:sz w:val="17"/>
          <w:szCs w:val="17"/>
          <w:color w:val="auto"/>
        </w:rPr>
      </w:pPr>
    </w:p>
    <w:p>
      <w:pPr>
        <w:ind w:left="1240" w:hanging="325"/>
        <w:spacing w:after="0"/>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attend the Annual Meeting and vote in person.</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Beneficial Owner: Shares Registered in the Name of a Broker, Bank or Other Agent</w:t>
      </w:r>
    </w:p>
    <w:p>
      <w:pPr>
        <w:spacing w:after="0" w:line="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your shares are held by your broker, bank or other agent, you should follow the instructions provided by them.</w:t>
      </w:r>
    </w:p>
    <w:p>
      <w:pPr>
        <w:spacing w:after="0" w:line="219" w:lineRule="exact"/>
        <w:rPr>
          <w:sz w:val="20"/>
          <w:szCs w:val="20"/>
          <w:color w:val="auto"/>
        </w:rPr>
      </w:pPr>
    </w:p>
    <w:p>
      <w:pPr>
        <w:ind w:left="620" w:hanging="618"/>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does it mean if I receive more than one set of materials?</w:t>
      </w:r>
    </w:p>
    <w:p>
      <w:pPr>
        <w:spacing w:after="0" w:line="30" w:lineRule="exact"/>
        <w:rPr>
          <w:rFonts w:ascii="Times New Roman" w:cs="Times New Roman" w:eastAsia="Times New Roman" w:hAnsi="Times New Roman"/>
          <w:sz w:val="17"/>
          <w:szCs w:val="17"/>
          <w:b w:val="1"/>
          <w:bCs w:val="1"/>
          <w:color w:val="auto"/>
        </w:rPr>
      </w:pPr>
    </w:p>
    <w:p>
      <w:pPr>
        <w:jc w:val="both"/>
        <w:ind w:left="6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receive more than one set of materials, your shares are registered in more than one name or are registered in different accounts. In order to vote all the shares you own, you must sign and return all of the proxy cards or follow the instructions for any alternative voting procedure on each of the proxy cards you receive.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ICON plc – Notice of Annual General Meeting 2014</w:t>
            </w:r>
          </w:p>
        </w:tc>
        <w:tc>
          <w:tcPr>
            <w:tcW w:w="4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bl>
    <w:p>
      <w:pPr>
        <w:sectPr>
          <w:pgSz w:w="11900" w:h="16838" w:orient="portrait"/>
          <w:cols w:equalWidth="0" w:num="1">
            <w:col w:w="11420"/>
          </w:cols>
          <w:pgMar w:left="240" w:top="469" w:right="239" w:bottom="1440" w:gutter="0" w:footer="0" w:header="0"/>
        </w:sectPr>
      </w:pPr>
    </w:p>
    <w:bookmarkStart w:id="15" w:name="page16"/>
    <w:bookmarkEnd w:id="15"/>
    <w:p>
      <w:pPr>
        <w:ind w:left="9160"/>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312420</wp:posOffset>
            </wp:positionV>
            <wp:extent cx="7315835" cy="9882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5835" cy="9882505"/>
                    </a:xfrm>
                    <a:prstGeom prst="rect">
                      <a:avLst/>
                    </a:prstGeom>
                    <a:noFill/>
                  </pic:spPr>
                </pic:pic>
              </a:graphicData>
            </a:graphic>
          </wp:anchor>
        </w:drawing>
      </w:r>
    </w:p>
    <w:p>
      <w:pPr>
        <w:sectPr>
          <w:pgSz w:w="11900" w:h="16838" w:orient="portrait"/>
          <w:cols w:equalWidth="0" w:num="1">
            <w:col w:w="10220"/>
          </w:cols>
          <w:pgMar w:left="1440" w:top="110" w:right="23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324485</wp:posOffset>
            </wp:positionV>
            <wp:extent cx="7313930" cy="9473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393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ICON p.l.c. and Subsidiaries</w:t>
      </w: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00" w:lineRule="exact"/>
        <w:rPr>
          <w:sz w:val="20"/>
          <w:szCs w:val="20"/>
          <w:color w:val="auto"/>
        </w:rPr>
      </w:pPr>
    </w:p>
    <w:p>
      <w:pPr>
        <w:spacing w:after="0" w:line="2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Year ended 31 December 2013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spacing w:after="0"/>
        <w:tabs>
          <w:tab w:leader="none" w:pos="2120" w:val="left"/>
        </w:tabs>
        <w:rPr>
          <w:sz w:val="20"/>
          <w:szCs w:val="20"/>
          <w:color w:val="auto"/>
        </w:rPr>
      </w:pPr>
      <w:r>
        <w:rPr>
          <w:rFonts w:ascii="Times New Roman" w:cs="Times New Roman" w:eastAsia="Times New Roman" w:hAnsi="Times New Roman"/>
          <w:sz w:val="17"/>
          <w:szCs w:val="17"/>
          <w:i w:val="1"/>
          <w:iCs w:val="1"/>
          <w:color w:val="auto"/>
        </w:rPr>
        <w:t>Registered number</w:t>
        <w:tab/>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845820</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220"/>
          </w:cols>
          <w:pgMar w:left="1440" w:top="11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2"/>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Directors’ Report and Consolidated Financial Statements</w:t>
            </w:r>
          </w:p>
        </w:tc>
        <w:tc>
          <w:tcPr>
            <w:tcW w:w="6520" w:type="dxa"/>
            <w:vAlign w:val="bottom"/>
          </w:tcPr>
          <w:p>
            <w:pPr>
              <w:spacing w:after="0"/>
              <w:rPr>
                <w:sz w:val="19"/>
                <w:szCs w:val="19"/>
                <w:color w:val="auto"/>
              </w:rPr>
            </w:pPr>
          </w:p>
        </w:tc>
      </w:tr>
      <w:tr>
        <w:trPr>
          <w:trHeight w:val="435"/>
        </w:trPr>
        <w:tc>
          <w:tcPr>
            <w:tcW w:w="49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Contents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Page</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Directors and Other Information</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Directors’ Report</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Statement of Directors’ Responsibilities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Auditor’s Report</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Statement of Accounting Policies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Income Statement</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Comprehensive Income</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Financial Position</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Changes in Equity</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Statement of Cash Flows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Company Statement of Financial Position</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Company Statement of Changes in Equity</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Company Statement of Cash Flows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Notes to Company Financial Statements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between IFRS and US Accounting Principles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Appendix A: Risk Factors</w:t>
            </w:r>
          </w:p>
        </w:tc>
        <w:tc>
          <w:tcPr>
            <w:tcW w:w="6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576"/>
        </w:trPr>
        <w:tc>
          <w:tcPr>
            <w:tcW w:w="4900" w:type="dxa"/>
            <w:vAlign w:val="bottom"/>
          </w:tcPr>
          <w:p>
            <w:pPr>
              <w:spacing w:after="0"/>
              <w:rPr>
                <w:sz w:val="24"/>
                <w:szCs w:val="24"/>
                <w:color w:val="auto"/>
              </w:rPr>
            </w:pPr>
          </w:p>
        </w:tc>
        <w:tc>
          <w:tcPr>
            <w:tcW w:w="6520" w:type="dxa"/>
            <w:vAlign w:val="bottom"/>
          </w:tcPr>
          <w:p>
            <w:pPr>
              <w:jc w:val="right"/>
              <w:ind w:right="5575"/>
              <w:spacing w:after="0"/>
              <w:rPr>
                <w:sz w:val="20"/>
                <w:szCs w:val="20"/>
                <w:color w:val="auto"/>
              </w:rPr>
            </w:pPr>
            <w:r>
              <w:rPr>
                <w:rFonts w:ascii="Times New Roman" w:cs="Times New Roman" w:eastAsia="Times New Roman" w:hAnsi="Times New Roman"/>
                <w:sz w:val="17"/>
                <w:szCs w:val="17"/>
                <w:color w:val="auto"/>
              </w:rPr>
              <w:t>1</w:t>
            </w:r>
          </w:p>
        </w:tc>
      </w:tr>
      <w:tr>
        <w:trPr>
          <w:trHeight w:val="111"/>
        </w:trPr>
        <w:tc>
          <w:tcPr>
            <w:tcW w:w="490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Directors’ and Other Information</w:t>
            </w:r>
          </w:p>
        </w:tc>
        <w:tc>
          <w:tcPr>
            <w:tcW w:w="8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Thomas Lynch (British – Chairman of the Board) (1) (2) (3) (4)</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Ciaran Murray (Irish – Chief Executive Officer) (4)</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Dr. John Climax (Irish – Non-Executive) (5)</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Dr. Ronan Lambe (Irish – Non-Executive) (5)</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Prof. Dermot Kelleher (Irish – Non-Executive) (1) (5)</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Declan McKeon (Irish – Non-Executive) (1) (3)</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Prof. William Hall (Irish – Non-Executive) (1) (2) (3) (5)</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Mary Pendergast (American – Non-Executive) (2) (5)</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Dr. Hugh Brady (Irish – Non-Executive)</w:t>
            </w:r>
          </w:p>
        </w:tc>
        <w:tc>
          <w:tcPr>
            <w:tcW w:w="0" w:type="dxa"/>
            <w:vAlign w:val="bottom"/>
          </w:tcPr>
          <w:p>
            <w:pPr>
              <w:spacing w:after="0"/>
              <w:rPr>
                <w:sz w:val="1"/>
                <w:szCs w:val="1"/>
                <w:color w:val="auto"/>
              </w:rPr>
            </w:pPr>
          </w:p>
        </w:tc>
      </w:tr>
      <w:tr>
        <w:trPr>
          <w:trHeight w:val="389"/>
        </w:trPr>
        <w:tc>
          <w:tcPr>
            <w:tcW w:w="2860" w:type="dxa"/>
            <w:vAlign w:val="bottom"/>
          </w:tcPr>
          <w:p>
            <w:pPr>
              <w:spacing w:after="0"/>
              <w:rPr>
                <w:sz w:val="24"/>
                <w:szCs w:val="24"/>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(1) Member of Audit Committee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(2) Member of Compensation and Organisation Committee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(3) Member of Nominating and Governance Committee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(4) Member of Execution Committee</w:t>
            </w:r>
          </w:p>
        </w:tc>
        <w:tc>
          <w:tcPr>
            <w:tcW w:w="0" w:type="dxa"/>
            <w:vAlign w:val="bottom"/>
          </w:tcPr>
          <w:p>
            <w:pPr>
              <w:spacing w:after="0"/>
              <w:rPr>
                <w:sz w:val="1"/>
                <w:szCs w:val="1"/>
                <w:color w:val="auto"/>
              </w:rPr>
            </w:pPr>
          </w:p>
        </w:tc>
      </w:tr>
      <w:tr>
        <w:trPr>
          <w:trHeight w:val="226"/>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i w:val="1"/>
                <w:iCs w:val="1"/>
                <w:color w:val="auto"/>
              </w:rPr>
              <w:t>(5) Member of Quality Committee</w:t>
            </w: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Company secretary</w:t>
            </w: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Diarmaid Cunningham</w:t>
            </w: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Registered office</w:t>
            </w: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South County Business Park</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Leopardstown</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Dublin 18</w:t>
            </w: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Auditors</w:t>
            </w: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KPMG</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Chartered Accountants</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 Stokes Place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St. Stephens Green</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Dublin 2</w:t>
            </w: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Solicitors</w:t>
            </w: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A &amp; L Goodbody</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International Financial Services Centre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North Wall Quay</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Dublin 1</w:t>
            </w: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4"/>
                <w:szCs w:val="24"/>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Cahill Gordon Reindel LLP</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80 Pine Street</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NY10005</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USA</w:t>
            </w: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Registrars</w:t>
            </w: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Computershare Investor Services (Ireland) Limited</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Herron House</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Corrig Road</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Sandyford Industrial Estate</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Dublin 18</w:t>
            </w:r>
          </w:p>
        </w:tc>
        <w:tc>
          <w:tcPr>
            <w:tcW w:w="0" w:type="dxa"/>
            <w:vAlign w:val="bottom"/>
          </w:tcPr>
          <w:p>
            <w:pPr>
              <w:spacing w:after="0"/>
              <w:rPr>
                <w:sz w:val="1"/>
                <w:szCs w:val="1"/>
                <w:color w:val="auto"/>
              </w:rPr>
            </w:pPr>
          </w:p>
        </w:tc>
      </w:tr>
      <w:tr>
        <w:trPr>
          <w:trHeight w:val="410"/>
        </w:trPr>
        <w:tc>
          <w:tcPr>
            <w:tcW w:w="2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Bankers</w:t>
            </w:r>
          </w:p>
        </w:tc>
        <w:tc>
          <w:tcPr>
            <w:tcW w:w="856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auto"/>
              </w:rPr>
              <w:t>Citibank</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8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Canada Square Canary Warf</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London E14 5LB</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393"/>
        </w:trPr>
        <w:tc>
          <w:tcPr>
            <w:tcW w:w="2860" w:type="dxa"/>
            <w:vAlign w:val="bottom"/>
          </w:tcPr>
          <w:p>
            <w:pPr>
              <w:spacing w:after="0"/>
              <w:rPr>
                <w:sz w:val="24"/>
                <w:szCs w:val="24"/>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JP Morgan Chase Bank N.A.</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4 New York Plaza</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05"/>
        </w:trPr>
        <w:tc>
          <w:tcPr>
            <w:tcW w:w="2860" w:type="dxa"/>
            <w:vAlign w:val="bottom"/>
          </w:tcPr>
          <w:p>
            <w:pPr>
              <w:spacing w:after="0"/>
              <w:rPr>
                <w:sz w:val="17"/>
                <w:szCs w:val="17"/>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NY 10004</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85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USA</w:t>
            </w:r>
          </w:p>
        </w:tc>
        <w:tc>
          <w:tcPr>
            <w:tcW w:w="0" w:type="dxa"/>
            <w:vAlign w:val="bottom"/>
          </w:tcPr>
          <w:p>
            <w:pPr>
              <w:spacing w:after="0"/>
              <w:rPr>
                <w:sz w:val="1"/>
                <w:szCs w:val="1"/>
                <w:color w:val="auto"/>
              </w:rPr>
            </w:pPr>
          </w:p>
        </w:tc>
      </w:tr>
      <w:tr>
        <w:trPr>
          <w:trHeight w:val="576"/>
        </w:trPr>
        <w:tc>
          <w:tcPr>
            <w:tcW w:w="2860" w:type="dxa"/>
            <w:vAlign w:val="bottom"/>
          </w:tcPr>
          <w:p>
            <w:pPr>
              <w:spacing w:after="0"/>
              <w:rPr>
                <w:sz w:val="24"/>
                <w:szCs w:val="24"/>
                <w:color w:val="auto"/>
              </w:rPr>
            </w:pPr>
          </w:p>
        </w:tc>
        <w:tc>
          <w:tcPr>
            <w:tcW w:w="856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11"/>
        </w:trPr>
        <w:tc>
          <w:tcPr>
            <w:tcW w:w="2860" w:type="dxa"/>
            <w:vAlign w:val="bottom"/>
            <w:tcBorders>
              <w:bottom w:val="single" w:sz="8" w:color="808080"/>
            </w:tcBorders>
          </w:tcPr>
          <w:p>
            <w:pPr>
              <w:spacing w:after="0"/>
              <w:rPr>
                <w:sz w:val="9"/>
                <w:szCs w:val="9"/>
                <w:color w:val="auto"/>
              </w:rPr>
            </w:pPr>
          </w:p>
        </w:tc>
        <w:tc>
          <w:tcPr>
            <w:tcW w:w="8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Directors’ Report</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2013.</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Company’s ordinary shares are traded on the NASDAQ market. The Company is considered a foreign private issuer in the US and accordingly it is not subject to the same ongoing regulatory requirements as a US registered company with a primary listing on the NASDAQ market.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These Consolidated and Company financial statements (together “the financial statements”) for the year ended 31 December 2013 are prepared in accordance with IFRS as adopted by the EU and meet the reporting requirements pursuant to Irish Company Law. In addition to the consolidated financial statements contained in this annual report, we also prepare separate consolidated financial statements on Form 20-F pursuant to the rules and regulations of the U.S. Securities and Exchange Commission (SEC) and in accordance with accounting principles generally accepted in the United States (U.S. GAAP). The Form 20-F under U.S. GAAP is a separate document, a copy of which may be obtained from the Company’s website </w:t>
      </w:r>
      <w:r>
        <w:rPr>
          <w:rFonts w:ascii="Times New Roman" w:cs="Times New Roman" w:eastAsia="Times New Roman" w:hAnsi="Times New Roman"/>
          <w:sz w:val="17"/>
          <w:szCs w:val="17"/>
          <w:u w:val="single" w:color="auto"/>
          <w:color w:val="auto"/>
        </w:rPr>
        <w:t>www.iconplc.com</w:t>
      </w:r>
      <w:r>
        <w:rPr>
          <w:rFonts w:ascii="Times New Roman" w:cs="Times New Roman" w:eastAsia="Times New Roman" w:hAnsi="Times New Roman"/>
          <w:sz w:val="17"/>
          <w:szCs w:val="17"/>
          <w:color w:val="auto"/>
        </w:rPr>
        <w:t>. IFRS differs in certain respects from U.S. GAAP, details of which are set out on pages 114 to 117 of this annual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activities, business review and future developments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programmes that support all stages of the clinical development process - from compound selection to Phase I-IV clinical studies. The Company’s mission is to accelerate the development of drugs that save lives and improve the quality of life. Our vision is to be the Global CRO partner of choice for the Biopharma industry by delivering best in class information, solutions and performance in clinical and outcomes research.</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Group believes that it is one of a select number of CRO’s with the expertise and capability to conduct clinical trials in most major therapeutic areas on a global basis and has the operational flexibility to provide development services on a stand alone basis or as part of an integrated “full service” solution. At 31 December 2013, the Group had approximately 10,300 employees, in 77 locations in 38 countries. During the year ended 31 December 2013, the Group derived approximately 43.6%, 45.4% and 11.0% of its net revenue in the United States, Europe and Rest of World, respectively.</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Headquartered in Dublin, Ireland, the Group began operations in 1990 and has expanded the business predominately through internal growth, together with a number of strategic acquisitions to enhance its capabilities and expertise in certain areas of the clinical development process. Its principal executive office is located at: South County Business Park, Leopardstown, Dublin 18, Republic of Ireland. The contact telephone number of this office is 353 (1) 291 2000.</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29 March 2014 the Company agreed to acquire, subject to certain closing conditions that did not occur prior to filing these financial statements, 100% of the common stock of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In addition to boosting the Company’s service capabilities, Aptiv Solutions will also strengthen the Company’s international presence through the addition of over 850 highly qualified and experienced professionals in the United States, Europe and Japan.</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15 February 2013, the Group acquired the Clinical Trial Services Division of Cross Country Healthcare, Inc. Cross Country Healthcare’s Clinical Trial Services Division includes US resourcing providers, ClinForce and Assent Consulting, whose services include contract staffing, permanent placement and functional service provision (“FSP”). The division also includes AKOS, a leading US and EU provider of pharmacovigilance and drug safety services. ClinForce and Assent have been combined with ICON’s FSP division, DOCS, creating a leader in global resourcing and FSP, while AKOS has been combined with the services offered by ICON’s medical and safety services team.</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t xml:space="preserve">Directors’ Report </w:t>
      </w:r>
      <w:r>
        <w:rPr>
          <w:rFonts w:ascii="Times New Roman" w:cs="Times New Roman" w:eastAsia="Times New Roman" w:hAnsi="Times New Roman"/>
          <w:sz w:val="17"/>
          <w:szCs w:val="17"/>
          <w:i w:val="1"/>
          <w:iCs w:val="1"/>
          <w:color w:val="auto"/>
        </w:rPr>
        <w:t>(continued)</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17 December 2012 the Company’s shareholders voted in favour of terminating the Company’s ADR programme and replacing its ADRs with a direct listing of its shares on NASDAQ. The company also decided to cancel the Company’s secondary listing on the official list of the Irish Stock Exchange, mainly due to the very low levels of liquidity in the Company’s shares on this exchange. This followed a review by the Company of its share trading arrangements with the objective of ensuring that the arrangements in place are appropriate to the size, scale and locations of the business, are conducive to supporting a liquid market in the Company’s shares, enhance the Company’s profile and attractions for a wide range of international investors, and that the costs and maintenance of the associated trading arrangements are proportionate to the expected benefits. The last day of trading of the Company’s shares on the Irish Stock Exchange was 29 January 2013 with the Company’s delisting from the Irish Stock Exchange being effected as of 30 January 2013. Direct trading of the Company’s shares on NASDAQ commenced on 4 February 2013.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2014, the Group looks forward to increasing its geographic presence through the addition of new offices and expanding the scale and range of its service offering.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and dividends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results for the year are as shown on page 27 of these financial statements. The Directors do not propose the payment of a dividend for the year ended 31 December 2013.</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sets forth for the periods indicated certain financial data as a percentage of net revenue and the percentage change in these items compared to the prior period, being the key performance indicators used by management. The trends illustrated in the following table may not be indicative of future results.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5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Percentage change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480" w:type="dxa"/>
            <w:vAlign w:val="bottom"/>
            <w:gridSpan w:val="2"/>
            <w:vMerge w:val="restart"/>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As a percentage of net revenue</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in period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29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100%</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w:t>
            </w:r>
          </w:p>
        </w:tc>
        <w:tc>
          <w:tcPr>
            <w:tcW w:w="170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 costs (excluding exceptional items)</w:t>
            </w:r>
          </w:p>
        </w:tc>
        <w:tc>
          <w:tcPr>
            <w:tcW w:w="29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63.2%</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64.3%</w:t>
            </w:r>
          </w:p>
        </w:tc>
        <w:tc>
          <w:tcPr>
            <w:tcW w:w="170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expenses (excluding exceptional items)</w:t>
            </w:r>
          </w:p>
        </w:tc>
        <w:tc>
          <w:tcPr>
            <w:tcW w:w="29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27.0%</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29.0%</w:t>
            </w:r>
          </w:p>
        </w:tc>
        <w:tc>
          <w:tcPr>
            <w:tcW w:w="170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profit (excluding exceptional items)</w:t>
            </w:r>
          </w:p>
        </w:tc>
        <w:tc>
          <w:tcPr>
            <w:tcW w:w="29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9.8%</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6.7%</w:t>
            </w:r>
          </w:p>
        </w:tc>
        <w:tc>
          <w:tcPr>
            <w:tcW w:w="170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Exceptional items</w:t>
            </w:r>
          </w:p>
        </w:tc>
        <w:tc>
          <w:tcPr>
            <w:tcW w:w="29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0.7%</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0.5%</w:t>
            </w:r>
          </w:p>
        </w:tc>
        <w:tc>
          <w:tcPr>
            <w:tcW w:w="170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profit (including exceptional items)</w:t>
            </w:r>
          </w:p>
        </w:tc>
        <w:tc>
          <w:tcPr>
            <w:tcW w:w="29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9.1%</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6.2%</w:t>
            </w:r>
          </w:p>
        </w:tc>
        <w:tc>
          <w:tcPr>
            <w:tcW w:w="1700" w:type="dxa"/>
            <w:vAlign w:val="bottom"/>
            <w:tcBorders>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75.5%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Twelve months ended 31 December 2013 compared to twelve months ended 31 December 2012</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revenue for the year increased by $221.1 million, or 19.8%, from $1,115.0 million for the year ended 31 December 2012 to $1,336.1 million for the year ended 31 December 2013. For the year ended 31 December 2013 we derived approximately 43.6%, 45.4% and 11.0% of our net revenue in the United States, Europe and Rest of World, respectively.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auto"/>
        </w:rPr>
        <w:t xml:space="preserve">Directors’ Report </w:t>
      </w:r>
      <w:r>
        <w:rPr>
          <w:rFonts w:ascii="Times New Roman" w:cs="Times New Roman" w:eastAsia="Times New Roman" w:hAnsi="Times New Roman"/>
          <w:sz w:val="17"/>
          <w:szCs w:val="17"/>
          <w:i w:val="1"/>
          <w:iCs w:val="1"/>
          <w:color w:val="auto"/>
        </w:rPr>
        <w:t>(continued)</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Direct costs (excluding exceptional items) for the year ended 31 December 2013 increased by $128.0 million, or 17.8%, from $717.1 million for the year ended 31 December 2012 to $845.1 million for the year ended 31 December 2013.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$131.6 million offset by a decrease in other direct project related costs of $3.6 million. As a percentage of net revenue, direct costs (excluding exceptional items) have decreased from 64.3% for the year ended 31 December 2012 to 63.2% for the year ended 31 December 2013.</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Other operating expenses (excluding exceptional items) for the year ended 31 December 2013 increased by $37.1 million, or 11.5%, from $323.2 million for the year ended 31 December 2012 to $360.3 million for the year ended 31 December 2013. The increase in other operating expenses (excluding exceptional items) for the period arose primarily from an increase in personnel related expenditure of $24.3 million, an increase in facilities and related costs of $4.9 million, an increase in other general overhead costs of $4.1 million and an increase in depreciation and amortisation expense of $3.8 million, arising principally as a result of the increased amortisation of acquired intangibles and our continued investment in facilities and equipment to support the Company’s growth. As a percentage of net revenue, other operating expenses (excluding exceptional items), decreased from 29.0% for the year ended 31 December 2012 to 27.0% for the year ended 31 December 2013.</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Exceptional charges of $9.0 million were recorded during the year ended 31 December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rationalisations in certain areas of the business to improve resource utilisation. A further restructuring plan was also adopted during 2013 which resulted in resource rationalisations in order to improve operating efficiencies and reduce expenses (</w:t>
      </w:r>
      <w:r>
        <w:rPr>
          <w:rFonts w:ascii="Times New Roman" w:cs="Times New Roman" w:eastAsia="Times New Roman" w:hAnsi="Times New Roman"/>
          <w:sz w:val="17"/>
          <w:szCs w:val="17"/>
          <w:i w:val="1"/>
          <w:iCs w:val="1"/>
          <w:color w:val="auto"/>
        </w:rPr>
        <w:t>see note 7 Exceptional items for further information).</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a result of the above, operating profit increased by $52.3 million, or 75.5%, from $69.3 million for the year ended 31 December 2012 ($74.7 million excluding restructuring charges) to $121.6 million for the year ended 31 December 2013 ($130.6 million, or 74.8% excluding restructuring charges). As a percentage of net revenue, income from operations increased from 6.2% of net revenues for the year ended 31 December 2012 (6.7% excluding restructuring charges) to 9.1% of net revenues for year ended 31 December 2013 (9.8% excluding restructuring charges).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Financing expense for the period decreased from $1.9 million for the year ended 31 December 2012 to $1.3 million for the year ended 31 December 2013. Financing expense for the year ended 31 December 2013 includes $0.2 million (2012: $0.9 million) in respect of fair value movement relating to acquisition contingent consideration. Interest income for the year decreased from $1.2 million for the year ended 31 December 2012 to $1.0 million for the year ended 31 December 2013. Even though our U.S. dollar cash balances increased significantly during the year, a historical low level of interest rates payable on U.S. dollars resulted in a reduction of our interest income in comparison to 2012.</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Provision for income taxes for the period increased from $10.4 million for the year ended 31 December 2012 to $14.2 million for the year ended 31 December 2013. The Company’s effective tax rate for the year ended 31 December 2013 was 11.7% compared with 15.1% for the year ended 31 December 2012. Excluding the impact of exceptional items recognised during the year ended 31 December 2013 the Company’s effective tax rate was 12.3% for the year ended 31 December 2013 compared with 14.9% for the year ended 31 December 2012. The Company’s effective tax rate is principally a function of the distribution of pre-tax profits in the territories in which it operates.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principal risks and uncertainties facing the Group are set out in Appendix A of this annual report.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risk management</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Group’s financial instruments comprise cash and cash equivalents, current asset investments, finance lease obligations and negotiated bank facilities. The main purpose of these financial instruments is to fund the working capital requirements of the Group, the cost of new acquisitions and continued growth. The principal financial risks facing the Group include currency rate risk, interest rate risk, credit risk and liquidity risk, further details of which are set out in note 25 to the Consolidated financial statements and note 10 to Company financial statements. The Group does not undertake any trading activity in financial instruments. The Group did not enter into any material derivative transactions during 2013 or 2012.</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 xml:space="preserve">Directors’ Report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subsequent events are set out in note 30 to the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Secretary</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January 2013 Mr Thomas Lynch was appointed Chairman of the Board of Directors of the Company. On 31 December 2012 Dr Bruce Given retired as Chairman of the Board of Directors of the Company. On 21 February 2013 Professor William Hall was appointed a Director of the Company. On 22 July 2013 Dr. Bruce Given retired as a Director of the Company. On 18 February 2014 Mary Pendergast was appointed a Non-Executive Director of the Company. On 29 April 2014 Dr. Hugh Brady was appointed a Non-Executive Director of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Directors’ interests in the Group’s shares are set out in note 8 to the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remuneration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Directors’ remuneration are set out in the note 8 to the Consolidated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power to purchase and allot company shares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Subject to the provisions of the Companies Acts 1963 to 2013 the Company may purchase any of its shares. Every contract for the purchase of shares, or under which the Company may become entitled or obliged to purchase shares in the Company shall be authorised by a special resolution of the Company. The Company may cancel any shares so purchased or may hold them as treasury shares or re-issue them.</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27 October 2011 the Company announced its intention to commence a share repurchase program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further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 Further details of the share repurchase programme can be found in note 23 to the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and Obligations attaching to the Company’s shares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share capital of the Company is €6,000,000 divided into 100,000,000 ordinary shares of €0.06.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ordinary shares. Holders of ordinary shares have no conversion or redemption rights. On a show of hands, every holder of an ordinary share present in person or proxy at a general meeting of shareholders shall have one vote with no individual having more than one vote.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 xml:space="preserve">Directors’ Report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of control provisions in significant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of the Group’s customer contracts allow the customer to terminate the contract in the event of a change in control of the Company.</w:t>
      </w:r>
    </w:p>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Group has negotiated banking facilities with a number of financial institutions, details of which are set out in note 22 to the financial statements. Certain of these facilities require repayment of the facility in the event that the Company becomes controlled by any person or persons acting in concert by whom it was not controlled at the date the facility was entered into.</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Furthermore certain Group companies have entered capital grant agreements with the Irish government agency, Enterprise Ireland, whereby the Group covenants that the controlling interest in the Company will not change without Enterprise Ireland’s prior written consent, which will not be unreasonably withheld.</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Additionally, the Company's share option and restricted share unit plans contain change in control provisions which allow potentially for the acceleration of the vesting and exercisability of outstanding options and awards of restricted share unit in the event that a change in control occurs with respect to the Company. Other potential consequences for outstanding share options and restricted share units of a change in control following a takeover bid include the assumption of outstanding awards by the surviving company, if not ICON, or the substitution of options or restricted stock of its ordinary shares or that of its parent.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is listed on the NASDAQ Global Select Market. The Company complies with the corporate governance listing requirements under the NASDAQ marketplace rules. NASDAQ may provide exemptions from certain NASDAQ corporate governance standards to a foreign private issuer in certain circumstances provided that the foreign private issuer properly notifies NASDAQ and makes the required disclosure except to the extent that such exemptions would be contrary to United States federal securities laws.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exemptions that the Company relies on, and the practices the Company adheres to, are as follows:</w:t>
      </w:r>
    </w:p>
    <w:p>
      <w:pPr>
        <w:spacing w:after="0" w:line="240" w:lineRule="exact"/>
        <w:rPr>
          <w:sz w:val="20"/>
          <w:szCs w:val="20"/>
          <w:color w:val="auto"/>
        </w:rPr>
      </w:pPr>
    </w:p>
    <w:p>
      <w:pPr>
        <w:jc w:val="both"/>
        <w:ind w:left="920" w:hanging="184"/>
        <w:spacing w:after="0" w:line="262" w:lineRule="auto"/>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Articles of Association require that only 3 members be present, in person or by proxy, at a shareholder meeting to constitute a quorum. This quorum requirement is in accordance with Irish law and generally accepted business practices in Ireland.</w:t>
      </w:r>
    </w:p>
    <w:p>
      <w:pPr>
        <w:spacing w:after="0" w:line="196" w:lineRule="exact"/>
        <w:rPr>
          <w:rFonts w:ascii="Times New Roman" w:cs="Times New Roman" w:eastAsia="Times New Roman" w:hAnsi="Times New Roman"/>
          <w:sz w:val="17"/>
          <w:szCs w:val="17"/>
          <w:color w:val="auto"/>
        </w:rPr>
      </w:pPr>
    </w:p>
    <w:p>
      <w:pPr>
        <w:jc w:val="both"/>
        <w:ind w:left="920" w:hanging="184"/>
        <w:spacing w:after="0" w:line="259" w:lineRule="auto"/>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2013 Employees Restricted Share Unit Plan was adopted by the Board of Directors without shareholder approval.</w:t>
      </w:r>
    </w:p>
    <w:p>
      <w:pPr>
        <w:spacing w:after="0" w:line="200" w:lineRule="exact"/>
        <w:rPr>
          <w:rFonts w:ascii="Times New Roman" w:cs="Times New Roman" w:eastAsia="Times New Roman" w:hAnsi="Times New Roman"/>
          <w:sz w:val="17"/>
          <w:szCs w:val="17"/>
          <w:color w:val="auto"/>
        </w:rPr>
      </w:pPr>
    </w:p>
    <w:p>
      <w:pPr>
        <w:jc w:val="both"/>
        <w:ind w:left="920" w:hanging="184"/>
        <w:spacing w:after="0" w:line="267" w:lineRule="auto"/>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practices with regard to these requirements are not prohibited by Irish law.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t xml:space="preserve">Directors’ Report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shareholdings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been notified of the following shareholdings in excess of 3% of the issued share capital of the Company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8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Neuberger Berman LLC</w:t>
            </w:r>
          </w:p>
        </w:tc>
        <w:tc>
          <w:tcPr>
            <w:tcW w:w="3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Earnest Partners, LLC</w:t>
            </w:r>
          </w:p>
        </w:tc>
        <w:tc>
          <w:tcPr>
            <w:tcW w:w="3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8.9</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5,485,357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Wasatch Advisors, Inc.</w:t>
            </w:r>
          </w:p>
        </w:tc>
        <w:tc>
          <w:tcPr>
            <w:tcW w:w="3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All Directors and Officers as a group</w:t>
            </w:r>
          </w:p>
        </w:tc>
        <w:tc>
          <w:tcPr>
            <w:tcW w:w="3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2,835,582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Alliance Bernstein L.P.</w:t>
            </w:r>
          </w:p>
        </w:tc>
        <w:tc>
          <w:tcPr>
            <w:tcW w:w="3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2,659,083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 undertakings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the Companies Act, 1963 in relation to subsidiary undertakings is presented in note 31 to the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Political donations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made no disclosable political donations in the period.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Directors have a reasonable expectation that the Group has adequate resources to continue in operation for the foreseeable future. For this reason, the Group continues to adopt the going concern basis in preparing the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Books of account</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Directors believe that they have complied with the requirements of Section 202 of the Companies Act, 1990 with regard to books of account by employing accounting personnel with appropriate expertise and by providing adequate resources to the financial function. The books of account of the Company are maintained at the registered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accordance with Section 160(2) of the Companies Act, 1963, the auditors, KPMG, Chartered Accountants, will continue in office.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 behalf of the Board</w:t>
      </w:r>
    </w:p>
    <w:p>
      <w:pPr>
        <w:sectPr>
          <w:pgSz w:w="11900" w:h="16838" w:orient="portrait"/>
          <w:cols w:equalWidth="0" w:num="1">
            <w:col w:w="11420"/>
          </w:cols>
          <w:pgMar w:left="240" w:top="49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Declan McKeon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Ciaran Murray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w:t>
      </w:r>
    </w:p>
    <w:p>
      <w:pPr>
        <w:spacing w:after="0" w:line="200" w:lineRule="exact"/>
        <w:rPr>
          <w:sz w:val="20"/>
          <w:szCs w:val="20"/>
          <w:color w:val="auto"/>
        </w:rPr>
      </w:pPr>
    </w:p>
    <w:p>
      <w:pPr>
        <w:sectPr>
          <w:pgSz w:w="11900" w:h="16838" w:orient="portrait"/>
          <w:cols w:equalWidth="0" w:num="2">
            <w:col w:w="1580" w:space="720"/>
            <w:col w:w="9120"/>
          </w:cols>
          <w:pgMar w:left="240" w:top="490" w:right="2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5805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Statement of Directors’ Responsibilities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Responsibilities Statement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Directors are responsible for preparing the Consolidated and Company financial statements, in accordance with applicable law and regulations.</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Company law requires the Directors to prepare Group and Company financial statements for each financial year. Under that law the Directors are required to prepare the Group financial statements in accordance with International Financial Reporting Standards (“IFRS”) as adopted by the EU and have elected to prepare the Company financial statements in accordance with IFRSs as adopted by the EU and as applied in accordance with the Companies Acts 1963 to 2013.</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Group and Company financial statements are required by law and IFRSs as adopted by the EU to present fairly the financial position and performance of the Group and Company. The Companies Acts 1963 to 2013 provide in relation to such financial statements that references in the relevant part of that Act to financial statements giving a true and fair view are references to their achieving a fair presentation.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preparing each of the Group and Company financial statements, the Directors are required to:</w:t>
      </w:r>
    </w:p>
    <w:p>
      <w:pPr>
        <w:spacing w:after="0" w:line="27" w:lineRule="exact"/>
        <w:rPr>
          <w:sz w:val="20"/>
          <w:szCs w:val="20"/>
          <w:color w:val="auto"/>
        </w:rPr>
      </w:pPr>
    </w:p>
    <w:p>
      <w:pPr>
        <w:ind w:left="300" w:hanging="178"/>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suitable accounting policies and then apply them consistently;</w:t>
      </w:r>
    </w:p>
    <w:p>
      <w:pPr>
        <w:spacing w:after="0" w:line="9" w:lineRule="exact"/>
        <w:rPr>
          <w:rFonts w:ascii="Times New Roman" w:cs="Times New Roman" w:eastAsia="Times New Roman" w:hAnsi="Times New Roman"/>
          <w:sz w:val="17"/>
          <w:szCs w:val="17"/>
          <w:color w:val="auto"/>
        </w:rPr>
      </w:pPr>
    </w:p>
    <w:p>
      <w:pPr>
        <w:ind w:left="300" w:hanging="178"/>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judgments and estimates that are reasonable and prudent;</w:t>
      </w:r>
    </w:p>
    <w:p>
      <w:pPr>
        <w:spacing w:after="0" w:line="9" w:lineRule="exact"/>
        <w:rPr>
          <w:rFonts w:ascii="Times New Roman" w:cs="Times New Roman" w:eastAsia="Times New Roman" w:hAnsi="Times New Roman"/>
          <w:sz w:val="17"/>
          <w:szCs w:val="17"/>
          <w:color w:val="auto"/>
        </w:rPr>
      </w:pPr>
    </w:p>
    <w:p>
      <w:pPr>
        <w:ind w:left="300" w:hanging="178"/>
        <w:spacing w:after="0" w:line="251"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that the financial statements comply with the IFRSs as adopted by the EU, and in the case of the Company, as applied in accordance with the Companies Acts 1963 to 2013; and</w:t>
      </w:r>
    </w:p>
    <w:p>
      <w:pPr>
        <w:ind w:left="300" w:hanging="178"/>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the financial statements on a going concern basis unless it is inappropriate to presume that the Group and Company will continue in business.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Directors are responsible for keeping proper books of account that disclose with reasonable accuracy at any time the financial position of the Company and the Group and enable them to ensure that the financial statements comply with the Companies Acts 1963 to 2013 and, as regards the Group financial statements, Article 4 of the IAS Regulation. They are also responsible for taking such steps as are reasonably open to them to safeguard the assets of the Group and Company and to prevent and detect fraud and other irregularities.</w:t>
      </w:r>
    </w:p>
    <w:p>
      <w:pPr>
        <w:spacing w:after="0" w:line="200" w:lineRule="exact"/>
        <w:rPr>
          <w:sz w:val="20"/>
          <w:szCs w:val="20"/>
          <w:color w:val="auto"/>
        </w:rPr>
      </w:pP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 behalf of the board</w:t>
      </w:r>
    </w:p>
    <w:p>
      <w:pPr>
        <w:sectPr>
          <w:pgSz w:w="11900" w:h="16838" w:orient="portrait"/>
          <w:cols w:equalWidth="0" w:num="1">
            <w:col w:w="11420"/>
          </w:cols>
          <w:pgMar w:left="240" w:top="494"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Declan McKeon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Ciaran Murray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w:t>
      </w:r>
    </w:p>
    <w:p>
      <w:pPr>
        <w:spacing w:after="0" w:line="200" w:lineRule="exact"/>
        <w:rPr>
          <w:sz w:val="20"/>
          <w:szCs w:val="20"/>
          <w:color w:val="auto"/>
        </w:rPr>
      </w:pPr>
    </w:p>
    <w:p>
      <w:pPr>
        <w:sectPr>
          <w:pgSz w:w="11900" w:h="16838" w:orient="portrait"/>
          <w:cols w:equalWidth="0" w:num="2">
            <w:col w:w="1580" w:space="720"/>
            <w:col w:w="9120"/>
          </w:cols>
          <w:pgMar w:left="240" w:top="494" w:right="2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Independent Auditor’s Report to the Members of ICON plc</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audited the Group and Company financial statements (‘‘financial statements’’) of ICON Plc for the year ended 31 December 2013 which comprise the Consolidated Income Statement, the Consolidated Statements of Comprehensive Income, the Consolidated and Company Statements of Financial Position, the Consolidated and Company Statements of Cash Flow, the Consolidated and Company Statements of Changes in Equity and the related notes. The financial reporting framework that has been applied in their preparation is Irish law and International Financial Reporting Standards (IFRSs) as adopted by the European Union, and, as regards the Company financial statements, as applied in accordance with the provisions of the Companies Acts 1963 to 2013.</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report is made solely to the Company’s members, as a body, in accordance with section 193 of the Companies Act 1990.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Respective responsibilities of directors and auditor</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explained more fully in the Directors’ Responsibilities Statement set out on page 9 the Directors are responsible for the preparation of the financial statements giving a true and fair view. Our responsibility is to audit and express an opinion on the financial statements in accordance with Irish law and International Standards on Auditing (UK and Ireland). Those standards require us to comply with the Ethical Standards for Auditors issued by the Auditing Practices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Scope of the audit of the financial statements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 audit involves obtaining evidence about the amounts and disclosures in the financial statements sufficient to give reasonable assurance that the financial statements are free from material misstatement, whether caused by fraud or error. This includes an assessment of: whether the accounting policies are appropriate to the Group’s and Company’s circumstances and have been consistently applied and adequately disclosed; the reasonableness of significant accounting estimates made by the directors; and the overall presentation of the financial statements. In addition, we read all the financial and non-financial information in the annual report to identify material inconsistencies with the audited financial statements. If we become aware of any apparent material misstatements or inconsistencies we consider the implications for our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opinion:</w:t>
      </w:r>
    </w:p>
    <w:p>
      <w:pPr>
        <w:spacing w:after="0" w:line="27" w:lineRule="exact"/>
        <w:rPr>
          <w:sz w:val="20"/>
          <w:szCs w:val="20"/>
          <w:color w:val="auto"/>
        </w:rPr>
      </w:pPr>
    </w:p>
    <w:p>
      <w:pPr>
        <w:ind w:left="300" w:hanging="178"/>
        <w:spacing w:after="0" w:line="251"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financial statements give a true and fair view, in accordance with IFRSs as adopted by the EU, of the state of the Group’s affairs as at 31 December 2013 and of its profit for the year then ended;</w:t>
      </w:r>
    </w:p>
    <w:p>
      <w:pPr>
        <w:ind w:left="300" w:hanging="178"/>
        <w:spacing w:after="0" w:line="251"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statement of financial position gives a true and fair view, in accordance with IFRSs as adopted by the EU as applied in accordance with the provisions of the Companies Acts 1963 to 2013, of the state of the Company’s affairs as at 31 December 2013; and</w:t>
      </w:r>
    </w:p>
    <w:p>
      <w:pPr>
        <w:ind w:left="300" w:hanging="178"/>
        <w:spacing w:after="0" w:line="263"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have been properly prepared in accordance with the Companies Acts 1963 to 2013 and, as regards the Group financial statements, Article 4 of the IAS Regulation.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Matters on which we are required to report by the Companies Acts 1963 to 2013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obtained all the information and explanations which we consider necessary for the purposes of our audit.</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statement of financial position is in agreement with the books of account and, in our opinion, proper books of account have been kept by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opinion the information given in the Directors’ report is consistent with the financial statements.</w:t>
      </w:r>
    </w:p>
    <w:p>
      <w:pPr>
        <w:spacing w:after="0" w:line="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net assets of the Company, as stated in the statement of financial position are more than half of the amount of its called-up share capital and, in our opinion, on that basis there did not exist at 31 December 2013 a financial situation which under Section 40(1) of the Companies (Amendment) Act, 1983 would require the convening of an extraordinary general meeting of the Company.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 xml:space="preserve">Independent Auditor’s Report to the Members of ICON plc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Matters on which we are required to report by exception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nothing to report in respect of the following:</w:t>
      </w:r>
    </w:p>
    <w:p>
      <w:pPr>
        <w:spacing w:after="0" w:line="2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Under the Companies Acts 1963 to 2013 we are required to report to you if, in our opinion, the disclosures of Directors’ remuneration and transactions specified by law are not made.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Sean O’Keefe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and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KPMG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Chartered Accountants, Statutory Audit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29 April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1 Stokes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 Stephen’s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Dublin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Ireland</w:t>
      </w:r>
    </w:p>
    <w:p>
      <w:pPr>
        <w:spacing w:after="0" w:line="3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180"/>
          </w:cols>
          <w:pgMar w:left="240" w:top="490"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Statement of Accounting Policies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 of compliance</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 financial statements have been prepared in accordance with International Financial Reporting Standards (IFRS) that are adopted by the European Union (EU) that are effective at 31 December 2013. The Directors have elected to prepare the Company financial statements in accordance with IFRS as adopted by the EU and as applied in accordance with the Companies Acts 1963 to 2013. In accordance with the Companies Acts 1963 to 2013, a company that publishes its Group and Company financial statements together, can take advantage of the exemption in Section 148(8) of the Companies Act 1963 from presenting to its members a Company income statement and related notes that form part of the approved Company financial statements.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Group financial statements have been prepared in accordance with the amendment to IAS 1 </w:t>
      </w:r>
      <w:r>
        <w:rPr>
          <w:rFonts w:ascii="Times New Roman" w:cs="Times New Roman" w:eastAsia="Times New Roman" w:hAnsi="Times New Roman"/>
          <w:sz w:val="17"/>
          <w:szCs w:val="17"/>
          <w:i w:val="1"/>
          <w:iCs w:val="1"/>
          <w:color w:val="auto"/>
        </w:rPr>
        <w:t>Presentation of Financial Statements</w:t>
      </w:r>
      <w:r>
        <w:rPr>
          <w:rFonts w:ascii="Times New Roman" w:cs="Times New Roman" w:eastAsia="Times New Roman" w:hAnsi="Times New Roman"/>
          <w:sz w:val="17"/>
          <w:szCs w:val="17"/>
          <w:color w:val="auto"/>
        </w:rPr>
        <w:t>. This amendment sets overall requirements for the presentation of financial statements, guidelines for their structure and minimum requirements for their content. The revised standard aims to improve users’ ability to analyse and compare information given in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preparation</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These Group and Company financial statements are presented in U.S. dollars and all values are rounded to the nearest thousand ($ ‘000), except where otherwise indicated, this being the reporting currency of the Group. They are prepared on the historical cost basis, except for the measurement at fair value on date of grant of share options, the UK defined benefit pension plan and certain contingent consideration payable on acquisitions. Accounting policies are applied consistently with the prior year, except for the changes in accounting policies as noted below:</w:t>
      </w:r>
    </w:p>
    <w:p>
      <w:pPr>
        <w:spacing w:after="0" w:line="192" w:lineRule="exact"/>
        <w:rPr>
          <w:sz w:val="20"/>
          <w:szCs w:val="20"/>
          <w:color w:val="auto"/>
        </w:rPr>
      </w:pPr>
    </w:p>
    <w:p>
      <w:pPr>
        <w:ind w:left="460" w:hanging="458"/>
        <w:spacing w:after="0"/>
        <w:tabs>
          <w:tab w:leader="none" w:pos="4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 in accounting policy – adoption of IAS 19, Employee Benefits (revised) (“IAS 19R”)</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main impact of the adoption of IAS 19R on the financial results of the Group is in the calculation of finance income and charges in respect of post-employment benefit obligations. The previous practice of recognising the expected return on plan assets (presented within finance income) and separately the interest expense on the post-employment benefit obligation (presented within finance expense) is now replaced by the calculation of a single interest amount on the net post-employment benefit liability (or asset) using the discount rate adopted at the beginning of the period.</w:t>
      </w:r>
    </w:p>
    <w:p>
      <w:pPr>
        <w:spacing w:after="0" w:line="19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color w:val="auto"/>
        </w:rPr>
        <w:t>IAS 19R introduces a new term “re-measurements”, which describes the total of actuarial gains and losses, and the difference between actual investment returns and the returns implied by the net interest cost.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There is no change in the method of determining the interest rate, which continues to reflect the yield of high quality corporate bonds of comparable maturity to the liabilities of the Group’s post-employment benefit obligations. The adoption of IAS 19R has decreased the profit before taxation as the discount rate applied to plan assets in calculating finance income under IAS 19R is lower than the rate previously used to calculate expected return on plan assets.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restatement has no effect on total comprehensive income, as the restated defined benefit pension finance charge (now included in operating costs) in the income statement is offset by a corresponding adjustment to re-measurements of post-employment benefit arrangements in other comprehensive income. The restatement had no impact on the consolidated statement of financial position, or statement of changes in equity. The effects of these changes on each of the impacted financial statement captions in the 2012 financial statements are set out in the table below.</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6"/>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tc>
        <w:tc>
          <w:tcPr>
            <w:tcW w:w="2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 ended 31 December 2012</w:t>
            </w:r>
          </w:p>
        </w:tc>
        <w:tc>
          <w:tcPr>
            <w:tcW w:w="2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As previously</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8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14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As restated</w:t>
            </w:r>
          </w:p>
        </w:tc>
      </w:tr>
      <w:tr>
        <w:trPr>
          <w:trHeight w:val="231"/>
        </w:trPr>
        <w:tc>
          <w:tcPr>
            <w:tcW w:w="20" w:type="dxa"/>
            <w:vAlign w:val="bottom"/>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184"/>
        </w:trPr>
        <w:tc>
          <w:tcPr>
            <w:tcW w:w="20" w:type="dxa"/>
            <w:vAlign w:val="bottom"/>
          </w:tcPr>
          <w:p>
            <w:pPr>
              <w:spacing w:after="0"/>
              <w:rPr>
                <w:sz w:val="16"/>
                <w:szCs w:val="16"/>
                <w:color w:val="auto"/>
              </w:rPr>
            </w:pPr>
          </w:p>
        </w:tc>
        <w:tc>
          <w:tcPr>
            <w:tcW w:w="600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Income statement</w:t>
            </w:r>
          </w:p>
        </w:tc>
        <w:tc>
          <w:tcPr>
            <w:tcW w:w="2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Finance income</w:t>
            </w:r>
          </w:p>
        </w:tc>
        <w:tc>
          <w:tcPr>
            <w:tcW w:w="28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income on post-employment benefit assets</w:t>
            </w:r>
          </w:p>
        </w:tc>
        <w:tc>
          <w:tcPr>
            <w:tcW w:w="28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895</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(895)</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Finance expense</w:t>
            </w:r>
          </w:p>
        </w:tc>
        <w:tc>
          <w:tcPr>
            <w:tcW w:w="2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on post-employment benefit obligations</w:t>
            </w:r>
          </w:p>
        </w:tc>
        <w:tc>
          <w:tcPr>
            <w:tcW w:w="28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(964)</w:t>
            </w:r>
          </w:p>
        </w:tc>
        <w:tc>
          <w:tcPr>
            <w:tcW w:w="1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964</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Operation Expenses</w:t>
            </w:r>
          </w:p>
        </w:tc>
        <w:tc>
          <w:tcPr>
            <w:tcW w:w="2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Plan Finance Costs and Expenses</w:t>
            </w:r>
          </w:p>
        </w:tc>
        <w:tc>
          <w:tcPr>
            <w:tcW w:w="28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(291)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Profit for the Financial Year</w:t>
            </w:r>
          </w:p>
        </w:tc>
        <w:tc>
          <w:tcPr>
            <w:tcW w:w="28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58,346</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(222)</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2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Gain on re-measurement of post-employment benefit obligations</w:t>
            </w:r>
          </w:p>
        </w:tc>
        <w:tc>
          <w:tcPr>
            <w:tcW w:w="28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(510)</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(222)</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r>
      <w:tr>
        <w:trPr>
          <w:trHeight w:val="205"/>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cashflows</w:t>
            </w:r>
          </w:p>
        </w:tc>
        <w:tc>
          <w:tcPr>
            <w:tcW w:w="2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Profit for the Financial Year</w:t>
            </w:r>
          </w:p>
        </w:tc>
        <w:tc>
          <w:tcPr>
            <w:tcW w:w="28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58,346</w:t>
            </w: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(222)</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r>
    </w:tbl>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IAS 19R also requires that past service costs be recognised immediately through profit or loss when they occur, rather than be spread over the remaining estimated working lives of employees. This change has had no effect on the current or comparative reporting period.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IAS 19R provides revised guidance on recognition of termination benefits. A liability for these expenses is recognised on the earlier of the date when the entity can no longer withdraw the offer of those benefits, or when the entity recognises costs of restructuring that are within the scope of IAS 37 and involve the payment of termination benefits. There was no impact on the prior year as a result of this revised guidance.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Change in accounting policy – adoption of IFRS 13 Fair Value measurement</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Group has included the disclosures required under IFRS 13 Fair Value measurement (“IFRS 13”). See note 25 for details. IFRS 13 has not had a significant impact on the results or financial position of the Group.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Amendment to IAS 1 “Financial Statement Presentation” regarding other comprehensive income</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Group has included the disclosures required by the amendment to IAS 1, which groups items presented in the statement of other comprehensive income on the basis of whether or not they will potentially be reclassified to the Income Statement in future periods.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accounting policies which involve significant estimates and judgments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preparation of consolidated financial statements requires management to make estimates and judgments that affect the reported amounts of assets and liabilities at the date of the financial statements and the reported amounts of revenues and expenses during the reported period.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Estimates and judgments are based on historical experience and on other factors that are reasonable under current circumstances. Actual results may differ from these estimates if these assumptions prove to be incorrect or if conditions develop other than as assumed for the purposes of such estimates. The following are the critical areas requiring estimates and judgments by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Significant management judgments and estimates must be made and used in connection with the recognition of revenue in each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 Revenues are earned by providing a number of different services to clients. These services include clinical trials management, biometric activities, consulting, imaging, contract staffing, informatics and laboratory services. Revenue for services, as rendered, are recognised only after persuasive evidence of an arrangement exists, the sales price is fixed or determinable, risks and rewards have transferred and collectability is reasonably assured.</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Customers are invoiced upon the achievement of specified contractual milestones. This mechanism, which allows the Group to receive payment from customers throughout the duration of the contract, is not reflective of revenue earned. Revenues are recognised over the period from the awarding of the customer’s contract to study completion and acceptance. This requires an estimate of the total expected revenue, time inputs, contract costs, profitability and expected duration of the clinical trial. The Group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and the complexity of the contract and can include geographical site selection and initiation, patient enrolment, patient testing and level of results analysis required. While the group may routinely adjust time estimates, the estimates and assumptions have historically been accurate in all material respects in the aggregate.</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the Group does not reasonably estimate the resources required or the scope of the work to be performed, or does not manage its projects properly within the planned cost or satisfy obligations under the contracts, then future results may be significantly and negatively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Goodwill is reviewed for impairment annually or more frequently if facts or circumstances warrant such a review. Goodwill is evaluated for impairment by comparing the recoverable amount of the cash-generating unit to the carrying amount of the cash-generating unit to which the goodwill relates. If the recoverable amount is less than the carrying amount an impairment is determined.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recoverable amount of the cash-generating unit is determined using a value-in-use computation based upon discounted net present value cash flow projections for the business. The cash flow projections are for a period of five years forward together with a terminal value calculated in accordance with the Gordon’s terminal value model. Management’s estimates of future cash flows are based upon anticipated growth rates within the CRO industry, expected growth in the Group’s market share and past experience. The key assumptions applied in determining expected future cash flows include management’s estimate of future profitability, replacement capital expenditure requirements, trade working capital investment needs and tax considerations. The Group’s cash flow model is adjusted each year for actual and expected changes in performance.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Key accounting policies which involve significant estimates and judgments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Use of different estimates or judgments, particularly with respect to expected profitability could result in a material impairment charge. The Group believes reasonable estimates and judgments have been used in assessing the recoverable amounts of its cash-generating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Taxation</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Given the global nature of the business and the multiple taxing jurisdictions in which the Group operates, the determination of the Group’s provision for income taxes requires significant judgments and estimates, the ultimate tax outcome of which may not be certain. Although estimates are believed to be reasonable, the final outcome of these matters may be different than those reflected in the historical income tax provisions and accruals. Such differences could have a material effect on the income tax provision and results in the period during which such determination is made.</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Deferred tax assets and liabilities are determined using enacted tax rates for the effects of net operating losses and temporary differences between the book and tax bases of assets and liabilities. In assessing the realisability of deferred tax assets, management considers whether it is more likely than not that some portion or all of the deferred tax assets will not be realised. The ultimate realisation of deferred tax assets is dependent upon the generation of future taxable income during the periods in which those temporary differences become deductible. While management considers the scheduled reversal of deferred tax liabilities, and projected future taxable income in making this assessment, there can be no assurance that these deferred tax assets may be realisable.</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addition, the Group may also be subject to audits in the multiple taxing jurisdictions in which it operates. These audits can involve complex issues which may require an extended period of time for resolution. Management believe that adequate provisions for income taxes have been made in the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Consideration relating to Business Combinations</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Group has concluded a number of business combinations in recent years. The fair value of the consideration of a business combination is measured as the aggregate of the fair values at the date of exchange of assets given, liabilities incurred or assumed, and equity instruments issued in exchange for control. The fair value of the consideration of a business combination may include a portion which is contingent upon the achievement of certain future events, such as the achievement of a particular revenue or earnings target. Where a business combination agreement provides for such additional consideration, the amount of the estimated consideration is recognised on the acquisition date at fair value. The accounting treatment of any changes to the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 will be accounted for through the consolidated income statement.</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Significant management judgments and estimates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serious impact on our results of operations.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Adoption of new IFRS’s and International Financial Reporting Interpretations Committee (IFRIC) Interpretations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IFRS and IFRIC Interpretations effective in respect of the 2014 and future financial year-ends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not applied the following standards and interpretations that have been issued which are not yet effective:</w:t>
      </w:r>
    </w:p>
    <w:p>
      <w:pPr>
        <w:spacing w:after="0" w:line="240" w:lineRule="exact"/>
        <w:rPr>
          <w:sz w:val="20"/>
          <w:szCs w:val="20"/>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IAS 27 Separate Financial Statements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IAS 28 Investments in Associates and Joint Ventures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Offsetting Financial Assets and Financial Liabilities (Amendment to IAS 32)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IFRS 10 Consolidated Financial Statements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IFRS 11 Joint Arrangements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IFRS 12 Disclosure of Interests in Other Entities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IFRS 9 Financial Instruments (2010) effective 1 January 2015*</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for investment entities (Amendments to IFRS 10, IFRS 12, and IAS 27)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IAS 36 Impairment of Assets (amendment)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Novation of derivatives and continuation of hedge accounting (amendment to IAS 39)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IFRIC interpretation 21 Levies effective 1 January 2014*</w:t>
      </w:r>
    </w:p>
    <w:p>
      <w:pPr>
        <w:spacing w:after="0" w:line="239" w:lineRule="exact"/>
        <w:rPr>
          <w:rFonts w:ascii="Times New Roman" w:cs="Times New Roman" w:eastAsia="Times New Roman" w:hAnsi="Times New Roman"/>
          <w:sz w:val="17"/>
          <w:szCs w:val="17"/>
          <w:color w:val="auto"/>
        </w:rPr>
      </w:pPr>
    </w:p>
    <w:p>
      <w:pPr>
        <w:ind w:left="620" w:hanging="191"/>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IAS 19 Employee benefits (amendment) effective 1 July 2014*</w:t>
      </w:r>
    </w:p>
    <w:p>
      <w:pPr>
        <w:spacing w:after="0" w:line="2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Not yet EU endorsed. The Group only apply EU endorsed IFRS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application of the standards and interpretations noted above is not expected to result in significant changes in the Group’s Consolidated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accounting policies have been applied consistently in dealing with items which are considered material in relation to the Group’s financial statements.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Control exists when the Company has the power, directly or indirectly, to govern the financial and operating policies of an entity so as to obtain economic benefits from its activities. Financial statements of subsidiaries are prepared for the same reporting year as the Company and where necessary, adjustments are made to the results of subsidiaries to bring their accounting policies into line with those used by the Group. The Group will continue to prepare the individual statutory financial statements of subsidiary companies under GAAP applicable in their country of incorporation but adjustments have been made to the results and financial position of such companies to bring their accounting policies into line with those of the Group.</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translation</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presentation currency of the Group and Company is US dollars ($). The functional currency of the Company is Euros. The Company financial statements have been presented in US dollars due to the Company’s international operations and profile. Results and cash flows of non-dollar denominated undertakings are translated into dollars at the actual exchange rates at the transaction dates or average exchange rates for the year where this is a reasonable approximation. The related statements of financial position are translated at the rates of exchange ruling at the reporting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reporting date. All translation differences, with the exception of translation differences on long term intercompany balances where repayment is not foreseen, are taken to the income statement. Transaction differences on long term intercompany balances where repayment is not foreseen are treated as other comprehensive income in the statement of comprehensive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exchange rates used for the translation of results, cash flows and statements of financial position into US dollars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Year to 31</w:t>
            </w: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Year to</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Year to 31</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31 December</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2012</w:t>
            </w: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Euro 1:$</w:t>
            </w:r>
          </w:p>
        </w:tc>
        <w:tc>
          <w:tcPr>
            <w:tcW w:w="37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1.3254</w:t>
            </w:r>
          </w:p>
        </w:tc>
        <w:tc>
          <w:tcPr>
            <w:tcW w:w="13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1.2876</w:t>
            </w:r>
          </w:p>
        </w:tc>
        <w:tc>
          <w:tcPr>
            <w:tcW w:w="1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1.3743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Pound Sterling 1:$</w:t>
            </w:r>
          </w:p>
        </w:tc>
        <w:tc>
          <w:tcPr>
            <w:tcW w:w="37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1.5653</w:t>
            </w:r>
          </w:p>
        </w:tc>
        <w:tc>
          <w:tcPr>
            <w:tcW w:w="13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1.5832</w:t>
            </w:r>
          </w:p>
        </w:tc>
        <w:tc>
          <w:tcPr>
            <w:tcW w:w="14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1.6557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have been set to zero for the purposes of ascertaining the gain or loss on disposal of a foreign operation subsequent to 1 June 2004.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of property, plant and equipment are stated at cost less accumulated depreciation and any provisions for impairment losses.</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Depreciation is calculated to write off the original cost of property, plant and equipment less its estimated residual value over its expected useful life on a straight line basis. Residual values and useful lives of property, plant and equipment are reviewed and adjusted if appropriate at each reporting date. At present it is estimated that all items of property, plant and equipment have no residual value. The estimated useful lives applied in determining the charge to depreciation are as follows: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6"/>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5"/>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b w:val="1"/>
                <w:bCs w:val="1"/>
                <w:i w:val="1"/>
                <w:iCs w:val="1"/>
                <w:color w:val="auto"/>
              </w:rPr>
              <w:t>(continued)</w:t>
            </w:r>
          </w:p>
        </w:tc>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5"/>
        </w:trPr>
        <w:tc>
          <w:tcPr>
            <w:tcW w:w="2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Years</w:t>
            </w:r>
          </w:p>
        </w:tc>
      </w:tr>
      <w:tr>
        <w:trPr>
          <w:trHeight w:val="205"/>
        </w:trPr>
        <w:tc>
          <w:tcPr>
            <w:tcW w:w="286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w:t>
            </w:r>
          </w:p>
        </w:tc>
        <w:tc>
          <w:tcPr>
            <w:tcW w:w="1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w w:val="93"/>
              </w:rPr>
              <w:t>40</w:t>
            </w:r>
          </w:p>
        </w:tc>
      </w:tr>
      <w:tr>
        <w:trPr>
          <w:trHeight w:val="188"/>
        </w:trPr>
        <w:tc>
          <w:tcPr>
            <w:tcW w:w="2860" w:type="dxa"/>
            <w:vAlign w:val="bottom"/>
          </w:tcPr>
          <w:p>
            <w:pPr>
              <w:spacing w:after="0"/>
              <w:rPr>
                <w:sz w:val="16"/>
                <w:szCs w:val="16"/>
                <w:color w:val="auto"/>
              </w:rPr>
            </w:pPr>
          </w:p>
        </w:tc>
        <w:tc>
          <w:tcPr>
            <w:tcW w:w="15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Computer</w:t>
            </w:r>
          </w:p>
        </w:tc>
        <w:tc>
          <w:tcPr>
            <w:tcW w:w="1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center"/>
              <w:ind w:right="75"/>
              <w:spacing w:after="0" w:line="189" w:lineRule="exact"/>
              <w:rPr>
                <w:sz w:val="20"/>
                <w:szCs w:val="20"/>
                <w:color w:val="auto"/>
              </w:rPr>
            </w:pPr>
            <w:r>
              <w:rPr>
                <w:rFonts w:ascii="Times New Roman" w:cs="Times New Roman" w:eastAsia="Times New Roman" w:hAnsi="Times New Roman"/>
                <w:sz w:val="17"/>
                <w:szCs w:val="17"/>
                <w:color w:val="auto"/>
              </w:rPr>
              <w:t>2-8</w:t>
            </w:r>
          </w:p>
        </w:tc>
      </w:tr>
      <w:tr>
        <w:trPr>
          <w:trHeight w:val="221"/>
        </w:trPr>
        <w:tc>
          <w:tcPr>
            <w:tcW w:w="4420" w:type="dxa"/>
            <w:vAlign w:val="bottom"/>
            <w:gridSpan w:val="2"/>
          </w:tcPr>
          <w:p>
            <w:pPr>
              <w:ind w:left="2860"/>
              <w:spacing w:after="0"/>
              <w:rPr>
                <w:sz w:val="20"/>
                <w:szCs w:val="20"/>
                <w:color w:val="auto"/>
              </w:rPr>
            </w:pPr>
            <w:r>
              <w:rPr>
                <w:rFonts w:ascii="Times New Roman" w:cs="Times New Roman" w:eastAsia="Times New Roman" w:hAnsi="Times New Roman"/>
                <w:sz w:val="17"/>
                <w:szCs w:val="17"/>
                <w:color w:val="auto"/>
              </w:rPr>
              <w:t>equipment</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88"/>
        </w:trPr>
        <w:tc>
          <w:tcPr>
            <w:tcW w:w="2860" w:type="dxa"/>
            <w:vAlign w:val="bottom"/>
          </w:tcPr>
          <w:p>
            <w:pPr>
              <w:spacing w:after="0"/>
              <w:rPr>
                <w:sz w:val="16"/>
                <w:szCs w:val="16"/>
                <w:color w:val="auto"/>
              </w:rPr>
            </w:pPr>
          </w:p>
        </w:tc>
        <w:tc>
          <w:tcPr>
            <w:tcW w:w="1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Office</w:t>
            </w:r>
          </w:p>
        </w:tc>
        <w:tc>
          <w:tcPr>
            <w:tcW w:w="1940" w:type="dxa"/>
            <w:vAlign w:val="bottom"/>
            <w:shd w:val="clear" w:color="auto" w:fill="CCEEFF"/>
          </w:tcPr>
          <w:p>
            <w:pPr>
              <w:ind w:left="520"/>
              <w:spacing w:after="0" w:line="189" w:lineRule="exact"/>
              <w:rPr>
                <w:sz w:val="20"/>
                <w:szCs w:val="20"/>
                <w:color w:val="auto"/>
              </w:rPr>
            </w:pPr>
            <w:r>
              <w:rPr>
                <w:rFonts w:ascii="Times New Roman" w:cs="Times New Roman" w:eastAsia="Times New Roman" w:hAnsi="Times New Roman"/>
                <w:sz w:val="17"/>
                <w:szCs w:val="17"/>
                <w:color w:val="auto"/>
              </w:rPr>
              <w:t>furniture</w:t>
            </w:r>
          </w:p>
        </w:tc>
        <w:tc>
          <w:tcPr>
            <w:tcW w:w="1240" w:type="dxa"/>
            <w:vAlign w:val="bottom"/>
            <w:shd w:val="clear" w:color="auto" w:fill="CCEEFF"/>
          </w:tcPr>
          <w:p>
            <w:pPr>
              <w:ind w:left="820"/>
              <w:spacing w:after="0" w:line="189" w:lineRule="exact"/>
              <w:rPr>
                <w:sz w:val="20"/>
                <w:szCs w:val="20"/>
                <w:color w:val="auto"/>
              </w:rPr>
            </w:pPr>
            <w:r>
              <w:rPr>
                <w:rFonts w:ascii="Times New Roman" w:cs="Times New Roman" w:eastAsia="Times New Roman" w:hAnsi="Times New Roman"/>
                <w:sz w:val="17"/>
                <w:szCs w:val="17"/>
                <w:color w:val="auto"/>
              </w:rPr>
              <w:t>and</w:t>
            </w:r>
          </w:p>
        </w:tc>
        <w:tc>
          <w:tcPr>
            <w:tcW w:w="960" w:type="dxa"/>
            <w:vAlign w:val="bottom"/>
            <w:shd w:val="clear" w:color="auto" w:fill="CCEEFF"/>
          </w:tcPr>
          <w:p>
            <w:pPr>
              <w:jc w:val="center"/>
              <w:ind w:right="75"/>
              <w:spacing w:after="0" w:line="189" w:lineRule="exact"/>
              <w:rPr>
                <w:sz w:val="20"/>
                <w:szCs w:val="20"/>
                <w:color w:val="auto"/>
              </w:rPr>
            </w:pPr>
            <w:r>
              <w:rPr>
                <w:rFonts w:ascii="Times New Roman" w:cs="Times New Roman" w:eastAsia="Times New Roman" w:hAnsi="Times New Roman"/>
                <w:sz w:val="17"/>
                <w:szCs w:val="17"/>
                <w:color w:val="auto"/>
                <w:w w:val="93"/>
              </w:rPr>
              <w:t>8</w:t>
            </w:r>
          </w:p>
        </w:tc>
      </w:tr>
      <w:tr>
        <w:trPr>
          <w:trHeight w:val="221"/>
        </w:trPr>
        <w:tc>
          <w:tcPr>
            <w:tcW w:w="2860" w:type="dxa"/>
            <w:vAlign w:val="bottom"/>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fixtures</w:t>
            </w:r>
          </w:p>
        </w:tc>
        <w:tc>
          <w:tcPr>
            <w:tcW w:w="19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88"/>
        </w:trPr>
        <w:tc>
          <w:tcPr>
            <w:tcW w:w="2860" w:type="dxa"/>
            <w:vAlign w:val="bottom"/>
          </w:tcPr>
          <w:p>
            <w:pPr>
              <w:spacing w:after="0"/>
              <w:rPr>
                <w:sz w:val="16"/>
                <w:szCs w:val="16"/>
                <w:color w:val="auto"/>
              </w:rPr>
            </w:pPr>
          </w:p>
        </w:tc>
        <w:tc>
          <w:tcPr>
            <w:tcW w:w="15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Laboratory</w:t>
            </w:r>
          </w:p>
        </w:tc>
        <w:tc>
          <w:tcPr>
            <w:tcW w:w="1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center"/>
              <w:ind w:right="75"/>
              <w:spacing w:after="0" w:line="189" w:lineRule="exact"/>
              <w:rPr>
                <w:sz w:val="20"/>
                <w:szCs w:val="20"/>
                <w:color w:val="auto"/>
              </w:rPr>
            </w:pPr>
            <w:r>
              <w:rPr>
                <w:rFonts w:ascii="Times New Roman" w:cs="Times New Roman" w:eastAsia="Times New Roman" w:hAnsi="Times New Roman"/>
                <w:sz w:val="17"/>
                <w:szCs w:val="17"/>
                <w:color w:val="auto"/>
                <w:w w:val="93"/>
              </w:rPr>
              <w:t>5</w:t>
            </w:r>
          </w:p>
        </w:tc>
      </w:tr>
      <w:tr>
        <w:trPr>
          <w:trHeight w:val="221"/>
        </w:trPr>
        <w:tc>
          <w:tcPr>
            <w:tcW w:w="4420" w:type="dxa"/>
            <w:vAlign w:val="bottom"/>
            <w:gridSpan w:val="2"/>
          </w:tcPr>
          <w:p>
            <w:pPr>
              <w:ind w:left="2860"/>
              <w:spacing w:after="0"/>
              <w:rPr>
                <w:sz w:val="20"/>
                <w:szCs w:val="20"/>
                <w:color w:val="auto"/>
              </w:rPr>
            </w:pPr>
            <w:r>
              <w:rPr>
                <w:rFonts w:ascii="Times New Roman" w:cs="Times New Roman" w:eastAsia="Times New Roman" w:hAnsi="Times New Roman"/>
                <w:sz w:val="17"/>
                <w:szCs w:val="17"/>
                <w:color w:val="auto"/>
              </w:rPr>
              <w:t>equipment</w:t>
            </w: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5"/>
        </w:trPr>
        <w:tc>
          <w:tcPr>
            <w:tcW w:w="286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Motor vehicles</w:t>
            </w:r>
          </w:p>
        </w:tc>
        <w:tc>
          <w:tcPr>
            <w:tcW w:w="1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w w:val="93"/>
              </w:rPr>
              <w:t>5</w:t>
            </w:r>
          </w:p>
        </w:tc>
      </w:tr>
    </w:tbl>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Leasehold improvements are amortised using the straight-line method over the estimated useful life of the asset or the lease term, whichever is shorter. Assets acquired under finance leases are depreciated over the shorter of their useful economic life and the lease term.</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carrying amounts of the Group’s property, plant and equipment are reviewed at each reporting date to determine whether there is any indication of impairment. Where such an indication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Leased assets – as lessee</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Finance leases, which transfer to the Group substantially all the risks and benefits of ownership of the leased asset, are capitalised at the inception of the lease at the fair value of the leased asset or if lower the present value of the minimum lease payments. The corresponding liability to the lessor is included in the statement of financial position as a finance lease obligation. Lease payments are apportioned between the finance charges and reduction of the lease obligation so as to achieve a constant rate of interest on the remaining balance of the liability. Finance charges are charged to the income statement as part of finance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Capitalised leased assets are depreciated over the shorter of the estimated useful life of the asset or the lease term.</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subsidiaries - company</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Investments in subsidiary undertakings are stated at cost less provision for impairment in the Company’s statement of financial position. Loans to subsidiary undertakings which are deemed long term investments in nature, are initially recorded at fair value in the Company statement of financial position and subsequently at amortised cost using an effective interest rate methodology.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a business combination is measured as the aggregate of the fair values at the date of exchange of assets given, liabilities incurred or assumed and equity instruments issued in exchange for control plus the fair value of any investment previously held in the entity. Where a business combination agreement provides for an adjustment to the cost of the acquisition which is contingent upon future events, the amount of the estimated adjustment is recognised on the acquisition date at the acquisition date fair value of this contingent consideration.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income statement.</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re-determined at the date of each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 Acquisition costs are expensed as incurred.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Group measures goodwill at the acquisition date as the fair value of the consideration transferred plus the recognised amount of any non-controlling interests in the acquiree, plus if the business combination is achieved in stages, the fair value of the pre-existing equity interest in the acquiree, less the net recognised amount (generally fair value) of the identifiable assets acquired and liabilities assumed. Goodwill on the acquisition of subsidiaries is included in ‘intangible assets – goodwill and other’.</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At the acquisition date, any goodwill acquired is allocated to each of the cash-generating units expected to benefit from the combination's synergies. Impairment is determined by assessing the recoverable amount of the cash-generating unit to which the goodwill relates. 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Following initial recognition, goodwill is measured at cost less any accumulated impairment losses. Goodwill relating to acquisitions post 1 June 2001 and the deemed cost of goodwill carried in the statement of financial position at 1 June 2001 is not amortised. Goodwill is reviewed for impairment annually or more frequently if events or changes in circumstances indicate that the carrying value may be impaired.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non financial assets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carrying amounts of the Group’s assets, other than deferred tax assets, are reviewed at each reporting date to determine whether there is any indication of impairment. If any such indication exists, the asset’s recoverable amount is estimated. An estimate of the recoverable amount of goodwill is carried out at each reporting date.</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Impairment of non-financial assets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recoverable value of assets, other than receivables carried at amortised cost and short term receivables,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recoverable amount of receivables carried at amortised cost is calculated by discounting the present value of estimated future cash flows of the asset to their present value, discounted at the original effective interest rate. Receivables with a short duration of less than six months are not discounted.</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Impairment losses in respect of other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Other intangible assets are stated at cost less accumulated amortisation and impairment losses. Useful lives of intangibles are reviewed and adjusted if appropriate at each reporting date. Amortisation is charged to the income statement on a straight line basis over the estimated useful lives of intangible assets, currently estimated as follows:</w:t>
      </w:r>
    </w:p>
    <w:p>
      <w:pPr>
        <w:spacing w:after="0" w:line="189" w:lineRule="exact"/>
        <w:rPr>
          <w:sz w:val="20"/>
          <w:szCs w:val="20"/>
          <w:color w:val="auto"/>
        </w:rPr>
      </w:pPr>
    </w:p>
    <w:tbl>
      <w:tblPr>
        <w:tblLayout w:type="fixed"/>
        <w:tblInd w:w="286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2120" w:type="dxa"/>
            <w:vAlign w:val="bottom"/>
            <w:gridSpan w:val="2"/>
          </w:tcPr>
          <w:p>
            <w:pPr>
              <w:ind w:left="1700"/>
              <w:spacing w:after="0"/>
              <w:rPr>
                <w:sz w:val="20"/>
                <w:szCs w:val="20"/>
                <w:color w:val="auto"/>
              </w:rPr>
            </w:pPr>
            <w:r>
              <w:rPr>
                <w:rFonts w:ascii="Times New Roman" w:cs="Times New Roman" w:eastAsia="Times New Roman" w:hAnsi="Times New Roman"/>
                <w:sz w:val="17"/>
                <w:szCs w:val="17"/>
                <w:b w:val="1"/>
                <w:bCs w:val="1"/>
                <w:color w:val="auto"/>
                <w:w w:val="94"/>
              </w:rPr>
              <w:t>Years</w:t>
            </w: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r>
      <w:tr>
        <w:trPr>
          <w:trHeight w:val="205"/>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0" w:type="dxa"/>
            <w:vAlign w:val="bottom"/>
          </w:tcPr>
          <w:p>
            <w:pPr>
              <w:spacing w:after="0"/>
              <w:rPr>
                <w:sz w:val="17"/>
                <w:szCs w:val="17"/>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Volunteer list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r>
      <w:tr>
        <w:trPr>
          <w:trHeight w:val="205"/>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Order backlog</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20" w:type="dxa"/>
            <w:vAlign w:val="bottom"/>
          </w:tcPr>
          <w:p>
            <w:pPr>
              <w:spacing w:after="0"/>
              <w:rPr>
                <w:sz w:val="17"/>
                <w:szCs w:val="17"/>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Technology Asset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Pr>
          <w:p>
            <w:pPr>
              <w:spacing w:after="0"/>
              <w:rPr>
                <w:sz w:val="17"/>
                <w:szCs w:val="17"/>
                <w:color w:val="auto"/>
              </w:rPr>
            </w:pPr>
          </w:p>
        </w:tc>
      </w:tr>
      <w:tr>
        <w:trPr>
          <w:trHeight w:val="205"/>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Tradename</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20" w:type="dxa"/>
            <w:vAlign w:val="bottom"/>
          </w:tcPr>
          <w:p>
            <w:pPr>
              <w:spacing w:after="0"/>
              <w:rPr>
                <w:sz w:val="17"/>
                <w:szCs w:val="17"/>
                <w:color w:val="auto"/>
              </w:rPr>
            </w:pPr>
          </w:p>
        </w:tc>
      </w:tr>
      <w:tr>
        <w:trPr>
          <w:trHeight w:val="205"/>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Non-compete arrangements</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Inventories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Inventories, which comprise laboratory inventories, are stated at the lower of cost and net realisable value. Cost is based on the first-in, first-out principle and includes all expenditure incurred in acquiring the inventories and bringing them to their present location and condition. Cost in the case of raw materials comprises the purchase price and attributable costs, less trade discounts. Net realisable value is the estimated selling price in the ordinary course of business, less selling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and other receivables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Trade and other receivables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asset investments – available for sale</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Financial instruments held are classified as current assets and are stated at fair value, with any resultant gain or loss recognised as other comprehensive income in the statement of comprehensive income. The fair value of financial instruments classified as available-for-sale is their market price at the reporting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4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7"/>
          <w:szCs w:val="17"/>
          <w:color w:val="auto"/>
        </w:rPr>
        <w:t>Cash and cash equivalents include cash and highly liquid investments with original maturities of three months or less and are stated at cost, which approximates market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 payables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payables are recognised initially at fair value and subsequently measured at amortised cost using the effective interest rate method.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grants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Government grants received that compensate the Group for the cost of an asset are recognised in the statement of financial position initially as deferred income when there is reasonable assurance that it will be received and that the Group will comply with the conditions attaching to it. Such grants are recognised in the income statement over the useful economic life of the asset which is consistent with the depreciation policy of the relevant asset.</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Grants that compensate the Group for expenses incurred are recognised in the income statement in the same periods in which the expenditure to which they relate is charged.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bearing loans and borrowings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Interest bearing borrowings are recognised initially at fair value. Subsequent to initial recognition, current and non-current interest bearing loans and borrowings are measured at amortised cost with any difference between cost and redemption value being recognised in the income statement over the period of the borrowings on an effective interest basis.</w:t>
      </w:r>
    </w:p>
    <w:p>
      <w:pPr>
        <w:spacing w:after="0" w:line="19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7"/>
          <w:szCs w:val="17"/>
          <w:color w:val="auto"/>
        </w:rPr>
        <w:t>Borrowings are classified as current liabilities unless the Group has an unconditional right to defer settlement of the liability for at least 12 months after the reporting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provision is recognised in the statement of financial position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Provisions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 provision for onerous contracts is recognised when the expected benefits to be derived by the Group from a contract are lower than the unavoidable cost of meeting its obligations under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Provisions may also include an element of contingent acquisition consideration.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capital</w:t>
      </w:r>
    </w:p>
    <w:p>
      <w:pPr>
        <w:spacing w:after="0" w:line="24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color w:val="auto"/>
        </w:rPr>
        <w:t>Ordinary shares are classified as equity. Incremental costs directly attributable to the issue of new shares or options are shown in equity as a deduction, net of tax, from the proceeds.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Where ordinary shares are repurchased by the Company they are cancelled and the nominal value of the shares is transferred to a capital redemption reserve fund within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benefits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Pension and other post-employment benefits</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operates a defined benefit pension plan for certain of its United Kingdom employees through a subsidiary.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 Obligations for contributions to defined benefit contribution pension plans are recognised as an expense in the income statement as service is received from the relevant employees.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Group’s net obligation in respect of the defined benefit pension plan is calculated separately by estimating the amount of future benefit that employees have earned in return for their service in the current and prior periods; that benefit is discounted to determine its present value, and the fair value of plan assets deducted. The discount rate used is the yield at the reporting date on iboxx AA 15 index plus 30 basis points. The calculation is performed by a qualified actuary using the projected unit credit method. Under IAS 19R the net finance income/cost are recorded in operating costs in the Income Statement.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200" w:lineRule="exact"/>
        <w:rPr>
          <w:sz w:val="20"/>
          <w:szCs w:val="20"/>
          <w:color w:val="auto"/>
        </w:rPr>
      </w:pP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All actuarial gains and losses as at 1 June 2004, the date of transition to IFRSs, were recognised and adjusted against retained earnings. Actuarial gains and losses arising after this date are recognised as other comprehensive income immediately in the Statement of Comprehensive Income.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IAS 19 ‘Employee benefits’ was revised in June 2011 and was effective for the Group’s financial statements for the year commencing 1 January 2013 with restatement of the prior year comparatives. See basis of preparation for details of the impact on the financial statements of adopting IAS19R.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Employee benefits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 Share-based payments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Share-based payments comprise options to acquire ordinary shares in the Company, restricted share units (RSUs) and performance share units (PSUs) in the form of ordinary share entitlements after a certain period of time. These are awarded to the certain key employees of the Group based on service conditions such as term of employment and individual performance. The fair value of options, RSUs and PSUs granted is recognised as an employee expense with a corresponding increase in equity. The fair value is measured at grant date and spread over the period during which the Directors and other employees become unconditionally entitled to the options, RSU or PSU. The fair value of options granted is measured using a binomial lattice model, taking into account the terms and conditions upon which the options were granted. The fair value of RSUs and PSUs is equal to the market price at date of grant. The total amount to be expensed is determined by reference to the fair value of the options, RSUs or PSUs granted, excluding the impact of any non-market service and performance vesting conditions (for example profitability, sales growth targets). There are no such non-market vesting conditions during the year ended 31 December 2013 in relation to options or RSUs that are expected to vest. The amount recognised as an expense is adjusted to reflect the actual number of share options, RSUs or PSUs that vest.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payments - Company</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operates a number of share-based payment plans the details of which are presented in note 10 Share-Based Compensation to the Consolidated Financial Statements. The share-based payment expense associated with the share-based payment plans is recognised by the entity which receives services in exchange for the share-based compensation. Share-based payment expense is recognised over the requisite service period for awards of equity instruments to employees based on the grant date fair value of those awards expected to ultimately vest. Forfeitures are estimated on the date of grant and revised if actual or expected forfeiture activity differs materially from original estimates.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income statement of the Company is charged with the expense related to the services received by the Company. The remaining portions of the share-based payments represent a contribution to Company entities and are added to the carrying amount of those investments. Under an agreement, the subsidiaries pay the Company an amount equal to the value of the ordinary shares issued that is in excess of the award exercise price with such amount reducing the Company’s investment in its subsidiaries. The net effect of the grant date fair value of the Company’s share-based compensation to employees of the Company’s subsidiaries and recharges received from those subsidiaries is presented as a movement in financial fixed assets. For more information on financial fixed assets see note 3, Investment in subsidiaries, in the company only financial statements below.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Group primarily earns revenues by providing clinical research services to its customers. Clinical research services include clinical trials management, biometric activities, consulting, imaging, contract staffing, informatics and laboratory services. Contracts range in duration from a number of months to several years. Revenue is recognised according to the type of service provided as follows: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Biometrics revenue is recognised on a fee-for-service method on the basis of the number of units completed in a period as a percentage of the total number of contracted units. Imaging revenue is recognised on a fee-for- service basis. Consulting revenue is recognised on a fee-for-service basis as the related service is performed.Contract staffing revenue is recognised on a fee-for-service basis, over the time the related service is performed, or in the case of permanent placement, once the candidate has been placed with the client.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Informatics revenue is recognised on a fee-for-service basis. Informatics contracts are treated as multiple element arrangements, with contractual elements comprising licence fee revenue, support fee revenue and revenue from software services, each of which can be sold separately. Sales prices for contractual elements are determined by reference to objective and reliable evidence of their sales price. Licence and support fee revenues are recognised rateably over the period of the related agreement. Revenue from software services is recognised using the percentage of completion method based on the relationship between hours incurred and the total estimated hours required to perform the service.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Laboratory service revenue is recognised on a fee-for-service basis. The Group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Contracts generally contain provisions for renegotiation in the event of changes in the scope, nature, duration, volume of services or conditions of the contract. Renegotiated amounts are recognised as revenue by revision to the total contract value arising as a result of an authorised customer change order. Provisions for losses to be incurred on contracts are recognised in full in the period in which it is determined that a loss will result from performance of the contractual arrangement.</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difference between the amount of revenue recognised and the amount billed on a particular contract is included in the statement of financial position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the event of contract termination, if the value of work performed and recognised as revenue is greater than aggregate milestone billings at the date of termination, cancellation clauses provide that the Group is paid for all work performed to the termination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Reimbursable expenses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Reimbursable expenses comprise investigator payments and certain other costs which are reimbursed by clients under terms specific to each contract and are deducted from gross revenue in arriving at net revenue. Investigator payments are accrued based on patient enrolment over the life of the contract. Investigator payments are made based on predetermined contractual arrangements, which may differ from the accrual of the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 costs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 costs consist of compensation, associated employee benefits and share-based payments for project-related employees and other direct project-related costs.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operating expenses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Other operating expenses consist of compensation, associated employee benefits and share-based payments for non-project-related employees and other indirect costs associated with the business. Other operating expenses also includes depreciation expense and the amortisation of intangible assets.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Exceptional items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used the term “exceptional” to describe certain items which, in management’s view, warrant separate disclosure by virtue of their size or incidence, or due to the fact that certain gains or losses are determined to be non-recurring in nature. Exceptional items may include restructuring, significant impairments, and material changes in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credits</w:t>
      </w:r>
    </w:p>
    <w:p>
      <w:pPr>
        <w:spacing w:after="0" w:line="2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credits are recognised in the income statement in the same periods in which the expenditure to which they related to is charged as a deduction against the related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expense</w:t>
      </w:r>
    </w:p>
    <w:p>
      <w:pPr>
        <w:spacing w:after="0" w:line="24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Financing expense comprises interest payable on borrowings calculated using the effective interest rate method, finance charges on finance leases, foreign exchange gains and losses on bank loans, non-cash finance charges in respect of contingent consideration and gains and losses on hedging instruments that are recognised in the income statement.</w:t>
      </w:r>
    </w:p>
    <w:p>
      <w:pPr>
        <w:spacing w:after="0" w:line="19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7"/>
          <w:szCs w:val="17"/>
          <w:color w:val="auto"/>
        </w:rPr>
        <w:t>Financing expense also includes fees paid on the establishment of loan facilities which are recognised as transaction costs of the loan to the extent that it is probable that some or all of the facility will be drawn down. These fees are deferred and recognised in the Statement of Financial Position and are then amortised to the Consolidated Income Statement over the term the facility is available to the Group.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income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is recognised in the income statement as it accrues, using the effective interest rate method and includes interest receivable on funds invested.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in the income statement represents the sum of income tax currently payable and deferred income tax.</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Income tax currently payable is based on taxable profit for the year. Taxable profit differs from net profit as reported in the income statement because it excludes items of income or expense that are taxable or deductible in other years and further excludes items that are not taxable or deductible. The Group’s liability for income tax is calculated using rates that have been enacted or substantially enacted at the reporting date. Income tax is recognised in the income statement except to the extent that it relates to items recognised directly in equity.</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Deferred income tax assets and liabilities are measured at the tax rates that are expected to apply in the year when the asset is expected to be realised or the liability to be settled.</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 The carrying amount of deferred income tax assets is reviewed at each reporting date and reduced to the extent that it is no longer probable that sufficient taxable profit would be available to allow all or part of the deferred income tax asset to be utilised.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 xml:space="preserve">Statement of Accounting Policies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ordinary share</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Basic earnings per share is computed by dividing the profit for the financial year attributable to ordinary shareholders of the Company by the weighted average number of ordinary shares outstanding during the financial period.</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Diluted earnings per share is computed by dividing the profit for the financial year attributable to ordinary shareholders of the Company by the weighted average number of ordinary shares in issue after adjusting for the effects of all potential dilutive ordinary shares that were outstanding during the financial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reporting</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 An operating segment’s operating results are reviewed regularly by the CEO and CFO to make decisions about resources to be allocated to the segment and assess its performance, and for which discrete financial information is available.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results that are reported to the CEO and CFO include items directly attributable to a segment as well as those that can be allocated on a reasonable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capital expenditure is the total cost incurred during the period to acquire property, plant and equipment and intangible assets other than goodwill.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Income Statement</w:t>
            </w: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2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132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400" w:type="dxa"/>
            <w:vAlign w:val="bottom"/>
            <w:tcBorders>
              <w:right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Borders>
              <w:right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20" w:type="dxa"/>
            <w:vAlign w:val="bottom"/>
            <w:tcBorders>
              <w:left w:val="single" w:sz="8" w:color="auto"/>
              <w:right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400" w:type="dxa"/>
            <w:vAlign w:val="bottom"/>
            <w:tcBorders>
              <w:right w:val="single" w:sz="8" w:color="auto"/>
            </w:tcBorders>
            <w:vMerge w:val="continue"/>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Year ended</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Year ended</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40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 December</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31 December</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40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2012</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2012</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Excluding</w:t>
            </w: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Including</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Excluding</w:t>
            </w: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Including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Exceptional</w:t>
            </w:r>
          </w:p>
        </w:tc>
        <w:tc>
          <w:tcPr>
            <w:tcW w:w="140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Exceptional</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Exceptional</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Exceptional</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Exceptional</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Exceptional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items</w:t>
            </w:r>
          </w:p>
        </w:tc>
        <w:tc>
          <w:tcPr>
            <w:tcW w:w="140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items</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items</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items</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items</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items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0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$’000</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$’000</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409"/>
        </w:trPr>
        <w:tc>
          <w:tcPr>
            <w:tcW w:w="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Borders>
              <w:left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revenue</w:t>
            </w: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1,784,345</w:t>
            </w:r>
          </w:p>
        </w:tc>
        <w:tc>
          <w:tcPr>
            <w:tcW w:w="1400" w:type="dxa"/>
            <w:vAlign w:val="bottom"/>
            <w:tcBorders>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1,784,345</w:t>
            </w:r>
          </w:p>
        </w:tc>
        <w:tc>
          <w:tcPr>
            <w:tcW w:w="15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1,503,993</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1,503,993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Reimbursable expenses</w:t>
            </w:r>
          </w:p>
        </w:tc>
        <w:tc>
          <w:tcPr>
            <w:tcW w:w="1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(448,287)</w:t>
            </w:r>
          </w:p>
        </w:tc>
        <w:tc>
          <w:tcPr>
            <w:tcW w:w="1400" w:type="dxa"/>
            <w:vAlign w:val="bottom"/>
            <w:tcBorders>
              <w:bottom w:val="single" w:sz="8" w:color="auto"/>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(448,287)</w:t>
            </w: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(388,987)</w:t>
            </w: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revenue</w:t>
            </w:r>
          </w:p>
        </w:tc>
        <w:tc>
          <w:tcPr>
            <w:tcW w:w="11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1</w:t>
            </w: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1,336,058</w:t>
            </w:r>
          </w:p>
        </w:tc>
        <w:tc>
          <w:tcPr>
            <w:tcW w:w="1400" w:type="dxa"/>
            <w:vAlign w:val="bottom"/>
            <w:tcBorders>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1,336,058</w:t>
            </w:r>
          </w:p>
        </w:tc>
        <w:tc>
          <w:tcPr>
            <w:tcW w:w="15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1,115,006</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1,115,006</w:t>
            </w:r>
          </w:p>
        </w:tc>
        <w:tc>
          <w:tcPr>
            <w:tcW w:w="0" w:type="dxa"/>
            <w:vAlign w:val="bottom"/>
          </w:tcPr>
          <w:p>
            <w:pPr>
              <w:spacing w:after="0"/>
              <w:rPr>
                <w:sz w:val="1"/>
                <w:szCs w:val="1"/>
                <w:color w:val="auto"/>
              </w:rPr>
            </w:pPr>
          </w:p>
        </w:tc>
      </w:tr>
      <w:tr>
        <w:trPr>
          <w:trHeight w:val="205"/>
        </w:trPr>
        <w:tc>
          <w:tcPr>
            <w:tcW w:w="224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Direct costs</w:t>
            </w: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7</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(845,146)</w:t>
            </w:r>
          </w:p>
        </w:tc>
        <w:tc>
          <w:tcPr>
            <w:tcW w:w="1400" w:type="dxa"/>
            <w:vAlign w:val="bottom"/>
            <w:tcBorders>
              <w:right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(3,791)</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(848,937)</w:t>
            </w:r>
          </w:p>
        </w:tc>
        <w:tc>
          <w:tcPr>
            <w:tcW w:w="1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(717,140)</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(994)</w:t>
            </w:r>
          </w:p>
        </w:tc>
        <w:tc>
          <w:tcPr>
            <w:tcW w:w="122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(718,134)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118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7</w:t>
            </w: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(360,285)</w:t>
            </w:r>
          </w:p>
        </w:tc>
        <w:tc>
          <w:tcPr>
            <w:tcW w:w="140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(5,242)</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(365,527)</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(323,150)</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(4,444)</w:t>
            </w:r>
          </w:p>
        </w:tc>
        <w:tc>
          <w:tcPr>
            <w:tcW w:w="122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profit</w:t>
            </w:r>
          </w:p>
        </w:tc>
        <w:tc>
          <w:tcPr>
            <w:tcW w:w="1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130,627</w:t>
            </w:r>
          </w:p>
        </w:tc>
        <w:tc>
          <w:tcPr>
            <w:tcW w:w="1400" w:type="dxa"/>
            <w:vAlign w:val="bottom"/>
            <w:tcBorders>
              <w:right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(9,033)</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121,594</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74,716</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(5,438)</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69,278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Financing income</w:t>
            </w: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3</w:t>
            </w: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986</w:t>
            </w:r>
          </w:p>
        </w:tc>
        <w:tc>
          <w:tcPr>
            <w:tcW w:w="140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986</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1,151</w:t>
            </w: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expense</w:t>
            </w:r>
          </w:p>
        </w:tc>
        <w:tc>
          <w:tcPr>
            <w:tcW w:w="118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4</w:t>
            </w: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(1,288)</w:t>
            </w:r>
          </w:p>
        </w:tc>
        <w:tc>
          <w:tcPr>
            <w:tcW w:w="1400" w:type="dxa"/>
            <w:vAlign w:val="bottom"/>
            <w:tcBorders>
              <w:bottom w:val="single" w:sz="8" w:color="auto"/>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(1,288)</w:t>
            </w:r>
          </w:p>
        </w:tc>
        <w:tc>
          <w:tcPr>
            <w:tcW w:w="15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(1,947)</w:t>
            </w:r>
          </w:p>
        </w:tc>
        <w:tc>
          <w:tcPr>
            <w:tcW w:w="1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Profit before taxation</w:t>
            </w: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130,325</w:t>
            </w:r>
          </w:p>
        </w:tc>
        <w:tc>
          <w:tcPr>
            <w:tcW w:w="1400" w:type="dxa"/>
            <w:vAlign w:val="bottom"/>
            <w:tcBorders>
              <w:right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(9,033)</w:t>
            </w:r>
          </w:p>
        </w:tc>
        <w:tc>
          <w:tcPr>
            <w:tcW w:w="1240" w:type="dxa"/>
            <w:vAlign w:val="bottom"/>
            <w:tcBorders>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121,292</w:t>
            </w:r>
          </w:p>
        </w:tc>
        <w:tc>
          <w:tcPr>
            <w:tcW w:w="15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73,920</w:t>
            </w: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(5,438)</w:t>
            </w:r>
          </w:p>
        </w:tc>
        <w:tc>
          <w:tcPr>
            <w:tcW w:w="1220" w:type="dxa"/>
            <w:vAlign w:val="bottom"/>
            <w:tcBorders>
              <w:left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68,482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1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5,7</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(16,084)</w:t>
            </w:r>
          </w:p>
        </w:tc>
        <w:tc>
          <w:tcPr>
            <w:tcW w:w="1400" w:type="dxa"/>
            <w:vAlign w:val="bottom"/>
            <w:tcBorders>
              <w:bottom w:val="single" w:sz="8" w:color="auto"/>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1,850</w:t>
            </w:r>
          </w:p>
        </w:tc>
        <w:tc>
          <w:tcPr>
            <w:tcW w:w="1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(14,234)</w:t>
            </w: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(11,063)</w:t>
            </w: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705</w:t>
            </w:r>
          </w:p>
        </w:tc>
        <w:tc>
          <w:tcPr>
            <w:tcW w:w="122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22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Profit for the financial</w:t>
            </w: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180" w:type="dxa"/>
            <w:vAlign w:val="bottom"/>
          </w:tcPr>
          <w:p>
            <w:pPr>
              <w:spacing w:after="0"/>
              <w:rPr>
                <w:sz w:val="19"/>
                <w:szCs w:val="19"/>
                <w:color w:val="auto"/>
              </w:rPr>
            </w:pPr>
          </w:p>
        </w:tc>
        <w:tc>
          <w:tcPr>
            <w:tcW w:w="13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114,241</w:t>
            </w:r>
          </w:p>
        </w:tc>
        <w:tc>
          <w:tcPr>
            <w:tcW w:w="1400" w:type="dxa"/>
            <w:vAlign w:val="bottom"/>
            <w:tcBorders>
              <w:right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(7,183)</w:t>
            </w:r>
          </w:p>
        </w:tc>
        <w:tc>
          <w:tcPr>
            <w:tcW w:w="124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62,857</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(4,733)</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2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Equity holders of the</w:t>
            </w:r>
          </w:p>
        </w:tc>
        <w:tc>
          <w:tcPr>
            <w:tcW w:w="118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114,241</w:t>
            </w:r>
          </w:p>
        </w:tc>
        <w:tc>
          <w:tcPr>
            <w:tcW w:w="1400" w:type="dxa"/>
            <w:vAlign w:val="bottom"/>
            <w:tcBorders>
              <w:right w:val="single" w:sz="8" w:color="auto"/>
            </w:tcBorders>
            <w:vMerge w:val="restart"/>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(7,183)</w:t>
            </w:r>
          </w:p>
        </w:tc>
        <w:tc>
          <w:tcPr>
            <w:tcW w:w="1240" w:type="dxa"/>
            <w:vAlign w:val="bottom"/>
            <w:tcBorders>
              <w:right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1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Borders>
              <w:left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1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400" w:type="dxa"/>
            <w:vAlign w:val="bottom"/>
            <w:tcBorders>
              <w:right w:val="single" w:sz="8" w:color="auto"/>
            </w:tcBorders>
            <w:vMerge w:val="continue"/>
          </w:tcPr>
          <w:p>
            <w:pPr>
              <w:spacing w:after="0"/>
              <w:rPr>
                <w:sz w:val="19"/>
                <w:szCs w:val="19"/>
                <w:color w:val="auto"/>
              </w:rPr>
            </w:pPr>
          </w:p>
        </w:tc>
        <w:tc>
          <w:tcPr>
            <w:tcW w:w="1240" w:type="dxa"/>
            <w:vAlign w:val="bottom"/>
            <w:tcBorders>
              <w:right w:val="single" w:sz="8" w:color="auto"/>
            </w:tcBorders>
            <w:vMerge w:val="continue"/>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62,857</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(4,733)</w:t>
            </w:r>
          </w:p>
        </w:tc>
        <w:tc>
          <w:tcPr>
            <w:tcW w:w="1220" w:type="dxa"/>
            <w:vAlign w:val="bottom"/>
            <w:tcBorders>
              <w:left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left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20" w:type="dxa"/>
            <w:vAlign w:val="bottom"/>
            <w:tcBorders>
              <w:left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Earnings per ordinary</w:t>
            </w:r>
          </w:p>
        </w:tc>
        <w:tc>
          <w:tcPr>
            <w:tcW w:w="1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0" w:type="dxa"/>
            <w:vAlign w:val="bottom"/>
            <w:tcBorders>
              <w:right w:val="single" w:sz="8" w:color="auto"/>
            </w:tcBorders>
            <w:shd w:val="clear" w:color="auto" w:fill="CCEEFF"/>
          </w:tcPr>
          <w:p>
            <w:pPr>
              <w:spacing w:after="0"/>
              <w:rPr>
                <w:sz w:val="16"/>
                <w:szCs w:val="16"/>
                <w:color w:val="auto"/>
              </w:rPr>
            </w:pPr>
          </w:p>
        </w:tc>
        <w:tc>
          <w:tcPr>
            <w:tcW w:w="1240" w:type="dxa"/>
            <w:vAlign w:val="bottom"/>
            <w:tcBorders>
              <w:right w:val="single" w:sz="8" w:color="auto"/>
            </w:tcBorders>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20" w:type="dxa"/>
            <w:vAlign w:val="bottom"/>
            <w:tcBorders>
              <w:left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20" w:type="dxa"/>
            <w:vAlign w:val="bottom"/>
            <w:tcBorders>
              <w:left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118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6</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1.76</w:t>
            </w:r>
          </w:p>
        </w:tc>
        <w:tc>
          <w:tcPr>
            <w:tcW w:w="15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Borders>
              <w:left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18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i w:val="1"/>
                <w:iCs w:val="1"/>
                <w:color w:val="auto"/>
              </w:rPr>
              <w:t>6</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1.71</w:t>
            </w:r>
          </w:p>
        </w:tc>
        <w:tc>
          <w:tcPr>
            <w:tcW w:w="15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left w:val="single" w:sz="8" w:color="auto"/>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40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On behalf of the Board</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Declan McKeon</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Ciaran Murray</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1180" w:type="dxa"/>
            <w:vAlign w:val="bottom"/>
          </w:tcPr>
          <w:p>
            <w:pPr>
              <w:ind w:left="6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27</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Consolidated Statement of Comprehensive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60" w:type="dxa"/>
            <w:vAlign w:val="bottom"/>
            <w:vMerge w:val="restart"/>
          </w:tcPr>
          <w:p>
            <w:pPr>
              <w:ind w:left="5600"/>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500" w:type="dxa"/>
            <w:vAlign w:val="bottom"/>
          </w:tcPr>
          <w:p>
            <w:pPr>
              <w:spacing w:after="0"/>
              <w:rPr>
                <w:sz w:val="17"/>
                <w:szCs w:val="17"/>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410"/>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Items that will not be reclassified to profit or loss: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2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post-employment benefit obligations</w:t>
            </w:r>
          </w:p>
        </w:tc>
        <w:tc>
          <w:tcPr>
            <w:tcW w:w="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9</w:t>
            </w:r>
          </w:p>
        </w:tc>
        <w:tc>
          <w:tcPr>
            <w:tcW w:w="1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1,439</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11"/>
        </w:trPr>
        <w:tc>
          <w:tcPr>
            <w:tcW w:w="830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tcBorders>
              <w:top w:val="single" w:sz="8" w:color="auto"/>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items that will not be reclassified to profit or loss</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1,439</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Items that are or may be reclassified subsequently to profit or loss:</w:t>
            </w: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rPr>
              <w:t>Currency translation differences</w:t>
            </w:r>
          </w:p>
        </w:tc>
        <w:tc>
          <w:tcPr>
            <w:tcW w:w="6060" w:type="dxa"/>
            <w:vAlign w:val="bottom"/>
          </w:tcPr>
          <w:p>
            <w:pPr>
              <w:spacing w:after="0"/>
              <w:rPr>
                <w:sz w:val="17"/>
                <w:szCs w:val="17"/>
                <w:color w:val="auto"/>
              </w:rPr>
            </w:pP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10,725</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4,494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Currency impact on long-term intercompany funding</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(1,046)</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1,982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on currency impact on long-term funding</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(87)</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Unrealised capital gain/(loss) on investments</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4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(239)</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2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items that are or may be reclassified to profit or loss</w:t>
            </w:r>
          </w:p>
        </w:tc>
        <w:tc>
          <w:tcPr>
            <w:tcW w:w="5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9,353</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6,981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for the year, net of tax</w:t>
            </w: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10,792</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7,713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financial year</w:t>
            </w:r>
          </w:p>
        </w:tc>
        <w:tc>
          <w:tcPr>
            <w:tcW w:w="6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82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 for the financial year</w:t>
            </w:r>
          </w:p>
        </w:tc>
        <w:tc>
          <w:tcPr>
            <w:tcW w:w="5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117,850</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65,837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6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Equity holders of the Company</w:t>
            </w:r>
          </w:p>
        </w:tc>
        <w:tc>
          <w:tcPr>
            <w:tcW w:w="6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117,850</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65,837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8280" w:type="dxa"/>
            <w:vAlign w:val="bottom"/>
            <w:gridSpan w:val="2"/>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comprehensive income for the financial year</w:t>
            </w: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117,850</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65,837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On behalf of the Board</w:t>
            </w:r>
          </w:p>
        </w:tc>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Declan McKeon</w:t>
            </w:r>
          </w:p>
        </w:tc>
        <w:tc>
          <w:tcPr>
            <w:tcW w:w="6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Ciaran Murray</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6060" w:type="dxa"/>
            <w:vAlign w:val="bottom"/>
          </w:tcPr>
          <w:p>
            <w:pPr>
              <w:ind w:left="6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60" w:type="dxa"/>
            <w:vAlign w:val="bottom"/>
          </w:tcPr>
          <w:p>
            <w:pPr>
              <w:jc w:val="right"/>
              <w:ind w:right="2415"/>
              <w:spacing w:after="0"/>
              <w:rPr>
                <w:sz w:val="20"/>
                <w:szCs w:val="20"/>
                <w:color w:val="auto"/>
              </w:rPr>
            </w:pPr>
            <w:r>
              <w:rPr>
                <w:rFonts w:ascii="Times New Roman" w:cs="Times New Roman" w:eastAsia="Times New Roman" w:hAnsi="Times New Roman"/>
                <w:sz w:val="17"/>
                <w:szCs w:val="17"/>
                <w:color w:val="auto"/>
              </w:rPr>
              <w:t>28</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60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color w:val="auto"/>
        </w:rPr>
        <w:t>Consolidated Statement of Financial 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at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4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2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2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11</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120,624</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125,428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 goodwill and other</w:t>
            </w: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12</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443,092</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406,845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16</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12,307</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11,352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5</w:t>
            </w: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30,337</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14,636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2280" w:type="dxa"/>
            <w:vAlign w:val="bottom"/>
            <w:tcBorders>
              <w:bottom w:val="single" w:sz="8" w:color="auto"/>
            </w:tcBorders>
            <w:shd w:val="clear" w:color="auto" w:fill="CCEEFF"/>
          </w:tcPr>
          <w:p>
            <w:pPr>
              <w:spacing w:after="0"/>
              <w:rPr>
                <w:sz w:val="21"/>
                <w:szCs w:val="21"/>
                <w:color w:val="auto"/>
              </w:rPr>
            </w:pPr>
          </w:p>
        </w:tc>
        <w:tc>
          <w:tcPr>
            <w:tcW w:w="4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606,360</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558,261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Inventories</w:t>
            </w:r>
          </w:p>
        </w:tc>
        <w:tc>
          <w:tcPr>
            <w:tcW w:w="228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14</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2,198</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15</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342,581</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285,419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Unbilled revenue</w:t>
            </w: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113,239</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112,483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16</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31,306</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27,812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Current taxes receivable</w:t>
            </w: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34,221</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28,006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 investments</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17</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76,183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18</w:t>
            </w: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182,519</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114,047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28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844,381</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646,912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80" w:type="dxa"/>
            <w:vAlign w:val="bottom"/>
            <w:tcBorders>
              <w:bottom w:val="single" w:sz="8" w:color="auto"/>
            </w:tcBorders>
            <w:shd w:val="clear" w:color="auto" w:fill="CCEEFF"/>
          </w:tcPr>
          <w:p>
            <w:pPr>
              <w:spacing w:after="0"/>
              <w:rPr>
                <w:sz w:val="21"/>
                <w:szCs w:val="21"/>
                <w:color w:val="auto"/>
              </w:rPr>
            </w:pPr>
          </w:p>
        </w:tc>
        <w:tc>
          <w:tcPr>
            <w:tcW w:w="43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1,450,741</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1,205,173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228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23</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5,168</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premium</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199,785</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172,963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Share based payment reserve</w:t>
            </w:r>
          </w:p>
        </w:tc>
        <w:tc>
          <w:tcPr>
            <w:tcW w:w="228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52,407</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45,179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redemption reserve</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100</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Other reserves</w:t>
            </w:r>
          </w:p>
        </w:tc>
        <w:tc>
          <w:tcPr>
            <w:tcW w:w="228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8,068</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7,988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reserve</w:t>
            </w: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4,205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 investment - fair value reserve</w:t>
            </w: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228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24</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659,817</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540,292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equity attributable to equity holders</w:t>
            </w:r>
          </w:p>
        </w:tc>
        <w:tc>
          <w:tcPr>
            <w:tcW w:w="4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929,550</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766,441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Non-current other liabilities</w:t>
            </w:r>
          </w:p>
        </w:tc>
        <w:tc>
          <w:tcPr>
            <w:tcW w:w="228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19</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12,557</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15,739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8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5</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2,143</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2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14,700</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19,801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4,597</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Payments on account</w:t>
            </w: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297,347</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219,467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19</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189,167</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133,905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Provisions</w:t>
            </w:r>
          </w:p>
        </w:tc>
        <w:tc>
          <w:tcPr>
            <w:tcW w:w="228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20</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5,675</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tax payable</w:t>
            </w:r>
          </w:p>
        </w:tc>
        <w:tc>
          <w:tcPr>
            <w:tcW w:w="228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9,705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506,491</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418,931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521,191</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438,732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equity and liabilities</w:t>
            </w:r>
          </w:p>
        </w:tc>
        <w:tc>
          <w:tcPr>
            <w:tcW w:w="228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1,450,741</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1,205,173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On behalf of the Board</w:t>
            </w:r>
          </w:p>
        </w:tc>
        <w:tc>
          <w:tcPr>
            <w:tcW w:w="2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Declan McKeon</w:t>
            </w:r>
          </w:p>
        </w:tc>
        <w:tc>
          <w:tcPr>
            <w:tcW w:w="2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Ciaran Murray</w:t>
            </w:r>
          </w:p>
        </w:tc>
        <w:tc>
          <w:tcPr>
            <w:tcW w:w="4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28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4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340" w:type="dxa"/>
            <w:vAlign w:val="bottom"/>
          </w:tcPr>
          <w:p>
            <w:pPr>
              <w:jc w:val="right"/>
              <w:ind w:right="2915"/>
              <w:spacing w:after="0"/>
              <w:rPr>
                <w:sz w:val="20"/>
                <w:szCs w:val="20"/>
                <w:color w:val="auto"/>
              </w:rPr>
            </w:pPr>
            <w:r>
              <w:rPr>
                <w:rFonts w:ascii="Times New Roman" w:cs="Times New Roman" w:eastAsia="Times New Roman" w:hAnsi="Times New Roman"/>
                <w:sz w:val="17"/>
                <w:szCs w:val="17"/>
                <w:color w:val="auto"/>
              </w:rPr>
              <w:t>29</w:t>
            </w: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color w:val="auto"/>
        </w:rPr>
        <w:t>Consolidated Statement of Changes in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Premium</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Redemption</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Based</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Reserves</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Asset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$’000</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January 2013</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60,287,498</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5,067</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172,963</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100</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45,179</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7,988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(5,387)</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239</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540,292</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766,441</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year:</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107,058</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107,058</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Other Comprehensive</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10,725</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10,725</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Currency impact on long-term</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funding</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Tax on currency impact of</w:t>
            </w: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 term funding</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Unrealised capital loss on</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benefits</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1,439</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1,439</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Total other comprehensive</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9,592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1,439</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10,792</w:t>
            </w:r>
          </w:p>
        </w:tc>
      </w:tr>
      <w:tr>
        <w:trPr>
          <w:trHeight w:val="188"/>
        </w:trPr>
        <w:tc>
          <w:tcPr>
            <w:tcW w:w="20" w:type="dxa"/>
            <w:vAlign w:val="bottom"/>
          </w:tcPr>
          <w:p>
            <w:pPr>
              <w:spacing w:after="0"/>
              <w:rPr>
                <w:sz w:val="16"/>
                <w:szCs w:val="16"/>
                <w:color w:val="auto"/>
              </w:rPr>
            </w:pPr>
          </w:p>
        </w:tc>
        <w:tc>
          <w:tcPr>
            <w:tcW w:w="21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Total comprehensive income</w:t>
            </w:r>
          </w:p>
        </w:tc>
        <w:tc>
          <w:tcPr>
            <w:tcW w:w="10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 the year</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9,592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108,497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117,850</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Transactions with owners,</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recorded directly in equity</w:t>
            </w: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13,366</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13,366</w:t>
            </w: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1,249,759</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26,888</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26,989</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Issue of Restricted Share</w:t>
            </w: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Units</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50,000</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Share issue costs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Tax benefit excess on exercise</w:t>
            </w: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options</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1,651</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1,651</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Deferred tax movement on</w:t>
            </w: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unexercised options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3,319</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3,319</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Transfer of exercised and</w:t>
            </w: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 share–based awards</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(11,108)</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11,108</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Non-distributable reserves</w:t>
            </w: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80</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(80)</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Total contributions by and</w:t>
            </w: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distributions to owners</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1,299,759</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26,822</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7,228</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80</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11,028</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45,259</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transactions with owners</w:t>
            </w: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1,299,759</w:t>
            </w: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26,822</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7,228</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80</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11,028</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45,259</w:t>
            </w:r>
          </w:p>
        </w:tc>
      </w:tr>
      <w:tr>
        <w:trPr>
          <w:trHeight w:val="184"/>
        </w:trPr>
        <w:tc>
          <w:tcPr>
            <w:tcW w:w="20" w:type="dxa"/>
            <w:vAlign w:val="bottom"/>
          </w:tcPr>
          <w:p>
            <w:pPr>
              <w:spacing w:after="0"/>
              <w:rPr>
                <w:sz w:val="16"/>
                <w:szCs w:val="16"/>
                <w:color w:val="auto"/>
              </w:rPr>
            </w:pPr>
          </w:p>
        </w:tc>
        <w:tc>
          <w:tcPr>
            <w:tcW w:w="21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Balance at 31 December</w:t>
            </w:r>
          </w:p>
        </w:tc>
        <w:tc>
          <w:tcPr>
            <w:tcW w:w="10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65"/>
        </w:trPr>
        <w:tc>
          <w:tcPr>
            <w:tcW w:w="20" w:type="dxa"/>
            <w:vAlign w:val="bottom"/>
          </w:tcPr>
          <w:p>
            <w:pPr>
              <w:spacing w:after="0"/>
              <w:rPr>
                <w:sz w:val="23"/>
                <w:szCs w:val="23"/>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2013</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61,587,257</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5,168</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199,785</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100</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52,407</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8,068</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4,205</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659,817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929,550</w:t>
            </w:r>
          </w:p>
        </w:tc>
      </w:tr>
      <w:tr>
        <w:trPr>
          <w:trHeight w:val="56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1"/>
        </w:trPr>
        <w:tc>
          <w:tcPr>
            <w:tcW w:w="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Consolidated Statement of Changes in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2012 (Restated)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Premium</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Redemption</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Based</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Reserves</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Asset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January 2012</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60,135,603</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5,055</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160,090</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39,429</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491,937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691,848</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the year:</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year (restated)</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58,124</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Other Comprehensive</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4,494</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4,494</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Currency impact on long-term</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funding</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1,982</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1,982</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Tax on currency impact of</w:t>
            </w:r>
          </w:p>
        </w:tc>
        <w:tc>
          <w:tcPr>
            <w:tcW w:w="10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 term funding</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Unrealised capital gain on</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investments</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861</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861</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benefits (restated)</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732</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732</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Total other comprehensive</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(restated)</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6,120</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861</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732</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7,713</w:t>
            </w:r>
          </w:p>
        </w:tc>
      </w:tr>
      <w:tr>
        <w:trPr>
          <w:trHeight w:val="188"/>
        </w:trPr>
        <w:tc>
          <w:tcPr>
            <w:tcW w:w="20" w:type="dxa"/>
            <w:vAlign w:val="bottom"/>
          </w:tcPr>
          <w:p>
            <w:pPr>
              <w:spacing w:after="0"/>
              <w:rPr>
                <w:sz w:val="16"/>
                <w:szCs w:val="16"/>
                <w:color w:val="auto"/>
              </w:rPr>
            </w:pPr>
          </w:p>
        </w:tc>
        <w:tc>
          <w:tcPr>
            <w:tcW w:w="218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Total comprehensive income</w:t>
            </w:r>
          </w:p>
        </w:tc>
        <w:tc>
          <w:tcPr>
            <w:tcW w:w="10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 the year</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6,120</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861</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58,856</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65,837</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Transactions with owners,</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recorded directly in equity</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10,217</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10,217</w:t>
            </w: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890,236</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68</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12,947</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13,015</w:t>
            </w: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issue costs</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5"/>
        </w:trPr>
        <w:tc>
          <w:tcPr>
            <w:tcW w:w="2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(738,341)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(15,605)</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(15,605)</w:t>
            </w:r>
          </w:p>
        </w:tc>
      </w:tr>
      <w:tr>
        <w:trPr>
          <w:trHeight w:val="205"/>
        </w:trPr>
        <w:tc>
          <w:tcPr>
            <w:tcW w:w="20" w:type="dxa"/>
            <w:vAlign w:val="bottom"/>
          </w:tcPr>
          <w:p>
            <w:pPr>
              <w:spacing w:after="0"/>
              <w:rPr>
                <w:sz w:val="17"/>
                <w:szCs w:val="17"/>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repurchase costs</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Tax benefit excess on exercise</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options</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1,274</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1,274</w:t>
            </w:r>
          </w:p>
        </w:tc>
      </w:tr>
      <w:tr>
        <w:trPr>
          <w:trHeight w:val="188"/>
        </w:trPr>
        <w:tc>
          <w:tcPr>
            <w:tcW w:w="20" w:type="dxa"/>
            <w:vAlign w:val="bottom"/>
          </w:tcPr>
          <w:p>
            <w:pPr>
              <w:spacing w:after="0"/>
              <w:rPr>
                <w:sz w:val="16"/>
                <w:szCs w:val="16"/>
                <w:color w:val="auto"/>
              </w:rPr>
            </w:pPr>
          </w:p>
        </w:tc>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Deferred tax movement on</w:t>
            </w:r>
          </w:p>
        </w:tc>
        <w:tc>
          <w:tcPr>
            <w:tcW w:w="10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unexercised options</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119</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119</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Transfer of exercised and</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expired share–based awards</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5,860</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0" w:type="dxa"/>
            <w:vAlign w:val="bottom"/>
          </w:tcPr>
          <w:p>
            <w:pPr>
              <w:spacing w:after="0"/>
              <w:rPr>
                <w:sz w:val="18"/>
                <w:szCs w:val="18"/>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Non-distributable reserves</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566</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(566)</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20" w:type="dxa"/>
            <w:vAlign w:val="bottom"/>
          </w:tcPr>
          <w:p>
            <w:pPr>
              <w:spacing w:after="0"/>
              <w:rPr>
                <w:sz w:val="16"/>
                <w:szCs w:val="16"/>
                <w:color w:val="auto"/>
              </w:rPr>
            </w:pPr>
          </w:p>
        </w:tc>
        <w:tc>
          <w:tcPr>
            <w:tcW w:w="2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Total contributions by and</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distributions to owners</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151,895</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12,873</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w:t>
            </w: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5,750</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566</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(10,501)</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8,756</w:t>
            </w:r>
          </w:p>
        </w:tc>
      </w:tr>
      <w:tr>
        <w:trPr>
          <w:trHeight w:val="211"/>
        </w:trPr>
        <w:tc>
          <w:tcPr>
            <w:tcW w:w="20" w:type="dxa"/>
            <w:vAlign w:val="bottom"/>
          </w:tcPr>
          <w:p>
            <w:pPr>
              <w:spacing w:after="0"/>
              <w:rPr>
                <w:sz w:val="18"/>
                <w:szCs w:val="18"/>
                <w:color w:val="auto"/>
              </w:rPr>
            </w:pPr>
          </w:p>
        </w:tc>
        <w:tc>
          <w:tcPr>
            <w:tcW w:w="2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transactions with owners</w:t>
            </w:r>
          </w:p>
        </w:tc>
        <w:tc>
          <w:tcPr>
            <w:tcW w:w="10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151,895</w:t>
            </w:r>
          </w:p>
        </w:tc>
        <w:tc>
          <w:tcPr>
            <w:tcW w:w="8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w:t>
            </w:r>
          </w:p>
        </w:tc>
        <w:tc>
          <w:tcPr>
            <w:tcW w:w="9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12,873</w:t>
            </w:r>
          </w:p>
        </w:tc>
        <w:tc>
          <w:tcPr>
            <w:tcW w:w="10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w:t>
            </w:r>
          </w:p>
        </w:tc>
        <w:tc>
          <w:tcPr>
            <w:tcW w:w="9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5,750</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566</w:t>
            </w:r>
          </w:p>
        </w:tc>
        <w:tc>
          <w:tcPr>
            <w:tcW w:w="9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(10,501)</w:t>
            </w:r>
          </w:p>
        </w:tc>
        <w:tc>
          <w:tcPr>
            <w:tcW w:w="7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8,756</w:t>
            </w:r>
          </w:p>
        </w:tc>
      </w:tr>
      <w:tr>
        <w:trPr>
          <w:trHeight w:val="184"/>
        </w:trPr>
        <w:tc>
          <w:tcPr>
            <w:tcW w:w="20" w:type="dxa"/>
            <w:vAlign w:val="bottom"/>
          </w:tcPr>
          <w:p>
            <w:pPr>
              <w:spacing w:after="0"/>
              <w:rPr>
                <w:sz w:val="16"/>
                <w:szCs w:val="16"/>
                <w:color w:val="auto"/>
              </w:rPr>
            </w:pPr>
          </w:p>
        </w:tc>
        <w:tc>
          <w:tcPr>
            <w:tcW w:w="218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Balance at 31 December</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2012</w:t>
            </w:r>
          </w:p>
        </w:tc>
        <w:tc>
          <w:tcPr>
            <w:tcW w:w="10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60,287,498</w:t>
            </w:r>
          </w:p>
        </w:tc>
        <w:tc>
          <w:tcPr>
            <w:tcW w:w="8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5,067</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172,963</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100</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45,179</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7,988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(5,387)</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239</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540,292</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766,441</w:t>
            </w: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160"/>
        <w:spacing w:after="0"/>
        <w:rPr>
          <w:sz w:val="20"/>
          <w:szCs w:val="20"/>
          <w:color w:val="auto"/>
        </w:rPr>
      </w:pPr>
      <w:r>
        <w:rPr>
          <w:rFonts w:ascii="Times New Roman" w:cs="Times New Roman" w:eastAsia="Times New Roman" w:hAnsi="Times New Roman"/>
          <w:sz w:val="17"/>
          <w:szCs w:val="17"/>
          <w:i w:val="1"/>
          <w:iCs w:val="1"/>
          <w:color w:val="auto"/>
        </w:rPr>
        <w:t>Further details of the reserves above are detailed in note 24</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Consolidated Statement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28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500" w:type="dxa"/>
            <w:vAlign w:val="bottom"/>
          </w:tcPr>
          <w:p>
            <w:pPr>
              <w:spacing w:after="0"/>
              <w:rPr>
                <w:sz w:val="18"/>
                <w:szCs w:val="18"/>
                <w:color w:val="auto"/>
              </w:rPr>
            </w:pPr>
          </w:p>
        </w:tc>
        <w:tc>
          <w:tcPr>
            <w:tcW w:w="140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Profit for the financial year</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to net cash generated from operating activities</w:t>
            </w: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disposal of property, plant and equipment</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662</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11</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24,196</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21,831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Amortisation of intangible assets</w:t>
            </w:r>
          </w:p>
        </w:tc>
        <w:tc>
          <w:tcPr>
            <w:tcW w:w="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12</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22,318</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20,992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Amortisation of grants</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(349)</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10</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13,734</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Financing income</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3</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(986)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expense</w:t>
            </w:r>
          </w:p>
        </w:tc>
        <w:tc>
          <w:tcPr>
            <w:tcW w:w="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4</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1,288</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1,947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Defined benefit pension service costs</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9</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251</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Defined benefit pension finance costs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189</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5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5</w:t>
            </w: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14,234</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10,358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cash inflow before changes in working capital</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182,595</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122,859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accounts receivable</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(37,538)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(Increase)/decrease in unbilled revenue</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(4,015)</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13,227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(Increase)/decrease in other current assets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(3,301)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other non current assets</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(1,146)</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Decrease/(increase) in inventory</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765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(Decrease)/increase in accounts payable</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(2,057)</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payments on account</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76,066</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68,654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accrued and other liabilities and provisions</w:t>
            </w:r>
          </w:p>
        </w:tc>
        <w:tc>
          <w:tcPr>
            <w:tcW w:w="500" w:type="dxa"/>
            <w:vAlign w:val="bottom"/>
          </w:tcPr>
          <w:p>
            <w:pPr>
              <w:spacing w:after="0"/>
              <w:rPr>
                <w:sz w:val="17"/>
                <w:szCs w:val="17"/>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20,940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non current other liabilities and provisions</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899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Cash provided by operations</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233,208</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130,750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 paid</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(14,103)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Employer contribution defined benefit pension scheme</w:t>
            </w:r>
          </w:p>
        </w:tc>
        <w:tc>
          <w:tcPr>
            <w:tcW w:w="5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9</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(225)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received</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2,894</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(547)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Receipt of government grants</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225</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cash inflow from operating activities</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221,452</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113,771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(18,040)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intangible assets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(11,448)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subsidiary undertakings</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(93,553)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acquired with subsidiary undertakings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1,039</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Sale of current asset investments</w:t>
            </w:r>
          </w:p>
        </w:tc>
        <w:tc>
          <w:tcPr>
            <w:tcW w:w="500" w:type="dxa"/>
            <w:vAlign w:val="bottom"/>
          </w:tcPr>
          <w:p>
            <w:pPr>
              <w:spacing w:after="0"/>
              <w:rPr>
                <w:sz w:val="17"/>
                <w:szCs w:val="17"/>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109,795</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82,193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current asset investments</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(172,168)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(102,575)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(184,375)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(121,109)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Tax benefit from the exercise of share options</w:t>
            </w:r>
          </w:p>
        </w:tc>
        <w:tc>
          <w:tcPr>
            <w:tcW w:w="500" w:type="dxa"/>
            <w:vAlign w:val="bottom"/>
          </w:tcPr>
          <w:p>
            <w:pPr>
              <w:spacing w:after="0"/>
              <w:rPr>
                <w:sz w:val="17"/>
                <w:szCs w:val="17"/>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1,651</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exercise of share options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26,993</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500" w:type="dxa"/>
            <w:vAlign w:val="bottom"/>
          </w:tcPr>
          <w:p>
            <w:pPr>
              <w:spacing w:after="0"/>
              <w:rPr>
                <w:sz w:val="17"/>
                <w:szCs w:val="17"/>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(70)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repurchase costs</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28,574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Increase/(decrease) in cash and cash equivalents</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65,651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2,821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and cash equivalents at start of year</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114,047</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119,237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year</w:t>
            </w:r>
          </w:p>
        </w:tc>
        <w:tc>
          <w:tcPr>
            <w:tcW w:w="5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182,519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114,047</w:t>
            </w:r>
          </w:p>
        </w:tc>
        <w:tc>
          <w:tcPr>
            <w:tcW w:w="0" w:type="dxa"/>
            <w:vAlign w:val="bottom"/>
          </w:tcPr>
          <w:p>
            <w:pPr>
              <w:spacing w:after="0"/>
              <w:rPr>
                <w:sz w:val="1"/>
                <w:szCs w:val="1"/>
                <w:color w:val="auto"/>
              </w:rPr>
            </w:pPr>
          </w:p>
        </w:tc>
      </w:tr>
      <w:tr>
        <w:trPr>
          <w:trHeight w:val="568"/>
        </w:trPr>
        <w:tc>
          <w:tcPr>
            <w:tcW w:w="8300" w:type="dxa"/>
            <w:vAlign w:val="bottom"/>
            <w:gridSpan w:val="2"/>
          </w:tcPr>
          <w:p>
            <w:pPr>
              <w:jc w:val="right"/>
              <w:ind w:right="2415"/>
              <w:spacing w:after="0"/>
              <w:rPr>
                <w:sz w:val="20"/>
                <w:szCs w:val="20"/>
                <w:color w:val="auto"/>
              </w:rPr>
            </w:pPr>
            <w:r>
              <w:rPr>
                <w:rFonts w:ascii="Times New Roman" w:cs="Times New Roman" w:eastAsia="Times New Roman" w:hAnsi="Times New Roman"/>
                <w:sz w:val="17"/>
                <w:szCs w:val="17"/>
                <w:color w:val="auto"/>
              </w:rPr>
              <w:t>32</w:t>
            </w: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2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Segmental information</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is a contract research organisation (“CRO”), providing outsourced development services on a global basis to the pharmaceutical, biotechnology and medical device industries. It specialises in the strategic development, management and analysis of programmes that support all stages of the clinical development process - from compound selection to Phase I-IV clinical studies. The Group has expanded predominately through internal growth, together with a number of strategic acquisitions to enhance its expertise and capabilities in certain areas of the clinical development process. The Group has the ability to conduct clinical trials in most major therapeutic areas on a global basis and has the operational flexibility to provide development services on a stand-alone basis or as part of an integrated “full service” solution. These services include clinical trials management, biometric activities, consulting, imaging, contract staffing, and informatics. The Group also provides laboratory services through its central laboratory business, which includes the Group’s central laboratories located in Dublin, New York, India, Singapore and China.</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Group determines and presents operating segments in accordance with IFRS 8 </w:t>
      </w:r>
      <w:r>
        <w:rPr>
          <w:rFonts w:ascii="Times New Roman" w:cs="Times New Roman" w:eastAsia="Times New Roman" w:hAnsi="Times New Roman"/>
          <w:sz w:val="17"/>
          <w:szCs w:val="17"/>
          <w:i w:val="1"/>
          <w:iCs w:val="1"/>
          <w:color w:val="auto"/>
        </w:rPr>
        <w:t>Operating Segments</w:t>
      </w:r>
      <w:r>
        <w:rPr>
          <w:rFonts w:ascii="Times New Roman" w:cs="Times New Roman" w:eastAsia="Times New Roman" w:hAnsi="Times New Roman"/>
          <w:sz w:val="17"/>
          <w:szCs w:val="17"/>
          <w:color w:val="auto"/>
        </w:rPr>
        <w:t xml:space="preserve"> based on the information that internally is provided to the Chief Executive Officer (CEO) and Chief Financial Officer (CFO), who together are considered the Group’s chief operating decision makers. The Group has determined that it has one operating and reportable segment Clinical research. Historically, the Group organized, operated and assessed its business in two segments, the clinical research segment and the central laboratory segment. In Q1 2013 the Group consolidated and reclassified the results of the former central laboratory segment into the clinical research segment as the central laboratory segment does not reach the thresholds of net revenue, income from operations and total assets as a requirement for being reported as a separate segment. Management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 The prior year comparatives have been restated to reflect this change in composition of reportable segment.</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Group’s listing for its shares is the NASDAQ market in the United States. Consequently, information reviewed by the chief operating decision makers is prepared in accordance with US generally accepted accounting principles (“US GAAP”) however the information presented below is prepared in accordance with IFRS reporting standards. Reconciliations of the Group’s profit for the financial year and shareholders’ equity from US GAAP to IFRS are set out on pages 114 to 117 of this report.</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Group’s areas of operation outside of Ireland include, the United States, the United Kingdom, France, Germany, Italy, Spain, The Netherlands, Sweden, Belgium, Turkey, Poland, Czech Republic, Lithuania, Latvia, Russia, Ukraine, Hungary, Israel, Romania, Canada, Mexico, Brazil, Colombia, Argentina, Chile, Peru, India, China, South Korea, Japan, Thailand, Taiwan, Singapore, The Philippines, Australia, New Zealand, and South Africa.</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Segmental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00" w:type="dxa"/>
            <w:vAlign w:val="bottom"/>
            <w:gridSpan w:val="4"/>
          </w:tcPr>
          <w:p>
            <w:pPr>
              <w:spacing w:after="0"/>
              <w:rPr>
                <w:sz w:val="20"/>
                <w:szCs w:val="20"/>
                <w:color w:val="auto"/>
              </w:rPr>
            </w:pPr>
            <w:r>
              <w:rPr>
                <w:rFonts w:ascii="Times New Roman" w:cs="Times New Roman" w:eastAsia="Times New Roman" w:hAnsi="Times New Roman"/>
                <w:sz w:val="17"/>
                <w:szCs w:val="17"/>
                <w:i w:val="1"/>
                <w:iCs w:val="1"/>
                <w:color w:val="auto"/>
              </w:rPr>
              <w:t>Geographical segment information</w:t>
            </w:r>
          </w:p>
        </w:tc>
        <w:tc>
          <w:tcPr>
            <w:tcW w:w="158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(EU IFRS)</w:t>
            </w:r>
          </w:p>
        </w:tc>
        <w:tc>
          <w:tcPr>
            <w:tcW w:w="124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(EU IFRS)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86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External revenue</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66"/>
        </w:trPr>
        <w:tc>
          <w:tcPr>
            <w:tcW w:w="8600" w:type="dxa"/>
            <w:vAlign w:val="bottom"/>
            <w:gridSpan w:val="4"/>
            <w:vMerge w:val="continue"/>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Ireland</w:t>
            </w:r>
          </w:p>
        </w:tc>
        <w:tc>
          <w:tcPr>
            <w:tcW w:w="7340" w:type="dxa"/>
            <w:vAlign w:val="bottom"/>
            <w:gridSpan w:val="2"/>
            <w:shd w:val="clear" w:color="auto" w:fill="CCEEFF"/>
          </w:tcPr>
          <w:p>
            <w:pPr>
              <w:spacing w:after="0"/>
              <w:rPr>
                <w:sz w:val="19"/>
                <w:szCs w:val="19"/>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272,683</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171,977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Rest of Europe</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333,543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338,537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582,250</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471,700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Rest of World</w:t>
            </w: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147,582</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132,792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1,336,058</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1,115,006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(EU IFRS)</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(EU IFRS)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8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Non-current assets</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Ireland</w:t>
            </w:r>
          </w:p>
        </w:tc>
        <w:tc>
          <w:tcPr>
            <w:tcW w:w="7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165,902</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172,729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Europe</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134,849</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133,066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276,197</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222,892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Rest of World</w:t>
            </w: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29,412</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29,574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8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606,360</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558,261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858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Certain reclassifications have been made to prior year comparatives to be consistent with the current year presentation.</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Major customers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clients which represented 10% or more of the Group's net revenue in each of the periods set out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71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1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Client A</w:t>
            </w:r>
          </w:p>
        </w:tc>
        <w:tc>
          <w:tcPr>
            <w:tcW w:w="7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2"/>
        </w:trPr>
        <w:tc>
          <w:tcPr>
            <w:tcW w:w="20" w:type="dxa"/>
            <w:vAlign w:val="bottom"/>
            <w:vMerge w:val="restart"/>
          </w:tcPr>
          <w:p>
            <w:pPr>
              <w:spacing w:after="0"/>
              <w:rPr>
                <w:sz w:val="19"/>
                <w:szCs w:val="19"/>
                <w:color w:val="auto"/>
              </w:rPr>
            </w:pPr>
          </w:p>
        </w:tc>
        <w:tc>
          <w:tcPr>
            <w:tcW w:w="308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Client B</w:t>
            </w:r>
          </w:p>
        </w:tc>
        <w:tc>
          <w:tcPr>
            <w:tcW w:w="7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180" w:type="dxa"/>
            <w:vAlign w:val="bottom"/>
          </w:tcPr>
          <w:p>
            <w:pPr>
              <w:jc w:val="right"/>
              <w:ind w:right="4395"/>
              <w:spacing w:after="0"/>
              <w:rPr>
                <w:sz w:val="20"/>
                <w:szCs w:val="20"/>
                <w:color w:val="auto"/>
              </w:rPr>
            </w:pPr>
            <w:r>
              <w:rPr>
                <w:rFonts w:ascii="Times New Roman" w:cs="Times New Roman" w:eastAsia="Times New Roman" w:hAnsi="Times New Roman"/>
                <w:sz w:val="17"/>
                <w:szCs w:val="17"/>
                <w:color w:val="auto"/>
              </w:rPr>
              <w:t>34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Profit before taxation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Profit before taxation is stated after charging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0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 31 December 2013</w:t>
            </w:r>
          </w:p>
        </w:tc>
        <w:tc>
          <w:tcPr>
            <w:tcW w:w="840" w:type="dxa"/>
            <w:vAlign w:val="bottom"/>
          </w:tcPr>
          <w:p>
            <w:pPr>
              <w:spacing w:after="0"/>
              <w:rPr>
                <w:sz w:val="17"/>
                <w:szCs w:val="17"/>
                <w:color w:val="auto"/>
              </w:rPr>
            </w:pPr>
          </w:p>
        </w:tc>
        <w:tc>
          <w:tcPr>
            <w:tcW w:w="324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Year ended 31 December 2012</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Group auditor</w:t>
            </w:r>
          </w:p>
        </w:tc>
        <w:tc>
          <w:tcPr>
            <w:tcW w:w="200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Affiliated firms</w:t>
            </w: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Group auditor</w:t>
            </w:r>
          </w:p>
        </w:tc>
        <w:tc>
          <w:tcPr>
            <w:tcW w:w="19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Affiliated firms</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6"/>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Auditors’ remuneration:</w:t>
            </w:r>
          </w:p>
        </w:tc>
        <w:tc>
          <w:tcPr>
            <w:tcW w:w="20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$’000</w:t>
            </w:r>
          </w:p>
        </w:tc>
        <w:tc>
          <w:tcPr>
            <w:tcW w:w="200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$’000</w:t>
            </w: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$’000</w:t>
            </w:r>
          </w:p>
        </w:tc>
        <w:tc>
          <w:tcPr>
            <w:tcW w:w="19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$’000</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600" w:type="dxa"/>
            <w:vAlign w:val="bottom"/>
            <w:gridSpan w:val="2"/>
            <w:vMerge w:val="continue"/>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 (1) (2)</w:t>
            </w:r>
          </w:p>
        </w:tc>
        <w:tc>
          <w:tcPr>
            <w:tcW w:w="2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1,183</w:t>
            </w:r>
          </w:p>
        </w:tc>
        <w:tc>
          <w:tcPr>
            <w:tcW w:w="200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314</w:t>
            </w: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1,497</w:t>
            </w:r>
          </w:p>
        </w:tc>
        <w:tc>
          <w:tcPr>
            <w:tcW w:w="13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1,116</w:t>
            </w:r>
          </w:p>
        </w:tc>
        <w:tc>
          <w:tcPr>
            <w:tcW w:w="19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395</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Other assurance fees (3)</w:t>
            </w:r>
          </w:p>
        </w:tc>
        <w:tc>
          <w:tcPr>
            <w:tcW w:w="20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w:t>
            </w:r>
          </w:p>
        </w:tc>
        <w:tc>
          <w:tcPr>
            <w:tcW w:w="200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109</w:t>
            </w:r>
          </w:p>
        </w:tc>
        <w:tc>
          <w:tcPr>
            <w:tcW w:w="8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140</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23</w:t>
            </w:r>
          </w:p>
        </w:tc>
        <w:tc>
          <w:tcPr>
            <w:tcW w:w="190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63</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advisory fees (4)</w:t>
            </w:r>
          </w:p>
        </w:tc>
        <w:tc>
          <w:tcPr>
            <w:tcW w:w="2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723</w:t>
            </w:r>
          </w:p>
        </w:tc>
        <w:tc>
          <w:tcPr>
            <w:tcW w:w="200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96</w:t>
            </w:r>
          </w:p>
        </w:tc>
        <w:tc>
          <w:tcPr>
            <w:tcW w:w="8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819</w:t>
            </w:r>
          </w:p>
        </w:tc>
        <w:tc>
          <w:tcPr>
            <w:tcW w:w="13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478</w:t>
            </w:r>
          </w:p>
        </w:tc>
        <w:tc>
          <w:tcPr>
            <w:tcW w:w="190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92</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non-audit fees (5)</w:t>
            </w:r>
          </w:p>
        </w:tc>
        <w:tc>
          <w:tcPr>
            <w:tcW w:w="2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78</w:t>
            </w:r>
          </w:p>
        </w:tc>
        <w:tc>
          <w:tcPr>
            <w:tcW w:w="20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78</w:t>
            </w: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23</w:t>
            </w:r>
          </w:p>
        </w:tc>
        <w:tc>
          <w:tcPr>
            <w:tcW w:w="19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2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2,015</w:t>
            </w:r>
          </w:p>
        </w:tc>
        <w:tc>
          <w:tcPr>
            <w:tcW w:w="20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519</w:t>
            </w:r>
          </w:p>
        </w:tc>
        <w:tc>
          <w:tcPr>
            <w:tcW w:w="8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2,534</w:t>
            </w: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1,640</w:t>
            </w:r>
          </w:p>
        </w:tc>
        <w:tc>
          <w:tcPr>
            <w:tcW w:w="19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rPr>
              <w:t>550</w:t>
            </w: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40" w:hanging="338"/>
        <w:spacing w:after="0"/>
        <w:tabs>
          <w:tab w:leader="none" w:pos="34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Audit fees include annual audit fees for ICON plc and companies based in Ireland and the US.</w:t>
      </w:r>
    </w:p>
    <w:p>
      <w:pPr>
        <w:spacing w:after="0" w:line="30" w:lineRule="exact"/>
        <w:rPr>
          <w:rFonts w:ascii="Times New Roman" w:cs="Times New Roman" w:eastAsia="Times New Roman" w:hAnsi="Times New Roman"/>
          <w:sz w:val="17"/>
          <w:szCs w:val="17"/>
          <w:i w:val="1"/>
          <w:iCs w:val="1"/>
          <w:color w:val="auto"/>
        </w:rPr>
      </w:pPr>
    </w:p>
    <w:p>
      <w:pPr>
        <w:ind w:left="340" w:hanging="338"/>
        <w:spacing w:after="0"/>
        <w:tabs>
          <w:tab w:leader="none" w:pos="34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Audit fees for the Company for the year is set at $30,000 (2012: $30,000)</w:t>
      </w:r>
    </w:p>
    <w:p>
      <w:pPr>
        <w:spacing w:after="0" w:line="9" w:lineRule="exact"/>
        <w:rPr>
          <w:rFonts w:ascii="Times New Roman" w:cs="Times New Roman" w:eastAsia="Times New Roman" w:hAnsi="Times New Roman"/>
          <w:sz w:val="17"/>
          <w:szCs w:val="17"/>
          <w:i w:val="1"/>
          <w:iCs w:val="1"/>
          <w:color w:val="auto"/>
        </w:rPr>
      </w:pPr>
    </w:p>
    <w:p>
      <w:pPr>
        <w:ind w:left="340" w:hanging="338"/>
        <w:spacing w:after="0"/>
        <w:tabs>
          <w:tab w:leader="none" w:pos="34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assurance fees principally consist of fees for the audit of remaining subsidiaries and fees for the audit of the financial statements of employee benefit plans.</w:t>
      </w:r>
    </w:p>
    <w:p>
      <w:pPr>
        <w:spacing w:after="0" w:line="9" w:lineRule="exact"/>
        <w:rPr>
          <w:rFonts w:ascii="Times New Roman" w:cs="Times New Roman" w:eastAsia="Times New Roman" w:hAnsi="Times New Roman"/>
          <w:sz w:val="17"/>
          <w:szCs w:val="17"/>
          <w:i w:val="1"/>
          <w:iCs w:val="1"/>
          <w:color w:val="auto"/>
        </w:rPr>
      </w:pPr>
    </w:p>
    <w:p>
      <w:pPr>
        <w:ind w:left="340" w:hanging="338"/>
        <w:spacing w:after="0"/>
        <w:tabs>
          <w:tab w:leader="none" w:pos="34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Tax advisory fees are for tax compliance and tax advisory services.</w:t>
      </w:r>
    </w:p>
    <w:p>
      <w:pPr>
        <w:spacing w:after="0" w:line="9" w:lineRule="exact"/>
        <w:rPr>
          <w:rFonts w:ascii="Times New Roman" w:cs="Times New Roman" w:eastAsia="Times New Roman" w:hAnsi="Times New Roman"/>
          <w:sz w:val="17"/>
          <w:szCs w:val="17"/>
          <w:i w:val="1"/>
          <w:iCs w:val="1"/>
          <w:color w:val="auto"/>
        </w:rPr>
      </w:pPr>
    </w:p>
    <w:p>
      <w:pPr>
        <w:ind w:left="340" w:hanging="338"/>
        <w:spacing w:after="0"/>
        <w:tabs>
          <w:tab w:leader="none" w:pos="340"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Other non-audit fee principally consist of fees for financial due diligence.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Directors’ emoluments</w:t>
            </w: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5840" w:type="dxa"/>
            <w:vAlign w:val="bottom"/>
            <w:gridSpan w:val="2"/>
            <w:vMerge w:val="continue"/>
          </w:tcPr>
          <w:p>
            <w:pPr>
              <w:spacing w:after="0"/>
              <w:rPr>
                <w:sz w:val="17"/>
                <w:szCs w:val="17"/>
                <w:color w:val="auto"/>
              </w:rPr>
            </w:pPr>
          </w:p>
        </w:tc>
        <w:tc>
          <w:tcPr>
            <w:tcW w:w="4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w:t>
            </w: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798</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Other emoluments and benefits in kind</w:t>
            </w:r>
          </w:p>
        </w:tc>
        <w:tc>
          <w:tcPr>
            <w:tcW w:w="4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2,470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7,060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contributions</w:t>
            </w:r>
          </w:p>
        </w:tc>
        <w:tc>
          <w:tcPr>
            <w:tcW w:w="4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118</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based payments</w:t>
            </w:r>
          </w:p>
        </w:tc>
        <w:tc>
          <w:tcPr>
            <w:tcW w:w="4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3,666</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2,869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2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Directors’ emoluments</w:t>
            </w:r>
          </w:p>
        </w:tc>
        <w:tc>
          <w:tcPr>
            <w:tcW w:w="4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7,052</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7"/>
          <w:szCs w:val="17"/>
          <w:i w:val="1"/>
          <w:iCs w:val="1"/>
          <w:color w:val="auto"/>
        </w:rPr>
        <w:t>For additional information regarding Directors’ shareholdings, share options and compensation, please refer to note 8 – Payroll and related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7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7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57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Depreciation and amortisation</w:t>
            </w:r>
          </w:p>
        </w:tc>
        <w:tc>
          <w:tcPr>
            <w:tcW w:w="57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4400" w:type="dxa"/>
            <w:vAlign w:val="bottom"/>
            <w:gridSpan w:val="2"/>
            <w:vMerge w:val="continue"/>
          </w:tcPr>
          <w:p>
            <w:pPr>
              <w:spacing w:after="0"/>
              <w:rPr>
                <w:sz w:val="17"/>
                <w:szCs w:val="17"/>
                <w:color w:val="auto"/>
              </w:rPr>
            </w:pPr>
          </w:p>
        </w:tc>
        <w:tc>
          <w:tcPr>
            <w:tcW w:w="5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57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24,196</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Amortisation of intangible assets</w:t>
            </w:r>
          </w:p>
        </w:tc>
        <w:tc>
          <w:tcPr>
            <w:tcW w:w="57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22,318</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20,992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depreciation and amortisation</w:t>
            </w:r>
          </w:p>
        </w:tc>
        <w:tc>
          <w:tcPr>
            <w:tcW w:w="57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46,514</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5780" w:type="dxa"/>
            <w:vAlign w:val="bottom"/>
          </w:tcPr>
          <w:p>
            <w:pPr>
              <w:jc w:val="right"/>
              <w:ind w:right="4295"/>
              <w:spacing w:after="0"/>
              <w:rPr>
                <w:sz w:val="20"/>
                <w:szCs w:val="20"/>
                <w:color w:val="auto"/>
              </w:rPr>
            </w:pPr>
            <w:r>
              <w:rPr>
                <w:rFonts w:ascii="Times New Roman" w:cs="Times New Roman" w:eastAsia="Times New Roman" w:hAnsi="Times New Roman"/>
                <w:sz w:val="17"/>
                <w:szCs w:val="17"/>
                <w:color w:val="auto"/>
              </w:rPr>
              <w:t>35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 Profit before taxation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lease rentals</w:t>
            </w: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5340" w:type="dxa"/>
            <w:vAlign w:val="bottom"/>
            <w:gridSpan w:val="2"/>
            <w:vMerge w:val="continue"/>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Premises</w:t>
            </w:r>
          </w:p>
        </w:tc>
        <w:tc>
          <w:tcPr>
            <w:tcW w:w="4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45,976</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43,401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Motor vehicles</w:t>
            </w: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7,244</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Plant and equipment</w:t>
            </w:r>
          </w:p>
        </w:tc>
        <w:tc>
          <w:tcPr>
            <w:tcW w:w="4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1,645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1,807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rentals *</w:t>
            </w:r>
          </w:p>
        </w:tc>
        <w:tc>
          <w:tcPr>
            <w:tcW w:w="4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54,865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52,490</w:t>
            </w:r>
          </w:p>
        </w:tc>
        <w:tc>
          <w:tcPr>
            <w:tcW w:w="0" w:type="dxa"/>
            <w:vAlign w:val="bottom"/>
          </w:tcPr>
          <w:p>
            <w:pPr>
              <w:spacing w:after="0"/>
              <w:rPr>
                <w:sz w:val="1"/>
                <w:szCs w:val="1"/>
                <w:color w:val="auto"/>
              </w:rPr>
            </w:pPr>
          </w:p>
        </w:tc>
      </w:tr>
      <w:tr>
        <w:trPr>
          <w:trHeight w:val="427"/>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Government grants</w:t>
            </w:r>
          </w:p>
        </w:tc>
        <w:tc>
          <w:tcPr>
            <w:tcW w:w="4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Government grants</w:t>
            </w:r>
          </w:p>
        </w:tc>
        <w:tc>
          <w:tcPr>
            <w:tcW w:w="4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225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government grants</w:t>
            </w:r>
          </w:p>
        </w:tc>
        <w:tc>
          <w:tcPr>
            <w:tcW w:w="4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225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 Operating lease rentals includes rate expenses incurred during the year.</w:t>
            </w:r>
          </w:p>
        </w:tc>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 Financing income</w:t>
            </w:r>
          </w:p>
        </w:tc>
        <w:tc>
          <w:tcPr>
            <w:tcW w:w="4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receivable</w:t>
            </w:r>
          </w:p>
        </w:tc>
        <w:tc>
          <w:tcPr>
            <w:tcW w:w="4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986</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1"/>
                <w:szCs w:val="21"/>
                <w:color w:val="auto"/>
              </w:rPr>
            </w:pPr>
          </w:p>
        </w:tc>
        <w:tc>
          <w:tcPr>
            <w:tcW w:w="48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986</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1,151</w:t>
            </w:r>
          </w:p>
        </w:tc>
        <w:tc>
          <w:tcPr>
            <w:tcW w:w="0" w:type="dxa"/>
            <w:vAlign w:val="bottom"/>
          </w:tcPr>
          <w:p>
            <w:pPr>
              <w:spacing w:after="0"/>
              <w:rPr>
                <w:sz w:val="1"/>
                <w:szCs w:val="1"/>
                <w:color w:val="auto"/>
              </w:rPr>
            </w:pPr>
          </w:p>
        </w:tc>
      </w:tr>
      <w:tr>
        <w:trPr>
          <w:trHeight w:val="427"/>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of the above relates to items not at fair value through profit and loss.</w:t>
            </w:r>
          </w:p>
        </w:tc>
        <w:tc>
          <w:tcPr>
            <w:tcW w:w="4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4. Financing expense</w:t>
            </w:r>
          </w:p>
        </w:tc>
        <w:tc>
          <w:tcPr>
            <w:tcW w:w="4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vMerge w:val="continue"/>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48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facility fees on bank overdraft and credit facilities</w:t>
            </w:r>
          </w:p>
        </w:tc>
        <w:tc>
          <w:tcPr>
            <w:tcW w:w="4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1,048</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Fair value movement on acquisition contingent consideration</w:t>
            </w:r>
          </w:p>
        </w:tc>
        <w:tc>
          <w:tcPr>
            <w:tcW w:w="4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240</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1,288</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All of the above relates to items not at fair value through profit and loss</w:t>
            </w:r>
          </w:p>
        </w:tc>
        <w:tc>
          <w:tcPr>
            <w:tcW w:w="4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840" w:type="dxa"/>
            <w:vAlign w:val="bottom"/>
          </w:tcPr>
          <w:p>
            <w:pPr>
              <w:jc w:val="right"/>
              <w:ind w:right="4295"/>
              <w:spacing w:after="0"/>
              <w:rPr>
                <w:sz w:val="20"/>
                <w:szCs w:val="20"/>
                <w:color w:val="auto"/>
              </w:rPr>
            </w:pPr>
            <w:r>
              <w:rPr>
                <w:rFonts w:ascii="Times New Roman" w:cs="Times New Roman" w:eastAsia="Times New Roman" w:hAnsi="Times New Roman"/>
                <w:sz w:val="17"/>
                <w:szCs w:val="17"/>
                <w:color w:val="auto"/>
              </w:rPr>
              <w:t>36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Income tax expense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the current and deferred tax expense for the years ended 31 December 2013 and 2012 were as follows:</w:t>
            </w: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tax expense</w:t>
            </w: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868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year</w:t>
            </w:r>
          </w:p>
        </w:tc>
        <w:tc>
          <w:tcPr>
            <w:tcW w:w="15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27,373</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21,297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Under provided in prior years</w:t>
            </w:r>
          </w:p>
        </w:tc>
        <w:tc>
          <w:tcPr>
            <w:tcW w:w="15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1,153</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28,526</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22,231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credit</w:t>
            </w: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Origination and reversal of temporary differences</w:t>
            </w:r>
          </w:p>
        </w:tc>
        <w:tc>
          <w:tcPr>
            <w:tcW w:w="15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(13,091)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Over provided in prior years</w:t>
            </w: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(1,201)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(14,292)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8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income tax expense in the consolidated income statement</w:t>
            </w:r>
          </w:p>
        </w:tc>
        <w:tc>
          <w:tcPr>
            <w:tcW w:w="15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14,234</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10,358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tax recognised in equity</w:t>
            </w: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(1,651)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6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8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current tax recognised in equity</w:t>
            </w: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(1,651)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tax recognised in other comprehensive income</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on currency impact on long term funding</w:t>
            </w:r>
          </w:p>
        </w:tc>
        <w:tc>
          <w:tcPr>
            <w:tcW w:w="15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(87)</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8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tax recognised in other comprehensive income</w:t>
            </w:r>
          </w:p>
        </w:tc>
        <w:tc>
          <w:tcPr>
            <w:tcW w:w="15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(87)</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total tax expense of $14.2 million and $10.4 million for the years ended 31 December 2013 and 31 December 2012 respectively, reflects tax at standard rates on taxable profits in the jurisdictions in which the group operates, foreign withholding tax and the availability of tax losses.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deferred tax credit of $14.3 million for the year ended 31 December 2013 and the deferred tax credit of $11.9 million for the year ended 31 December 2012, relates to deferred tax arising in respect of net operating losses and temporary differences in capital items, the timing of certain goodwill amortisation on US acquisitions and the timing of tax deductions available relating to the Group’s share based compensation schemes. No deferred tax asset has been recognized on the defined benefit pension scheme as it is not probable that sufficient taxable profit will be available against which the deductible temporary difference can be utilised.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 Income tax expense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expected tax expense, computed by applying the standard Irish tax rate to income before tax to the actual tax expense,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7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before tax</w:t>
            </w:r>
          </w:p>
        </w:tc>
        <w:tc>
          <w:tcPr>
            <w:tcW w:w="27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121,292</w:t>
            </w: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68,482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Irish standard tax rate</w:t>
            </w:r>
          </w:p>
        </w:tc>
        <w:tc>
          <w:tcPr>
            <w:tcW w:w="27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12.5%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at Irish standard tax rate</w:t>
            </w:r>
          </w:p>
        </w:tc>
        <w:tc>
          <w:tcPr>
            <w:tcW w:w="27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15,162</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8,560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Reversal of prior year over provision in respect of current foreign taxes</w:t>
            </w:r>
          </w:p>
        </w:tc>
        <w:tc>
          <w:tcPr>
            <w:tcW w:w="2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(48)</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Foreign and other income taxed at higher rates</w:t>
            </w:r>
          </w:p>
        </w:tc>
        <w:tc>
          <w:tcPr>
            <w:tcW w:w="27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4,500</w:t>
            </w:r>
          </w:p>
        </w:tc>
        <w:tc>
          <w:tcPr>
            <w:tcW w:w="1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8,807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Recognition of previously unrecognised tax benefits for uncertain tax positions</w:t>
            </w:r>
          </w:p>
        </w:tc>
        <w:tc>
          <w:tcPr>
            <w:tcW w:w="2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(4,090)</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Non taxable income and non tax deductible expenses</w:t>
            </w:r>
          </w:p>
        </w:tc>
        <w:tc>
          <w:tcPr>
            <w:tcW w:w="27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(1,056)</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Losses for which no benefit has been recognised</w:t>
            </w:r>
          </w:p>
        </w:tc>
        <w:tc>
          <w:tcPr>
            <w:tcW w:w="27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2,389</w:t>
            </w:r>
          </w:p>
        </w:tc>
        <w:tc>
          <w:tcPr>
            <w:tcW w:w="1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tax incentives</w:t>
            </w:r>
          </w:p>
        </w:tc>
        <w:tc>
          <w:tcPr>
            <w:tcW w:w="27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(2,598)</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7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(25)</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Tax expense on profit for the year</w:t>
            </w:r>
          </w:p>
        </w:tc>
        <w:tc>
          <w:tcPr>
            <w:tcW w:w="276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14,234</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10,358</w:t>
            </w:r>
          </w:p>
        </w:tc>
        <w:tc>
          <w:tcPr>
            <w:tcW w:w="0" w:type="dxa"/>
            <w:vAlign w:val="bottom"/>
          </w:tcPr>
          <w:p>
            <w:pPr>
              <w:spacing w:after="0"/>
              <w:rPr>
                <w:sz w:val="1"/>
                <w:szCs w:val="1"/>
                <w:color w:val="auto"/>
              </w:rPr>
            </w:pPr>
          </w:p>
        </w:tc>
      </w:tr>
      <w:tr>
        <w:trPr>
          <w:trHeight w:val="427"/>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net deferred tax asset at 31 December 2013 and 31 December 2012 was as follows:</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Deferred taxation assets</w:t>
            </w:r>
          </w:p>
        </w:tc>
        <w:tc>
          <w:tcPr>
            <w:tcW w:w="2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7440" w:type="dxa"/>
            <w:vAlign w:val="bottom"/>
            <w:gridSpan w:val="2"/>
            <w:vMerge w:val="continue"/>
          </w:tcPr>
          <w:p>
            <w:pPr>
              <w:spacing w:after="0"/>
              <w:rPr>
                <w:sz w:val="17"/>
                <w:szCs w:val="17"/>
                <w:color w:val="auto"/>
              </w:rPr>
            </w:pPr>
          </w:p>
        </w:tc>
        <w:tc>
          <w:tcPr>
            <w:tcW w:w="2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losses carried forward</w:t>
            </w:r>
          </w:p>
        </w:tc>
        <w:tc>
          <w:tcPr>
            <w:tcW w:w="27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6,696</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6,776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2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29,458</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19,375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7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2,161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27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1,187</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27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11,287</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2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taxation assets</w:t>
            </w:r>
          </w:p>
        </w:tc>
        <w:tc>
          <w:tcPr>
            <w:tcW w:w="27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50,789</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32,704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Less: offset against deferred tax liabilities</w:t>
            </w:r>
          </w:p>
        </w:tc>
        <w:tc>
          <w:tcPr>
            <w:tcW w:w="2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(20,452)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Deferred tax asset disclosed on Statement of financial position</w:t>
            </w:r>
          </w:p>
        </w:tc>
        <w:tc>
          <w:tcPr>
            <w:tcW w:w="27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30,337</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14,636</w:t>
            </w:r>
          </w:p>
        </w:tc>
        <w:tc>
          <w:tcPr>
            <w:tcW w:w="0" w:type="dxa"/>
            <w:vAlign w:val="bottom"/>
          </w:tcPr>
          <w:p>
            <w:pPr>
              <w:spacing w:after="0"/>
              <w:rPr>
                <w:sz w:val="1"/>
                <w:szCs w:val="1"/>
                <w:color w:val="auto"/>
              </w:rPr>
            </w:pPr>
          </w:p>
        </w:tc>
      </w:tr>
      <w:tr>
        <w:trPr>
          <w:trHeight w:val="577"/>
        </w:trPr>
        <w:tc>
          <w:tcPr>
            <w:tcW w:w="7440" w:type="dxa"/>
            <w:vAlign w:val="bottom"/>
            <w:gridSpan w:val="2"/>
          </w:tcPr>
          <w:p>
            <w:pPr>
              <w:jc w:val="right"/>
              <w:ind w:right="1555"/>
              <w:spacing w:after="0"/>
              <w:rPr>
                <w:sz w:val="20"/>
                <w:szCs w:val="20"/>
                <w:color w:val="auto"/>
              </w:rPr>
            </w:pPr>
            <w:r>
              <w:rPr>
                <w:rFonts w:ascii="Times New Roman" w:cs="Times New Roman" w:eastAsia="Times New Roman" w:hAnsi="Times New Roman"/>
                <w:sz w:val="17"/>
                <w:szCs w:val="17"/>
                <w:color w:val="auto"/>
              </w:rPr>
              <w:t>38</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20" w:type="dxa"/>
            <w:vAlign w:val="bottom"/>
            <w:tcBorders>
              <w:bottom w:val="single" w:sz="8" w:color="808080"/>
            </w:tcBorders>
          </w:tcPr>
          <w:p>
            <w:pPr>
              <w:spacing w:after="0"/>
              <w:rPr>
                <w:sz w:val="9"/>
                <w:szCs w:val="9"/>
                <w:color w:val="auto"/>
              </w:rPr>
            </w:pPr>
          </w:p>
        </w:tc>
        <w:tc>
          <w:tcPr>
            <w:tcW w:w="27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 Income tax expense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Deferred taxation liabilities</w:t>
            </w: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6,501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6,631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Goodwill and related assets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14,013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11,467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970</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 to cash method adjustment</w:t>
            </w:r>
          </w:p>
        </w:tc>
        <w:tc>
          <w:tcPr>
            <w:tcW w:w="1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1,107</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taxation liabilities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22,595</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22,130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offset against deferred tax assets</w:t>
            </w:r>
          </w:p>
        </w:tc>
        <w:tc>
          <w:tcPr>
            <w:tcW w:w="1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(20,452)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liability disclosed on Statement of financial position</w:t>
            </w:r>
          </w:p>
        </w:tc>
        <w:tc>
          <w:tcPr>
            <w:tcW w:w="1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2,143</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4,062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deferred taxation asset</w:t>
            </w:r>
          </w:p>
        </w:tc>
        <w:tc>
          <w:tcPr>
            <w:tcW w:w="1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28,194</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10,574</w:t>
            </w:r>
          </w:p>
        </w:tc>
        <w:tc>
          <w:tcPr>
            <w:tcW w:w="0" w:type="dxa"/>
            <w:vAlign w:val="bottom"/>
          </w:tcPr>
          <w:p>
            <w:pPr>
              <w:spacing w:after="0"/>
              <w:rPr>
                <w:sz w:val="1"/>
                <w:szCs w:val="1"/>
                <w:color w:val="auto"/>
              </w:rPr>
            </w:pPr>
          </w:p>
        </w:tc>
      </w:tr>
      <w:tr>
        <w:trPr>
          <w:trHeight w:val="410"/>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movement in temporary</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differences during the year</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ended 31 December 2013 was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 follows:</w:t>
            </w: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6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Recognised in</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360" w:type="dxa"/>
            <w:vAlign w:val="bottom"/>
          </w:tcPr>
          <w:p>
            <w:pPr>
              <w:spacing w:after="0"/>
              <w:rPr>
                <w:sz w:val="17"/>
                <w:szCs w:val="17"/>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36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 January</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Recognised in</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Recognised in</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0" w:type="dxa"/>
            <w:vAlign w:val="bottom"/>
          </w:tcPr>
          <w:p>
            <w:pPr>
              <w:spacing w:after="0"/>
              <w:rPr>
                <w:sz w:val="1"/>
                <w:szCs w:val="1"/>
                <w:color w:val="auto"/>
              </w:rPr>
            </w:pPr>
          </w:p>
        </w:tc>
      </w:tr>
      <w:tr>
        <w:trPr>
          <w:trHeight w:val="226"/>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Deferred taxation assets</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478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 carry forwards</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6,776</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w:t>
            </w: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6,696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19,375</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10,075</w:t>
            </w: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29,458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1,875</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275</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w:t>
            </w: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2,161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1,136</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51</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3,444</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4,524</w:t>
            </w:r>
          </w:p>
        </w:tc>
        <w:tc>
          <w:tcPr>
            <w:tcW w:w="14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3,319</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11,287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98</w:t>
            </w:r>
          </w:p>
        </w:tc>
        <w:tc>
          <w:tcPr>
            <w:tcW w:w="13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(98)</w:t>
            </w:r>
          </w:p>
        </w:tc>
        <w:tc>
          <w:tcPr>
            <w:tcW w:w="14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assets</w:t>
            </w: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32,704</w:t>
            </w:r>
          </w:p>
        </w:tc>
        <w:tc>
          <w:tcPr>
            <w:tcW w:w="1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14,724</w:t>
            </w:r>
          </w:p>
        </w:tc>
        <w:tc>
          <w:tcPr>
            <w:tcW w:w="14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42</w:t>
            </w:r>
          </w:p>
        </w:tc>
        <w:tc>
          <w:tcPr>
            <w:tcW w:w="1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3,319</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50,789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taxation liabilities</w:t>
            </w: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6,631</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(163)</w:t>
            </w:r>
          </w:p>
        </w:tc>
        <w:tc>
          <w:tcPr>
            <w:tcW w:w="14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w:t>
            </w: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6,501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Goodwill on acquisition</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11,467</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2,546</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14,013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 to cash method adjustment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1,237</w:t>
            </w:r>
          </w:p>
        </w:tc>
        <w:tc>
          <w:tcPr>
            <w:tcW w:w="13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(130)</w:t>
            </w:r>
          </w:p>
        </w:tc>
        <w:tc>
          <w:tcPr>
            <w:tcW w:w="14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2,707</w:t>
            </w: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(1,737)</w:t>
            </w: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970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88</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w:t>
            </w:r>
          </w:p>
        </w:tc>
        <w:tc>
          <w:tcPr>
            <w:tcW w:w="14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liabilities</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22,130</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432</w:t>
            </w:r>
          </w:p>
        </w:tc>
        <w:tc>
          <w:tcPr>
            <w:tcW w:w="14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33</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22,595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4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deferred taxation asset/(liability)</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10,574</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14,292</w:t>
            </w:r>
          </w:p>
        </w:tc>
        <w:tc>
          <w:tcPr>
            <w:tcW w:w="14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3,319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28,194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20" w:right="4640" w:hanging="5618"/>
        <w:spacing w:after="0" w:line="745" w:lineRule="auto"/>
        <w:tabs>
          <w:tab w:leader="none" w:pos="122"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These adjustments relate to foreign currency translation on the deferred tax assets and liabilities. </w:t>
      </w: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-198120</wp:posOffset>
            </wp:positionV>
            <wp:extent cx="725805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 Income tax expense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movement in temporary differences during the year ended 31 December 2012 was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Recognised</w:t>
            </w: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in Other</w:t>
            </w:r>
          </w:p>
        </w:tc>
        <w:tc>
          <w:tcPr>
            <w:tcW w:w="1240" w:type="dxa"/>
            <w:vAlign w:val="bottom"/>
          </w:tcPr>
          <w:p>
            <w:pPr>
              <w:spacing w:after="0"/>
              <w:rPr>
                <w:sz w:val="17"/>
                <w:szCs w:val="17"/>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 January</w:t>
            </w:r>
          </w:p>
        </w:tc>
        <w:tc>
          <w:tcPr>
            <w:tcW w:w="1300" w:type="dxa"/>
            <w:vAlign w:val="bottom"/>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Recognised</w:t>
            </w: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Recognised</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Acquired</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In Income</w:t>
            </w: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in Equity</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0" w:type="dxa"/>
            <w:vAlign w:val="bottom"/>
          </w:tcPr>
          <w:p>
            <w:pPr>
              <w:spacing w:after="0"/>
              <w:rPr>
                <w:sz w:val="1"/>
                <w:szCs w:val="1"/>
                <w:color w:val="auto"/>
              </w:rPr>
            </w:pPr>
          </w:p>
        </w:tc>
      </w:tr>
      <w:tr>
        <w:trPr>
          <w:trHeight w:val="226"/>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Deferred taxation assets:</w:t>
            </w: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338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operating loss carry forwards</w:t>
            </w:r>
          </w:p>
        </w:tc>
        <w:tc>
          <w:tcPr>
            <w:tcW w:w="1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5,791</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48</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1,255</w:t>
            </w:r>
          </w:p>
        </w:tc>
        <w:tc>
          <w:tcPr>
            <w:tcW w:w="15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(318)</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6,776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11,652</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7,697</w:t>
            </w:r>
          </w:p>
        </w:tc>
        <w:tc>
          <w:tcPr>
            <w:tcW w:w="15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26*</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19,375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1,069</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795</w:t>
            </w:r>
          </w:p>
        </w:tc>
        <w:tc>
          <w:tcPr>
            <w:tcW w:w="15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11*</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1,875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Deferred compensation</w:t>
            </w: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1,197</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w:t>
            </w: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1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1,113</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2,212</w:t>
            </w:r>
          </w:p>
        </w:tc>
        <w:tc>
          <w:tcPr>
            <w:tcW w:w="15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119</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3,444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207</w:t>
            </w:r>
          </w:p>
        </w:tc>
        <w:tc>
          <w:tcPr>
            <w:tcW w:w="13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(109)</w:t>
            </w:r>
          </w:p>
        </w:tc>
        <w:tc>
          <w:tcPr>
            <w:tcW w:w="15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98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deferred taxation assets</w:t>
            </w:r>
          </w:p>
        </w:tc>
        <w:tc>
          <w:tcPr>
            <w:tcW w:w="1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21,029</w:t>
            </w:r>
          </w:p>
        </w:tc>
        <w:tc>
          <w:tcPr>
            <w:tcW w:w="13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48</w:t>
            </w: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11,789</w:t>
            </w:r>
          </w:p>
        </w:tc>
        <w:tc>
          <w:tcPr>
            <w:tcW w:w="1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(281)</w:t>
            </w: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119</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32,704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taxation liabilities:</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7,331</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(721)</w:t>
            </w:r>
          </w:p>
        </w:tc>
        <w:tc>
          <w:tcPr>
            <w:tcW w:w="15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21*</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6,631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Goodwill on acquisition</w:t>
            </w: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9,443</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2,024</w:t>
            </w:r>
          </w:p>
        </w:tc>
        <w:tc>
          <w:tcPr>
            <w:tcW w:w="15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11,467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 to cash method adjustment</w:t>
            </w:r>
          </w:p>
        </w:tc>
        <w:tc>
          <w:tcPr>
            <w:tcW w:w="1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1,185</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52</w:t>
            </w:r>
          </w:p>
        </w:tc>
        <w:tc>
          <w:tcPr>
            <w:tcW w:w="15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1,237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3,525</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607</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(1,436)</w:t>
            </w:r>
          </w:p>
        </w:tc>
        <w:tc>
          <w:tcPr>
            <w:tcW w:w="15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w:t>
            </w: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2,707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90</w:t>
            </w:r>
          </w:p>
        </w:tc>
        <w:tc>
          <w:tcPr>
            <w:tcW w:w="13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15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taxation liabilities</w:t>
            </w:r>
          </w:p>
        </w:tc>
        <w:tc>
          <w:tcPr>
            <w:tcW w:w="1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21,574</w:t>
            </w:r>
          </w:p>
        </w:tc>
        <w:tc>
          <w:tcPr>
            <w:tcW w:w="13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607</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(83)</w:t>
            </w:r>
          </w:p>
        </w:tc>
        <w:tc>
          <w:tcPr>
            <w:tcW w:w="15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32</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22,130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taxation asset</w:t>
            </w: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(545)</w:t>
            </w:r>
          </w:p>
        </w:tc>
        <w:tc>
          <w:tcPr>
            <w:tcW w:w="13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(559)</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11,872</w:t>
            </w:r>
          </w:p>
        </w:tc>
        <w:tc>
          <w:tcPr>
            <w:tcW w:w="15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(313)</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119</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10,574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*These adjustments relate to foreign currency translation on the deferred tax assets.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Unrecognised deferred tax assets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Deferred tax assets relating to the following net operating losses have not been recognised to the extent that it is considered unlikely that a benefit will be received in the future.</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 31 December 2013, non-US subsidiaries had operating loss carry-forwards for income tax purposes that may be carried forward indefinitely, available to offset against future taxable income, if any, of approximately $88.5 million (31 December 2012: $71.2 million). At 31 December 2013, non – US subsidiaries also had additional operating loss carry forwards of $5.9 million which are due to expire between 2014 and 2016.</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potential to use U.S. Federal and State net operating loss (“NOL”) carry forwards of $0.7 million and $0.7 million respectively for a US subsidiary are limited to $113,000 per year due to a change of ownership in 2000, as defined by Section 382 of the Internal Revenue Code of 1986, as amended.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 Income tax expense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total, the Group has unrecognised deferred tax assets at 31 December 2013 of $22.6 million and $20.2 million at 31 December 2012. The Group has not recognised the remaining deferred tax assets because it believes that it is more likely than not that the losses and other deferred tax assets will not be utilised given their history of operating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Unrecognised deferred tax liabilities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 31 December 2013 and 31 December 2012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Earnings per share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for basic and diluted net earnings per share for the year ended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w:t>
            </w:r>
          </w:p>
        </w:tc>
        <w:tc>
          <w:tcPr>
            <w:tcW w:w="13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w:t>
            </w:r>
          </w:p>
        </w:tc>
        <w:tc>
          <w:tcPr>
            <w:tcW w:w="1240" w:type="dxa"/>
            <w:vAlign w:val="bottom"/>
            <w:tcBorders>
              <w:top w:val="single" w:sz="8" w:color="auto"/>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1200" w:type="dxa"/>
            <w:vAlign w:val="bottom"/>
            <w:tcBorders>
              <w:top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13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12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2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 December</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31 December</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2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2012</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2012</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$’000</w:t>
            </w:r>
          </w:p>
        </w:tc>
        <w:tc>
          <w:tcPr>
            <w:tcW w:w="2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$’000</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$’000</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Excluding</w:t>
            </w:r>
          </w:p>
        </w:tc>
        <w:tc>
          <w:tcPr>
            <w:tcW w:w="1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Including</w:t>
            </w:r>
          </w:p>
        </w:tc>
        <w:tc>
          <w:tcPr>
            <w:tcW w:w="2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Excluding</w:t>
            </w:r>
          </w:p>
        </w:tc>
        <w:tc>
          <w:tcPr>
            <w:tcW w:w="13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Including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Exceptional</w:t>
            </w:r>
          </w:p>
        </w:tc>
        <w:tc>
          <w:tcPr>
            <w:tcW w:w="13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Exceptional</w:t>
            </w:r>
          </w:p>
        </w:tc>
        <w:tc>
          <w:tcPr>
            <w:tcW w:w="12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Exceptional</w:t>
            </w:r>
          </w:p>
        </w:tc>
        <w:tc>
          <w:tcPr>
            <w:tcW w:w="2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Exceptional</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Exceptional</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Exceptional</w:t>
            </w:r>
          </w:p>
        </w:tc>
        <w:tc>
          <w:tcPr>
            <w:tcW w:w="0" w:type="dxa"/>
            <w:vAlign w:val="bottom"/>
          </w:tcPr>
          <w:p>
            <w:pPr>
              <w:spacing w:after="0"/>
              <w:rPr>
                <w:sz w:val="1"/>
                <w:szCs w:val="1"/>
                <w:color w:val="auto"/>
              </w:rPr>
            </w:pPr>
          </w:p>
        </w:tc>
      </w:tr>
      <w:tr>
        <w:trPr>
          <w:trHeight w:val="22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Numerator computations</w:t>
            </w: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items</w:t>
            </w:r>
          </w:p>
        </w:tc>
        <w:tc>
          <w:tcPr>
            <w:tcW w:w="1380" w:type="dxa"/>
            <w:vAlign w:val="bottom"/>
            <w:tcBorders>
              <w:right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items</w:t>
            </w:r>
          </w:p>
        </w:tc>
        <w:tc>
          <w:tcPr>
            <w:tcW w:w="1240" w:type="dxa"/>
            <w:vAlign w:val="bottom"/>
            <w:tcBorders>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items</w:t>
            </w:r>
          </w:p>
        </w:tc>
        <w:tc>
          <w:tcPr>
            <w:tcW w:w="26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items</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items</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items</w:t>
            </w:r>
          </w:p>
        </w:tc>
        <w:tc>
          <w:tcPr>
            <w:tcW w:w="0" w:type="dxa"/>
            <w:vAlign w:val="bottom"/>
          </w:tcPr>
          <w:p>
            <w:pPr>
              <w:spacing w:after="0"/>
              <w:rPr>
                <w:sz w:val="1"/>
                <w:szCs w:val="1"/>
                <w:color w:val="auto"/>
              </w:rPr>
            </w:pPr>
          </w:p>
        </w:tc>
      </w:tr>
      <w:tr>
        <w:trPr>
          <w:trHeight w:val="184"/>
        </w:trPr>
        <w:tc>
          <w:tcPr>
            <w:tcW w:w="334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Basic and diluted earnings per share</w:t>
            </w:r>
          </w:p>
        </w:tc>
        <w:tc>
          <w:tcPr>
            <w:tcW w:w="140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period</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114,241</w:t>
            </w:r>
          </w:p>
        </w:tc>
        <w:tc>
          <w:tcPr>
            <w:tcW w:w="138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(7,183)</w:t>
            </w:r>
          </w:p>
        </w:tc>
        <w:tc>
          <w:tcPr>
            <w:tcW w:w="12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62,857</w:t>
            </w:r>
          </w:p>
        </w:tc>
        <w:tc>
          <w:tcPr>
            <w:tcW w:w="1380" w:type="dxa"/>
            <w:vAlign w:val="bottom"/>
            <w:tcBorders>
              <w:bottom w:val="single" w:sz="8" w:color="auto"/>
              <w:right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(4,733)</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attributable to equity holders</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114,241</w:t>
            </w:r>
          </w:p>
        </w:tc>
        <w:tc>
          <w:tcPr>
            <w:tcW w:w="138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(7,183)</w:t>
            </w:r>
          </w:p>
        </w:tc>
        <w:tc>
          <w:tcPr>
            <w:tcW w:w="12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62,857</w:t>
            </w:r>
          </w:p>
        </w:tc>
        <w:tc>
          <w:tcPr>
            <w:tcW w:w="1380" w:type="dxa"/>
            <w:vAlign w:val="bottom"/>
            <w:tcBorders>
              <w:bottom w:val="single" w:sz="8" w:color="auto"/>
              <w:right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(4,733)</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gridSpan w:val="2"/>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1500" w:type="dxa"/>
            <w:vAlign w:val="bottom"/>
            <w:gridSpan w:val="2"/>
            <w:shd w:val="clear" w:color="auto" w:fill="CCEEFF"/>
          </w:tcPr>
          <w:p>
            <w:pPr>
              <w:jc w:val="right"/>
              <w:ind w:right="380"/>
              <w:spacing w:after="0" w:line="185"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220" w:type="dxa"/>
            <w:vAlign w:val="bottom"/>
            <w:shd w:val="clear" w:color="auto" w:fill="CCEEFF"/>
          </w:tcPr>
          <w:p>
            <w:pPr>
              <w:spacing w:after="0"/>
              <w:rPr>
                <w:sz w:val="16"/>
                <w:szCs w:val="16"/>
                <w:color w:val="auto"/>
              </w:rPr>
            </w:pPr>
          </w:p>
        </w:tc>
        <w:tc>
          <w:tcPr>
            <w:tcW w:w="1380" w:type="dxa"/>
            <w:vAlign w:val="bottom"/>
            <w:tcBorders>
              <w:right w:val="single" w:sz="8" w:color="CCEEFF"/>
            </w:tcBorders>
            <w:shd w:val="clear" w:color="auto" w:fill="CCEEFF"/>
          </w:tcPr>
          <w:p>
            <w:pPr>
              <w:spacing w:after="0"/>
              <w:rPr>
                <w:sz w:val="16"/>
                <w:szCs w:val="16"/>
                <w:color w:val="auto"/>
              </w:rPr>
            </w:pPr>
          </w:p>
        </w:tc>
        <w:tc>
          <w:tcPr>
            <w:tcW w:w="12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Denominator computations</w:t>
            </w:r>
          </w:p>
        </w:tc>
        <w:tc>
          <w:tcPr>
            <w:tcW w:w="1400" w:type="dxa"/>
            <w:vAlign w:val="bottom"/>
            <w:shd w:val="clear" w:color="auto" w:fill="CCEEFF"/>
          </w:tcPr>
          <w:p>
            <w:pPr>
              <w:spacing w:after="0"/>
              <w:rPr>
                <w:sz w:val="20"/>
                <w:szCs w:val="20"/>
                <w:color w:val="auto"/>
              </w:rPr>
            </w:pPr>
          </w:p>
        </w:tc>
        <w:tc>
          <w:tcPr>
            <w:tcW w:w="1380" w:type="dxa"/>
            <w:vAlign w:val="bottom"/>
            <w:tcBorders>
              <w:right w:val="single" w:sz="8" w:color="CCEEFF"/>
            </w:tcBorders>
            <w:shd w:val="clear" w:color="auto" w:fill="CCEEFF"/>
          </w:tcPr>
          <w:p>
            <w:pPr>
              <w:spacing w:after="0"/>
              <w:rPr>
                <w:sz w:val="20"/>
                <w:szCs w:val="20"/>
                <w:color w:val="auto"/>
              </w:rPr>
            </w:pP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20" w:type="dxa"/>
            <w:vAlign w:val="bottom"/>
            <w:shd w:val="clear" w:color="auto" w:fill="CCEEFF"/>
          </w:tcPr>
          <w:p>
            <w:pPr>
              <w:spacing w:after="0"/>
              <w:rPr>
                <w:sz w:val="20"/>
                <w:szCs w:val="20"/>
                <w:color w:val="auto"/>
              </w:rPr>
            </w:pPr>
          </w:p>
        </w:tc>
        <w:tc>
          <w:tcPr>
            <w:tcW w:w="1380" w:type="dxa"/>
            <w:vAlign w:val="bottom"/>
            <w:tcBorders>
              <w:right w:val="single" w:sz="8" w:color="CCEEFF"/>
            </w:tcBorders>
            <w:shd w:val="clear" w:color="auto" w:fill="CCEEFF"/>
          </w:tcPr>
          <w:p>
            <w:pPr>
              <w:spacing w:after="0"/>
              <w:rPr>
                <w:sz w:val="20"/>
                <w:szCs w:val="20"/>
                <w:color w:val="auto"/>
              </w:rPr>
            </w:pPr>
          </w:p>
        </w:tc>
        <w:tc>
          <w:tcPr>
            <w:tcW w:w="120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320" w:type="dxa"/>
            <w:vAlign w:val="bottom"/>
          </w:tcPr>
          <w:p>
            <w:pPr>
              <w:spacing w:after="0" w:line="163" w:lineRule="exact"/>
              <w:rPr>
                <w:sz w:val="20"/>
                <w:szCs w:val="20"/>
                <w:color w:val="auto"/>
              </w:rPr>
            </w:pPr>
            <w:r>
              <w:rPr>
                <w:rFonts w:ascii="Times New Roman" w:cs="Times New Roman" w:eastAsia="Times New Roman" w:hAnsi="Times New Roman"/>
                <w:sz w:val="17"/>
                <w:szCs w:val="17"/>
                <w:color w:val="auto"/>
              </w:rPr>
              <w:t>Weighted average number of ordinary shares</w:t>
            </w: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60,907,274</w:t>
            </w:r>
          </w:p>
        </w:tc>
        <w:tc>
          <w:tcPr>
            <w:tcW w:w="1380" w:type="dxa"/>
            <w:vAlign w:val="bottom"/>
            <w:tcBorders>
              <w:right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60,907,274</w:t>
            </w:r>
          </w:p>
        </w:tc>
        <w:tc>
          <w:tcPr>
            <w:tcW w:w="1240" w:type="dxa"/>
            <w:vAlign w:val="bottom"/>
            <w:tcBorders>
              <w:top w:val="single" w:sz="8" w:color="auto"/>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60,907,274</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 basic</w:t>
            </w:r>
          </w:p>
        </w:tc>
        <w:tc>
          <w:tcPr>
            <w:tcW w:w="1400" w:type="dxa"/>
            <w:vAlign w:val="bottom"/>
            <w:vMerge w:val="continue"/>
          </w:tcPr>
          <w:p>
            <w:pPr>
              <w:spacing w:after="0"/>
              <w:rPr>
                <w:sz w:val="19"/>
                <w:szCs w:val="19"/>
                <w:color w:val="auto"/>
              </w:rPr>
            </w:pPr>
          </w:p>
        </w:tc>
        <w:tc>
          <w:tcPr>
            <w:tcW w:w="1380" w:type="dxa"/>
            <w:vAlign w:val="bottom"/>
            <w:tcBorders>
              <w:right w:val="single" w:sz="8" w:color="auto"/>
            </w:tcBorders>
            <w:vMerge w:val="continue"/>
          </w:tcPr>
          <w:p>
            <w:pPr>
              <w:spacing w:after="0"/>
              <w:rPr>
                <w:sz w:val="19"/>
                <w:szCs w:val="19"/>
                <w:color w:val="auto"/>
              </w:rPr>
            </w:pPr>
          </w:p>
        </w:tc>
        <w:tc>
          <w:tcPr>
            <w:tcW w:w="1240" w:type="dxa"/>
            <w:vAlign w:val="bottom"/>
            <w:tcBorders>
              <w:right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59,968,174</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59,968,174</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59,968,174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potential ordinary shares</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1,544,503</w:t>
            </w:r>
          </w:p>
        </w:tc>
        <w:tc>
          <w:tcPr>
            <w:tcW w:w="1380" w:type="dxa"/>
            <w:vAlign w:val="bottom"/>
            <w:tcBorders>
              <w:bottom w:val="single" w:sz="8" w:color="auto"/>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1,544,503</w:t>
            </w:r>
          </w:p>
        </w:tc>
        <w:tc>
          <w:tcPr>
            <w:tcW w:w="12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1,544,503</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716,358</w:t>
            </w:r>
          </w:p>
        </w:tc>
        <w:tc>
          <w:tcPr>
            <w:tcW w:w="138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716,358</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716,358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 average number of ordinary shares</w:t>
            </w:r>
          </w:p>
        </w:tc>
        <w:tc>
          <w:tcPr>
            <w:tcW w:w="140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62,451,777</w:t>
            </w:r>
          </w:p>
        </w:tc>
        <w:tc>
          <w:tcPr>
            <w:tcW w:w="1380" w:type="dxa"/>
            <w:vAlign w:val="bottom"/>
            <w:tcBorders>
              <w:right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62,451,777</w:t>
            </w:r>
          </w:p>
        </w:tc>
        <w:tc>
          <w:tcPr>
            <w:tcW w:w="1240" w:type="dxa"/>
            <w:vAlign w:val="bottom"/>
            <w:tcBorders>
              <w:right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62,451,777</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 diluted</w:t>
            </w:r>
          </w:p>
        </w:tc>
        <w:tc>
          <w:tcPr>
            <w:tcW w:w="1400" w:type="dxa"/>
            <w:vAlign w:val="bottom"/>
            <w:vMerge w:val="continue"/>
          </w:tcPr>
          <w:p>
            <w:pPr>
              <w:spacing w:after="0"/>
              <w:rPr>
                <w:sz w:val="19"/>
                <w:szCs w:val="19"/>
                <w:color w:val="auto"/>
              </w:rPr>
            </w:pPr>
          </w:p>
        </w:tc>
        <w:tc>
          <w:tcPr>
            <w:tcW w:w="1380" w:type="dxa"/>
            <w:vAlign w:val="bottom"/>
            <w:tcBorders>
              <w:right w:val="single" w:sz="8" w:color="auto"/>
            </w:tcBorders>
            <w:vMerge w:val="continue"/>
          </w:tcPr>
          <w:p>
            <w:pPr>
              <w:spacing w:after="0"/>
              <w:rPr>
                <w:sz w:val="19"/>
                <w:szCs w:val="19"/>
                <w:color w:val="auto"/>
              </w:rPr>
            </w:pPr>
          </w:p>
        </w:tc>
        <w:tc>
          <w:tcPr>
            <w:tcW w:w="1240" w:type="dxa"/>
            <w:vAlign w:val="bottom"/>
            <w:tcBorders>
              <w:right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60,684,532</w:t>
            </w:r>
          </w:p>
        </w:tc>
        <w:tc>
          <w:tcPr>
            <w:tcW w:w="1380" w:type="dxa"/>
            <w:vAlign w:val="bottom"/>
            <w:tcBorders>
              <w:right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60,684,532</w:t>
            </w:r>
          </w:p>
        </w:tc>
        <w:tc>
          <w:tcPr>
            <w:tcW w:w="120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60,684,532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40" w:type="dxa"/>
            <w:vAlign w:val="bottom"/>
            <w:gridSpan w:val="2"/>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1400" w:type="dxa"/>
            <w:vAlign w:val="bottom"/>
            <w:tcBorders>
              <w:top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Borders>
              <w:top w:val="single" w:sz="8" w:color="CCEEFF"/>
              <w:right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top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w:t>
            </w:r>
          </w:p>
        </w:tc>
        <w:tc>
          <w:tcPr>
            <w:tcW w:w="1380" w:type="dxa"/>
            <w:vAlign w:val="bottom"/>
            <w:tcBorders>
              <w:top w:val="single" w:sz="8" w:color="CCEEFF"/>
              <w:right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top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Basic earnings per ordinary share</w:t>
            </w: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1.88</w:t>
            </w:r>
          </w:p>
        </w:tc>
        <w:tc>
          <w:tcPr>
            <w:tcW w:w="1380" w:type="dxa"/>
            <w:vAlign w:val="bottom"/>
            <w:tcBorders>
              <w:bottom w:val="single" w:sz="8" w:color="auto"/>
              <w:right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(0.12)</w:t>
            </w:r>
          </w:p>
        </w:tc>
        <w:tc>
          <w:tcPr>
            <w:tcW w:w="12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1.76</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1.05</w:t>
            </w:r>
          </w:p>
        </w:tc>
        <w:tc>
          <w:tcPr>
            <w:tcW w:w="1380" w:type="dxa"/>
            <w:vAlign w:val="bottom"/>
            <w:tcBorders>
              <w:bottom w:val="single" w:sz="8" w:color="auto"/>
              <w:right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(0.08)</w:t>
            </w:r>
          </w:p>
        </w:tc>
        <w:tc>
          <w:tcPr>
            <w:tcW w:w="12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earnings per ordinary share</w:t>
            </w: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1.83</w:t>
            </w:r>
          </w:p>
        </w:tc>
        <w:tc>
          <w:tcPr>
            <w:tcW w:w="1380" w:type="dxa"/>
            <w:vAlign w:val="bottom"/>
            <w:tcBorders>
              <w:bottom w:val="single" w:sz="8" w:color="auto"/>
              <w:right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(0.12)</w:t>
            </w:r>
          </w:p>
        </w:tc>
        <w:tc>
          <w:tcPr>
            <w:tcW w:w="12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1.71</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1.04</w:t>
            </w:r>
          </w:p>
        </w:tc>
        <w:tc>
          <w:tcPr>
            <w:tcW w:w="1380" w:type="dxa"/>
            <w:vAlign w:val="bottom"/>
            <w:tcBorders>
              <w:bottom w:val="single" w:sz="8" w:color="auto"/>
              <w:right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(0.08)</w:t>
            </w:r>
          </w:p>
        </w:tc>
        <w:tc>
          <w:tcPr>
            <w:tcW w:w="1200" w:type="dxa"/>
            <w:vAlign w:val="bottom"/>
            <w:tcBorders>
              <w:bottom w:val="single" w:sz="8" w:color="auto"/>
              <w:right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Company had 839,189 anti-dilutive shares in issue at 31 December 2013 (31 December 2012: 2,186,963).</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42</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Exceptional items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Exceptional items incurred during the year ended 31 December 2013 comprised the following:</w:t>
            </w:r>
          </w:p>
        </w:tc>
        <w:tc>
          <w:tcPr>
            <w:tcW w:w="246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4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charges</w:t>
            </w:r>
          </w:p>
        </w:tc>
        <w:tc>
          <w:tcPr>
            <w:tcW w:w="24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9,033</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Release of prior year restructuring provision</w:t>
            </w: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exceptional items</w:t>
            </w:r>
          </w:p>
        </w:tc>
        <w:tc>
          <w:tcPr>
            <w:tcW w:w="24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46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9,033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w:t>
            </w:r>
          </w:p>
        </w:tc>
        <w:tc>
          <w:tcPr>
            <w:tcW w:w="24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(1,850)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Exceptional items (net)</w:t>
            </w:r>
          </w:p>
        </w:tc>
        <w:tc>
          <w:tcPr>
            <w:tcW w:w="24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7,183</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Charges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Restructuring and other items of $9.0 million were recorded during the year ended 31 December 2013. During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rationalisations in certain areas of the business to improve resource utilisation. A further restructuring plan was also adopted during 2013 which resulted in resource rationalisations in order to improve operating efficiencies and reduce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movement in the Restructuring Plan recognised during the year ended 31 December 2013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Workforce</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Reductions</w:t>
            </w:r>
          </w:p>
        </w:tc>
        <w:tc>
          <w:tcPr>
            <w:tcW w:w="13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Consolidations</w:t>
            </w:r>
          </w:p>
        </w:tc>
        <w:tc>
          <w:tcPr>
            <w:tcW w:w="48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Q1 Plan - Initial provision recognised</w:t>
            </w:r>
          </w:p>
        </w:tc>
        <w:tc>
          <w:tcPr>
            <w:tcW w:w="3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509</w:t>
            </w:r>
          </w:p>
        </w:tc>
        <w:tc>
          <w:tcPr>
            <w:tcW w:w="4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Q2 Plan - Initial provision recognised</w:t>
            </w:r>
          </w:p>
        </w:tc>
        <w:tc>
          <w:tcPr>
            <w:tcW w:w="3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4,228</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393</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provision recognised</w:t>
            </w:r>
          </w:p>
        </w:tc>
        <w:tc>
          <w:tcPr>
            <w:tcW w:w="3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8,131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902</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3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(6,544)</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released</w:t>
            </w:r>
          </w:p>
        </w:tc>
        <w:tc>
          <w:tcPr>
            <w:tcW w:w="3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3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Provision at 31 December 2013</w:t>
            </w:r>
          </w:p>
        </w:tc>
        <w:tc>
          <w:tcPr>
            <w:tcW w:w="3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1,491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703</w:t>
            </w:r>
          </w:p>
        </w:tc>
        <w:tc>
          <w:tcPr>
            <w:tcW w:w="4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540" w:type="dxa"/>
            <w:vAlign w:val="bottom"/>
          </w:tcPr>
          <w:p>
            <w:pPr>
              <w:jc w:val="right"/>
              <w:ind w:right="1755"/>
              <w:spacing w:after="0"/>
              <w:rPr>
                <w:sz w:val="20"/>
                <w:szCs w:val="20"/>
                <w:color w:val="auto"/>
              </w:rPr>
            </w:pPr>
            <w:r>
              <w:rPr>
                <w:rFonts w:ascii="Times New Roman" w:cs="Times New Roman" w:eastAsia="Times New Roman" w:hAnsi="Times New Roman"/>
                <w:sz w:val="17"/>
                <w:szCs w:val="17"/>
                <w:color w:val="auto"/>
              </w:rPr>
              <w:t>43</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7. Exceptional items </w:t>
      </w:r>
      <w:r>
        <w:rPr>
          <w:rFonts w:ascii="Times New Roman" w:cs="Times New Roman" w:eastAsia="Times New Roman" w:hAnsi="Times New Roman"/>
          <w:sz w:val="17"/>
          <w:szCs w:val="17"/>
          <w:b w:val="1"/>
          <w:bCs w:val="1"/>
          <w:i w:val="1"/>
          <w:iCs w:val="1"/>
          <w:color w:val="auto"/>
        </w:rPr>
        <w:t>(continued)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 Period Restructuring Charges</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Restructuring charges of $4.5 million were recorded during year ended 31 December 2012 (inclusive of the release of $0.1 million relating to the 2011 Restructuring Plans). During the year ended 31 December 2012 the Company completed a review of its operations to improve resource utilisation throughout the business. This review resulted in the adoption of a restructuring plan, to include resource rationalisations in certain areas of the business and a re-organisation of available office space at the Company’s Philadelphia facility. A restructuring charge of $4.6 million was recognised during the year ended 31 December 2012; $3.4 million in respect of resource rationalisations and $1.2 million in respect of lease termination and exit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movement in the 2012 Restructuring Plan recognised during the years ended 31 December 2012 and 31 December 2013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Workforce</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Reductions</w:t>
            </w:r>
          </w:p>
        </w:tc>
        <w:tc>
          <w:tcPr>
            <w:tcW w:w="13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Consolidations</w:t>
            </w:r>
          </w:p>
        </w:tc>
        <w:tc>
          <w:tcPr>
            <w:tcW w:w="48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8"/>
              </w:rPr>
              <w:t>(in thousands)</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provision recognised</w:t>
            </w:r>
          </w:p>
        </w:tc>
        <w:tc>
          <w:tcPr>
            <w:tcW w:w="27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1,250</w:t>
            </w:r>
          </w:p>
        </w:tc>
        <w:tc>
          <w:tcPr>
            <w:tcW w:w="4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4,644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Residual balance from prior period</w:t>
            </w:r>
          </w:p>
        </w:tc>
        <w:tc>
          <w:tcPr>
            <w:tcW w:w="2720" w:type="dxa"/>
            <w:vAlign w:val="bottom"/>
          </w:tcPr>
          <w:p>
            <w:pPr>
              <w:spacing w:after="0"/>
              <w:rPr>
                <w:sz w:val="17"/>
                <w:szCs w:val="17"/>
                <w:color w:val="auto"/>
              </w:rPr>
            </w:pP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130</w:t>
            </w:r>
          </w:p>
        </w:tc>
        <w:tc>
          <w:tcPr>
            <w:tcW w:w="480" w:type="dxa"/>
            <w:vAlign w:val="bottom"/>
          </w:tcPr>
          <w:p>
            <w:pPr>
              <w:spacing w:after="0"/>
              <w:rPr>
                <w:sz w:val="17"/>
                <w:szCs w:val="17"/>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7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2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Provision at 31 December 2012</w:t>
            </w:r>
          </w:p>
        </w:tc>
        <w:tc>
          <w:tcPr>
            <w:tcW w:w="2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360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556</w:t>
            </w:r>
          </w:p>
        </w:tc>
        <w:tc>
          <w:tcPr>
            <w:tcW w:w="4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916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Cash payments</w:t>
            </w:r>
          </w:p>
        </w:tc>
        <w:tc>
          <w:tcPr>
            <w:tcW w:w="27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released</w:t>
            </w:r>
          </w:p>
        </w:tc>
        <w:tc>
          <w:tcPr>
            <w:tcW w:w="27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410"/>
        </w:trPr>
        <w:tc>
          <w:tcPr>
            <w:tcW w:w="4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Provision at 31 December 2013</w:t>
            </w:r>
          </w:p>
        </w:tc>
        <w:tc>
          <w:tcPr>
            <w:tcW w:w="27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130</w:t>
            </w:r>
          </w:p>
        </w:tc>
        <w:tc>
          <w:tcPr>
            <w:tcW w:w="4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It is expected that cash outflows related to these restructuring plans will occur primarily within twelve months. Given the short term nature of the provision and the relatively fixed nature of the costs involved there are no material uncertainties surrounding the timing and extent of the outflow of economic benefits associated with the above provisions.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Exceptional Items</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30 September 2011 Mr. Peter Gray retired as Chief Executive Officer (“CEO”) of the Company and was appointed Vice Chairman of the Board of Directors, in accordance with the provisions of his service agreement, which was terminable on twelve months’ notice by either party. On 11 June 2012 the Company entered into an agreement with Mr. Gray whereby Mr. Gray’s employment and directorship of ICON plc and other ICON group companies would terminate on 19 July 2012. Under the terms of this agreement Mr. Gray was entitled to be paid €160,000 ($200,000) in lieu of the balance of his notice period and to receive a discretionary bonus of €194,000 ($243,000) in respect of 2012. In addition, under the agreement Mr. Gray’s unvested share options would vest on the date of termination of his employment. The Company recognised a share-based compensation charge of $422,000 in respect of these options during the year ended 31 December 2012.</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Payroll and related benefits</w:t>
            </w: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Payroll costs</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aggregate payroll costs of employees of the Group for the year ended 31 December 2013 were as follows:</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9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142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Wages and salaries</w:t>
            </w: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736,597</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627,899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Social welfare costs</w:t>
            </w:r>
          </w:p>
        </w:tc>
        <w:tc>
          <w:tcPr>
            <w:tcW w:w="900" w:type="dxa"/>
            <w:vAlign w:val="bottom"/>
          </w:tcPr>
          <w:p>
            <w:pPr>
              <w:spacing w:after="0"/>
              <w:rPr>
                <w:sz w:val="17"/>
                <w:szCs w:val="17"/>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110,035</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94,053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Pension costs for defined contribution pension schemes</w:t>
            </w: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30,109</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26,629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Pension costs for defined benefit pension schemes</w:t>
            </w: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9</w:t>
            </w: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460</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Termination payments</w:t>
            </w: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8,131</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10</w:t>
            </w: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13,734</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10,217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charge to income</w:t>
            </w: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899,066</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763,216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Re-measurement of post-employment benefit obligations</w:t>
            </w: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i w:val="1"/>
                <w:iCs w:val="1"/>
                <w:color w:val="auto"/>
              </w:rPr>
              <w:t>9</w:t>
            </w:r>
          </w:p>
        </w:tc>
        <w:tc>
          <w:tcPr>
            <w:tcW w:w="14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(1,439)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8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payroll and related benefit costs</w:t>
            </w:r>
          </w:p>
        </w:tc>
        <w:tc>
          <w:tcPr>
            <w:tcW w:w="9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897,627</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762,484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80" w:firstLine="2"/>
        <w:spacing w:after="0" w:line="264" w:lineRule="auto"/>
        <w:tabs>
          <w:tab w:leader="none" w:pos="12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IFRS 2 Share based Payments requires that the fair value of share options and restricted share units is calculated and amortised over the vesting period of the related share option or restricted share unit.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Average employee numbers</w:t>
            </w:r>
          </w:p>
        </w:tc>
        <w:tc>
          <w:tcPr>
            <w:tcW w:w="6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02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average number of employees, including executive Directors, employed by the Group during the year ended 31 December 2013 was as follows</w:t>
            </w:r>
            <w:r>
              <w:rPr>
                <w:rFonts w:ascii="Times New Roman" w:cs="Times New Roman" w:eastAsia="Times New Roman" w:hAnsi="Times New Roman"/>
                <w:sz w:val="17"/>
                <w:szCs w:val="17"/>
                <w:b w:val="1"/>
                <w:bCs w:val="1"/>
                <w:color w:val="auto"/>
              </w:rPr>
              <w: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5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5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65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w:t>
            </w:r>
          </w:p>
        </w:tc>
        <w:tc>
          <w:tcPr>
            <w:tcW w:w="65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190</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Administration</w:t>
            </w:r>
          </w:p>
        </w:tc>
        <w:tc>
          <w:tcPr>
            <w:tcW w:w="65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1,288</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research processing</w:t>
            </w:r>
          </w:p>
        </w:tc>
        <w:tc>
          <w:tcPr>
            <w:tcW w:w="65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8,342</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7,245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Laboratory</w:t>
            </w:r>
          </w:p>
        </w:tc>
        <w:tc>
          <w:tcPr>
            <w:tcW w:w="65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422</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5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10,242</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6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500" w:type="dxa"/>
            <w:vAlign w:val="bottom"/>
          </w:tcPr>
          <w:p>
            <w:pPr>
              <w:jc w:val="right"/>
              <w:ind w:right="4395"/>
              <w:spacing w:after="0"/>
              <w:rPr>
                <w:sz w:val="20"/>
                <w:szCs w:val="20"/>
                <w:color w:val="auto"/>
              </w:rPr>
            </w:pPr>
            <w:r>
              <w:rPr>
                <w:rFonts w:ascii="Times New Roman" w:cs="Times New Roman" w:eastAsia="Times New Roman" w:hAnsi="Times New Roman"/>
                <w:sz w:val="17"/>
                <w:szCs w:val="17"/>
                <w:color w:val="auto"/>
              </w:rPr>
              <w:t>45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 Payroll and related benefits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Directors’ remuneration</w:t>
      </w:r>
    </w:p>
    <w:p>
      <w:pPr>
        <w:spacing w:after="0" w:line="2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Directors, Executive Officers and Company Secretary have the following interests, all of which are beneficial, other than as stated, in the shares and share options of the Company or other Group companies at the following dates: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Interest at</w:t>
            </w:r>
          </w:p>
        </w:tc>
        <w:tc>
          <w:tcPr>
            <w:tcW w:w="1060" w:type="dxa"/>
            <w:vAlign w:val="bottom"/>
          </w:tcPr>
          <w:p>
            <w:pPr>
              <w:spacing w:after="0"/>
              <w:rPr>
                <w:sz w:val="17"/>
                <w:szCs w:val="17"/>
                <w:color w:val="auto"/>
              </w:rPr>
            </w:pPr>
          </w:p>
        </w:tc>
        <w:tc>
          <w:tcPr>
            <w:tcW w:w="16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Interest at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980" w:type="dxa"/>
            <w:vAlign w:val="bottom"/>
            <w:gridSpan w:val="2"/>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31 December 2013</w:t>
            </w:r>
          </w:p>
        </w:tc>
        <w:tc>
          <w:tcPr>
            <w:tcW w:w="2460" w:type="dxa"/>
            <w:vAlign w:val="bottom"/>
            <w:gridSpan w:val="2"/>
          </w:tcPr>
          <w:p>
            <w:pPr>
              <w:jc w:val="right"/>
              <w:ind w:right="555"/>
              <w:spacing w:after="0"/>
              <w:rPr>
                <w:sz w:val="20"/>
                <w:szCs w:val="20"/>
                <w:color w:val="auto"/>
              </w:rPr>
            </w:pPr>
            <w:r>
              <w:rPr>
                <w:rFonts w:ascii="Times New Roman" w:cs="Times New Roman" w:eastAsia="Times New Roman" w:hAnsi="Times New Roman"/>
                <w:sz w:val="17"/>
                <w:szCs w:val="17"/>
                <w:color w:val="auto"/>
              </w:rPr>
              <w:t>31 December 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Name of company</w:t>
            </w:r>
          </w:p>
        </w:tc>
        <w:tc>
          <w:tcPr>
            <w:tcW w:w="292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60" w:type="dxa"/>
            <w:vAlign w:val="bottom"/>
          </w:tcPr>
          <w:p>
            <w:pPr>
              <w:spacing w:after="0"/>
              <w:rPr>
                <w:sz w:val="17"/>
                <w:szCs w:val="17"/>
                <w:color w:val="auto"/>
              </w:rPr>
            </w:pPr>
          </w:p>
        </w:tc>
        <w:tc>
          <w:tcPr>
            <w:tcW w:w="16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Number</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94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and description of shares</w:t>
            </w:r>
          </w:p>
        </w:tc>
        <w:tc>
          <w:tcPr>
            <w:tcW w:w="2920" w:type="dxa"/>
            <w:vAlign w:val="bottom"/>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06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of shares</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Options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Thomas Lynch</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vMerge w:val="restart"/>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4</w:t>
            </w: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19,000</w:t>
            </w:r>
          </w:p>
        </w:tc>
        <w:tc>
          <w:tcPr>
            <w:tcW w:w="1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3,604</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17,200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Ciaran Murray</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368,873</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345,000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Brendan Brennan</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43,233</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29,840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Dr. Steve Cutler</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103,539</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Dr. John Climax</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vMerge w:val="restart"/>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1,357,568</w:t>
            </w: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80,500</w:t>
            </w:r>
          </w:p>
        </w:tc>
        <w:tc>
          <w:tcPr>
            <w:tcW w:w="1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1,607,568</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Dr. Ronan Lambe</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vMerge w:val="restart"/>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400</w:t>
            </w: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14,500</w:t>
            </w:r>
          </w:p>
        </w:tc>
        <w:tc>
          <w:tcPr>
            <w:tcW w:w="1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400</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Prof. Dermot Kelleher</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16,500</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Declan McKeon</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9,500</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Cathrin Petty</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9,500</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Prof William Hall</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7,500</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0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Diarmaid Cunningham</w:t>
            </w:r>
          </w:p>
        </w:tc>
        <w:tc>
          <w:tcPr>
            <w:tcW w:w="2940" w:type="dxa"/>
            <w:vAlign w:val="bottom"/>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ICON plc</w:t>
            </w:r>
          </w:p>
        </w:tc>
        <w:tc>
          <w:tcPr>
            <w:tcW w:w="29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22,075</w:t>
            </w:r>
          </w:p>
        </w:tc>
        <w:tc>
          <w:tcPr>
            <w:tcW w:w="1660" w:type="dxa"/>
            <w:vAlign w:val="bottom"/>
            <w:vMerge w:val="restart"/>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Ordinary Shares €0.06</w:t>
            </w:r>
          </w:p>
        </w:tc>
        <w:tc>
          <w:tcPr>
            <w:tcW w:w="292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22,000</w:t>
            </w: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920" w:type="dxa"/>
            <w:vAlign w:val="bottom"/>
          </w:tcPr>
          <w:p>
            <w:pPr>
              <w:jc w:val="right"/>
              <w:ind w:right="2015"/>
              <w:spacing w:after="0"/>
              <w:rPr>
                <w:sz w:val="20"/>
                <w:szCs w:val="20"/>
                <w:color w:val="auto"/>
              </w:rPr>
            </w:pPr>
            <w:r>
              <w:rPr>
                <w:rFonts w:ascii="Times New Roman" w:cs="Times New Roman" w:eastAsia="Times New Roman" w:hAnsi="Times New Roman"/>
                <w:sz w:val="17"/>
                <w:szCs w:val="17"/>
                <w:color w:val="auto"/>
              </w:rPr>
              <w:t>46</w:t>
            </w:r>
          </w:p>
        </w:tc>
        <w:tc>
          <w:tcPr>
            <w:tcW w:w="1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 Payroll and related benefits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details regarding the above share options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8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92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246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Expiry date</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Thomas Lynch</w:t>
            </w:r>
          </w:p>
        </w:tc>
        <w:tc>
          <w:tcPr>
            <w:tcW w:w="24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4,000</w:t>
            </w:r>
          </w:p>
        </w:tc>
        <w:tc>
          <w:tcPr>
            <w:tcW w:w="188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$21.25</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16</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February 2007</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16</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February 2015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$35.33</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26</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2008</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26</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$22.26</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25</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25</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2010</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5,000</w:t>
            </w:r>
          </w:p>
        </w:tc>
        <w:tc>
          <w:tcPr>
            <w:tcW w:w="18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Ciaran Murray</w:t>
            </w:r>
          </w:p>
        </w:tc>
        <w:tc>
          <w:tcPr>
            <w:tcW w:w="24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14,000</w:t>
            </w:r>
          </w:p>
        </w:tc>
        <w:tc>
          <w:tcPr>
            <w:tcW w:w="188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$35.33</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26</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February 2008</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26</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February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17,000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$22.26</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25</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25</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2010</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150,000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$16.80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31</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2011</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31</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October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50,000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77,873</w:t>
            </w:r>
          </w:p>
        </w:tc>
        <w:tc>
          <w:tcPr>
            <w:tcW w:w="18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Brendan Brennan</w:t>
            </w:r>
          </w:p>
        </w:tc>
        <w:tc>
          <w:tcPr>
            <w:tcW w:w="24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420</w:t>
            </w:r>
          </w:p>
        </w:tc>
        <w:tc>
          <w:tcPr>
            <w:tcW w:w="188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$22.26</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25</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February 2009</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25</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February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2010</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$20.59</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22</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22</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15,813</w:t>
            </w:r>
          </w:p>
        </w:tc>
        <w:tc>
          <w:tcPr>
            <w:tcW w:w="18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Dr. Steve Cutler</w:t>
            </w:r>
          </w:p>
        </w:tc>
        <w:tc>
          <w:tcPr>
            <w:tcW w:w="24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30,000</w:t>
            </w:r>
          </w:p>
        </w:tc>
        <w:tc>
          <w:tcPr>
            <w:tcW w:w="188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$17.17</w:t>
            </w:r>
          </w:p>
        </w:tc>
        <w:tc>
          <w:tcPr>
            <w:tcW w:w="40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7</w:t>
            </w:r>
          </w:p>
        </w:tc>
        <w:tc>
          <w:tcPr>
            <w:tcW w:w="15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November 2011</w:t>
            </w:r>
          </w:p>
        </w:tc>
        <w:tc>
          <w:tcPr>
            <w:tcW w:w="52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7</w:t>
            </w:r>
          </w:p>
        </w:tc>
        <w:tc>
          <w:tcPr>
            <w:tcW w:w="19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November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$20.59</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22</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22</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43,539</w:t>
            </w:r>
          </w:p>
        </w:tc>
        <w:tc>
          <w:tcPr>
            <w:tcW w:w="18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Dr. John Climax</w:t>
            </w:r>
          </w:p>
        </w:tc>
        <w:tc>
          <w:tcPr>
            <w:tcW w:w="24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12,000</w:t>
            </w:r>
          </w:p>
        </w:tc>
        <w:tc>
          <w:tcPr>
            <w:tcW w:w="188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$21.25</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16</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February 2007</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16</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February 2015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$35.33</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26</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2008</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26</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50,000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$15.84</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30</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2009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30</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April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2010</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2,500</w:t>
            </w:r>
          </w:p>
        </w:tc>
        <w:tc>
          <w:tcPr>
            <w:tcW w:w="18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Dr. Ronan Lambe</w:t>
            </w:r>
          </w:p>
        </w:tc>
        <w:tc>
          <w:tcPr>
            <w:tcW w:w="24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$21.25</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16</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February 2007</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16</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February 2015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$35.33</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26</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2008</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26</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$22.26</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25</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25</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2010</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2,000</w:t>
            </w:r>
          </w:p>
        </w:tc>
        <w:tc>
          <w:tcPr>
            <w:tcW w:w="18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2,500</w:t>
            </w:r>
          </w:p>
        </w:tc>
        <w:tc>
          <w:tcPr>
            <w:tcW w:w="18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8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rPr>
              <w:t>47</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8. Payroll and related benefits </w:t>
            </w:r>
            <w:r>
              <w:rPr>
                <w:rFonts w:ascii="Times New Roman" w:cs="Times New Roman" w:eastAsia="Times New Roman" w:hAnsi="Times New Roman"/>
                <w:sz w:val="17"/>
                <w:szCs w:val="17"/>
                <w:b w:val="1"/>
                <w:bCs w:val="1"/>
                <w:i w:val="1"/>
                <w:iCs w:val="1"/>
                <w:color w:val="auto"/>
              </w:rPr>
              <w:t>(continued)</w:t>
            </w:r>
          </w:p>
        </w:tc>
        <w:tc>
          <w:tcPr>
            <w:tcW w:w="1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840" w:type="dxa"/>
            <w:vAlign w:val="bottom"/>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92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2460" w:type="dxa"/>
            <w:vAlign w:val="bottom"/>
            <w:gridSpan w:val="3"/>
          </w:tcPr>
          <w:p>
            <w:pPr>
              <w:ind w:left="420"/>
              <w:spacing w:after="0"/>
              <w:rPr>
                <w:sz w:val="20"/>
                <w:szCs w:val="20"/>
                <w:color w:val="auto"/>
              </w:rPr>
            </w:pPr>
            <w:r>
              <w:rPr>
                <w:rFonts w:ascii="Times New Roman" w:cs="Times New Roman" w:eastAsia="Times New Roman" w:hAnsi="Times New Roman"/>
                <w:sz w:val="17"/>
                <w:szCs w:val="17"/>
                <w:b w:val="1"/>
                <w:bCs w:val="1"/>
                <w:color w:val="auto"/>
              </w:rPr>
              <w:t>Expiry date</w:t>
            </w:r>
          </w:p>
        </w:tc>
        <w:tc>
          <w:tcPr>
            <w:tcW w:w="0" w:type="dxa"/>
            <w:vAlign w:val="bottom"/>
          </w:tcPr>
          <w:p>
            <w:pPr>
              <w:spacing w:after="0"/>
              <w:rPr>
                <w:sz w:val="1"/>
                <w:szCs w:val="1"/>
                <w:color w:val="auto"/>
              </w:rPr>
            </w:pPr>
          </w:p>
        </w:tc>
      </w:tr>
      <w:tr>
        <w:trPr>
          <w:trHeight w:val="409"/>
        </w:trPr>
        <w:tc>
          <w:tcPr>
            <w:tcW w:w="20" w:type="dxa"/>
            <w:vAlign w:val="bottom"/>
            <w:vMerge w:val="restart"/>
          </w:tcPr>
          <w:p>
            <w:pPr>
              <w:spacing w:after="0"/>
              <w:rPr>
                <w:sz w:val="24"/>
                <w:szCs w:val="24"/>
                <w:color w:val="auto"/>
              </w:rPr>
            </w:pPr>
          </w:p>
        </w:tc>
        <w:tc>
          <w:tcPr>
            <w:tcW w:w="3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Prof. Dermot Kelleher</w:t>
            </w:r>
          </w:p>
        </w:tc>
        <w:tc>
          <w:tcPr>
            <w:tcW w:w="1840" w:type="dxa"/>
            <w:vAlign w:val="bottom"/>
            <w:shd w:val="clear" w:color="auto" w:fill="CCEEFF"/>
          </w:tcPr>
          <w:p>
            <w:pPr>
              <w:jc w:val="right"/>
              <w:ind w:right="635"/>
              <w:spacing w:after="0" w:line="189" w:lineRule="exact"/>
              <w:rPr>
                <w:sz w:val="20"/>
                <w:szCs w:val="20"/>
                <w:color w:val="auto"/>
              </w:rPr>
            </w:pPr>
            <w:r>
              <w:rPr>
                <w:rFonts w:ascii="Times New Roman" w:cs="Times New Roman" w:eastAsia="Times New Roman" w:hAnsi="Times New Roman"/>
                <w:sz w:val="17"/>
                <w:szCs w:val="17"/>
                <w:color w:val="auto"/>
              </w:rPr>
              <w:t>6,000</w:t>
            </w:r>
          </w:p>
        </w:tc>
        <w:tc>
          <w:tcPr>
            <w:tcW w:w="162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$36.04</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May 2008</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May 2016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$22.26</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25</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2009</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25</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March 2010</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2,500</w:t>
            </w:r>
          </w:p>
        </w:tc>
        <w:tc>
          <w:tcPr>
            <w:tcW w:w="16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Declan McKeon</w:t>
            </w:r>
          </w:p>
        </w:tc>
        <w:tc>
          <w:tcPr>
            <w:tcW w:w="1840" w:type="dxa"/>
            <w:vAlign w:val="bottom"/>
            <w:shd w:val="clear" w:color="auto" w:fill="CCEEFF"/>
          </w:tcPr>
          <w:p>
            <w:pPr>
              <w:jc w:val="right"/>
              <w:ind w:right="635"/>
              <w:spacing w:after="0" w:line="189" w:lineRule="exact"/>
              <w:rPr>
                <w:sz w:val="20"/>
                <w:szCs w:val="20"/>
                <w:color w:val="auto"/>
              </w:rPr>
            </w:pPr>
            <w:r>
              <w:rPr>
                <w:rFonts w:ascii="Times New Roman" w:cs="Times New Roman" w:eastAsia="Times New Roman" w:hAnsi="Times New Roman"/>
                <w:sz w:val="17"/>
                <w:szCs w:val="17"/>
                <w:color w:val="auto"/>
              </w:rPr>
              <w:t>3,000</w:t>
            </w:r>
          </w:p>
        </w:tc>
        <w:tc>
          <w:tcPr>
            <w:tcW w:w="162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$29.45</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29</w:t>
            </w:r>
          </w:p>
        </w:tc>
        <w:tc>
          <w:tcPr>
            <w:tcW w:w="1440" w:type="dxa"/>
            <w:vAlign w:val="bottom"/>
            <w:shd w:val="clear" w:color="auto" w:fill="CCEEFF"/>
          </w:tcPr>
          <w:p>
            <w:pPr>
              <w:jc w:val="right"/>
              <w:ind w:right="595"/>
              <w:spacing w:after="0" w:line="189" w:lineRule="exact"/>
              <w:rPr>
                <w:sz w:val="20"/>
                <w:szCs w:val="20"/>
                <w:color w:val="auto"/>
              </w:rPr>
            </w:pPr>
            <w:r>
              <w:rPr>
                <w:rFonts w:ascii="Times New Roman" w:cs="Times New Roman" w:eastAsia="Times New Roman" w:hAnsi="Times New Roman"/>
                <w:sz w:val="17"/>
                <w:szCs w:val="17"/>
                <w:color w:val="auto"/>
                <w:w w:val="99"/>
              </w:rPr>
              <w:t>April 2010</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29</w:t>
            </w:r>
          </w:p>
        </w:tc>
        <w:tc>
          <w:tcPr>
            <w:tcW w:w="1860" w:type="dxa"/>
            <w:vAlign w:val="bottom"/>
            <w:shd w:val="clear" w:color="auto" w:fill="CCEEFF"/>
          </w:tcPr>
          <w:p>
            <w:pPr>
              <w:jc w:val="right"/>
              <w:ind w:right="995"/>
              <w:spacing w:after="0" w:line="189" w:lineRule="exact"/>
              <w:rPr>
                <w:sz w:val="20"/>
                <w:szCs w:val="20"/>
                <w:color w:val="auto"/>
              </w:rPr>
            </w:pPr>
            <w:r>
              <w:rPr>
                <w:rFonts w:ascii="Times New Roman" w:cs="Times New Roman" w:eastAsia="Times New Roman" w:hAnsi="Times New Roman"/>
                <w:sz w:val="17"/>
                <w:szCs w:val="17"/>
                <w:color w:val="auto"/>
              </w:rPr>
              <w:t>April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2,500</w:t>
            </w:r>
          </w:p>
        </w:tc>
        <w:tc>
          <w:tcPr>
            <w:tcW w:w="16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Cathrin Petty</w:t>
            </w:r>
          </w:p>
        </w:tc>
        <w:tc>
          <w:tcPr>
            <w:tcW w:w="1840" w:type="dxa"/>
            <w:vAlign w:val="bottom"/>
            <w:shd w:val="clear" w:color="auto" w:fill="CCEEFF"/>
          </w:tcPr>
          <w:p>
            <w:pPr>
              <w:jc w:val="right"/>
              <w:ind w:right="635"/>
              <w:spacing w:after="0" w:line="189" w:lineRule="exact"/>
              <w:rPr>
                <w:sz w:val="20"/>
                <w:szCs w:val="20"/>
                <w:color w:val="auto"/>
              </w:rPr>
            </w:pPr>
            <w:r>
              <w:rPr>
                <w:rFonts w:ascii="Times New Roman" w:cs="Times New Roman" w:eastAsia="Times New Roman" w:hAnsi="Times New Roman"/>
                <w:sz w:val="17"/>
                <w:szCs w:val="17"/>
                <w:color w:val="auto"/>
              </w:rPr>
              <w:t>3,000</w:t>
            </w:r>
          </w:p>
        </w:tc>
        <w:tc>
          <w:tcPr>
            <w:tcW w:w="162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$19.45</w:t>
            </w:r>
          </w:p>
        </w:tc>
        <w:tc>
          <w:tcPr>
            <w:tcW w:w="480" w:type="dxa"/>
            <w:vAlign w:val="bottom"/>
            <w:gridSpan w:val="2"/>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26</w:t>
            </w:r>
          </w:p>
        </w:tc>
        <w:tc>
          <w:tcPr>
            <w:tcW w:w="14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October 2010</w:t>
            </w:r>
          </w:p>
        </w:tc>
        <w:tc>
          <w:tcPr>
            <w:tcW w:w="600" w:type="dxa"/>
            <w:vAlign w:val="bottom"/>
            <w:gridSpan w:val="2"/>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26</w:t>
            </w:r>
          </w:p>
        </w:tc>
        <w:tc>
          <w:tcPr>
            <w:tcW w:w="186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October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$22.30</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27</w:t>
            </w:r>
          </w:p>
        </w:tc>
        <w:tc>
          <w:tcPr>
            <w:tcW w:w="144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April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27</w:t>
            </w:r>
          </w:p>
        </w:tc>
        <w:tc>
          <w:tcPr>
            <w:tcW w:w="186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April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2,500</w:t>
            </w:r>
          </w:p>
        </w:tc>
        <w:tc>
          <w:tcPr>
            <w:tcW w:w="16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Professor William Hall</w:t>
            </w:r>
          </w:p>
        </w:tc>
        <w:tc>
          <w:tcPr>
            <w:tcW w:w="1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7,500</w:t>
            </w:r>
          </w:p>
        </w:tc>
        <w:tc>
          <w:tcPr>
            <w:tcW w:w="16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4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w:t>
            </w:r>
          </w:p>
        </w:tc>
        <w:tc>
          <w:tcPr>
            <w:tcW w:w="1520" w:type="dxa"/>
            <w:vAlign w:val="bottom"/>
            <w:tcBorders>
              <w:bottom w:val="single" w:sz="8" w:color="auto"/>
            </w:tcBorders>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May 2013</w:t>
            </w:r>
          </w:p>
        </w:tc>
        <w:tc>
          <w:tcPr>
            <w:tcW w:w="5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1</w:t>
            </w:r>
          </w:p>
        </w:tc>
        <w:tc>
          <w:tcPr>
            <w:tcW w:w="1940" w:type="dxa"/>
            <w:vAlign w:val="bottom"/>
            <w:tcBorders>
              <w:bottom w:val="single" w:sz="8" w:color="auto"/>
            </w:tcBorders>
            <w:gridSpan w:val="2"/>
            <w:shd w:val="clear" w:color="auto" w:fill="CCEEFF"/>
          </w:tcPr>
          <w:p>
            <w:pPr>
              <w:jc w:val="right"/>
              <w:ind w:right="1135"/>
              <w:spacing w:after="0"/>
              <w:rPr>
                <w:sz w:val="20"/>
                <w:szCs w:val="20"/>
                <w:color w:val="auto"/>
              </w:rPr>
            </w:pPr>
            <w:r>
              <w:rPr>
                <w:rFonts w:ascii="Times New Roman" w:cs="Times New Roman" w:eastAsia="Times New Roman" w:hAnsi="Times New Roman"/>
                <w:sz w:val="17"/>
                <w:szCs w:val="17"/>
                <w:color w:val="auto"/>
              </w:rPr>
              <w:t>May 2021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Diarmaid Cunningham</w:t>
            </w:r>
          </w:p>
        </w:tc>
        <w:tc>
          <w:tcPr>
            <w:tcW w:w="1840" w:type="dxa"/>
            <w:vAlign w:val="bottom"/>
            <w:shd w:val="clear" w:color="auto" w:fill="CCEEFF"/>
          </w:tcPr>
          <w:p>
            <w:pPr>
              <w:jc w:val="right"/>
              <w:ind w:right="635"/>
              <w:spacing w:after="0" w:line="189" w:lineRule="exact"/>
              <w:rPr>
                <w:sz w:val="20"/>
                <w:szCs w:val="20"/>
                <w:color w:val="auto"/>
              </w:rPr>
            </w:pPr>
            <w:r>
              <w:rPr>
                <w:rFonts w:ascii="Times New Roman" w:cs="Times New Roman" w:eastAsia="Times New Roman" w:hAnsi="Times New Roman"/>
                <w:sz w:val="17"/>
                <w:szCs w:val="17"/>
                <w:color w:val="auto"/>
              </w:rPr>
              <w:t>800</w:t>
            </w:r>
          </w:p>
        </w:tc>
        <w:tc>
          <w:tcPr>
            <w:tcW w:w="1620" w:type="dxa"/>
            <w:vAlign w:val="bottom"/>
            <w:shd w:val="clear" w:color="auto" w:fill="CCEEFF"/>
          </w:tcPr>
          <w:p>
            <w:pPr>
              <w:jc w:val="right"/>
              <w:ind w:right="195"/>
              <w:spacing w:after="0" w:line="189" w:lineRule="exact"/>
              <w:rPr>
                <w:sz w:val="20"/>
                <w:szCs w:val="20"/>
                <w:color w:val="auto"/>
              </w:rPr>
            </w:pPr>
            <w:r>
              <w:rPr>
                <w:rFonts w:ascii="Times New Roman" w:cs="Times New Roman" w:eastAsia="Times New Roman" w:hAnsi="Times New Roman"/>
                <w:sz w:val="17"/>
                <w:szCs w:val="17"/>
                <w:color w:val="auto"/>
              </w:rPr>
              <w:t>$24.46</w:t>
            </w:r>
          </w:p>
        </w:tc>
        <w:tc>
          <w:tcPr>
            <w:tcW w:w="40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7"/>
                <w:szCs w:val="17"/>
                <w:color w:val="auto"/>
              </w:rPr>
              <w:t>4</w:t>
            </w:r>
          </w:p>
        </w:tc>
        <w:tc>
          <w:tcPr>
            <w:tcW w:w="1520" w:type="dxa"/>
            <w:vAlign w:val="bottom"/>
            <w:gridSpan w:val="2"/>
            <w:shd w:val="clear" w:color="auto" w:fill="CCEEFF"/>
          </w:tcPr>
          <w:p>
            <w:pPr>
              <w:jc w:val="right"/>
              <w:ind w:right="595"/>
              <w:spacing w:after="0" w:line="189" w:lineRule="exact"/>
              <w:rPr>
                <w:sz w:val="20"/>
                <w:szCs w:val="20"/>
                <w:color w:val="auto"/>
              </w:rPr>
            </w:pPr>
            <w:r>
              <w:rPr>
                <w:rFonts w:ascii="Times New Roman" w:cs="Times New Roman" w:eastAsia="Times New Roman" w:hAnsi="Times New Roman"/>
                <w:sz w:val="17"/>
                <w:szCs w:val="17"/>
                <w:color w:val="auto"/>
                <w:w w:val="99"/>
              </w:rPr>
              <w:t>March 2010</w:t>
            </w:r>
          </w:p>
        </w:tc>
        <w:tc>
          <w:tcPr>
            <w:tcW w:w="520" w:type="dxa"/>
            <w:vAlign w:val="bottom"/>
            <w:shd w:val="clear" w:color="auto" w:fill="CCEEFF"/>
          </w:tcPr>
          <w:p>
            <w:pPr>
              <w:ind w:left="420"/>
              <w:spacing w:after="0" w:line="189" w:lineRule="exact"/>
              <w:rPr>
                <w:sz w:val="20"/>
                <w:szCs w:val="20"/>
                <w:color w:val="auto"/>
              </w:rPr>
            </w:pPr>
            <w:r>
              <w:rPr>
                <w:rFonts w:ascii="Times New Roman" w:cs="Times New Roman" w:eastAsia="Times New Roman" w:hAnsi="Times New Roman"/>
                <w:sz w:val="17"/>
                <w:szCs w:val="17"/>
                <w:color w:val="auto"/>
                <w:w w:val="93"/>
              </w:rPr>
              <w:t>4</w:t>
            </w:r>
          </w:p>
        </w:tc>
        <w:tc>
          <w:tcPr>
            <w:tcW w:w="1940" w:type="dxa"/>
            <w:vAlign w:val="bottom"/>
            <w:gridSpan w:val="2"/>
            <w:shd w:val="clear" w:color="auto" w:fill="CCEEFF"/>
          </w:tcPr>
          <w:p>
            <w:pPr>
              <w:jc w:val="right"/>
              <w:ind w:right="995"/>
              <w:spacing w:after="0" w:line="189" w:lineRule="exact"/>
              <w:rPr>
                <w:sz w:val="20"/>
                <w:szCs w:val="20"/>
                <w:color w:val="auto"/>
              </w:rPr>
            </w:pPr>
            <w:r>
              <w:rPr>
                <w:rFonts w:ascii="Times New Roman" w:cs="Times New Roman" w:eastAsia="Times New Roman" w:hAnsi="Times New Roman"/>
                <w:sz w:val="17"/>
                <w:szCs w:val="17"/>
                <w:color w:val="auto"/>
              </w:rPr>
              <w:t>March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3,000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3</w:t>
            </w:r>
          </w:p>
        </w:tc>
        <w:tc>
          <w:tcPr>
            <w:tcW w:w="1520" w:type="dxa"/>
            <w:vAlign w:val="bottom"/>
            <w:gridSpan w:val="2"/>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99"/>
              </w:rPr>
              <w:t>March 2011</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194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March 2019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12,000</w:t>
            </w:r>
          </w:p>
        </w:tc>
        <w:tc>
          <w:tcPr>
            <w:tcW w:w="16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$20.59</w:t>
            </w:r>
          </w:p>
        </w:tc>
        <w:tc>
          <w:tcPr>
            <w:tcW w:w="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22</w:t>
            </w:r>
          </w:p>
        </w:tc>
        <w:tc>
          <w:tcPr>
            <w:tcW w:w="1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2012</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22</w:t>
            </w:r>
          </w:p>
        </w:tc>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February 2020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5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6,275</w:t>
            </w:r>
          </w:p>
        </w:tc>
        <w:tc>
          <w:tcPr>
            <w:tcW w:w="16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$32.37</w:t>
            </w:r>
          </w:p>
        </w:tc>
        <w:tc>
          <w:tcPr>
            <w:tcW w:w="192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 May 2013</w:t>
            </w:r>
          </w:p>
        </w:tc>
        <w:tc>
          <w:tcPr>
            <w:tcW w:w="246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 May 2021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Restricted Share Units (“RSUs”) and Performance Share Units (“PSUs”) have been awarded to the Directors, Executive Officer and Company Secretary: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2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RSUs</w:t>
            </w: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Award date</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Vesting Date</w:t>
            </w:r>
          </w:p>
        </w:tc>
        <w:tc>
          <w:tcPr>
            <w:tcW w:w="118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PSUs</w:t>
            </w:r>
            <w:r>
              <w:rPr>
                <w:rFonts w:ascii="Times New Roman" w:cs="Times New Roman" w:eastAsia="Times New Roman" w:hAnsi="Times New Roman"/>
                <w:sz w:val="23"/>
                <w:szCs w:val="23"/>
                <w:b w:val="1"/>
                <w:bCs w:val="1"/>
                <w:color w:val="auto"/>
                <w:vertAlign w:val="superscript"/>
              </w:rPr>
              <w:t>(2)</w:t>
            </w:r>
          </w:p>
        </w:tc>
        <w:tc>
          <w:tcPr>
            <w:tcW w:w="150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Award Date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Vesting date</w:t>
            </w:r>
          </w:p>
        </w:tc>
      </w:tr>
      <w:tr>
        <w:trPr>
          <w:trHeight w:val="117"/>
        </w:trPr>
        <w:tc>
          <w:tcPr>
            <w:tcW w:w="20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r>
        <w:trPr>
          <w:trHeight w:val="39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Ciaran Murray</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100,000</w:t>
            </w:r>
          </w:p>
        </w:tc>
        <w:tc>
          <w:tcPr>
            <w:tcW w:w="1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 October 2011</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 October 2014</w:t>
            </w: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62,299</w:t>
            </w:r>
          </w:p>
        </w:tc>
        <w:tc>
          <w:tcPr>
            <w:tcW w:w="1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 May 2013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 May 2016</w:t>
            </w:r>
          </w:p>
        </w:tc>
      </w:tr>
      <w:tr>
        <w:trPr>
          <w:trHeight w:val="205"/>
        </w:trPr>
        <w:tc>
          <w:tcPr>
            <w:tcW w:w="2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50,000</w:t>
            </w:r>
          </w:p>
        </w:tc>
        <w:tc>
          <w:tcPr>
            <w:tcW w:w="1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10 February 2011</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 February 2016</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315"/>
        </w:trPr>
        <w:tc>
          <w:tcPr>
            <w:tcW w:w="20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93,447</w:t>
            </w:r>
          </w:p>
        </w:tc>
        <w:tc>
          <w:tcPr>
            <w:tcW w:w="1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 May 2013</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 May 2016</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117"/>
        </w:trPr>
        <w:tc>
          <w:tcPr>
            <w:tcW w:w="204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tcBorders>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tcBorders>
            <w:shd w:val="clear" w:color="auto" w:fill="CCEEFF"/>
          </w:tcPr>
          <w:p>
            <w:pPr>
              <w:spacing w:after="0"/>
              <w:rPr>
                <w:sz w:val="10"/>
                <w:szCs w:val="10"/>
                <w:color w:val="auto"/>
              </w:rPr>
            </w:pPr>
          </w:p>
        </w:tc>
      </w:tr>
      <w:tr>
        <w:trPr>
          <w:trHeight w:val="393"/>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Brendan Brennan</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20,000</w:t>
            </w: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21 February 2012</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 February 2015</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12,650</w:t>
            </w:r>
          </w:p>
        </w:tc>
        <w:tc>
          <w:tcPr>
            <w:tcW w:w="1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 May 2013</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 May 2016</w:t>
            </w:r>
          </w:p>
        </w:tc>
      </w:tr>
      <w:tr>
        <w:trPr>
          <w:trHeight w:val="315"/>
        </w:trPr>
        <w:tc>
          <w:tcPr>
            <w:tcW w:w="2040" w:type="dxa"/>
            <w:vAlign w:val="bottom"/>
          </w:tcPr>
          <w:p>
            <w:pPr>
              <w:spacing w:after="0"/>
              <w:rPr>
                <w:sz w:val="24"/>
                <w:szCs w:val="24"/>
                <w:color w:val="auto"/>
              </w:rPr>
            </w:pP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18,975</w:t>
            </w: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 May 2013</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 May 2016</w:t>
            </w:r>
            <w:r>
              <w:rPr>
                <w:rFonts w:ascii="Times New Roman" w:cs="Times New Roman" w:eastAsia="Times New Roman" w:hAnsi="Times New Roman"/>
                <w:sz w:val="23"/>
                <w:szCs w:val="23"/>
                <w:color w:val="auto"/>
                <w:vertAlign w:val="superscript"/>
              </w:rPr>
              <w:t>(1)</w:t>
            </w: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7"/>
        </w:trPr>
        <w:tc>
          <w:tcPr>
            <w:tcW w:w="20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r>
        <w:trPr>
          <w:trHeight w:val="39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Steve Cutler</w:t>
            </w: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30,000</w:t>
            </w:r>
          </w:p>
        </w:tc>
        <w:tc>
          <w:tcPr>
            <w:tcW w:w="1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7 November 2011</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 November 2014</w:t>
            </w: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34,831</w:t>
            </w:r>
          </w:p>
        </w:tc>
        <w:tc>
          <w:tcPr>
            <w:tcW w:w="1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 May 2013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 May 2016</w:t>
            </w:r>
          </w:p>
        </w:tc>
      </w:tr>
      <w:tr>
        <w:trPr>
          <w:trHeight w:val="205"/>
        </w:trPr>
        <w:tc>
          <w:tcPr>
            <w:tcW w:w="2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30,000</w:t>
            </w:r>
          </w:p>
        </w:tc>
        <w:tc>
          <w:tcPr>
            <w:tcW w:w="1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21 February 2012</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21 February 2015</w:t>
            </w:r>
          </w:p>
        </w:tc>
        <w:tc>
          <w:tcPr>
            <w:tcW w:w="1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315"/>
        </w:trPr>
        <w:tc>
          <w:tcPr>
            <w:tcW w:w="204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52,245</w:t>
            </w:r>
          </w:p>
        </w:tc>
        <w:tc>
          <w:tcPr>
            <w:tcW w:w="1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 May 2013</w:t>
            </w:r>
          </w:p>
        </w:tc>
        <w:tc>
          <w:tcPr>
            <w:tcW w:w="1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 May 2016</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117"/>
        </w:trPr>
        <w:tc>
          <w:tcPr>
            <w:tcW w:w="2040" w:type="dxa"/>
            <w:vAlign w:val="bottom"/>
            <w:tcBorders>
              <w:bottom w:val="single" w:sz="8" w:color="auto"/>
            </w:tcBorders>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tcBorders>
            <w:shd w:val="clear" w:color="auto" w:fill="CCEEFF"/>
          </w:tcPr>
          <w:p>
            <w:pPr>
              <w:spacing w:after="0"/>
              <w:rPr>
                <w:sz w:val="10"/>
                <w:szCs w:val="10"/>
                <w:color w:val="auto"/>
              </w:rPr>
            </w:pPr>
          </w:p>
        </w:tc>
        <w:tc>
          <w:tcPr>
            <w:tcW w:w="16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tcBorders>
            <w:shd w:val="clear" w:color="auto" w:fill="CCEEFF"/>
          </w:tcPr>
          <w:p>
            <w:pPr>
              <w:spacing w:after="0"/>
              <w:rPr>
                <w:sz w:val="10"/>
                <w:szCs w:val="10"/>
                <w:color w:val="auto"/>
              </w:rPr>
            </w:pPr>
          </w:p>
        </w:tc>
      </w:tr>
      <w:tr>
        <w:trPr>
          <w:trHeight w:val="393"/>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Diarmaid</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10,000</w:t>
            </w: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21 February 2012</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 February 2015</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5,020</w:t>
            </w:r>
          </w:p>
        </w:tc>
        <w:tc>
          <w:tcPr>
            <w:tcW w:w="1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 May 2013</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 May 2016</w:t>
            </w:r>
          </w:p>
        </w:tc>
      </w:tr>
      <w:tr>
        <w:trPr>
          <w:trHeight w:val="222"/>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Cunningham</w:t>
            </w:r>
          </w:p>
        </w:tc>
        <w:tc>
          <w:tcPr>
            <w:tcW w:w="16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2,510</w:t>
            </w: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 May 2013</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 May 2016</w:t>
            </w:r>
          </w:p>
        </w:tc>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2536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193" w:lineRule="exact"/>
        <w:rPr>
          <w:sz w:val="20"/>
          <w:szCs w:val="20"/>
          <w:color w:val="auto"/>
        </w:rPr>
      </w:pPr>
    </w:p>
    <w:p>
      <w:pPr>
        <w:ind w:left="620" w:hanging="28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vest a third each year from the first anniversary of the grant and in May 2016 the last one third tranche will vest.</w:t>
      </w:r>
    </w:p>
    <w:p>
      <w:pPr>
        <w:spacing w:after="0" w:line="239" w:lineRule="exact"/>
        <w:rPr>
          <w:rFonts w:ascii="Times New Roman" w:cs="Times New Roman" w:eastAsia="Times New Roman" w:hAnsi="Times New Roman"/>
          <w:sz w:val="17"/>
          <w:szCs w:val="17"/>
          <w:color w:val="auto"/>
        </w:rPr>
      </w:pPr>
    </w:p>
    <w:p>
      <w:pPr>
        <w:ind w:left="620" w:hanging="287"/>
        <w:spacing w:after="0" w:line="284"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issued PSUs, performance conditions will determine how many of them vest and, if performance targets are exceeded, additional PSUs will be issued and vest in accordance with the terms of the relevant PSU award.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 Payroll and related benefits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Directors’ and Company share and share option transactions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transactions entered into by the Directors, Executive Officers and Company Secretary in shares and shares options of the Company during the year ended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2013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 options exercised</w:t>
            </w:r>
          </w:p>
        </w:tc>
        <w:tc>
          <w:tcPr>
            <w:tcW w:w="3420" w:type="dxa"/>
            <w:vAlign w:val="bottom"/>
          </w:tcPr>
          <w:p>
            <w:pPr>
              <w:spacing w:after="0"/>
              <w:rPr>
                <w:sz w:val="19"/>
                <w:szCs w:val="19"/>
                <w:color w:val="auto"/>
              </w:rPr>
            </w:pPr>
          </w:p>
        </w:tc>
        <w:tc>
          <w:tcPr>
            <w:tcW w:w="14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4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price on date of</w:t>
            </w:r>
          </w:p>
        </w:tc>
        <w:tc>
          <w:tcPr>
            <w:tcW w:w="0" w:type="dxa"/>
            <w:vAlign w:val="bottom"/>
          </w:tcPr>
          <w:p>
            <w:pPr>
              <w:spacing w:after="0"/>
              <w:rPr>
                <w:sz w:val="1"/>
                <w:szCs w:val="1"/>
                <w:color w:val="auto"/>
              </w:rPr>
            </w:pPr>
          </w:p>
        </w:tc>
      </w:tr>
      <w:tr>
        <w:trPr>
          <w:trHeight w:val="226"/>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4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share options</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0" w:type="dxa"/>
            <w:vAlign w:val="bottom"/>
          </w:tcPr>
          <w:p>
            <w:pPr>
              <w:spacing w:after="0"/>
              <w:rPr>
                <w:sz w:val="1"/>
                <w:szCs w:val="1"/>
                <w:color w:val="auto"/>
              </w:rPr>
            </w:pPr>
          </w:p>
        </w:tc>
      </w:tr>
      <w:tr>
        <w:trPr>
          <w:trHeight w:val="204"/>
        </w:trPr>
        <w:tc>
          <w:tcPr>
            <w:tcW w:w="512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Lynch*</w:t>
            </w:r>
          </w:p>
        </w:tc>
        <w:tc>
          <w:tcPr>
            <w:tcW w:w="342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3,200</w:t>
            </w: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Brendan Brennan**</w:t>
            </w:r>
          </w:p>
        </w:tc>
        <w:tc>
          <w:tcPr>
            <w:tcW w:w="34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2,420</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$33.06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$39.38</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John Climax**</w:t>
            </w:r>
          </w:p>
        </w:tc>
        <w:tc>
          <w:tcPr>
            <w:tcW w:w="34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12,000</w:t>
            </w:r>
          </w:p>
        </w:tc>
        <w:tc>
          <w:tcPr>
            <w:tcW w:w="14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$11.00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Ciaran Murray**</w:t>
            </w:r>
          </w:p>
        </w:tc>
        <w:tc>
          <w:tcPr>
            <w:tcW w:w="34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54,000</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$13.82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$37.63</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Ronan Lambe**</w:t>
            </w:r>
          </w:p>
        </w:tc>
        <w:tc>
          <w:tcPr>
            <w:tcW w:w="34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4,000</w:t>
            </w:r>
          </w:p>
        </w:tc>
        <w:tc>
          <w:tcPr>
            <w:tcW w:w="14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$11.00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Diarmaid Cunningham **</w:t>
            </w:r>
          </w:p>
        </w:tc>
        <w:tc>
          <w:tcPr>
            <w:tcW w:w="34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6,200</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$34.44</w:t>
            </w:r>
          </w:p>
        </w:tc>
        <w:tc>
          <w:tcPr>
            <w:tcW w:w="0" w:type="dxa"/>
            <w:vAlign w:val="bottom"/>
          </w:tcPr>
          <w:p>
            <w:pPr>
              <w:spacing w:after="0"/>
              <w:rPr>
                <w:sz w:val="1"/>
                <w:szCs w:val="1"/>
                <w:color w:val="auto"/>
              </w:rPr>
            </w:pPr>
          </w:p>
        </w:tc>
      </w:tr>
      <w:tr>
        <w:trPr>
          <w:trHeight w:val="188"/>
        </w:trPr>
        <w:tc>
          <w:tcPr>
            <w:tcW w:w="512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  Options exercised and shares held.</w:t>
            </w:r>
          </w:p>
        </w:tc>
        <w:tc>
          <w:tcPr>
            <w:tcW w:w="34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Options exercised and resulting shares sold.</w:t>
            </w:r>
          </w:p>
        </w:tc>
        <w:tc>
          <w:tcPr>
            <w:tcW w:w="3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Shares sold</w:t>
            </w:r>
          </w:p>
        </w:tc>
        <w:tc>
          <w:tcPr>
            <w:tcW w:w="3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Average Market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Price of Shares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Sold</w:t>
            </w:r>
          </w:p>
        </w:tc>
        <w:tc>
          <w:tcPr>
            <w:tcW w:w="0" w:type="dxa"/>
            <w:vAlign w:val="bottom"/>
          </w:tcPr>
          <w:p>
            <w:pPr>
              <w:spacing w:after="0"/>
              <w:rPr>
                <w:sz w:val="1"/>
                <w:szCs w:val="1"/>
                <w:color w:val="auto"/>
              </w:rPr>
            </w:pPr>
          </w:p>
        </w:tc>
      </w:tr>
      <w:tr>
        <w:trPr>
          <w:trHeight w:val="204"/>
        </w:trPr>
        <w:tc>
          <w:tcPr>
            <w:tcW w:w="512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Lynch</w:t>
            </w:r>
          </w:p>
        </w:tc>
        <w:tc>
          <w:tcPr>
            <w:tcW w:w="34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6,800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120" w:type="dxa"/>
            <w:vAlign w:val="bottom"/>
            <w:gridSpan w:val="2"/>
          </w:tcPr>
          <w:p>
            <w:pPr>
              <w:spacing w:after="0"/>
              <w:rPr>
                <w:sz w:val="17"/>
                <w:szCs w:val="17"/>
                <w:color w:val="auto"/>
              </w:rPr>
            </w:pPr>
          </w:p>
        </w:tc>
        <w:tc>
          <w:tcPr>
            <w:tcW w:w="3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John Climax</w:t>
            </w:r>
          </w:p>
        </w:tc>
        <w:tc>
          <w:tcPr>
            <w:tcW w:w="34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250,000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RSUs vested and sold</w:t>
            </w:r>
          </w:p>
        </w:tc>
        <w:tc>
          <w:tcPr>
            <w:tcW w:w="3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Average Market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Price of Shares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Sold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Ciaran Murray</w:t>
            </w:r>
          </w:p>
        </w:tc>
        <w:tc>
          <w:tcPr>
            <w:tcW w:w="3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50,000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price of the Company’s ordinary shares during the year ended 31 December 2013 moved in the range of $26.70 to $44.23 (year ended 31 December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range of $16.73 to $28.93). The closing share price at 31 December 2013 was $40.42 (at 31 December 2012 $27.76).</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 Payroll and related benefits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compensation table - Year ended 31 December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6591935</wp:posOffset>
            </wp:positionH>
            <wp:positionV relativeFrom="paragraph">
              <wp:posOffset>152400</wp:posOffset>
            </wp:positionV>
            <wp:extent cx="675640" cy="570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5640" cy="570230"/>
                    </a:xfrm>
                    <a:prstGeom prst="rect">
                      <a:avLst/>
                    </a:prstGeom>
                    <a:noFill/>
                  </pic:spPr>
                </pic:pic>
              </a:graphicData>
            </a:graphic>
          </wp:anchor>
        </w:drawing>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860" w:type="dxa"/>
            <w:vAlign w:val="bottom"/>
            <w:tcBorders>
              <w:top w:val="single" w:sz="8" w:color="auto"/>
              <w:left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Company Performance</w:t>
            </w:r>
          </w:p>
        </w:tc>
        <w:tc>
          <w:tcPr>
            <w:tcW w:w="86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related</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1860" w:type="dxa"/>
            <w:vAlign w:val="bottom"/>
            <w:tcBorders>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78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Salary contribution* compensation compensation</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Feescompensation</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Thomas Lynch**</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30</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Bruce Given***</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113</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Ciaran Murray</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713</w:t>
            </w: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89</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1,120</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3,390</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John Climax</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Ronan Lambe</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Dermot Kelleher</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Declan McKeon</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Cathrin Petty</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William Hall</w:t>
            </w:r>
          </w:p>
        </w:tc>
        <w:tc>
          <w:tcPr>
            <w:tcW w:w="68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2013</w:t>
            </w: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713</w:t>
            </w: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89</w:t>
            </w:r>
          </w:p>
        </w:tc>
        <w:tc>
          <w:tcPr>
            <w:tcW w:w="9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1,120</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1,952</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2,588</w:t>
            </w: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3,666</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7,052</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0" w:right="2780" w:firstLine="76"/>
        <w:spacing w:after="0" w:line="262" w:lineRule="auto"/>
        <w:tabs>
          <w:tab w:leader="none" w:pos="39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pension contributions above represent contributions paid by the Company to a defined contribution pension scheme. ** Appointed Chairman on 1 January 2013.</w:t>
      </w:r>
    </w:p>
    <w:p>
      <w:pPr>
        <w:ind w:left="40"/>
        <w:spacing w:after="0"/>
        <w:rPr>
          <w:sz w:val="20"/>
          <w:szCs w:val="20"/>
          <w:color w:val="auto"/>
        </w:rPr>
      </w:pPr>
      <w:r>
        <w:rPr>
          <w:rFonts w:ascii="Times New Roman" w:cs="Times New Roman" w:eastAsia="Times New Roman" w:hAnsi="Times New Roman"/>
          <w:sz w:val="17"/>
          <w:szCs w:val="17"/>
          <w:color w:val="auto"/>
        </w:rPr>
        <w:t>*** Retired on 22 July 2013.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 Payroll and related benefits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compensation table - Year ended 31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6591935</wp:posOffset>
            </wp:positionH>
            <wp:positionV relativeFrom="paragraph">
              <wp:posOffset>152400</wp:posOffset>
            </wp:positionV>
            <wp:extent cx="675640" cy="5702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5640" cy="570230"/>
                    </a:xfrm>
                    <a:prstGeom prst="rect">
                      <a:avLst/>
                    </a:prstGeom>
                    <a:noFill/>
                  </pic:spPr>
                </pic:pic>
              </a:graphicData>
            </a:graphic>
          </wp:anchor>
        </w:drawing>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860" w:type="dxa"/>
            <w:vAlign w:val="bottom"/>
            <w:tcBorders>
              <w:top w:val="single" w:sz="8" w:color="auto"/>
              <w:left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Company Performance</w:t>
            </w:r>
          </w:p>
        </w:tc>
        <w:tc>
          <w:tcPr>
            <w:tcW w:w="86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related</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0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1860" w:type="dxa"/>
            <w:vAlign w:val="bottom"/>
            <w:tcBorders>
              <w:left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78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Salary contribution* compensation compensation</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Subtotal</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Feescompensation</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0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Bruce Given**</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31</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Peter Gray***</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402</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50</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194</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651</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Ciaran Murray</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606</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863</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4,230****</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7,374</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2,085</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9,459</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John Climax</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14</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Ronan Lambe</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Thomas Lynch</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Dermot Kelleher</w:t>
            </w:r>
          </w:p>
        </w:tc>
        <w:tc>
          <w:tcPr>
            <w:tcW w:w="680" w:type="dxa"/>
            <w:vAlign w:val="bottom"/>
            <w:tcBorders>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c>
          <w:tcPr>
            <w:tcW w:w="9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Declan McKeon</w:t>
            </w:r>
          </w:p>
        </w:tc>
        <w:tc>
          <w:tcPr>
            <w:tcW w:w="6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Cathrin Petty</w:t>
            </w:r>
          </w:p>
        </w:tc>
        <w:tc>
          <w:tcPr>
            <w:tcW w:w="68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2012</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w:t>
            </w:r>
          </w:p>
        </w:tc>
        <w:tc>
          <w:tcPr>
            <w:tcW w:w="9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2012</w:t>
            </w:r>
          </w:p>
        </w:tc>
        <w:tc>
          <w:tcPr>
            <w:tcW w:w="8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1,008</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913</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4,424</w:t>
            </w: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c>
          <w:tcPr>
            <w:tcW w:w="1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6,400</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8,236</w:t>
            </w: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2,869</w:t>
            </w:r>
          </w:p>
        </w:tc>
        <w:tc>
          <w:tcPr>
            <w:tcW w:w="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11,802</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0" w:hanging="119"/>
        <w:spacing w:after="0"/>
        <w:tabs>
          <w:tab w:leader="none" w:pos="4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pension contributions above represent contributions paid by the Company to a defined contribution pension scheme.</w:t>
      </w:r>
    </w:p>
    <w:p>
      <w:pPr>
        <w:spacing w:after="0" w:line="26" w:lineRule="exact"/>
        <w:rPr>
          <w:rFonts w:ascii="Times New Roman" w:cs="Times New Roman" w:eastAsia="Times New Roman" w:hAnsi="Times New Roman"/>
          <w:sz w:val="17"/>
          <w:szCs w:val="17"/>
          <w:color w:val="auto"/>
        </w:rPr>
      </w:pPr>
    </w:p>
    <w:p>
      <w:pPr>
        <w:ind w:left="420" w:hanging="247"/>
        <w:spacing w:after="0"/>
        <w:tabs>
          <w:tab w:leader="none" w:pos="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Retired as Chairman on 31 December 2012.</w:t>
      </w:r>
    </w:p>
    <w:p>
      <w:pPr>
        <w:spacing w:after="0" w:line="9" w:lineRule="exact"/>
        <w:rPr>
          <w:rFonts w:ascii="Times New Roman" w:cs="Times New Roman" w:eastAsia="Times New Roman" w:hAnsi="Times New Roman"/>
          <w:sz w:val="17"/>
          <w:szCs w:val="17"/>
          <w:color w:val="auto"/>
        </w:rPr>
      </w:pPr>
    </w:p>
    <w:p>
      <w:pPr>
        <w:ind w:left="420" w:hanging="332"/>
        <w:spacing w:after="0"/>
        <w:tabs>
          <w:tab w:leader="none" w:pos="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Retired 19 July 2012.</w:t>
      </w:r>
    </w:p>
    <w:p>
      <w:pPr>
        <w:spacing w:after="0" w:line="9" w:lineRule="exact"/>
        <w:rPr>
          <w:rFonts w:ascii="Times New Roman" w:cs="Times New Roman" w:eastAsia="Times New Roman" w:hAnsi="Times New Roman"/>
          <w:sz w:val="17"/>
          <w:szCs w:val="17"/>
          <w:color w:val="auto"/>
        </w:rPr>
      </w:pPr>
    </w:p>
    <w:p>
      <w:pPr>
        <w:ind w:firstLine="2"/>
        <w:spacing w:after="0" w:line="263" w:lineRule="auto"/>
        <w:tabs>
          <w:tab w:leader="none" w:pos="38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 million ($5.5 million) which is made up of: €1,260,000 which was paid in March 2013, €1,485,000 which was paid in March 2014 and €1,485,000 of which is payable in March 2015.</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Retirement benefit obligations</w:t>
      </w:r>
    </w:p>
    <w:p>
      <w:pPr>
        <w:spacing w:after="0" w:line="24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 xml:space="preserve">The Group operates a number of defined contribution schemes and a defined benefit pension scheme. The Group accounts for pensions in accordance with IAS 19R </w:t>
      </w:r>
      <w:r>
        <w:rPr>
          <w:rFonts w:ascii="Times New Roman" w:cs="Times New Roman" w:eastAsia="Times New Roman" w:hAnsi="Times New Roman"/>
          <w:sz w:val="17"/>
          <w:szCs w:val="17"/>
          <w:i w:val="1"/>
          <w:iCs w:val="1"/>
          <w:color w:val="auto"/>
        </w:rPr>
        <w:t xml:space="preserve">Employee Benefits </w:t>
      </w:r>
      <w:r>
        <w:rPr>
          <w:rFonts w:ascii="Times New Roman" w:cs="Times New Roman" w:eastAsia="Times New Roman" w:hAnsi="Times New Roman"/>
          <w:sz w:val="17"/>
          <w:szCs w:val="17"/>
          <w:color w:val="auto"/>
        </w:rPr>
        <w:t>(“IAS 19R”).</w:t>
      </w:r>
    </w:p>
    <w:p>
      <w:pPr>
        <w:spacing w:after="0" w:line="178" w:lineRule="exact"/>
        <w:rPr>
          <w:sz w:val="20"/>
          <w:szCs w:val="20"/>
          <w:color w:val="auto"/>
        </w:rPr>
      </w:pPr>
    </w:p>
    <w:p>
      <w:pPr>
        <w:ind w:left="660" w:hanging="658"/>
        <w:spacing w:after="0"/>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Defined Contribution Schemes</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2013 and year ended 31 December 2012 were $20,293,000 and $18,187,000 respectively.</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Group matches 50% of each participant's contributions and each participant can contribute up to 6% of their annual compensation. Contributions to the U.S. Plan are recorded, in the year contributed, as an expense in the consolidated Income Statement. Contributions for the year ended 31 December 2013 and year ended 31 December 2012 were $9,816,000 and $8,442,000 respectively.</w:t>
      </w:r>
    </w:p>
    <w:p>
      <w:pPr>
        <w:spacing w:after="0" w:line="200" w:lineRule="exact"/>
        <w:rPr>
          <w:sz w:val="20"/>
          <w:szCs w:val="20"/>
          <w:color w:val="auto"/>
        </w:rPr>
      </w:pPr>
    </w:p>
    <w:p>
      <w:pPr>
        <w:ind w:left="660" w:hanging="658"/>
        <w:spacing w:after="0"/>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Defined Benefit Plans</w:t>
      </w:r>
    </w:p>
    <w:p>
      <w:pPr>
        <w:spacing w:after="0" w:line="2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One of the Group’s subsidiaries, ICON Development Solutions Limited, which was acquired by the Group in 2003, operates a defined benefit pension plan in the United Kingdom for certain of its employees, which is now closed to new members.</w:t>
      </w:r>
    </w:p>
    <w:p>
      <w:pPr>
        <w:spacing w:after="0" w:line="17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 plan is managed externally and the related pension costs and liabilities are assessed in accordance with the advice of a professionally qualified actuary. Plan assets at 31 December 2013 and 31 December 2012 consist of units held in independently administered funds.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assumptions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assumptions were used in determining the fair value of the plan assets and the present value of the projected benefit obligation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4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4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20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9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Inflation rate</w:t>
            </w:r>
          </w:p>
        </w:tc>
        <w:tc>
          <w:tcPr>
            <w:tcW w:w="49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3.50%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Future pension increases</w:t>
            </w:r>
          </w:p>
        </w:tc>
        <w:tc>
          <w:tcPr>
            <w:tcW w:w="49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3.40%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Future salary increases</w:t>
            </w:r>
          </w:p>
        </w:tc>
        <w:tc>
          <w:tcPr>
            <w:tcW w:w="4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4.00%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discount rate is determined by reference to UK long dated government and corporate bond yields at the balance sheet date. This is represented by the iboxx corporate bond over 15 year index plus 30 basis points. At 31 December 2013 the Company, with input from its actuarial advisors, refined its estimate of the discount rate used in calculating the benefit obligation and reduced the premium over iboxx from 50 basis points to 30 to reflect the change in the shape of the yield curve. This change had an impact of reducing the net obligation by $1,200,000.</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70" w:name="page71"/>
    <w:bookmarkEnd w:id="70"/>
    <w:p>
      <w:pPr>
        <w:ind w:left="100"/>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9. Retirement benefit obligations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following assumptions were used at the commencement of the year in determining the net periodic pension cost for the year ended 31 December 2013:</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9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4.60%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Future salary increases</w:t>
            </w:r>
          </w:p>
        </w:tc>
        <w:tc>
          <w:tcPr>
            <w:tcW w:w="4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3.40%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Mortality assumptions</w:t>
      </w:r>
    </w:p>
    <w:p>
      <w:pPr>
        <w:spacing w:after="0" w:line="244" w:lineRule="exact"/>
        <w:rPr>
          <w:sz w:val="20"/>
          <w:szCs w:val="20"/>
          <w:color w:val="auto"/>
        </w:rPr>
      </w:pPr>
    </w:p>
    <w:p>
      <w:pPr>
        <w:jc w:val="both"/>
        <w:ind w:left="100"/>
        <w:spacing w:after="0" w:line="267" w:lineRule="auto"/>
        <w:rPr>
          <w:sz w:val="20"/>
          <w:szCs w:val="20"/>
          <w:color w:val="auto"/>
        </w:rPr>
      </w:pPr>
      <w:r>
        <w:rPr>
          <w:rFonts w:ascii="Times New Roman" w:cs="Times New Roman" w:eastAsia="Times New Roman" w:hAnsi="Times New Roman"/>
          <w:sz w:val="17"/>
          <w:szCs w:val="17"/>
          <w:color w:val="auto"/>
        </w:rPr>
        <w:t>Assumptions regarding mortality experience are set based on actuarial advice in accordance with published statistics and experience. The mortality assumptions adopted at 31 December 2013 are 130% of the standard tables PNxA00, Year of Birth, no age rating for males and females, projected using long cohort improvements with a floor of 1.00% p.a. These imply the following life expectancies, for persons retiring at age 62:</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9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9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Male retiring in 2013</w:t>
            </w:r>
          </w:p>
        </w:tc>
        <w:tc>
          <w:tcPr>
            <w:tcW w:w="49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24.8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 years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Female retiring in 2013</w:t>
            </w:r>
          </w:p>
        </w:tc>
        <w:tc>
          <w:tcPr>
            <w:tcW w:w="49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27.4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Male retiring in 2033</w:t>
            </w:r>
          </w:p>
        </w:tc>
        <w:tc>
          <w:tcPr>
            <w:tcW w:w="49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26.8 years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Female retiring in 2033</w:t>
            </w:r>
          </w:p>
        </w:tc>
        <w:tc>
          <w:tcPr>
            <w:tcW w:w="4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29.3 years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 years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i w:val="1"/>
          <w:iCs w:val="1"/>
          <w:color w:val="auto"/>
        </w:rPr>
        <w:t>Consolidated Financial Statements</w:t>
      </w:r>
    </w:p>
    <w:p>
      <w:pPr>
        <w:spacing w:after="0" w:line="2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Movement in the net benefit obligation recognised in non-current other liabilities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7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Present Value of</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Fair Value of</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7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Obligations</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Plan Assets</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7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37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(22,527)</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17,807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Current service costs</w:t>
            </w:r>
          </w:p>
        </w:tc>
        <w:tc>
          <w:tcPr>
            <w:tcW w:w="37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(251)</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expense/(income)</w:t>
            </w:r>
          </w:p>
        </w:tc>
        <w:tc>
          <w:tcPr>
            <w:tcW w:w="37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(1,005)</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796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(23,783)</w:t>
            </w: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18,603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Re-measurements</w:t>
            </w:r>
          </w:p>
        </w:tc>
        <w:tc>
          <w:tcPr>
            <w:tcW w:w="3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Experience adjustment</w:t>
            </w:r>
          </w:p>
        </w:tc>
        <w:tc>
          <w:tcPr>
            <w:tcW w:w="37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2,119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Gain or loss from change in demographic assumptions</w:t>
            </w:r>
          </w:p>
        </w:tc>
        <w:tc>
          <w:tcPr>
            <w:tcW w:w="37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or loss from change in financial assumptions</w:t>
            </w:r>
          </w:p>
        </w:tc>
        <w:tc>
          <w:tcPr>
            <w:tcW w:w="37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(680)</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(680)</w:t>
            </w: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2,119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differences</w:t>
            </w:r>
          </w:p>
        </w:tc>
        <w:tc>
          <w:tcPr>
            <w:tcW w:w="37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(525)</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505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Contributions:</w:t>
            </w:r>
          </w:p>
        </w:tc>
        <w:tc>
          <w:tcPr>
            <w:tcW w:w="3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vMerge w:val="continue"/>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Employers</w:t>
            </w:r>
          </w:p>
        </w:tc>
        <w:tc>
          <w:tcPr>
            <w:tcW w:w="37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225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Plan participants</w:t>
            </w:r>
          </w:p>
        </w:tc>
        <w:tc>
          <w:tcPr>
            <w:tcW w:w="37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(75)</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75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 payments</w:t>
            </w:r>
          </w:p>
        </w:tc>
        <w:tc>
          <w:tcPr>
            <w:tcW w:w="37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105</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(105)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30</w:t>
            </w: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195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37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(24,958)</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21,422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700" w:type="dxa"/>
            <w:vAlign w:val="bottom"/>
          </w:tcPr>
          <w:p>
            <w:pPr>
              <w:jc w:val="right"/>
              <w:ind w:right="2495"/>
              <w:spacing w:after="0"/>
              <w:rPr>
                <w:sz w:val="20"/>
                <w:szCs w:val="20"/>
                <w:color w:val="auto"/>
              </w:rPr>
            </w:pPr>
            <w:r>
              <w:rPr>
                <w:rFonts w:ascii="Times New Roman" w:cs="Times New Roman" w:eastAsia="Times New Roman" w:hAnsi="Times New Roman"/>
                <w:sz w:val="17"/>
                <w:szCs w:val="17"/>
                <w:color w:val="auto"/>
              </w:rPr>
              <w:t>53</w:t>
            </w: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7308215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140" w:top="49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9. Retirement benefit obligations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Present Value of</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Fair Value of</w:t>
            </w: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Obligations</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Plan Assets</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1 January 2012 (</w:t>
            </w:r>
            <w:r>
              <w:rPr>
                <w:rFonts w:ascii="Times New Roman" w:cs="Times New Roman" w:eastAsia="Times New Roman" w:hAnsi="Times New Roman"/>
                <w:sz w:val="17"/>
                <w:szCs w:val="17"/>
                <w:b w:val="1"/>
                <w:bCs w:val="1"/>
                <w:i w:val="1"/>
                <w:iCs w:val="1"/>
                <w:color w:val="auto"/>
              </w:rPr>
              <w:t>Restated)</w:t>
            </w:r>
          </w:p>
        </w:tc>
        <w:tc>
          <w:tcPr>
            <w:tcW w:w="31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(19,924)</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15,021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Current service costs</w:t>
            </w: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(242)</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(expense)/income</w:t>
            </w:r>
          </w:p>
        </w:tc>
        <w:tc>
          <w:tcPr>
            <w:tcW w:w="31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(964)</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730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Expenses</w:t>
            </w:r>
          </w:p>
        </w:tc>
        <w:tc>
          <w:tcPr>
            <w:tcW w:w="3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(56)</w:t>
            </w: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(21,186)</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15,751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Re-measurements</w:t>
            </w:r>
          </w:p>
        </w:tc>
        <w:tc>
          <w:tcPr>
            <w:tcW w:w="3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Experience adjustment</w:t>
            </w: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1,137</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or loss from change in demographic assumptions</w:t>
            </w:r>
          </w:p>
        </w:tc>
        <w:tc>
          <w:tcPr>
            <w:tcW w:w="31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Gain or loss from change in financial assumptions</w:t>
            </w: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(348)</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Experience gains or losses</w:t>
            </w:r>
          </w:p>
        </w:tc>
        <w:tc>
          <w:tcPr>
            <w:tcW w:w="31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(57)</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(405)</w:t>
            </w: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1,137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differences</w:t>
            </w:r>
          </w:p>
        </w:tc>
        <w:tc>
          <w:tcPr>
            <w:tcW w:w="31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(1,128)</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872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Contributions:</w:t>
            </w:r>
          </w:p>
        </w:tc>
        <w:tc>
          <w:tcPr>
            <w:tcW w:w="3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Employers</w:t>
            </w:r>
          </w:p>
        </w:tc>
        <w:tc>
          <w:tcPr>
            <w:tcW w:w="31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239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7"/>
                <w:szCs w:val="17"/>
                <w:color w:val="auto"/>
              </w:rPr>
              <w:t>- Plan participants</w:t>
            </w:r>
          </w:p>
        </w:tc>
        <w:tc>
          <w:tcPr>
            <w:tcW w:w="31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(101)</w:t>
            </w:r>
          </w:p>
        </w:tc>
        <w:tc>
          <w:tcPr>
            <w:tcW w:w="194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Benefit payments</w:t>
            </w:r>
          </w:p>
        </w:tc>
        <w:tc>
          <w:tcPr>
            <w:tcW w:w="31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293</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(293)</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192</w:t>
            </w:r>
          </w:p>
        </w:tc>
        <w:tc>
          <w:tcPr>
            <w:tcW w:w="1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47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2012 Restated</w:t>
            </w:r>
          </w:p>
        </w:tc>
        <w:tc>
          <w:tcPr>
            <w:tcW w:w="31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(22,527)</w:t>
            </w:r>
          </w:p>
        </w:tc>
        <w:tc>
          <w:tcPr>
            <w:tcW w:w="194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17,807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Re-measurements are recognised in the Consolidated Statement of Other Comprehensive Income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74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7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47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47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Return on Plan Assets (excl. amounts included in Interest income/expense)</w:t>
            </w:r>
          </w:p>
        </w:tc>
        <w:tc>
          <w:tcPr>
            <w:tcW w:w="47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2,119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Loss from change in financial assumptions</w:t>
            </w:r>
          </w:p>
        </w:tc>
        <w:tc>
          <w:tcPr>
            <w:tcW w:w="47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(680)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Experience loss</w:t>
            </w:r>
          </w:p>
        </w:tc>
        <w:tc>
          <w:tcPr>
            <w:tcW w:w="474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Comprehensive income at end of year</w:t>
            </w:r>
          </w:p>
        </w:tc>
        <w:tc>
          <w:tcPr>
            <w:tcW w:w="474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1,439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740" w:type="dxa"/>
            <w:vAlign w:val="bottom"/>
          </w:tcPr>
          <w:p>
            <w:pPr>
              <w:jc w:val="right"/>
              <w:ind w:right="4235"/>
              <w:spacing w:after="0"/>
              <w:rPr>
                <w:sz w:val="20"/>
                <w:szCs w:val="20"/>
                <w:color w:val="auto"/>
              </w:rPr>
            </w:pPr>
            <w:r>
              <w:rPr>
                <w:rFonts w:ascii="Times New Roman" w:cs="Times New Roman" w:eastAsia="Times New Roman" w:hAnsi="Times New Roman"/>
                <w:sz w:val="17"/>
                <w:szCs w:val="17"/>
                <w:color w:val="auto"/>
              </w:rPr>
              <w:t>54</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 Retirement benefit obligations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Defined benefit pension expense recognised in the Consolidated Income Statement was as follows:</w:t>
            </w:r>
          </w:p>
        </w:tc>
        <w:tc>
          <w:tcPr>
            <w:tcW w:w="2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36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360" w:type="dxa"/>
            <w:vAlign w:val="bottom"/>
            <w:vMerge w:val="continue"/>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3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3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3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service cost recognised in profit or loss</w:t>
            </w:r>
          </w:p>
        </w:tc>
        <w:tc>
          <w:tcPr>
            <w:tcW w:w="23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251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7"/>
                <w:szCs w:val="17"/>
                <w:color w:val="auto"/>
              </w:rPr>
              <w:t>Net Interest expense recognised in profit or loss</w:t>
            </w:r>
          </w:p>
        </w:tc>
        <w:tc>
          <w:tcPr>
            <w:tcW w:w="23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209</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Expenses recognised in profit or loss</w:t>
            </w:r>
          </w:p>
        </w:tc>
        <w:tc>
          <w:tcPr>
            <w:tcW w:w="23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periodic pension cost</w:t>
            </w:r>
          </w:p>
        </w:tc>
        <w:tc>
          <w:tcPr>
            <w:tcW w:w="23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460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Plan Assets Fair Value</w:t>
            </w:r>
          </w:p>
        </w:tc>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fair value of plan assets at 31 December 2013 is analysed as follows:</w:t>
            </w:r>
          </w:p>
        </w:tc>
        <w:tc>
          <w:tcPr>
            <w:tcW w:w="236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3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23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 funds</w:t>
            </w:r>
          </w:p>
        </w:tc>
        <w:tc>
          <w:tcPr>
            <w:tcW w:w="23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21,422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assets of the scheme are invested in a unitised with profits policy. The plan’s assets do not include any of the Group’s own financial instruments, nor any property occupied by, or other assets used by the Group.</w:t>
      </w:r>
    </w:p>
    <w:p>
      <w:pPr>
        <w:jc w:val="both"/>
        <w:spacing w:after="0" w:line="263" w:lineRule="auto"/>
        <w:rPr>
          <w:sz w:val="20"/>
          <w:szCs w:val="20"/>
          <w:color w:val="auto"/>
        </w:rPr>
      </w:pPr>
      <w:r>
        <w:rPr>
          <w:rFonts w:ascii="Times New Roman" w:cs="Times New Roman" w:eastAsia="Times New Roman" w:hAnsi="Times New Roman"/>
          <w:sz w:val="17"/>
          <w:szCs w:val="17"/>
          <w:color w:val="auto"/>
        </w:rPr>
        <w:t>At 31 December 2013 UK gilts were yielding around 3.6% per annum. This is often referred to as the risk free rate of return as UK gilts have a negligible risk of default and the income payments and capital on redemption are guaranteed by the UK Government.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underlying asset split of the funds at 31 December 2013 and 31 December 2012 was as follows:</w:t>
            </w:r>
          </w:p>
        </w:tc>
        <w:tc>
          <w:tcPr>
            <w:tcW w:w="2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Equities</w:t>
            </w:r>
          </w:p>
        </w:tc>
        <w:tc>
          <w:tcPr>
            <w:tcW w:w="2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Bonds</w:t>
            </w:r>
          </w:p>
        </w:tc>
        <w:tc>
          <w:tcPr>
            <w:tcW w:w="23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funds which contain the equity element are Diversified Growth and Absolute Return funds. These are actively managed with a wide investment remit which results in a dynamic asset allocation. The dynamic nature of these funds is such that the split, at a given date, does not necessarily distinguish the nature and risks of those assets, given the potential for the asset allocation to change.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ind w:right="8140" w:firstLine="2"/>
        <w:spacing w:after="0" w:line="538" w:lineRule="auto"/>
        <w:tabs>
          <w:tab w:leader="none" w:pos="213"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Retirement benefit obligations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Sensitivity assumptions</w:t>
      </w:r>
    </w:p>
    <w:p>
      <w:pPr>
        <w:spacing w:after="0"/>
        <w:rPr>
          <w:sz w:val="20"/>
          <w:szCs w:val="20"/>
          <w:color w:val="auto"/>
        </w:rPr>
      </w:pPr>
      <w:r>
        <w:rPr>
          <w:rFonts w:ascii="Times New Roman" w:cs="Times New Roman" w:eastAsia="Times New Roman" w:hAnsi="Times New Roman"/>
          <w:sz w:val="17"/>
          <w:szCs w:val="17"/>
          <w:color w:val="auto"/>
        </w:rPr>
        <w:t>The sensitivity of the defined benefit obligation to changes in the weighted principal assumptions is: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860" w:type="dxa"/>
            <w:vAlign w:val="bottom"/>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rPr>
              <w:t>Change in Assumption</w:t>
            </w:r>
          </w:p>
        </w:tc>
        <w:tc>
          <w:tcPr>
            <w:tcW w:w="352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rPr>
              <w:t>Change in Liabilities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86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7"/>
                <w:szCs w:val="17"/>
                <w:color w:val="auto"/>
              </w:rPr>
              <w:t>Decrease of 0.25% p.a.</w:t>
            </w:r>
          </w:p>
        </w:tc>
        <w:tc>
          <w:tcPr>
            <w:tcW w:w="352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rPr>
              <w:t>Increase by 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Rate of Inflation</w:t>
            </w:r>
          </w:p>
        </w:tc>
        <w:tc>
          <w:tcPr>
            <w:tcW w:w="4860" w:type="dxa"/>
            <w:vAlign w:val="bottom"/>
          </w:tcPr>
          <w:p>
            <w:pPr>
              <w:jc w:val="center"/>
              <w:ind w:left="535"/>
              <w:spacing w:after="0"/>
              <w:rPr>
                <w:sz w:val="20"/>
                <w:szCs w:val="20"/>
                <w:color w:val="auto"/>
              </w:rPr>
            </w:pPr>
            <w:r>
              <w:rPr>
                <w:rFonts w:ascii="Times New Roman" w:cs="Times New Roman" w:eastAsia="Times New Roman" w:hAnsi="Times New Roman"/>
                <w:sz w:val="17"/>
                <w:szCs w:val="17"/>
                <w:color w:val="auto"/>
                <w:w w:val="99"/>
              </w:rPr>
              <w:t>Increase of 0.25% p.a.</w:t>
            </w:r>
          </w:p>
        </w:tc>
        <w:tc>
          <w:tcPr>
            <w:tcW w:w="352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rPr>
              <w:t>Increase by 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Rate of Salary Growth</w:t>
            </w:r>
          </w:p>
        </w:tc>
        <w:tc>
          <w:tcPr>
            <w:tcW w:w="486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7"/>
                <w:szCs w:val="17"/>
                <w:color w:val="auto"/>
                <w:w w:val="99"/>
              </w:rPr>
              <w:t>Increase of 0.25% p.a.</w:t>
            </w:r>
          </w:p>
        </w:tc>
        <w:tc>
          <w:tcPr>
            <w:tcW w:w="352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rPr>
              <w:t>Increase by 1.2%</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Rate of Mortality</w:t>
            </w:r>
          </w:p>
        </w:tc>
        <w:tc>
          <w:tcPr>
            <w:tcW w:w="486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7"/>
                <w:szCs w:val="17"/>
                <w:color w:val="auto"/>
              </w:rPr>
              <w:t>Increase in life expectancy of 1 year</w:t>
            </w:r>
          </w:p>
        </w:tc>
        <w:tc>
          <w:tcPr>
            <w:tcW w:w="35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7"/>
                <w:szCs w:val="17"/>
                <w:color w:val="auto"/>
              </w:rPr>
              <w:t>Increase by 2.6%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The sensitivities shown above are approximate. Each sensitivity considers one change in isolation. The inflation sensitivity includes the impact of changes to the assumptions for revaluation, pension increases and salary growth. The average duration of the defined benefit obligation at the period ending 31 December 2013 is 26 years.</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plan typically exposes the Company to actuarial risks such as investment risk, interest rate risk, salary growth risk, mortality risk and longevity risk. A decrease in corporate bond yields, a rise in inflation or an increase in life expectancy would result in an increase to plan liabilities. This would detrimentally impact the balance sheet position and may give rise to increased charges in future income statements. This effect would be partially offset by an increase in the value of the plan’s bond holdings, and in qualifying death in service insurance policies that cover mortality risk. Additionally, caps on inflationary increases are in place to protect the plan against extreme inflation.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and Maturity Profiles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Group expects to contribute approximately $0.2 million of normal contribution to the defined benefit pension scheme for the year ended 31 December 2014. The average duration of the defined benefit obligation at the period ending 31 December 2013 is 26 years.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Share based payments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Options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On 17 January 2003 the Company adopted the Share Option Plan 2003 (“the 2003 Plan”), pursuant to which the Compensation and Organisation Committee of the Company’s Board of Director’s may grant options to employees of the Company or its subsidiaries for the purchase of ordinary shares.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 aggregate of 6.0 million ordinary shares have been reserved under the 2003 Plan; and, in no event can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The 2003 Share Option Plan expired on 17 January 2013. No new options may be granted under this plan.</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 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The options are awarded at the share price on grant date and vest over a service period.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21 July 2018.</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out below is a summary of the total number of options outstanding and number of options available to grant under each plan as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1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46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Available to Grant</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16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31 December</w:t>
            </w:r>
          </w:p>
        </w:tc>
        <w:tc>
          <w:tcPr>
            <w:tcW w:w="208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16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2012</w:t>
            </w:r>
          </w:p>
        </w:tc>
        <w:tc>
          <w:tcPr>
            <w:tcW w:w="208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1998</w:t>
            </w: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 Term Incentive Plan</w:t>
            </w:r>
          </w:p>
        </w:tc>
        <w:tc>
          <w:tcPr>
            <w:tcW w:w="316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167,550</w:t>
            </w:r>
          </w:p>
        </w:tc>
        <w:tc>
          <w:tcPr>
            <w:tcW w:w="1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331,490</w:t>
            </w:r>
          </w:p>
        </w:tc>
        <w:tc>
          <w:tcPr>
            <w:tcW w:w="208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2003</w:t>
            </w: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Stock Option Plan</w:t>
            </w:r>
          </w:p>
        </w:tc>
        <w:tc>
          <w:tcPr>
            <w:tcW w:w="316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1,295,528</w:t>
            </w: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2,390,757</w:t>
            </w:r>
          </w:p>
        </w:tc>
        <w:tc>
          <w:tcPr>
            <w:tcW w:w="2080" w:type="dxa"/>
            <w:vAlign w:val="bottom"/>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2008</w:t>
            </w:r>
          </w:p>
        </w:tc>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Plans</w:t>
            </w:r>
          </w:p>
        </w:tc>
        <w:tc>
          <w:tcPr>
            <w:tcW w:w="31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1,510,710</w:t>
            </w:r>
          </w:p>
        </w:tc>
        <w:tc>
          <w:tcPr>
            <w:tcW w:w="1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1,628,384</w:t>
            </w:r>
          </w:p>
        </w:tc>
        <w:tc>
          <w:tcPr>
            <w:tcW w:w="208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4,205,940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87"/>
              </w:rPr>
              <w:t>Total</w:t>
            </w:r>
          </w:p>
        </w:tc>
        <w:tc>
          <w:tcPr>
            <w:tcW w:w="3380" w:type="dxa"/>
            <w:vAlign w:val="bottom"/>
            <w:tcBorders>
              <w:bottom w:val="single" w:sz="8" w:color="auto"/>
            </w:tcBorders>
            <w:shd w:val="clear" w:color="auto" w:fill="CCEEFF"/>
          </w:tcPr>
          <w:p>
            <w:pPr>
              <w:spacing w:after="0"/>
              <w:rPr>
                <w:sz w:val="18"/>
                <w:szCs w:val="18"/>
                <w:color w:val="auto"/>
              </w:rPr>
            </w:pPr>
          </w:p>
        </w:tc>
        <w:tc>
          <w:tcPr>
            <w:tcW w:w="31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2,973,788</w:t>
            </w:r>
          </w:p>
        </w:tc>
        <w:tc>
          <w:tcPr>
            <w:tcW w:w="1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4,350,631</w:t>
            </w:r>
          </w:p>
        </w:tc>
        <w:tc>
          <w:tcPr>
            <w:tcW w:w="208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4,205,940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1998 Long Term Incentive Plan expired on 14 January 2008 and no further options may be granted under this plan.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2003 Share Option Plan expired on 17 January 2013 and no further options may be granted under this plan.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10. Share based payments </w:t>
            </w:r>
            <w:r>
              <w:rPr>
                <w:rFonts w:ascii="Times New Roman" w:cs="Times New Roman" w:eastAsia="Times New Roman" w:hAnsi="Times New Roman"/>
                <w:sz w:val="17"/>
                <w:szCs w:val="17"/>
                <w:b w:val="1"/>
                <w:bCs w:val="1"/>
                <w:i w:val="1"/>
                <w:iCs w:val="1"/>
                <w:color w:val="auto"/>
              </w:rPr>
              <w:t>(continued)</w:t>
            </w:r>
          </w:p>
        </w:tc>
        <w:tc>
          <w:tcPr>
            <w:tcW w:w="2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7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total number of share options outstanding and exercisable at 31 December 2013 is as follows:</w:t>
            </w:r>
          </w:p>
        </w:tc>
        <w:tc>
          <w:tcPr>
            <w:tcW w:w="2220" w:type="dxa"/>
            <w:vAlign w:val="bottom"/>
          </w:tcPr>
          <w:p>
            <w:pPr>
              <w:spacing w:after="0"/>
              <w:rPr>
                <w:sz w:val="24"/>
                <w:szCs w:val="24"/>
                <w:color w:val="auto"/>
              </w:rPr>
            </w:pPr>
          </w:p>
        </w:tc>
        <w:tc>
          <w:tcPr>
            <w:tcW w:w="156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2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22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409"/>
        </w:trPr>
        <w:tc>
          <w:tcPr>
            <w:tcW w:w="20" w:type="dxa"/>
            <w:vAlign w:val="bottom"/>
            <w:vMerge w:val="restart"/>
          </w:tcPr>
          <w:p>
            <w:pPr>
              <w:spacing w:after="0"/>
              <w:rPr>
                <w:sz w:val="24"/>
                <w:szCs w:val="24"/>
                <w:color w:val="auto"/>
              </w:rPr>
            </w:pPr>
          </w:p>
        </w:tc>
        <w:tc>
          <w:tcPr>
            <w:tcW w:w="76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31 December 2011</w:t>
            </w:r>
          </w:p>
        </w:tc>
        <w:tc>
          <w:tcPr>
            <w:tcW w:w="222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4,902,818</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22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842,273</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22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(890,236)</w:t>
            </w: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22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(504,224)</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$25.14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31 December 2012</w:t>
            </w:r>
          </w:p>
        </w:tc>
        <w:tc>
          <w:tcPr>
            <w:tcW w:w="222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4,350,631</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$23.01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22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264,950</w:t>
            </w:r>
          </w:p>
        </w:tc>
        <w:tc>
          <w:tcPr>
            <w:tcW w:w="15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22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(1,249,759)</w:t>
            </w:r>
          </w:p>
        </w:tc>
        <w:tc>
          <w:tcPr>
            <w:tcW w:w="15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22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(392,034)</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$25.27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 at 31 December 2013</w:t>
            </w:r>
          </w:p>
        </w:tc>
        <w:tc>
          <w:tcPr>
            <w:tcW w:w="222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2,973,788</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$24.20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Exercisable at 31 December 2013</w:t>
            </w:r>
          </w:p>
        </w:tc>
        <w:tc>
          <w:tcPr>
            <w:tcW w:w="222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1,505,707</w:t>
            </w:r>
          </w:p>
        </w:tc>
        <w:tc>
          <w:tcPr>
            <w:tcW w:w="15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$24.92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The weighted average market price of the Company’s shares on date of exercise of share options during the year ended 31 December 2013 was $36.21 (31 December 2012: $24.70).</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10. Share based payments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December 2013, the range of exercise prices and weighted average remaining contractual life of outstanding and exercisable options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60" w:type="dxa"/>
            <w:vAlign w:val="bottom"/>
          </w:tcPr>
          <w:p>
            <w:pPr>
              <w:spacing w:after="0"/>
              <w:rPr>
                <w:sz w:val="19"/>
                <w:szCs w:val="19"/>
                <w:color w:val="auto"/>
              </w:rPr>
            </w:pPr>
          </w:p>
        </w:tc>
        <w:tc>
          <w:tcPr>
            <w:tcW w:w="3700" w:type="dxa"/>
            <w:vAlign w:val="bottom"/>
            <w:gridSpan w:val="2"/>
          </w:tcPr>
          <w:p>
            <w:pPr>
              <w:jc w:val="right"/>
              <w:ind w:right="1535"/>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9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Options Exercisable</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Range</w:t>
            </w:r>
          </w:p>
        </w:tc>
        <w:tc>
          <w:tcPr>
            <w:tcW w:w="1680" w:type="dxa"/>
            <w:vAlign w:val="bottom"/>
          </w:tcPr>
          <w:p>
            <w:pPr>
              <w:spacing w:after="0"/>
              <w:rPr>
                <w:sz w:val="17"/>
                <w:szCs w:val="17"/>
                <w:color w:val="auto"/>
              </w:rPr>
            </w:pP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21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226"/>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$11.00</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24,140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0.09</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$11.00</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24,140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$15.47</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180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3.33</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$15.47</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$15.84</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50,000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3.33</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$15.84</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40,000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$16.80</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150,000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5.83</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$16.80</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60,000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$17.17</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5.85</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$17.17</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12,000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$18.00</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24,000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0.83</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$18.00</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24,000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$18.98</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6,600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2.87</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$18.98</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6,600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$19.45</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15,000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4.82</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$19.45</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1,800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$20.16</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4.87</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$20.16</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1,200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$20.28</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457,871</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5.17</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$20.28</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177,987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$20.59</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162,000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6.14</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$20.59</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20,400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$21.25</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231,751</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1.12</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$21.25</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231,751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$22.10</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3.56</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$22.10</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$22.26</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233,927</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3.15</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$22.26</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155,161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$22.30</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475,333</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6.32</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$22.30</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82,326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$23.66</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8,900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6.57</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$23.66</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1,780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$24.25</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100,000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4.18</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$24.25</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100,000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$24.46</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343,677</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4.17</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$24.46</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172,209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$26.20</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2,400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4.38</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$26.20</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1,440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$26.71</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7,650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6.70</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$26.71</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4,090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$29.45</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3,000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4.32</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$29.45</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1,800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$31.49</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12,450</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7.16</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$31.49</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$32.37</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200,203</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7.33</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$32.37</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2,500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$35.33</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377,523</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2.15</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$35.33</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377,523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$36.05</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6,000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2.40</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$36.05</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6,000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$36.22</w:t>
            </w: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37,483</w:t>
            </w:r>
          </w:p>
        </w:tc>
        <w:tc>
          <w:tcPr>
            <w:tcW w:w="20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7.46</w:t>
            </w:r>
          </w:p>
        </w:tc>
        <w:tc>
          <w:tcPr>
            <w:tcW w:w="196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$36.22</w:t>
            </w:r>
          </w:p>
        </w:tc>
        <w:tc>
          <w:tcPr>
            <w:tcW w:w="21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$37.90</w:t>
            </w:r>
          </w:p>
        </w:tc>
        <w:tc>
          <w:tcPr>
            <w:tcW w:w="16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10,300</w:t>
            </w:r>
          </w:p>
        </w:tc>
        <w:tc>
          <w:tcPr>
            <w:tcW w:w="20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7.93</w:t>
            </w:r>
          </w:p>
        </w:tc>
        <w:tc>
          <w:tcPr>
            <w:tcW w:w="19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$37.90</w:t>
            </w:r>
          </w:p>
        </w:tc>
        <w:tc>
          <w:tcPr>
            <w:tcW w:w="218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$41.25</w:t>
            </w:r>
          </w:p>
        </w:tc>
        <w:tc>
          <w:tcPr>
            <w:tcW w:w="1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rPr>
              <w:t>1,000</w:t>
            </w:r>
          </w:p>
        </w:tc>
        <w:tc>
          <w:tcPr>
            <w:tcW w:w="2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2.67</w:t>
            </w:r>
          </w:p>
        </w:tc>
        <w:tc>
          <w:tcPr>
            <w:tcW w:w="1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$41.25</w:t>
            </w:r>
          </w:p>
        </w:tc>
        <w:tc>
          <w:tcPr>
            <w:tcW w:w="21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rPr>
              <w:t>1,000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46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$11.00 - $41.25</w:t>
            </w:r>
          </w:p>
        </w:tc>
        <w:tc>
          <w:tcPr>
            <w:tcW w:w="16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2,973,788</w:t>
            </w:r>
          </w:p>
        </w:tc>
        <w:tc>
          <w:tcPr>
            <w:tcW w:w="20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4.52</w:t>
            </w:r>
          </w:p>
        </w:tc>
        <w:tc>
          <w:tcPr>
            <w:tcW w:w="19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$24.20</w:t>
            </w:r>
          </w:p>
        </w:tc>
        <w:tc>
          <w:tcPr>
            <w:tcW w:w="218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rPr>
              <w:t>1,505,707</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59</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4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ind w:right="8680" w:firstLine="2"/>
        <w:spacing w:after="0" w:line="538" w:lineRule="auto"/>
        <w:tabs>
          <w:tab w:leader="none" w:pos="256"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based payments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Share option fair values</w:t>
      </w:r>
    </w:p>
    <w:p>
      <w:pPr>
        <w:spacing w:after="0"/>
        <w:rPr>
          <w:sz w:val="20"/>
          <w:szCs w:val="20"/>
          <w:color w:val="auto"/>
        </w:rPr>
      </w:pPr>
      <w:r>
        <w:rPr>
          <w:rFonts w:ascii="Times New Roman" w:cs="Times New Roman" w:eastAsia="Times New Roman" w:hAnsi="Times New Roman"/>
          <w:sz w:val="17"/>
          <w:szCs w:val="17"/>
          <w:color w:val="auto"/>
        </w:rPr>
        <w:t>The overall weighted average fair value of share options granted by the Company during the year ended 31 December 2013 was $12.17 based on the following grants: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gridSpan w:val="2"/>
          </w:tcPr>
          <w:p>
            <w:pPr>
              <w:jc w:val="right"/>
              <w:ind w:right="1395"/>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3500" w:type="dxa"/>
            <w:vAlign w:val="bottom"/>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500" w:type="dxa"/>
            <w:vAlign w:val="bottom"/>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205"/>
        </w:trPr>
        <w:tc>
          <w:tcPr>
            <w:tcW w:w="5380" w:type="dxa"/>
            <w:vAlign w:val="bottom"/>
            <w:gridSpan w:val="2"/>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rPr>
              <w:t>1 Mar 13</w:t>
            </w:r>
          </w:p>
        </w:tc>
        <w:tc>
          <w:tcPr>
            <w:tcW w:w="350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7"/>
                <w:szCs w:val="17"/>
                <w:color w:val="auto"/>
              </w:rPr>
              <w:t>12,450</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4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rPr>
              <w:t>May 13</w:t>
            </w:r>
          </w:p>
        </w:tc>
        <w:tc>
          <w:tcPr>
            <w:tcW w:w="3500" w:type="dxa"/>
            <w:vAlign w:val="bottom"/>
          </w:tcPr>
          <w:p>
            <w:pPr>
              <w:jc w:val="right"/>
              <w:ind w:right="1135"/>
              <w:spacing w:after="0"/>
              <w:rPr>
                <w:sz w:val="20"/>
                <w:szCs w:val="20"/>
                <w:color w:val="auto"/>
              </w:rPr>
            </w:pPr>
            <w:r>
              <w:rPr>
                <w:rFonts w:ascii="Times New Roman" w:cs="Times New Roman" w:eastAsia="Times New Roman" w:hAnsi="Times New Roman"/>
                <w:sz w:val="17"/>
                <w:szCs w:val="17"/>
                <w:color w:val="auto"/>
              </w:rPr>
              <w:t>200,203</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4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rPr>
              <w:t>June 13</w:t>
            </w:r>
          </w:p>
        </w:tc>
        <w:tc>
          <w:tcPr>
            <w:tcW w:w="350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7"/>
                <w:szCs w:val="17"/>
                <w:color w:val="auto"/>
              </w:rPr>
              <w:t>40,997</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80" w:type="dxa"/>
            <w:vAlign w:val="bottom"/>
            <w:tcBorders>
              <w:bottom w:val="single" w:sz="8" w:color="auto"/>
            </w:tcBorders>
            <w:gridSpan w:val="2"/>
          </w:tcPr>
          <w:p>
            <w:pPr>
              <w:jc w:val="right"/>
              <w:ind w:right="1395"/>
              <w:spacing w:after="0"/>
              <w:rPr>
                <w:sz w:val="20"/>
                <w:szCs w:val="20"/>
                <w:color w:val="auto"/>
              </w:rPr>
            </w:pPr>
            <w:r>
              <w:rPr>
                <w:rFonts w:ascii="Times New Roman" w:cs="Times New Roman" w:eastAsia="Times New Roman" w:hAnsi="Times New Roman"/>
                <w:sz w:val="17"/>
                <w:szCs w:val="17"/>
                <w:color w:val="auto"/>
              </w:rPr>
              <w:t>05 Dec 13</w:t>
            </w:r>
          </w:p>
        </w:tc>
        <w:tc>
          <w:tcPr>
            <w:tcW w:w="350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7"/>
                <w:szCs w:val="17"/>
                <w:color w:val="auto"/>
              </w:rPr>
              <w:t>11,300</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264,950</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33.09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overall weighted average fair value of share options granted by the Company during the year ended 31 December 2012 was $9.70 based on the following grants: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80" w:type="dxa"/>
            <w:vAlign w:val="bottom"/>
          </w:tcPr>
          <w:p>
            <w:pPr>
              <w:jc w:val="right"/>
              <w:ind w:right="1395"/>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3500" w:type="dxa"/>
            <w:vAlign w:val="bottom"/>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225"/>
        </w:trPr>
        <w:tc>
          <w:tcPr>
            <w:tcW w:w="5380" w:type="dxa"/>
            <w:vAlign w:val="bottom"/>
          </w:tcPr>
          <w:p>
            <w:pPr>
              <w:spacing w:after="0"/>
              <w:rPr>
                <w:sz w:val="19"/>
                <w:szCs w:val="19"/>
                <w:color w:val="auto"/>
              </w:rPr>
            </w:pPr>
          </w:p>
        </w:tc>
        <w:tc>
          <w:tcPr>
            <w:tcW w:w="3500" w:type="dxa"/>
            <w:vAlign w:val="bottom"/>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rPr>
              <w:t>22-Feb-12</w:t>
            </w:r>
          </w:p>
        </w:tc>
        <w:tc>
          <w:tcPr>
            <w:tcW w:w="350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7"/>
                <w:szCs w:val="17"/>
                <w:color w:val="auto"/>
              </w:rPr>
              <w:t>185,000</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rPr>
              <w:t>27-Apr-12</w:t>
            </w:r>
          </w:p>
        </w:tc>
        <w:tc>
          <w:tcPr>
            <w:tcW w:w="3500" w:type="dxa"/>
            <w:vAlign w:val="bottom"/>
          </w:tcPr>
          <w:p>
            <w:pPr>
              <w:jc w:val="right"/>
              <w:ind w:right="1135"/>
              <w:spacing w:after="0"/>
              <w:rPr>
                <w:sz w:val="20"/>
                <w:szCs w:val="20"/>
                <w:color w:val="auto"/>
              </w:rPr>
            </w:pPr>
            <w:r>
              <w:rPr>
                <w:rFonts w:ascii="Times New Roman" w:cs="Times New Roman" w:eastAsia="Times New Roman" w:hAnsi="Times New Roman"/>
                <w:sz w:val="17"/>
                <w:szCs w:val="17"/>
                <w:color w:val="auto"/>
              </w:rPr>
              <w:t>635,243</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rPr>
              <w:t>27-Jul-12</w:t>
            </w:r>
          </w:p>
        </w:tc>
        <w:tc>
          <w:tcPr>
            <w:tcW w:w="350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7"/>
                <w:szCs w:val="17"/>
                <w:color w:val="auto"/>
              </w:rPr>
              <w:t>9,580</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80" w:type="dxa"/>
            <w:vAlign w:val="bottom"/>
            <w:tcBorders>
              <w:bottom w:val="single" w:sz="8" w:color="auto"/>
            </w:tcBorders>
          </w:tcPr>
          <w:p>
            <w:pPr>
              <w:jc w:val="right"/>
              <w:ind w:right="1395"/>
              <w:spacing w:after="0"/>
              <w:rPr>
                <w:sz w:val="20"/>
                <w:szCs w:val="20"/>
                <w:color w:val="auto"/>
              </w:rPr>
            </w:pPr>
            <w:r>
              <w:rPr>
                <w:rFonts w:ascii="Times New Roman" w:cs="Times New Roman" w:eastAsia="Times New Roman" w:hAnsi="Times New Roman"/>
                <w:sz w:val="17"/>
                <w:szCs w:val="17"/>
                <w:color w:val="auto"/>
              </w:rPr>
              <w:t>09-Nov-12</w:t>
            </w:r>
          </w:p>
        </w:tc>
        <w:tc>
          <w:tcPr>
            <w:tcW w:w="350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7"/>
                <w:szCs w:val="17"/>
                <w:color w:val="auto"/>
              </w:rPr>
              <w:t>12,450</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8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8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842,273</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$22.01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share options – Assumptions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fair values of options granted during the year ended 31 December 2013 and the year ended 31 December 2012 were calculated using a binomial option-pricing-model, using the following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00" w:type="dxa"/>
            <w:vAlign w:val="bottom"/>
          </w:tcPr>
          <w:p>
            <w:pPr>
              <w:spacing w:after="0"/>
              <w:rPr>
                <w:sz w:val="17"/>
                <w:szCs w:val="17"/>
                <w:color w:val="auto"/>
              </w:rPr>
            </w:pP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Year ended</w:t>
            </w:r>
          </w:p>
        </w:tc>
      </w:tr>
      <w:tr>
        <w:trPr>
          <w:trHeight w:val="205"/>
        </w:trPr>
        <w:tc>
          <w:tcPr>
            <w:tcW w:w="5500" w:type="dxa"/>
            <w:vAlign w:val="bottom"/>
          </w:tcPr>
          <w:p>
            <w:pPr>
              <w:spacing w:after="0"/>
              <w:rPr>
                <w:sz w:val="17"/>
                <w:szCs w:val="17"/>
                <w:color w:val="auto"/>
              </w:rPr>
            </w:pP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December</w:t>
            </w:r>
          </w:p>
        </w:tc>
      </w:tr>
      <w:tr>
        <w:trPr>
          <w:trHeight w:val="225"/>
        </w:trPr>
        <w:tc>
          <w:tcPr>
            <w:tcW w:w="5500" w:type="dxa"/>
            <w:vAlign w:val="bottom"/>
          </w:tcPr>
          <w:p>
            <w:pPr>
              <w:spacing w:after="0"/>
              <w:rPr>
                <w:sz w:val="19"/>
                <w:szCs w:val="19"/>
                <w:color w:val="auto"/>
              </w:rPr>
            </w:pP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r>
      <w:tr>
        <w:trPr>
          <w:trHeight w:val="20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 price</w:t>
            </w:r>
          </w:p>
        </w:tc>
        <w:tc>
          <w:tcPr>
            <w:tcW w:w="40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$33.09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$22.01</w:t>
            </w:r>
          </w:p>
        </w:tc>
      </w:tr>
      <w:tr>
        <w:trPr>
          <w:trHeight w:val="20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exercise price</w:t>
            </w: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$33.09</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r>
      <w:tr>
        <w:trPr>
          <w:trHeight w:val="20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 (1)</w:t>
            </w:r>
          </w:p>
        </w:tc>
        <w:tc>
          <w:tcPr>
            <w:tcW w:w="40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0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 (2)</w:t>
            </w:r>
          </w:p>
        </w:tc>
        <w:tc>
          <w:tcPr>
            <w:tcW w:w="40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0.8%-2.3%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0.8%-1.3%</w:t>
            </w:r>
          </w:p>
        </w:tc>
      </w:tr>
      <w:tr>
        <w:trPr>
          <w:trHeight w:val="205"/>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Rate of forced early exercise</w:t>
            </w: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 p.a.</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p.a.</w:t>
            </w:r>
          </w:p>
        </w:tc>
      </w:tr>
      <w:tr>
        <w:trPr>
          <w:trHeight w:val="205"/>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Minimum gain for voluntary early exercise</w:t>
            </w:r>
          </w:p>
        </w:tc>
        <w:tc>
          <w:tcPr>
            <w:tcW w:w="40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25% of exercise price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of exercise price</w:t>
            </w: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7"/>
                <w:szCs w:val="17"/>
                <w:color w:val="auto"/>
              </w:rPr>
              <w:t>Rate of voluntary early exercise at minimum gain</w:t>
            </w:r>
          </w:p>
        </w:tc>
        <w:tc>
          <w:tcPr>
            <w:tcW w:w="40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75% per annum</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per annum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2536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ind w:right="740"/>
        <w:spacing w:after="0" w:line="254" w:lineRule="auto"/>
        <w:rPr>
          <w:sz w:val="20"/>
          <w:szCs w:val="20"/>
          <w:color w:val="auto"/>
        </w:rPr>
      </w:pPr>
      <w:r>
        <w:rPr>
          <w:rFonts w:ascii="Times New Roman" w:cs="Times New Roman" w:eastAsia="Times New Roman" w:hAnsi="Times New Roman"/>
          <w:sz w:val="17"/>
          <w:szCs w:val="17"/>
          <w:color w:val="auto"/>
        </w:rPr>
        <w:t>(1)Expected volatility has been determined based upon the volatility of the Company’s share price over a period which is commensurate with the expected term of the options granted.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(2)Risk-free rate is dependent on the grant date.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10. Share based payments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 units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21 July 2008 the Company adopted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The shares are awarded at zero cost and vest over a service period. Awards under the 2008 RSU Plan may be settled in cash or shares at the option of the Company.</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23 April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has awarded RSUs and PSUs to certain key individuals of the Group. The fair value of RSU’s are based on the share price at the date of grant, with the expense spread over the vesting period. The following table summarizes RSU and PSU activity for the year ended December 31, 2013: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RSU</w:t>
            </w:r>
          </w:p>
        </w:tc>
        <w:tc>
          <w:tcPr>
            <w:tcW w:w="1640" w:type="dxa"/>
            <w:vAlign w:val="bottom"/>
          </w:tcPr>
          <w:p>
            <w:pPr>
              <w:spacing w:after="0"/>
              <w:rPr>
                <w:sz w:val="17"/>
                <w:szCs w:val="17"/>
                <w:color w:val="auto"/>
              </w:rPr>
            </w:pPr>
          </w:p>
        </w:tc>
        <w:tc>
          <w:tcPr>
            <w:tcW w:w="18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PSU</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8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6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8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88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6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31 December 2012</w:t>
            </w:r>
          </w:p>
        </w:tc>
        <w:tc>
          <w:tcPr>
            <w:tcW w:w="28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496,000</w:t>
            </w:r>
          </w:p>
        </w:tc>
        <w:tc>
          <w:tcPr>
            <w:tcW w:w="164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$20.26</w:t>
            </w:r>
          </w:p>
        </w:tc>
        <w:tc>
          <w:tcPr>
            <w:tcW w:w="180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8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Awarded</w:t>
            </w:r>
          </w:p>
        </w:tc>
        <w:tc>
          <w:tcPr>
            <w:tcW w:w="2880" w:type="dxa"/>
            <w:vAlign w:val="bottom"/>
            <w:shd w:val="clear" w:color="auto" w:fill="CCEEFF"/>
          </w:tcPr>
          <w:p>
            <w:pPr>
              <w:jc w:val="right"/>
              <w:ind w:right="375"/>
              <w:spacing w:after="0" w:line="189" w:lineRule="exact"/>
              <w:rPr>
                <w:sz w:val="20"/>
                <w:szCs w:val="20"/>
                <w:color w:val="auto"/>
              </w:rPr>
            </w:pPr>
            <w:r>
              <w:rPr>
                <w:rFonts w:ascii="Times New Roman" w:cs="Times New Roman" w:eastAsia="Times New Roman" w:hAnsi="Times New Roman"/>
                <w:sz w:val="17"/>
                <w:szCs w:val="17"/>
                <w:color w:val="auto"/>
              </w:rPr>
              <w:t>409,492</w:t>
            </w:r>
          </w:p>
        </w:tc>
        <w:tc>
          <w:tcPr>
            <w:tcW w:w="1640" w:type="dxa"/>
            <w:vAlign w:val="bottom"/>
            <w:shd w:val="clear" w:color="auto" w:fill="CCEEFF"/>
          </w:tcPr>
          <w:p>
            <w:pPr>
              <w:jc w:val="right"/>
              <w:ind w:right="315"/>
              <w:spacing w:after="0" w:line="189" w:lineRule="exact"/>
              <w:rPr>
                <w:sz w:val="20"/>
                <w:szCs w:val="20"/>
                <w:color w:val="auto"/>
              </w:rPr>
            </w:pPr>
            <w:r>
              <w:rPr>
                <w:rFonts w:ascii="Times New Roman" w:cs="Times New Roman" w:eastAsia="Times New Roman" w:hAnsi="Times New Roman"/>
                <w:sz w:val="17"/>
                <w:szCs w:val="17"/>
                <w:color w:val="auto"/>
              </w:rPr>
              <w:t>$34.62</w:t>
            </w:r>
          </w:p>
        </w:tc>
        <w:tc>
          <w:tcPr>
            <w:tcW w:w="1800" w:type="dxa"/>
            <w:vAlign w:val="bottom"/>
            <w:shd w:val="clear" w:color="auto" w:fill="CCEEFF"/>
          </w:tcPr>
          <w:p>
            <w:pPr>
              <w:jc w:val="right"/>
              <w:ind w:right="395"/>
              <w:spacing w:after="0" w:line="189" w:lineRule="exact"/>
              <w:rPr>
                <w:sz w:val="20"/>
                <w:szCs w:val="20"/>
                <w:color w:val="auto"/>
              </w:rPr>
            </w:pPr>
            <w:r>
              <w:rPr>
                <w:rFonts w:ascii="Times New Roman" w:cs="Times New Roman" w:eastAsia="Times New Roman" w:hAnsi="Times New Roman"/>
                <w:sz w:val="17"/>
                <w:szCs w:val="17"/>
                <w:color w:val="auto"/>
              </w:rPr>
              <w:t>359,570</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$33.09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Vested</w:t>
            </w:r>
          </w:p>
        </w:tc>
        <w:tc>
          <w:tcPr>
            <w:tcW w:w="288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(50,000)</w:t>
            </w:r>
          </w:p>
        </w:tc>
        <w:tc>
          <w:tcPr>
            <w:tcW w:w="16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$22.30</w:t>
            </w:r>
          </w:p>
        </w:tc>
        <w:tc>
          <w:tcPr>
            <w:tcW w:w="18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Forfeited</w:t>
            </w:r>
          </w:p>
        </w:tc>
        <w:tc>
          <w:tcPr>
            <w:tcW w:w="2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(9,033)</w:t>
            </w:r>
          </w:p>
        </w:tc>
        <w:tc>
          <w:tcPr>
            <w:tcW w:w="16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$25.53</w:t>
            </w:r>
          </w:p>
        </w:tc>
        <w:tc>
          <w:tcPr>
            <w:tcW w:w="1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(6,326)</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Outstanding at 31 December 2013</w:t>
            </w:r>
          </w:p>
        </w:tc>
        <w:tc>
          <w:tcPr>
            <w:tcW w:w="2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846,459</w:t>
            </w:r>
          </w:p>
        </w:tc>
        <w:tc>
          <w:tcPr>
            <w:tcW w:w="16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$27.05</w:t>
            </w:r>
          </w:p>
        </w:tc>
        <w:tc>
          <w:tcPr>
            <w:tcW w:w="18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353,244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based payment expense</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Operating profit for the year ended 31 December 2013 is stated after charging $13.7 million in respect of share based payment expense. Share based payment expense has been allocated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4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4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4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64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 costs</w:t>
            </w:r>
          </w:p>
        </w:tc>
        <w:tc>
          <w:tcPr>
            <w:tcW w:w="64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7,567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Other operating expenses</w:t>
            </w:r>
          </w:p>
        </w:tc>
        <w:tc>
          <w:tcPr>
            <w:tcW w:w="64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6,167</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Exceptional items (note 7)</w:t>
            </w:r>
          </w:p>
        </w:tc>
        <w:tc>
          <w:tcPr>
            <w:tcW w:w="64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4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13,734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400" w:type="dxa"/>
            <w:vAlign w:val="bottom"/>
          </w:tcPr>
          <w:p>
            <w:pPr>
              <w:jc w:val="right"/>
              <w:ind w:right="4235"/>
              <w:spacing w:after="0"/>
              <w:rPr>
                <w:sz w:val="20"/>
                <w:szCs w:val="20"/>
                <w:color w:val="auto"/>
              </w:rPr>
            </w:pPr>
            <w:r>
              <w:rPr>
                <w:rFonts w:ascii="Times New Roman" w:cs="Times New Roman" w:eastAsia="Times New Roman" w:hAnsi="Times New Roman"/>
                <w:sz w:val="17"/>
                <w:szCs w:val="17"/>
                <w:color w:val="auto"/>
              </w:rPr>
              <w:t>61</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11. Property, Plant and Equipment</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Leasehold</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furniture &amp;</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Laboratory</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Motor</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Land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Buildings</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improvements</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fixtures</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vehicles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$’000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800" w:type="dxa"/>
            <w:vAlign w:val="bottom"/>
            <w:gridSpan w:val="2"/>
            <w:vMerge w:val="continue"/>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8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4,155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74,614</w:t>
            </w: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28,285</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79,713</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61,942</w:t>
            </w:r>
          </w:p>
        </w:tc>
        <w:tc>
          <w:tcPr>
            <w:tcW w:w="12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24,812</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7,544</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7,701</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466</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2,109</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8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(2,712)</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(1,950)</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(1,168)</w:t>
            </w:r>
          </w:p>
        </w:tc>
        <w:tc>
          <w:tcPr>
            <w:tcW w:w="12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(5,258)</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Arising on acquisition</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112</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85</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96</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movement</w:t>
            </w:r>
          </w:p>
        </w:tc>
        <w:tc>
          <w:tcPr>
            <w:tcW w:w="8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(126)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(54)</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349</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537</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55</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8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4,029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78,107</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33,175</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85,898</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61,873</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21,718</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284,829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10,783</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19,679</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60,747</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39,625</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17,272</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Charge for year</w:t>
            </w:r>
          </w:p>
        </w:tc>
        <w:tc>
          <w:tcPr>
            <w:tcW w:w="8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w:t>
            </w: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2,420</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11,043</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5,739</w:t>
            </w:r>
          </w:p>
        </w:tc>
        <w:tc>
          <w:tcPr>
            <w:tcW w:w="12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3,097</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Eliminated on disposal</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(2,436)</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(1,763)</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(927)</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(4,138)</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8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movement</w:t>
            </w:r>
          </w:p>
        </w:tc>
        <w:tc>
          <w:tcPr>
            <w:tcW w:w="8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(215)</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317</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478</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50</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8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13,200</w:t>
            </w: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19,448</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70,344</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44,915</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16,281</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164,205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8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4,029</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64,907</w:t>
            </w: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13,727</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15,554</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16,958</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5,437</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120,624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7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4,155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63,831</w:t>
            </w:r>
          </w:p>
        </w:tc>
        <w:tc>
          <w:tcPr>
            <w:tcW w:w="1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8,606</w:t>
            </w: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18,966</w:t>
            </w: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22,317</w:t>
            </w: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7,540</w:t>
            </w: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125,428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of $24.2 million (31 December 2012: $21.8 million) has been charged in ‘other operating expenses’ in the income statement.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 Property, Plant and Equipment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Leasehold</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furniture &amp;</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Laboratory</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Motor</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Land</w:t>
            </w:r>
          </w:p>
        </w:tc>
        <w:tc>
          <w:tcPr>
            <w:tcW w:w="22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Buildings Improvements</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fixtures</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vehicles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$’000</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300" w:type="dxa"/>
            <w:vAlign w:val="bottom"/>
            <w:gridSpan w:val="2"/>
            <w:vMerge w:val="continue"/>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4,212</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73,240</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27,342</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79,925</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58,096</w:t>
            </w:r>
          </w:p>
        </w:tc>
        <w:tc>
          <w:tcPr>
            <w:tcW w:w="12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24,195</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2,799</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6,738</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4,091</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2,302</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(2,413)</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(7,890)</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(1,333)</w:t>
            </w:r>
          </w:p>
        </w:tc>
        <w:tc>
          <w:tcPr>
            <w:tcW w:w="12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(2,270)</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Arising on acquisition</w:t>
            </w: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78</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190</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160</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1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movement</w:t>
            </w:r>
          </w:p>
        </w:tc>
        <w:tc>
          <w:tcPr>
            <w:tcW w:w="13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(57)</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1,374</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479</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750</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928</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585</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13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4,155</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74,614</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28,285</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79,713</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61,942</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24,812</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42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273,563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1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8,668</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17,006</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60,733</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34,882</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16,349</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26</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Charge for year</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1,873</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4,425</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7,354</w:t>
            </w: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5,369</w:t>
            </w:r>
          </w:p>
        </w:tc>
        <w:tc>
          <w:tcPr>
            <w:tcW w:w="12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2,804</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7"/>
                <w:szCs w:val="17"/>
                <w:color w:val="auto"/>
              </w:rPr>
              <w:t>Eliminated on disposal</w:t>
            </w:r>
          </w:p>
        </w:tc>
        <w:tc>
          <w:tcPr>
            <w:tcW w:w="1380" w:type="dxa"/>
            <w:vAlign w:val="bottom"/>
          </w:tcPr>
          <w:p>
            <w:pPr>
              <w:spacing w:after="0"/>
              <w:rPr>
                <w:sz w:val="17"/>
                <w:szCs w:val="17"/>
                <w:color w:val="auto"/>
              </w:rPr>
            </w:pP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(2,012)</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(7,852)</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(1,214)</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(2,267)</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1380" w:type="dxa"/>
            <w:vAlign w:val="bottom"/>
            <w:vMerge w:val="restart"/>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movement</w:t>
            </w: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242</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260</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512</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588</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386</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30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13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10,783</w:t>
            </w:r>
          </w:p>
        </w:tc>
        <w:tc>
          <w:tcPr>
            <w:tcW w:w="11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19,679</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60,747</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39,625</w:t>
            </w:r>
          </w:p>
        </w:tc>
        <w:tc>
          <w:tcPr>
            <w:tcW w:w="12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17,272</w:t>
            </w:r>
          </w:p>
        </w:tc>
        <w:tc>
          <w:tcPr>
            <w:tcW w:w="11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148,135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1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4,155</w:t>
            </w:r>
          </w:p>
        </w:tc>
        <w:tc>
          <w:tcPr>
            <w:tcW w:w="11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63,831</w:t>
            </w: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8,606</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18,966</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22,317</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7,540</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125,428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At 31 December 2011</w:t>
            </w:r>
          </w:p>
        </w:tc>
        <w:tc>
          <w:tcPr>
            <w:tcW w:w="13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4,212</w:t>
            </w:r>
          </w:p>
        </w:tc>
        <w:tc>
          <w:tcPr>
            <w:tcW w:w="11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64,572</w:t>
            </w: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10,336</w:t>
            </w: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19,192</w:t>
            </w: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23,214</w:t>
            </w:r>
          </w:p>
        </w:tc>
        <w:tc>
          <w:tcPr>
            <w:tcW w:w="12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7,846</w:t>
            </w: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17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129,389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of $21.8 million (31 December 2011: $23.2 million) has been charged in ‘other operating expenses’ in the income statement.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Intangible assets – goodwill and other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Customer</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Volunteer</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Order</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Technology</w:t>
            </w:r>
          </w:p>
        </w:tc>
        <w:tc>
          <w:tcPr>
            <w:tcW w:w="1080" w:type="dxa"/>
            <w:vAlign w:val="bottom"/>
          </w:tcPr>
          <w:p>
            <w:pPr>
              <w:spacing w:after="0"/>
              <w:rPr>
                <w:sz w:val="17"/>
                <w:szCs w:val="17"/>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Non-</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8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Software Relationships</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List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Backlog</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Asset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Tradename</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Competes</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20" w:type="dxa"/>
            <w:vAlign w:val="bottom"/>
            <w:gridSpan w:val="2"/>
            <w:vMerge w:val="continue"/>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104,823</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36,103</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1,325</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3,984</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10,384</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1,261</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490</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329,451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11,448</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(1,221)</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Arising on acquisition</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46</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3,300</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600</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36,922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1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movement</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2,819</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396</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433</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53</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5,159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8,931</w:t>
            </w:r>
          </w:p>
        </w:tc>
        <w:tc>
          <w:tcPr>
            <w:tcW w:w="0" w:type="dxa"/>
            <w:vAlign w:val="bottom"/>
          </w:tcPr>
          <w:p>
            <w:pPr>
              <w:spacing w:after="0"/>
              <w:rPr>
                <w:sz w:val="1"/>
                <w:szCs w:val="1"/>
                <w:color w:val="auto"/>
              </w:rPr>
            </w:pPr>
          </w:p>
        </w:tc>
      </w:tr>
      <w:tr>
        <w:trPr>
          <w:trHeight w:val="41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31 December 2013</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117,915</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39,799</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1,325</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4,652</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10,817</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1,314</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493</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371,532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547,847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Amortisation</w:t>
            </w: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20" w:type="dxa"/>
            <w:vAlign w:val="bottom"/>
            <w:gridSpan w:val="2"/>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61,877</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11,810</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1,058</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3,678</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2,019</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408</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126</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Amortised in the year</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14,779</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4,873</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217</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634</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1,385</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280</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150</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(794)</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1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movement</w:t>
            </w: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1,847</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173</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0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13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77,709</w:t>
            </w:r>
          </w:p>
        </w:tc>
        <w:tc>
          <w:tcPr>
            <w:tcW w:w="10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16,856</w:t>
            </w:r>
          </w:p>
        </w:tc>
        <w:tc>
          <w:tcPr>
            <w:tcW w:w="11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1,275</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4,374</w:t>
            </w: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3,546</w:t>
            </w:r>
          </w:p>
        </w:tc>
        <w:tc>
          <w:tcPr>
            <w:tcW w:w="10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718</w:t>
            </w:r>
          </w:p>
        </w:tc>
        <w:tc>
          <w:tcPr>
            <w:tcW w:w="10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277</w:t>
            </w:r>
          </w:p>
        </w:tc>
        <w:tc>
          <w:tcPr>
            <w:tcW w:w="108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104,755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1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2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40,206</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22,943</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50</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278</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7,271</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596</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216</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371,532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443,092</w:t>
            </w:r>
          </w:p>
        </w:tc>
        <w:tc>
          <w:tcPr>
            <w:tcW w:w="0" w:type="dxa"/>
            <w:vAlign w:val="bottom"/>
          </w:tcPr>
          <w:p>
            <w:pPr>
              <w:spacing w:after="0"/>
              <w:rPr>
                <w:sz w:val="1"/>
                <w:szCs w:val="1"/>
                <w:color w:val="auto"/>
              </w:rPr>
            </w:pPr>
          </w:p>
        </w:tc>
      </w:tr>
      <w:tr>
        <w:trPr>
          <w:trHeight w:val="205"/>
        </w:trPr>
        <w:tc>
          <w:tcPr>
            <w:tcW w:w="202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42,946</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24,293</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267</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306</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8,365</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853</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364</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329,451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406,845</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Amortisation expense of $22.3 million (31 December 2012: $21.0 million) has been charged in ‘other operating expenses’ in the income statement.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Intangible assets – goodwill and other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Customer</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Volunteer</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Order</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Technology</w:t>
            </w:r>
          </w:p>
        </w:tc>
        <w:tc>
          <w:tcPr>
            <w:tcW w:w="1080" w:type="dxa"/>
            <w:vAlign w:val="bottom"/>
          </w:tcPr>
          <w:p>
            <w:pPr>
              <w:spacing w:after="0"/>
              <w:rPr>
                <w:sz w:val="17"/>
                <w:szCs w:val="17"/>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Non-</w:t>
            </w: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Software Relationships</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List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Backlog</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Asset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Tradename</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Competes</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8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95,477</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23,646</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1,325</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3,151</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10,202</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1,239</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267,402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402,442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16,932</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(8,838)</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Arising on acquisition</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11,998</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781</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489</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55,759</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Prior period acquisitions</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1,383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movement</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1,243</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459</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182</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4,907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6,866</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0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31 December 2012</w:t>
            </w:r>
          </w:p>
        </w:tc>
        <w:tc>
          <w:tcPr>
            <w:tcW w:w="13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104,823</w:t>
            </w:r>
          </w:p>
        </w:tc>
        <w:tc>
          <w:tcPr>
            <w:tcW w:w="10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36,103</w:t>
            </w:r>
          </w:p>
        </w:tc>
        <w:tc>
          <w:tcPr>
            <w:tcW w:w="11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1,325</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3,984</w:t>
            </w: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10,384</w:t>
            </w:r>
          </w:p>
        </w:tc>
        <w:tc>
          <w:tcPr>
            <w:tcW w:w="10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1,261</w:t>
            </w:r>
          </w:p>
        </w:tc>
        <w:tc>
          <w:tcPr>
            <w:tcW w:w="10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490</w:t>
            </w:r>
          </w:p>
        </w:tc>
        <w:tc>
          <w:tcPr>
            <w:tcW w:w="108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329,451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487,821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Amortisation</w:t>
            </w:r>
          </w:p>
        </w:tc>
        <w:tc>
          <w:tcPr>
            <w:tcW w:w="1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56,406</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7,626</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841</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2,084</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623</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126</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Amortised in the year</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13,378</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4,087</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217</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1,556</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1,354</w:t>
            </w:r>
          </w:p>
        </w:tc>
        <w:tc>
          <w:tcPr>
            <w:tcW w:w="10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274</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126</w:t>
            </w:r>
          </w:p>
        </w:tc>
        <w:tc>
          <w:tcPr>
            <w:tcW w:w="10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7"/>
                <w:szCs w:val="17"/>
                <w:color w:val="auto"/>
              </w:rPr>
              <w:t>Disposal</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(8,838)</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Foreign exchange</w:t>
            </w:r>
          </w:p>
        </w:tc>
        <w:tc>
          <w:tcPr>
            <w:tcW w:w="1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movement</w:t>
            </w: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931</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97</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c>
          <w:tcPr>
            <w:tcW w:w="10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0" w:type="dxa"/>
            <w:vAlign w:val="bottom"/>
          </w:tcPr>
          <w:p>
            <w:pPr>
              <w:spacing w:after="0"/>
              <w:rPr>
                <w:sz w:val="1"/>
                <w:szCs w:val="1"/>
                <w:color w:val="auto"/>
              </w:rPr>
            </w:pPr>
          </w:p>
        </w:tc>
      </w:tr>
      <w:tr>
        <w:trPr>
          <w:trHeight w:val="41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61,877</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11,810</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1,058</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3,678</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408</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126</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80,976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42,946</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24,293</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267</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306</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8,365</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853</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364</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329,451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406,845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At 31 December 2011</w:t>
            </w: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39,071</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16,020</w:t>
            </w: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484</w:t>
            </w: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1,067</w:t>
            </w: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9,579</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1,113</w:t>
            </w:r>
          </w:p>
        </w:tc>
        <w:tc>
          <w:tcPr>
            <w:tcW w:w="10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267,402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334,736</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Amortisation expense of $21.0 million (31 December 2011: $15.4 million) has been charged in ‘other operating expenses’ in the income statement.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ind w:right="7560" w:firstLine="2"/>
        <w:spacing w:after="0" w:line="535" w:lineRule="auto"/>
        <w:tabs>
          <w:tab w:leader="none" w:pos="256"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Intangible assets – goodwill and other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Impairment review of goodwill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generating units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Goodwill acquired through business combinations has been allocated to individual cash-generating units (“CGU’s”) that are expected to benefit from the combination. The CGU’s identified represent the lowest level within the Group at which goodwill is monitored and are not larger than the operating segments determined in accordance with IFRS 8 </w:t>
      </w:r>
      <w:r>
        <w:rPr>
          <w:rFonts w:ascii="Times New Roman" w:cs="Times New Roman" w:eastAsia="Times New Roman" w:hAnsi="Times New Roman"/>
          <w:sz w:val="17"/>
          <w:szCs w:val="17"/>
          <w:i w:val="1"/>
          <w:iCs w:val="1"/>
          <w:color w:val="auto"/>
        </w:rPr>
        <w:t>Operating Segments</w:t>
      </w:r>
      <w:r>
        <w:rPr>
          <w:rFonts w:ascii="Times New Roman" w:cs="Times New Roman" w:eastAsia="Times New Roman" w:hAnsi="Times New Roman"/>
          <w:sz w:val="17"/>
          <w:szCs w:val="17"/>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The Group has identified one group of CGU’s in accordance with the provisions of IAS 36 </w:t>
            </w:r>
            <w:r>
              <w:rPr>
                <w:rFonts w:ascii="Times New Roman" w:cs="Times New Roman" w:eastAsia="Times New Roman" w:hAnsi="Times New Roman"/>
                <w:sz w:val="17"/>
                <w:szCs w:val="17"/>
                <w:i w:val="1"/>
                <w:iCs w:val="1"/>
                <w:color w:val="auto"/>
              </w:rPr>
              <w:t>Impairment of Assets</w:t>
            </w:r>
            <w:r>
              <w:rPr>
                <w:rFonts w:ascii="Times New Roman" w:cs="Times New Roman" w:eastAsia="Times New Roman" w:hAnsi="Times New Roman"/>
                <w:sz w:val="17"/>
                <w:szCs w:val="17"/>
                <w:color w:val="auto"/>
              </w:rPr>
              <w:t xml:space="preserve"> as follows:</w:t>
            </w: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66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371"/>
        </w:trPr>
        <w:tc>
          <w:tcPr>
            <w:tcW w:w="8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Clinical research</w:t>
            </w:r>
          </w:p>
        </w:tc>
        <w:tc>
          <w:tcPr>
            <w:tcW w:w="1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371,532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60" w:type="dxa"/>
            <w:vAlign w:val="bottom"/>
            <w:tcBorders>
              <w:bottom w:val="single" w:sz="8" w:color="auto"/>
            </w:tcBorders>
            <w:shd w:val="clear" w:color="auto" w:fill="CCEEFF"/>
          </w:tcPr>
          <w:p>
            <w:pPr>
              <w:spacing w:after="0"/>
              <w:rPr>
                <w:sz w:val="18"/>
                <w:szCs w:val="18"/>
                <w:color w:val="auto"/>
              </w:rPr>
            </w:pPr>
          </w:p>
        </w:tc>
        <w:tc>
          <w:tcPr>
            <w:tcW w:w="79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371,532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329,451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testing methodology and results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is subject to impairment testing on an annual basis or more frequently if facts or circumstances warrant such a review.</w:t>
      </w:r>
    </w:p>
    <w:p>
      <w:pPr>
        <w:spacing w:after="0" w:line="2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recoverable amount of the Clinical Research CGU is determined using a value-in-use computation based upon discounted net present value cash flow projections for the CGU. The cash flow projections are for a period of five years forward together with a terminal value calculated in accordance with the Gordon’s terminal value model. In calculating the terminal value a long-term growth rate of 2% has been applied to the estimated maintainable cash flow in the terminal year.</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Management’s estimates of future cash flows are based upon current budgets and strategic plans and are reflective of anticipated growth rates within the CRO industry, expected growth in the Group’s market share and past experience. Key assumptions applied in determining expected future cash flows for these plans include management’s estimate of future profitability, replacement capital expenditure requirements, trade working capital investment needs and tax considerations. The Group’s cash flow projections are adjusted each year for actual and expected changes in performance.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Intangible assets – goodwill and other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assumptions were applied in determining the the five year projected cash flows of the Clinical Research CGU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41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December</w:t>
            </w:r>
          </w:p>
        </w:tc>
      </w:tr>
      <w:tr>
        <w:trPr>
          <w:trHeight w:val="225"/>
        </w:trPr>
        <w:tc>
          <w:tcPr>
            <w:tcW w:w="6000" w:type="dxa"/>
            <w:vAlign w:val="bottom"/>
          </w:tcPr>
          <w:p>
            <w:pPr>
              <w:spacing w:after="0"/>
              <w:rPr>
                <w:sz w:val="19"/>
                <w:szCs w:val="19"/>
                <w:color w:val="auto"/>
              </w:rPr>
            </w:pPr>
          </w:p>
        </w:tc>
        <w:tc>
          <w:tcPr>
            <w:tcW w:w="41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r>
      <w:tr>
        <w:trPr>
          <w:trHeight w:val="20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revenue growth rate</w:t>
            </w:r>
          </w:p>
        </w:tc>
        <w:tc>
          <w:tcPr>
            <w:tcW w:w="4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5"/>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Expected growth rate for operating costs</w:t>
            </w:r>
          </w:p>
        </w:tc>
        <w:tc>
          <w:tcPr>
            <w:tcW w:w="41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effective tax rate</w:t>
            </w:r>
          </w:p>
        </w:tc>
        <w:tc>
          <w:tcPr>
            <w:tcW w:w="4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5"/>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Expected movement in creditors</w:t>
            </w:r>
          </w:p>
        </w:tc>
        <w:tc>
          <w:tcPr>
            <w:tcW w:w="41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5"/>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movement in debtors based on DSO*</w:t>
            </w:r>
          </w:p>
        </w:tc>
        <w:tc>
          <w:tcPr>
            <w:tcW w:w="4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45 days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days</w:t>
            </w:r>
          </w:p>
        </w:tc>
      </w:tr>
      <w:tr>
        <w:trPr>
          <w:trHeight w:val="226"/>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Expected capital expenditure growth rate</w:t>
            </w:r>
          </w:p>
        </w:tc>
        <w:tc>
          <w:tcPr>
            <w:tcW w:w="41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2536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jc w:val="both"/>
        <w:spacing w:after="0" w:line="269" w:lineRule="auto"/>
        <w:rPr>
          <w:sz w:val="20"/>
          <w:szCs w:val="20"/>
          <w:color w:val="auto"/>
        </w:rPr>
      </w:pPr>
      <w:r>
        <w:rPr>
          <w:rFonts w:ascii="Times New Roman" w:cs="Times New Roman" w:eastAsia="Times New Roman" w:hAnsi="Times New Roman"/>
          <w:sz w:val="17"/>
          <w:szCs w:val="17"/>
          <w:color w:val="auto"/>
        </w:rPr>
        <w:t>*Days sales outstanding (DSO) is a a measure of the number of days in the period that the company takes to collect revenue. DSO is calculated based on trade debtors less payments on account divided by gross revenue multiplied by number of days in the period.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Expected revenue growth and the expected growth in operating costs are determined based upon the expected growth rates used in preparing the Group’s budgets and strategic plans. In estimating budgeted revenue, consideration is given to current levels of backlog (i.e. the value of new business awards not yet recognised in revenue) and the estimated timeframe over which this is expected to be recognised within revenue, together with an estimate of revenue expected to be generated from new awards not currently within backlog. In estimating revenue from new awards consideration is given to current RFP (request for proposals) volumes, expected growth rates in both the CRO industry and the Group’s market share, and past experience. In estimating budgeted operating costs, consideration is given to required staffing levels, project related costs, facility and information technology costs and other costs. Staff costs and project related costs generally increase in line with revenue and are therefore estimated based on revenue growth expectations, while facility and information costs and other costs are relatively fixed and are therefore projected based upon a lower growth rate. An expected long term average tax rate of 18% has been applied in determining the projected after tax cash flows.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Working capital investment needs are determined based upon anticipated increases in the Group’s debtors and creditors. Debtors are expected to increase in line with increases in the Group’s DSO. DSO is generally a function of both the timing of contract fee instalments over a study or trial duration and credit terms afforded to individual customers. The DSO used in conducting the impairment review is reflective of current and anticipated trends in the Group’s DSO. Expected long term DSO’s for the Group are anticipated to be in the range of 40 to 50 days. Creditors’ are expected to increase in line with operating costs. Capital expenditure is expected to increase in line with the Group’s projected capital expenditure investment targets.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 discount rate of 9% (2012:8%) has been applied to the projected cash flows of the Clinical Research CGU in determining its value-in-use. This rate is reflective of both the time value of money and risks specific to the CGU. The discount rate is based upon the Group’s weighted average cost of capital which has been determined by applying the Group’s long term optimal capital structure to its costs of debt and cost of equity. The Group’s cost of debt has been calculated by applying an appropriate margin over the risk free interest rate. The Group’s cost of equity has been calculated using the capital asset pricing model and includes an appropriate equity risk premium over the available risk free interest rate.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Intangible assets – goodwill and other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excess of the value-in-use of the Clinical Research CGU at 31 December 2013, based on the assumptions above, has been calculated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40" w:type="dxa"/>
            <w:vAlign w:val="bottom"/>
          </w:tcPr>
          <w:p>
            <w:pPr>
              <w:spacing w:after="0"/>
              <w:rPr>
                <w:sz w:val="18"/>
                <w:szCs w:val="18"/>
                <w:color w:val="auto"/>
              </w:rPr>
            </w:pPr>
          </w:p>
        </w:tc>
        <w:tc>
          <w:tcPr>
            <w:tcW w:w="408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6040" w:type="dxa"/>
            <w:vAlign w:val="bottom"/>
          </w:tcPr>
          <w:p>
            <w:pPr>
              <w:spacing w:after="0"/>
              <w:rPr>
                <w:sz w:val="17"/>
                <w:szCs w:val="17"/>
                <w:color w:val="auto"/>
              </w:rPr>
            </w:pPr>
          </w:p>
        </w:tc>
        <w:tc>
          <w:tcPr>
            <w:tcW w:w="4080" w:type="dxa"/>
            <w:vAlign w:val="bottom"/>
            <w:vMerge w:val="continue"/>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19"/>
                <w:szCs w:val="19"/>
                <w:color w:val="auto"/>
              </w:rPr>
            </w:pP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w:t>
            </w: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Value-in use (present value of future cash flows)</w:t>
            </w:r>
          </w:p>
        </w:tc>
        <w:tc>
          <w:tcPr>
            <w:tcW w:w="40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3,055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2,635</w:t>
            </w:r>
          </w:p>
        </w:tc>
        <w:tc>
          <w:tcPr>
            <w:tcW w:w="0" w:type="dxa"/>
            <w:vAlign w:val="bottom"/>
          </w:tcPr>
          <w:p>
            <w:pPr>
              <w:spacing w:after="0"/>
              <w:rPr>
                <w:sz w:val="1"/>
                <w:szCs w:val="1"/>
                <w:color w:val="auto"/>
              </w:rPr>
            </w:pPr>
          </w:p>
        </w:tc>
      </w:tr>
      <w:tr>
        <w:trPr>
          <w:trHeight w:val="211"/>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Carrying amount of the Clinical Research CGU</w:t>
            </w:r>
          </w:p>
        </w:tc>
        <w:tc>
          <w:tcPr>
            <w:tcW w:w="4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(930)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41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Excess of value-in-use over carrying value</w:t>
            </w:r>
          </w:p>
        </w:tc>
        <w:tc>
          <w:tcPr>
            <w:tcW w:w="40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2,125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auto"/>
            </w:tcBorders>
            <w:shd w:val="clear" w:color="auto" w:fill="CCEEFF"/>
          </w:tcPr>
          <w:p>
            <w:pPr>
              <w:spacing w:after="0"/>
              <w:rPr>
                <w:sz w:val="18"/>
                <w:szCs w:val="18"/>
                <w:color w:val="auto"/>
              </w:rPr>
            </w:pPr>
          </w:p>
        </w:tc>
        <w:tc>
          <w:tcPr>
            <w:tcW w:w="40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Sensitivity Analysis</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 sensitivity analysis to determine if reasonable changes in key assumptions could lead to an impairment was conducted at 31 December 2013 using the following revised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43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December</w:t>
            </w:r>
          </w:p>
        </w:tc>
      </w:tr>
      <w:tr>
        <w:trPr>
          <w:trHeight w:val="225"/>
        </w:trPr>
        <w:tc>
          <w:tcPr>
            <w:tcW w:w="5780" w:type="dxa"/>
            <w:vAlign w:val="bottom"/>
          </w:tcPr>
          <w:p>
            <w:pPr>
              <w:spacing w:after="0"/>
              <w:rPr>
                <w:sz w:val="19"/>
                <w:szCs w:val="19"/>
                <w:color w:val="auto"/>
              </w:rPr>
            </w:pPr>
          </w:p>
        </w:tc>
        <w:tc>
          <w:tcPr>
            <w:tcW w:w="43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r>
      <w:tr>
        <w:trPr>
          <w:trHeight w:val="20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revenue growth rate</w:t>
            </w:r>
          </w:p>
        </w:tc>
        <w:tc>
          <w:tcPr>
            <w:tcW w:w="43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5"/>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Expected growth rate for operating costs</w:t>
            </w:r>
          </w:p>
        </w:tc>
        <w:tc>
          <w:tcPr>
            <w:tcW w:w="43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capital expenditure growth rate</w:t>
            </w:r>
          </w:p>
        </w:tc>
        <w:tc>
          <w:tcPr>
            <w:tcW w:w="43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1"/>
        </w:trPr>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43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*All other inputs remained constant.</w:t>
            </w:r>
          </w:p>
        </w:tc>
        <w:tc>
          <w:tcPr>
            <w:tcW w:w="4340" w:type="dxa"/>
            <w:vAlign w:val="bottom"/>
          </w:tcPr>
          <w:p>
            <w:pPr>
              <w:spacing w:after="0"/>
              <w:rPr>
                <w:sz w:val="19"/>
                <w:szCs w:val="19"/>
                <w:color w:val="auto"/>
              </w:rPr>
            </w:pPr>
          </w:p>
        </w:tc>
        <w:tc>
          <w:tcPr>
            <w:tcW w:w="1300" w:type="dxa"/>
            <w:vAlign w:val="bottom"/>
          </w:tcPr>
          <w:p>
            <w:pPr>
              <w:spacing w:after="0"/>
              <w:rPr>
                <w:sz w:val="19"/>
                <w:szCs w:val="19"/>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revised excess of the value-in-use of the Clinical Research CGU at 31 December 2013, using the alternative assumptions above, has been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20" w:type="dxa"/>
            <w:vAlign w:val="bottom"/>
          </w:tcPr>
          <w:p>
            <w:pPr>
              <w:spacing w:after="0"/>
              <w:rPr>
                <w:sz w:val="18"/>
                <w:szCs w:val="18"/>
                <w:color w:val="auto"/>
              </w:rPr>
            </w:pPr>
          </w:p>
        </w:tc>
        <w:tc>
          <w:tcPr>
            <w:tcW w:w="380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6320" w:type="dxa"/>
            <w:vAlign w:val="bottom"/>
          </w:tcPr>
          <w:p>
            <w:pPr>
              <w:spacing w:after="0"/>
              <w:rPr>
                <w:sz w:val="17"/>
                <w:szCs w:val="17"/>
                <w:color w:val="auto"/>
              </w:rPr>
            </w:pPr>
          </w:p>
        </w:tc>
        <w:tc>
          <w:tcPr>
            <w:tcW w:w="38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6320" w:type="dxa"/>
            <w:vAlign w:val="bottom"/>
          </w:tcPr>
          <w:p>
            <w:pPr>
              <w:spacing w:after="0"/>
              <w:rPr>
                <w:sz w:val="19"/>
                <w:szCs w:val="19"/>
                <w:color w:val="auto"/>
              </w:rPr>
            </w:pPr>
          </w:p>
        </w:tc>
        <w:tc>
          <w:tcPr>
            <w:tcW w:w="38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$’m</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w:t>
            </w:r>
          </w:p>
        </w:tc>
        <w:tc>
          <w:tcPr>
            <w:tcW w:w="0" w:type="dxa"/>
            <w:vAlign w:val="bottom"/>
          </w:tcPr>
          <w:p>
            <w:pPr>
              <w:spacing w:after="0"/>
              <w:rPr>
                <w:sz w:val="1"/>
                <w:szCs w:val="1"/>
                <w:color w:val="auto"/>
              </w:rPr>
            </w:pPr>
          </w:p>
        </w:tc>
      </w:tr>
      <w:tr>
        <w:trPr>
          <w:trHeight w:val="205"/>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Revised value-in use (present value of future cash flows)</w:t>
            </w:r>
          </w:p>
        </w:tc>
        <w:tc>
          <w:tcPr>
            <w:tcW w:w="38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1,335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0" w:type="dxa"/>
            <w:vAlign w:val="bottom"/>
          </w:tcPr>
          <w:p>
            <w:pPr>
              <w:spacing w:after="0"/>
              <w:rPr>
                <w:sz w:val="1"/>
                <w:szCs w:val="1"/>
                <w:color w:val="auto"/>
              </w:rPr>
            </w:pPr>
          </w:p>
        </w:tc>
      </w:tr>
      <w:tr>
        <w:trPr>
          <w:trHeight w:val="211"/>
        </w:trPr>
        <w:tc>
          <w:tcPr>
            <w:tcW w:w="6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Carrying amount of the Clinical Research CGU</w:t>
            </w:r>
          </w:p>
        </w:tc>
        <w:tc>
          <w:tcPr>
            <w:tcW w:w="38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(930)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41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Revised excess of value-in-use over carrying value</w:t>
            </w:r>
          </w:p>
        </w:tc>
        <w:tc>
          <w:tcPr>
            <w:tcW w:w="38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405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auto"/>
            </w:tcBorders>
            <w:shd w:val="clear" w:color="auto" w:fill="CCEEFF"/>
          </w:tcPr>
          <w:p>
            <w:pPr>
              <w:spacing w:after="0"/>
              <w:rPr>
                <w:sz w:val="18"/>
                <w:szCs w:val="18"/>
                <w:color w:val="auto"/>
              </w:rPr>
            </w:pPr>
          </w:p>
        </w:tc>
        <w:tc>
          <w:tcPr>
            <w:tcW w:w="38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 the excess of the recoverable amount over the carrying value of the cash generating unit was maintained despite changes in key assumptons, management have concluded that no reasonable change in key assumptions would result in an impairment of the Clinical Research CGU.</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acquisitions below have been accounted for as business combinations in accordance with the revised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Acquisition of Clinical Trial Services Division of Cross Country Healthcare, Inc.</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15 February 2013 the Company acquired the clinical trial services division of Cross Country Healthcare Inc. for an initial cash consideration of $51.9 million. The agreement provided for further consideration of up to $3.75 million which could become payable if certain performance milestones were achieved during the period ended 31 December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will be combined with ICON’s functional service provision (“FSP”) division, DOCS, creating a leader in global resourcing and FSP, while AKOS will enhance the services offered by ICON’s medical and safety services team. Certain operating margin perfomance milestones in relation to ClinForce and Assent Consulting were not achieved during the period ended 31 December 2013 resulting in a reduction of $3.75 million to the contingent consideration.</w:t>
      </w: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acquisition of the clinical trial services division of Cross Country Healthcare, Inc has been accounted for as a business combination in accordance with IFRS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Business Combinations. </w:t>
      </w:r>
      <w:r>
        <w:rPr>
          <w:rFonts w:ascii="Times New Roman" w:cs="Times New Roman" w:eastAsia="Times New Roman" w:hAnsi="Times New Roman"/>
          <w:sz w:val="17"/>
          <w:szCs w:val="17"/>
          <w:color w:val="auto"/>
        </w:rPr>
        <w:t>The following table summarises the fair values of the assets acquired and the liabilities assumed: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Fair</w:t>
            </w: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25"/>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205"/>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293</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3940" w:type="dxa"/>
            <w:vAlign w:val="bottom"/>
          </w:tcPr>
          <w:p>
            <w:pPr>
              <w:spacing w:after="0"/>
              <w:rPr>
                <w:sz w:val="17"/>
                <w:szCs w:val="17"/>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36,922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36,922</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computer software</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46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3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customer relationships</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3,300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3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order backlog</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600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1,039</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9,200</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Unbilled Revenue</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2,128</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465</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6</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(2,285)</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w:t>
            </w:r>
          </w:p>
        </w:tc>
        <w:tc>
          <w:tcPr>
            <w:tcW w:w="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Non-current other liabilities</w:t>
            </w:r>
          </w:p>
        </w:tc>
        <w:tc>
          <w:tcPr>
            <w:tcW w:w="33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(16)</w:t>
            </w:r>
          </w:p>
        </w:tc>
        <w:tc>
          <w:tcPr>
            <w:tcW w:w="1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price</w:t>
            </w:r>
          </w:p>
        </w:tc>
        <w:tc>
          <w:tcPr>
            <w:tcW w:w="3940" w:type="dxa"/>
            <w:vAlign w:val="bottom"/>
            <w:tcBorders>
              <w:bottom w:val="single" w:sz="8" w:color="auto"/>
            </w:tcBorders>
            <w:shd w:val="clear" w:color="auto" w:fill="CCEEFF"/>
          </w:tcPr>
          <w:p>
            <w:pPr>
              <w:spacing w:after="0"/>
              <w:rPr>
                <w:sz w:val="18"/>
                <w:szCs w:val="18"/>
                <w:color w:val="auto"/>
              </w:rPr>
            </w:pPr>
          </w:p>
        </w:tc>
        <w:tc>
          <w:tcPr>
            <w:tcW w:w="33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51,698</w:t>
            </w:r>
          </w:p>
        </w:tc>
        <w:tc>
          <w:tcPr>
            <w:tcW w:w="20" w:type="dxa"/>
            <w:vAlign w:val="bottom"/>
          </w:tcPr>
          <w:p>
            <w:pPr>
              <w:spacing w:after="0"/>
              <w:rPr>
                <w:sz w:val="18"/>
                <w:szCs w:val="18"/>
                <w:color w:val="auto"/>
              </w:rPr>
            </w:pPr>
          </w:p>
        </w:tc>
      </w:tr>
    </w:tbl>
    <w:p>
      <w:pPr>
        <w:spacing w:after="0" w:line="214"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7"/>
          <w:szCs w:val="17"/>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17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7"/>
          <w:szCs w:val="17"/>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 Business Combinations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7"/>
          <w:szCs w:val="17"/>
          <w:color w:val="auto"/>
        </w:rPr>
        <w:t>The proforma effect of the clinical trial services division of Cross Country Healthcare, Inc acquisition if completed on 1 January 2012 would have resulted in net revenue and profit for the financial years ended December 31, 2012 and December 31, 2013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4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4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42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1,343,996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1,182,734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42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107,379</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61,648</w:t>
            </w:r>
          </w:p>
        </w:tc>
        <w:tc>
          <w:tcPr>
            <w:tcW w:w="0" w:type="dxa"/>
            <w:vAlign w:val="bottom"/>
          </w:tcPr>
          <w:p>
            <w:pPr>
              <w:spacing w:after="0"/>
              <w:rPr>
                <w:sz w:val="1"/>
                <w:szCs w:val="1"/>
                <w:color w:val="auto"/>
              </w:rPr>
            </w:pPr>
          </w:p>
        </w:tc>
      </w:tr>
      <w:tr>
        <w:trPr>
          <w:trHeight w:val="436"/>
        </w:trPr>
        <w:tc>
          <w:tcPr>
            <w:tcW w:w="59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(b) Prior period acquisition of PriceSpective</w:t>
            </w:r>
          </w:p>
        </w:tc>
        <w:tc>
          <w:tcPr>
            <w:tcW w:w="4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28 February 2012 the Company acquired 100% of the common stock of PriceSpective LLC (PriceSpective) strategy consulting company for an initial cash consideration of $37.1 million. Headquartered in Philadelphia, and with offices in London, Los Angeles, San Diego, Raleigh and Boston, PriceSpective is a premier consultancy that has a strong reputation for excellence in strategic pricing, market access, Health Economics and Outcomes Research (“HEOR”), due diligence support and payer engagement services. Since PriceSpective’s incorporation in 2003, it has developed strategies for dozens of new product launches, and hundreds of development and in-market products, across 40+ disease areas. Further consideration of up to $15.0 million was payable if certain performance milestones were achieved in respect of periods up to 31 December 2012. On 13 August 2012 the Company paid $5.0 million in relation to performance milestones for the year ended 31 December 2011. On 29 May 2013 the Company paid $10.0 million in relation to the remaining performance milestones for the year ended 31 December 2012.</w:t>
      </w:r>
    </w:p>
    <w:p>
      <w:pPr>
        <w:spacing w:after="0" w:line="19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The acquisition of PriceSpective has been accounted for as a business combination in accordance with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The following table summarises the fair values of the assets acquired and the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Fair</w:t>
            </w: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25"/>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205"/>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256</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4100" w:type="dxa"/>
            <w:vAlign w:val="bottom"/>
          </w:tcPr>
          <w:p>
            <w:pPr>
              <w:spacing w:after="0"/>
              <w:rPr>
                <w:sz w:val="17"/>
                <w:szCs w:val="17"/>
                <w:color w:val="auto"/>
              </w:rPr>
            </w:pP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42,247</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42,247</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customer relationships</w:t>
            </w:r>
          </w:p>
        </w:tc>
        <w:tc>
          <w:tcPr>
            <w:tcW w:w="3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10,237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10,237</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41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order backlog</w:t>
            </w: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405</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non-compete arrangements</w:t>
            </w:r>
          </w:p>
        </w:tc>
        <w:tc>
          <w:tcPr>
            <w:tcW w:w="3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392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2,311</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3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2,662</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Unbilled Revenue</w:t>
            </w:r>
          </w:p>
        </w:tc>
        <w:tc>
          <w:tcPr>
            <w:tcW w:w="32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1,140</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3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236</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2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(7,788)</w:t>
            </w:r>
          </w:p>
        </w:tc>
        <w:tc>
          <w:tcPr>
            <w:tcW w:w="18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(7,788)</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price</w:t>
            </w:r>
          </w:p>
        </w:tc>
        <w:tc>
          <w:tcPr>
            <w:tcW w:w="410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52,098</w:t>
            </w:r>
          </w:p>
        </w:tc>
        <w:tc>
          <w:tcPr>
            <w:tcW w:w="20" w:type="dxa"/>
            <w:vAlign w:val="bottom"/>
          </w:tcPr>
          <w:p>
            <w:pPr>
              <w:spacing w:after="0"/>
              <w:rPr>
                <w:sz w:val="18"/>
                <w:szCs w:val="18"/>
                <w:color w:val="auto"/>
              </w:rPr>
            </w:pPr>
          </w:p>
        </w:tc>
      </w:tr>
    </w:tbl>
    <w:p>
      <w:pPr>
        <w:spacing w:after="0" w:line="214"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7"/>
          <w:szCs w:val="17"/>
          <w:color w:val="auto"/>
        </w:rPr>
        <w:t>Goodwill represents the acquisition of an established workforce with experience in strategic pricing, market access, HEOR, due diligence support and payer engagement services. Goodwill related to the US portion of the business acquired is tax deductible.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 Business Combinations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carrying values of accounts receivable, unbilled revenue and other current assets above are carried at amortised cost and assumed to be approximate to their fair values due to the short term nature of these balances. There is no evidence that the Group will not be able to collect all amounts due.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proforma effect of the PriceSpective acquisition if completed on 1 January 2011 would have resulted in net revenue and profit for the financial years ended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2011 and 31 December 2012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39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39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39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39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39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1,118,410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964,388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6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39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58,857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21,713</w:t>
            </w:r>
          </w:p>
        </w:tc>
        <w:tc>
          <w:tcPr>
            <w:tcW w:w="0" w:type="dxa"/>
            <w:vAlign w:val="bottom"/>
          </w:tcPr>
          <w:p>
            <w:pPr>
              <w:spacing w:after="0"/>
              <w:rPr>
                <w:sz w:val="1"/>
                <w:szCs w:val="1"/>
                <w:color w:val="auto"/>
              </w:rPr>
            </w:pPr>
          </w:p>
        </w:tc>
      </w:tr>
      <w:tr>
        <w:trPr>
          <w:trHeight w:val="436"/>
        </w:trPr>
        <w:tc>
          <w:tcPr>
            <w:tcW w:w="6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(c) Prior Period acquisition of BeijingWits Medical</w:t>
            </w:r>
          </w:p>
        </w:tc>
        <w:tc>
          <w:tcPr>
            <w:tcW w:w="39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15 February 2012 the Company acquired 100% of the common stock of BeijingWits Medical Consulting Co. Limited (BeijingWits Medical), a leading Chinese CRO, for an initial cash consideration of $9.0 million. BeijingWits Medical offers full-service clinical development capabilities and has a strong track record in clinical trial execution in China. It is a renowned expert in Chinese regulatory processes and a leading advocate of International Conference on Harmonisation Good Clinical Practice (“ICH GCP”) in China. In addition to boosting the Company’s service capabilities in the region, BeijingWits Medical will also strengthen the Company’s presence through the addition of over 100 highly qualified and experienced professionals in Beijing, Shanghai, Chengdu, Guangzhou, Wuhan and Hong Kong. Further consideration of up to $7.0 million may become payable if certain performance milestones are achieved in respect of periods up to 31 December 2013. On 13 June 2013 the Company paid $3.8 million in relation to the remaining performance milestones for the year ended 31 December 2012. At 31 December 2013 the Company has recorded a liability of $3.2 million in respect of the additional consideration.</w:t>
      </w:r>
    </w:p>
    <w:p>
      <w:pPr>
        <w:spacing w:after="0" w:line="19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The acquisition of BeijingWits has been accounted for as a business combination in accordance with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The following table summarises the fair values of the assets acquired and the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Fair</w:t>
            </w: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25"/>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205"/>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4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172</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3240" w:type="dxa"/>
            <w:vAlign w:val="bottom"/>
          </w:tcPr>
          <w:p>
            <w:pPr>
              <w:spacing w:after="0"/>
              <w:rPr>
                <w:sz w:val="17"/>
                <w:szCs w:val="17"/>
                <w:color w:val="auto"/>
              </w:rPr>
            </w:pP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13,512</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13,512</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customer relationships</w:t>
            </w:r>
          </w:p>
        </w:tc>
        <w:tc>
          <w:tcPr>
            <w:tcW w:w="4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1,761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3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order backlog</w:t>
            </w: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376</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w:t>
            </w:r>
          </w:p>
        </w:tc>
        <w:tc>
          <w:tcPr>
            <w:tcW w:w="3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non-compete arrangements</w:t>
            </w:r>
          </w:p>
        </w:tc>
        <w:tc>
          <w:tcPr>
            <w:tcW w:w="4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97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587</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4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657</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Unbilled revenue</w:t>
            </w: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176</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4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228</w:t>
            </w:r>
          </w:p>
        </w:tc>
        <w:tc>
          <w:tcPr>
            <w:tcW w:w="188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40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(559)</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(1,007)</w:t>
            </w:r>
          </w:p>
        </w:tc>
        <w:tc>
          <w:tcPr>
            <w:tcW w:w="188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Purchase price</w:t>
            </w:r>
          </w:p>
        </w:tc>
        <w:tc>
          <w:tcPr>
            <w:tcW w:w="32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20" w:type="dxa"/>
            <w:vAlign w:val="bottom"/>
          </w:tcPr>
          <w:p>
            <w:pPr>
              <w:spacing w:after="0"/>
              <w:rPr>
                <w:sz w:val="18"/>
                <w:szCs w:val="18"/>
                <w:color w:val="auto"/>
              </w:rPr>
            </w:pPr>
          </w:p>
        </w:tc>
      </w:tr>
      <w:tr>
        <w:trPr>
          <w:trHeight w:val="57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80" w:type="dxa"/>
            <w:vAlign w:val="bottom"/>
          </w:tcPr>
          <w:p>
            <w:pPr>
              <w:jc w:val="right"/>
              <w:ind w:right="2555"/>
              <w:spacing w:after="0"/>
              <w:rPr>
                <w:sz w:val="20"/>
                <w:szCs w:val="20"/>
                <w:color w:val="auto"/>
              </w:rPr>
            </w:pPr>
            <w:r>
              <w:rPr>
                <w:rFonts w:ascii="Times New Roman" w:cs="Times New Roman" w:eastAsia="Times New Roman" w:hAnsi="Times New Roman"/>
                <w:sz w:val="17"/>
                <w:szCs w:val="17"/>
                <w:color w:val="auto"/>
              </w:rPr>
              <w:t>71</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Goodwill represents the acquisition of an established workforce with experience in clinical trial execution and regulatory processes in China. Goodwill is not tax deductible.</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carrying values of accounts receivable, unbilled revenue and other current assets in the above table are carried at amortised cost and assumed to be approximate to their fair values due to the short term nature of these balances. There is no evidence that the Group will not be able to collect all amounts due.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proforma effect of the BeijingWits acquisition if completed on 1 January 2011 would have resulted in net revenue and profit for the financial years ended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2011 and 31 December 2012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40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1,115,355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948,942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408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58,275</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18,899</w:t>
            </w:r>
          </w:p>
        </w:tc>
        <w:tc>
          <w:tcPr>
            <w:tcW w:w="0" w:type="dxa"/>
            <w:vAlign w:val="bottom"/>
          </w:tcPr>
          <w:p>
            <w:pPr>
              <w:spacing w:after="0"/>
              <w:rPr>
                <w:sz w:val="1"/>
                <w:szCs w:val="1"/>
                <w:color w:val="auto"/>
              </w:rPr>
            </w:pPr>
          </w:p>
        </w:tc>
      </w:tr>
      <w:tr>
        <w:trPr>
          <w:trHeight w:val="436"/>
        </w:trPr>
        <w:tc>
          <w:tcPr>
            <w:tcW w:w="6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(d) Prior period acquisition of Firecrest Clinical</w:t>
            </w:r>
          </w:p>
        </w:tc>
        <w:tc>
          <w:tcPr>
            <w:tcW w:w="40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14 July 2011 the Company acquired 100% of the common stock of Firecrest Clinical Limited (“Firecrest”), a market leading provider of technology solutions that boost investigator site performance and study management, for an initial cash consideration of €17.0 million ($24.5 million). Headquartered in Limerick, Ireland, Firecrest Clinical provides a comprehensive site performance management system that is used to improve compliance consistency and execution of activities at investigative sites. The acquisition agreement provided that further consideration of up to €33.0 million ($46.8 million) would become payable if certain performance milestones were achieved in respect of periods up to 30 June 2013. At the date of acquisition the Company recorded a liability of €31.3 million ($44.0 million) in relation to these performance milestones, with the balance recorded as a non-cash finance charge relating to the acquisition contingent consideration. In March 2012 €3.0 million ($4.0million) was paid by the Company in relation to performance milestones for the six months ended 30 June 2011 and in July 2012 a further €10.0 million ($12.5 million) was paid by the Company in relation to performance milestones for the year ended 31 December 2011. In May 2013 €10.0 million ($13.0 million) was paid by the Company in relation to performance milestones for the year ended 31 December 2012 and in September 2013 a final payment of €10.0 million ($13.2 million) was made.</w:t>
      </w: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acquisition agreement also provided for certain working capital targets to be achieved by Firecrest Clinical on completion. In March 2012 the Company paid €0.4 million ($0.5 million) on completion of this review.</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Business Combinations (</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b w:val="1"/>
          <w:bCs w:val="1"/>
          <w:color w:val="auto"/>
        </w:rPr>
        <w:t>)</w:t>
      </w:r>
    </w:p>
    <w:p>
      <w:pPr>
        <w:spacing w:after="0" w:line="24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 xml:space="preserve">The acquisition of Firecrest has been accounted for as a business combination in accordance with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following table summarises the fair values of the assets acquired and the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Adjustment</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687</w:t>
            </w:r>
          </w:p>
        </w:tc>
        <w:tc>
          <w:tcPr>
            <w:tcW w:w="17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48,073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 – technology asset</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11,169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 – customer relationships</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5,243</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 – order backlog</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1,172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 - trade name</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1,357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1,965</w:t>
            </w:r>
          </w:p>
        </w:tc>
        <w:tc>
          <w:tcPr>
            <w:tcW w:w="17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846</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33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2,867</w:t>
            </w:r>
          </w:p>
        </w:tc>
        <w:tc>
          <w:tcPr>
            <w:tcW w:w="17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liability</w:t>
            </w:r>
          </w:p>
        </w:tc>
        <w:tc>
          <w:tcPr>
            <w:tcW w:w="33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(2,367)</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338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(2,521)</w:t>
            </w:r>
          </w:p>
        </w:tc>
        <w:tc>
          <w:tcPr>
            <w:tcW w:w="176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Purchase price</w:t>
            </w:r>
          </w:p>
        </w:tc>
        <w:tc>
          <w:tcPr>
            <w:tcW w:w="33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Goodwill represents the cost of an established workforce with experience in the development of site performance and study management systems and process related efficiencies expected to be generated from the use of the Firecrest site performance management system. Goodwill is not tax deductible.</w:t>
      </w:r>
    </w:p>
    <w:p>
      <w:pPr>
        <w:spacing w:after="0" w:line="178"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color w:val="auto"/>
        </w:rPr>
        <w:t>The carrying values of accounts receivable in the above table are carried at amortised cost and assumed to be approximate to their fair values due to the short term nature of these balances. There is no evidence that the Group will not be able to collect all amounts due within the above acquired accounts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proforma effect of the Firecrest acquisition if completed on 1 January 2010 would have resulted in net revenue and profit for the financial years ended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2010 and 31 December 2011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7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7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7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2011</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7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revenue</w:t>
            </w:r>
          </w:p>
        </w:tc>
        <w:tc>
          <w:tcPr>
            <w:tcW w:w="67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952,729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906,311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67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22,201</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85,228</w:t>
            </w: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400" w:type="dxa"/>
            <w:vAlign w:val="bottom"/>
            <w:tcBorders>
              <w:top w:val="single" w:sz="8" w:color="auto"/>
            </w:tcBorders>
          </w:tcPr>
          <w:p>
            <w:pPr>
              <w:spacing w:after="0"/>
              <w:rPr>
                <w:sz w:val="24"/>
                <w:szCs w:val="24"/>
                <w:color w:val="auto"/>
              </w:rPr>
            </w:pPr>
          </w:p>
        </w:tc>
        <w:tc>
          <w:tcPr>
            <w:tcW w:w="6700" w:type="dxa"/>
            <w:vAlign w:val="bottom"/>
            <w:tcBorders>
              <w:top w:val="single" w:sz="8" w:color="auto"/>
            </w:tcBorders>
          </w:tcPr>
          <w:p>
            <w:pPr>
              <w:jc w:val="right"/>
              <w:ind w:right="4235"/>
              <w:spacing w:after="0"/>
              <w:rPr>
                <w:sz w:val="20"/>
                <w:szCs w:val="20"/>
                <w:color w:val="auto"/>
              </w:rPr>
            </w:pPr>
            <w:r>
              <w:rPr>
                <w:rFonts w:ascii="Times New Roman" w:cs="Times New Roman" w:eastAsia="Times New Roman" w:hAnsi="Times New Roman"/>
                <w:sz w:val="17"/>
                <w:szCs w:val="17"/>
                <w:color w:val="auto"/>
              </w:rPr>
              <w:t>73</w:t>
            </w: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67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Inventories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9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inventories</w:t>
            </w:r>
          </w:p>
        </w:tc>
        <w:tc>
          <w:tcPr>
            <w:tcW w:w="49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2,198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The cost of inventories is recognised as an expense and included in other direct costs in the income statement. $29.6 million (2012: $33.1 million) was charged in the income statement for the year ended 31 December 2013.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15. Accounts receivable</w:t>
            </w:r>
          </w:p>
        </w:tc>
        <w:tc>
          <w:tcPr>
            <w:tcW w:w="14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6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4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345,729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Less amounts provided for doubtful debts</w:t>
            </w:r>
          </w:p>
        </w:tc>
        <w:tc>
          <w:tcPr>
            <w:tcW w:w="1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(3,148)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342,581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64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Further analysis of Group’s accounts receivable balances at 31 December 2013 is as follows: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Gross</w:t>
            </w:r>
          </w:p>
        </w:tc>
        <w:tc>
          <w:tcPr>
            <w:tcW w:w="1640" w:type="dxa"/>
            <w:vAlign w:val="bottom"/>
          </w:tcPr>
          <w:p>
            <w:pPr>
              <w:spacing w:after="0"/>
              <w:rPr>
                <w:sz w:val="24"/>
                <w:szCs w:val="24"/>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Net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Gross</w:t>
            </w:r>
          </w:p>
        </w:tc>
        <w:tc>
          <w:tcPr>
            <w:tcW w:w="156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1640" w:type="dxa"/>
            <w:vAlign w:val="bottom"/>
          </w:tcPr>
          <w:p>
            <w:pPr>
              <w:spacing w:after="0"/>
              <w:rPr>
                <w:sz w:val="17"/>
                <w:szCs w:val="17"/>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accounts</w:t>
            </w:r>
          </w:p>
        </w:tc>
        <w:tc>
          <w:tcPr>
            <w:tcW w:w="156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accounts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receivable</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Impairment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receivable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2012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 past due</w:t>
            </w:r>
          </w:p>
        </w:tc>
        <w:tc>
          <w:tcPr>
            <w:tcW w:w="14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275,246</w:t>
            </w:r>
          </w:p>
        </w:tc>
        <w:tc>
          <w:tcPr>
            <w:tcW w:w="16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(11)</w:t>
            </w:r>
          </w:p>
        </w:tc>
        <w:tc>
          <w:tcPr>
            <w:tcW w:w="11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275,235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221,613</w:t>
            </w: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Past due 0 to 30 days</w:t>
            </w: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36,947</w:t>
            </w: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(738)</w:t>
            </w: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36,209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30,964</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(338)</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Past due 31 to 60 days</w:t>
            </w:r>
          </w:p>
        </w:tc>
        <w:tc>
          <w:tcPr>
            <w:tcW w:w="14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2,956</w:t>
            </w:r>
          </w:p>
        </w:tc>
        <w:tc>
          <w:tcPr>
            <w:tcW w:w="16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(238)</w:t>
            </w:r>
          </w:p>
        </w:tc>
        <w:tc>
          <w:tcPr>
            <w:tcW w:w="11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2,718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14,467</w:t>
            </w:r>
          </w:p>
        </w:tc>
        <w:tc>
          <w:tcPr>
            <w:tcW w:w="1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Past due 61+ days</w:t>
            </w: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30,580</w:t>
            </w:r>
          </w:p>
        </w:tc>
        <w:tc>
          <w:tcPr>
            <w:tcW w:w="16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(2,161)</w:t>
            </w:r>
          </w:p>
        </w:tc>
        <w:tc>
          <w:tcPr>
            <w:tcW w:w="11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28,419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23,422</w:t>
            </w: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(4,603)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345,729</w:t>
            </w:r>
          </w:p>
        </w:tc>
        <w:tc>
          <w:tcPr>
            <w:tcW w:w="16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(3,148)</w:t>
            </w:r>
          </w:p>
        </w:tc>
        <w:tc>
          <w:tcPr>
            <w:tcW w:w="11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342,581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290,466</w:t>
            </w:r>
          </w:p>
        </w:tc>
        <w:tc>
          <w:tcPr>
            <w:tcW w:w="1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(5,047)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285,419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provision for impairment is recognised where there is objective evidence that the Group will not be able to collect all amounts due according to the original terms of the receivable. At 31 December 2013, the Group maintained an impairment provision of $3.1 million (2012: $5.0 million). Movement on the accounts receivable impairment provision during the year was as follows: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15. Accounts receivable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Accounts receivable impairment provision</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836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start of year</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5,047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Amounts used during the year</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(3,132)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provided for during the year</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1,368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Amounts released during the year</w:t>
            </w: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8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Balance at end of year</w:t>
            </w: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3,148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receivables are due within twelve months of the year ended 31 December 2012.</w:t>
            </w: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carrying amounts of the Group’s accounts receivables are denominated in the following currencies:</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8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Dollar</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117,029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Euro</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208,848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Sterling</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8,768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currencies</w:t>
            </w: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7,936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342,581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8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16. Other assets</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Non-current other assets</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836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deposits</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6,427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Deferred employee savings scheme assets</w:t>
            </w: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5,880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12,307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Lease deposits paid in respect of certain premises leased by the Group are refundable on expiry of the related leases.</w:t>
            </w: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Other current assets</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836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related prepayments</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Facility and information system related prepayments</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8,893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overhead prepayments</w:t>
            </w:r>
          </w:p>
        </w:tc>
        <w:tc>
          <w:tcPr>
            <w:tcW w:w="17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11,068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Sales tax recoverable</w:t>
            </w:r>
          </w:p>
        </w:tc>
        <w:tc>
          <w:tcPr>
            <w:tcW w:w="17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6,316</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17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4,610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31,306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8360" w:type="dxa"/>
            <w:vAlign w:val="bottom"/>
            <w:gridSpan w:val="2"/>
          </w:tcPr>
          <w:p>
            <w:pPr>
              <w:ind w:left="5620"/>
              <w:spacing w:after="0"/>
              <w:rPr>
                <w:sz w:val="20"/>
                <w:szCs w:val="20"/>
                <w:color w:val="auto"/>
              </w:rPr>
            </w:pPr>
            <w:r>
              <w:rPr>
                <w:rFonts w:ascii="Times New Roman" w:cs="Times New Roman" w:eastAsia="Times New Roman" w:hAnsi="Times New Roman"/>
                <w:sz w:val="17"/>
                <w:szCs w:val="17"/>
                <w:color w:val="auto"/>
              </w:rPr>
              <w:t>75</w:t>
            </w: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34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16. Other assets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Other current assets do not contain any impaired assets. The maximum exposure to credit risk at the reporting date is the carrying value of each receivable. The Group does not hold any collateral as security.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17. Current asset investments</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2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42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42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start of year</w:t>
            </w:r>
          </w:p>
        </w:tc>
        <w:tc>
          <w:tcPr>
            <w:tcW w:w="42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76,183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42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172,168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42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(109,795)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Unrealised capital (loss)/gain - investments</w:t>
            </w:r>
          </w:p>
        </w:tc>
        <w:tc>
          <w:tcPr>
            <w:tcW w:w="42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(239)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end of year</w:t>
            </w:r>
          </w:p>
        </w:tc>
        <w:tc>
          <w:tcPr>
            <w:tcW w:w="42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Current asset investments are reported at fair value, with unrealised gains or losses recorded in other comprehensive income. During the year ended 31 December 2013 an unrealised loss of $0.2 million (2012: unrealised gain of $0.9 million) was recorded. Current asset investments comprise highly liquid investments with maturities of greater than three months and minimum “A-” rated fixed and floating rate securities.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18. Cash and cash equivalents</w:t>
            </w:r>
          </w:p>
        </w:tc>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at bank and in hand</w:t>
            </w:r>
          </w:p>
        </w:tc>
        <w:tc>
          <w:tcPr>
            <w:tcW w:w="41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52,830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Short term deposits</w:t>
            </w:r>
          </w:p>
        </w:tc>
        <w:tc>
          <w:tcPr>
            <w:tcW w:w="4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129,689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182,519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19. Accrued and other liabilities</w:t>
            </w:r>
          </w:p>
        </w:tc>
        <w:tc>
          <w:tcPr>
            <w:tcW w:w="4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Non-current other liabilities</w:t>
            </w:r>
          </w:p>
        </w:tc>
        <w:tc>
          <w:tcPr>
            <w:tcW w:w="4140" w:type="dxa"/>
            <w:vAlign w:val="bottom"/>
            <w:vMerge w:val="restart"/>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4,278</w:t>
            </w: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related liabilities*</w:t>
            </w:r>
          </w:p>
        </w:tc>
        <w:tc>
          <w:tcPr>
            <w:tcW w:w="4140" w:type="dxa"/>
            <w:vAlign w:val="bottom"/>
            <w:vMerge w:val="continue"/>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Deferred government grants (note 21)</w:t>
            </w: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1,359</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Retirement benefit plan net obligation (note 9)</w:t>
            </w:r>
          </w:p>
        </w:tc>
        <w:tc>
          <w:tcPr>
            <w:tcW w:w="41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3,536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Deferred employee savings scheme liabilities*</w:t>
            </w:r>
          </w:p>
        </w:tc>
        <w:tc>
          <w:tcPr>
            <w:tcW w:w="41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3,384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414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12,557</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25360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 xml:space="preserve">*Personnel related liabilities and deferred employee savings scheme liabilities are payable between 1 and 2 years from the reporting date </w:t>
      </w:r>
      <w:r>
        <w:rPr>
          <w:rFonts w:ascii="Times New Roman" w:cs="Times New Roman" w:eastAsia="Times New Roman" w:hAnsi="Times New Roman"/>
          <w:sz w:val="17"/>
          <w:szCs w:val="17"/>
          <w:i w:val="1"/>
          <w:iCs w:val="1"/>
          <w:color w:val="auto"/>
        </w:rPr>
        <w:t>(see note 25)</w:t>
      </w:r>
      <w:r>
        <w:rPr>
          <w:rFonts w:ascii="Times New Roman" w:cs="Times New Roman" w:eastAsia="Times New Roman" w:hAnsi="Times New Roman"/>
          <w:sz w:val="17"/>
          <w:szCs w:val="17"/>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 xml:space="preserve">19. Accrued and other liabilities </w:t>
            </w:r>
            <w:r>
              <w:rPr>
                <w:rFonts w:ascii="Times New Roman" w:cs="Times New Roman" w:eastAsia="Times New Roman" w:hAnsi="Times New Roman"/>
                <w:sz w:val="17"/>
                <w:szCs w:val="17"/>
                <w:b w:val="1"/>
                <w:bCs w:val="1"/>
                <w:i w:val="1"/>
                <w:iCs w:val="1"/>
                <w:color w:val="auto"/>
              </w:rPr>
              <w:t>(continued)</w:t>
            </w:r>
          </w:p>
        </w:tc>
        <w:tc>
          <w:tcPr>
            <w:tcW w:w="3300" w:type="dxa"/>
            <w:vAlign w:val="bottom"/>
            <w:vMerge w:val="restart"/>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accrued and other liabilities</w:t>
            </w: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6820" w:type="dxa"/>
            <w:vAlign w:val="bottom"/>
            <w:gridSpan w:val="2"/>
            <w:vMerge w:val="continue"/>
          </w:tcPr>
          <w:p>
            <w:pPr>
              <w:spacing w:after="0"/>
              <w:rPr>
                <w:sz w:val="17"/>
                <w:szCs w:val="17"/>
                <w:color w:val="auto"/>
              </w:rPr>
            </w:pPr>
          </w:p>
        </w:tc>
        <w:tc>
          <w:tcPr>
            <w:tcW w:w="3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related liabilities</w:t>
            </w:r>
          </w:p>
        </w:tc>
        <w:tc>
          <w:tcPr>
            <w:tcW w:w="3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138,639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Facility and information system related liabilities</w:t>
            </w: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16,205</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overhead liabilities</w:t>
            </w:r>
          </w:p>
        </w:tc>
        <w:tc>
          <w:tcPr>
            <w:tcW w:w="3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31,034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3,049</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 term government grants (note 21)</w:t>
            </w:r>
          </w:p>
        </w:tc>
        <w:tc>
          <w:tcPr>
            <w:tcW w:w="33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240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3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189,167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20. Provisions</w:t>
            </w:r>
          </w:p>
        </w:tc>
        <w:tc>
          <w:tcPr>
            <w:tcW w:w="3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Current provisions</w:t>
            </w: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6820" w:type="dxa"/>
            <w:vAlign w:val="bottom"/>
            <w:gridSpan w:val="2"/>
            <w:vMerge w:val="continue"/>
          </w:tcPr>
          <w:p>
            <w:pPr>
              <w:spacing w:after="0"/>
              <w:rPr>
                <w:sz w:val="17"/>
                <w:szCs w:val="17"/>
                <w:color w:val="auto"/>
              </w:rPr>
            </w:pPr>
          </w:p>
        </w:tc>
        <w:tc>
          <w:tcPr>
            <w:tcW w:w="3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Restructuring provision (note 7) *</w:t>
            </w:r>
          </w:p>
        </w:tc>
        <w:tc>
          <w:tcPr>
            <w:tcW w:w="3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2,430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Acquisition consideration payable (note 13) **</w:t>
            </w:r>
          </w:p>
        </w:tc>
        <w:tc>
          <w:tcPr>
            <w:tcW w:w="3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3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5,675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Restructuring provision is payable in 6 months or less.</w:t>
            </w:r>
          </w:p>
        </w:tc>
        <w:tc>
          <w:tcPr>
            <w:tcW w:w="3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**Acquisition consideration is payable between 6 and 12 months.</w:t>
            </w:r>
          </w:p>
        </w:tc>
        <w:tc>
          <w:tcPr>
            <w:tcW w:w="3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21. Deferred government grants</w:t>
            </w:r>
          </w:p>
        </w:tc>
        <w:tc>
          <w:tcPr>
            <w:tcW w:w="3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beginning of year</w:t>
            </w:r>
          </w:p>
        </w:tc>
        <w:tc>
          <w:tcPr>
            <w:tcW w:w="3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1,662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225</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Amortised during the year</w:t>
            </w:r>
          </w:p>
        </w:tc>
        <w:tc>
          <w:tcPr>
            <w:tcW w:w="3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(349)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3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At end of year</w:t>
            </w:r>
          </w:p>
        </w:tc>
        <w:tc>
          <w:tcPr>
            <w:tcW w:w="3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1,599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Current</w:t>
            </w:r>
          </w:p>
        </w:tc>
        <w:tc>
          <w:tcPr>
            <w:tcW w:w="3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240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w:t>
            </w:r>
          </w:p>
        </w:tc>
        <w:tc>
          <w:tcPr>
            <w:tcW w:w="33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1,359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3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1,599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Bank credit lines and loan facilities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20 July 2011 the Company entered into a three year committed multi currency revolving credit facility for $150.0 million with Citibank, JP Morgan, Ulster Bank, Deutsche Bank and Barclays Bank. Each bank subject to the agreement has committed $30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$150.0 million at 31 December 2013 compared with $150.0 million at 31 December 2012.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23. Share capital</w:t>
            </w:r>
          </w:p>
        </w:tc>
        <w:tc>
          <w:tcPr>
            <w:tcW w:w="2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Group and Company</w:t>
            </w:r>
          </w:p>
        </w:tc>
        <w:tc>
          <w:tcPr>
            <w:tcW w:w="2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Authorised share capital:</w:t>
            </w:r>
          </w:p>
        </w:tc>
        <w:tc>
          <w:tcPr>
            <w:tcW w:w="2760" w:type="dxa"/>
            <w:vAlign w:val="bottom"/>
          </w:tcPr>
          <w:p>
            <w:pPr>
              <w:spacing w:after="0"/>
              <w:rPr>
                <w:sz w:val="24"/>
                <w:szCs w:val="2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w w:val="98"/>
              </w:rPr>
              <w:t>No. of Ordinary Shares</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shares of par value €0.06</w:t>
            </w:r>
          </w:p>
        </w:tc>
        <w:tc>
          <w:tcPr>
            <w:tcW w:w="27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2013</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6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Allotted, called up and fully paid</w:t>
            </w: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6960" w:type="dxa"/>
            <w:vAlign w:val="bottom"/>
            <w:gridSpan w:val="2"/>
            <w:vMerge w:val="continue"/>
          </w:tcPr>
          <w:p>
            <w:pPr>
              <w:spacing w:after="0"/>
              <w:rPr>
                <w:sz w:val="17"/>
                <w:szCs w:val="17"/>
                <w:color w:val="auto"/>
              </w:rPr>
            </w:pPr>
          </w:p>
        </w:tc>
        <w:tc>
          <w:tcPr>
            <w:tcW w:w="2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60" w:type="dxa"/>
            <w:vAlign w:val="bottom"/>
            <w:gridSpan w:val="2"/>
          </w:tcPr>
          <w:p>
            <w:pPr>
              <w:spacing w:after="0"/>
              <w:rPr>
                <w:sz w:val="17"/>
                <w:szCs w:val="17"/>
                <w:color w:val="auto"/>
              </w:rPr>
            </w:pPr>
          </w:p>
        </w:tc>
        <w:tc>
          <w:tcPr>
            <w:tcW w:w="2760" w:type="dxa"/>
            <w:vAlign w:val="bottom"/>
          </w:tcPr>
          <w:p>
            <w:pPr>
              <w:spacing w:after="0"/>
              <w:rPr>
                <w:sz w:val="17"/>
                <w:szCs w:val="17"/>
                <w:color w:val="auto"/>
              </w:rPr>
            </w:pPr>
          </w:p>
        </w:tc>
        <w:tc>
          <w:tcPr>
            <w:tcW w:w="17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61,587,257 (31 December 2012: 60,287,498) ordinary shares of €0.06 each</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5,168</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Issued, fully paid share capital</w:t>
            </w:r>
          </w:p>
        </w:tc>
        <w:tc>
          <w:tcPr>
            <w:tcW w:w="27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At beginning of year</w:t>
            </w:r>
          </w:p>
        </w:tc>
        <w:tc>
          <w:tcPr>
            <w:tcW w:w="2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5,067</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share options exercised</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At end of year</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5,168</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5,067</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During the year ended 31 December 2013, 1,249,759 options were exercised by employees at an average exercise price of $21.60 per share for total proceeds of $27.0 million. During the year ended 31 December 2013, 50,000 ordinary shares were issued in respect of certain RSUs previously awarded by the Company.</w:t>
      </w:r>
    </w:p>
    <w:p>
      <w:pPr>
        <w:spacing w:after="0" w:line="17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7"/>
          <w:szCs w:val="17"/>
          <w:color w:val="auto"/>
        </w:rPr>
        <w:t>During the year ended 31 December 2012, 890,236 options were exercised by employees at an average exercise price of $14.62 per share for total proceeds of $13.0 million.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23. Share capital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repurchase programme</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27 October 2011 the Company announced its intention to commence a share repurchase program of up to $50 million. On 22 November 2011 the Company entered into two separate share repurchase plans of up to $10 million each, covering the periods 23 November 2011 to 31 December 2011 and 1 January 2012 to 20 February 2012 respectively. On 21 February 2012 the Company entered into a further share repurchase plan of up to $20 million, covering the period 22 February 2012 to 22 April 2012. On 27 April 2012 the Company entered into a fourth share repurchase plan of up to $20 million, covering the period 27 April 2012 to 18 July 2012. On 30 July 2012 the Company entered into a fifth share repurchase plan of up to $10 million, covering the period 30 July 2012 to 26 October 2012.</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year ended 31 December 2012 738,341 ordinary shares were repurchased by the Company for a total consideration of $15.6 million. During the year ended 31 December 2011 545,597 ordinary shares were repurchased by the Company for a total consideration of $9.0 million. As at 31 December 2012 1,283,938 ordinary shares have been repurchased by the Company for a total consideration of $24.6 million. All ordinary shares repurchased by the Company were cancelled, and the nominal value of these shares transferred to a capital redemption reserve fund as required under Irish Company Law.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24. Capital and reserves</w:t>
            </w:r>
          </w:p>
        </w:tc>
        <w:tc>
          <w:tcPr>
            <w:tcW w:w="4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2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42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 reserve</w:t>
            </w:r>
          </w:p>
        </w:tc>
        <w:tc>
          <w:tcPr>
            <w:tcW w:w="42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52,407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Capital redemption reserve</w:t>
            </w:r>
          </w:p>
        </w:tc>
        <w:tc>
          <w:tcPr>
            <w:tcW w:w="42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reserves</w:t>
            </w:r>
          </w:p>
        </w:tc>
        <w:tc>
          <w:tcPr>
            <w:tcW w:w="42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8,068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translation reserve</w:t>
            </w:r>
          </w:p>
        </w:tc>
        <w:tc>
          <w:tcPr>
            <w:tcW w:w="42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4,205</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 investment – fair value reserve</w:t>
            </w:r>
          </w:p>
        </w:tc>
        <w:tc>
          <w:tcPr>
            <w:tcW w:w="42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42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659,817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42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724,597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588,411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based payment reserve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share based payment reserve is used to account for share-based payments. The fair value of share based payments is expensed to the income statement over the period the related services are received, with a corresponding increase in equity. At 31 December 2013 the Group has recognised a cumulative charge for share based payments of $80.2 million net of deferred tax (2012: $63.4 million). The Group has also recognised a cumulative credit of $13.2 million (2012: $11.6 million) in reserves for the current and deferred tax effects of the tax benefits relating to the exercise of employee share options in excess of related cumulative compensation expense. The Group has reclassified a cumulative credit of $41.0 million (2012: $29.9 million) to retained earnings in respect of exercised and expired share based awards.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24. Capital and reserves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redemption reserve</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capital redemption reserve comprises the nominal value of shares repurchased and cancelled by the Group and transferred from share capital to the capital redemption reserve fund as required under Irish Company Law. During the year ended 31 December 2013, nil (31 December 2012: 738,341) ordinary shares were repurchased and cancelled by the Group.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reserves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Group has recognised a non-distributable reserve of $2.0 million in accordance with agreements made between the Group and Enterprise Ireland, an Irish government agency. The requirement for these non-distributable reserves will expire between the period 2014 and 2017. In 2005 the Group also recognised a capital contribution of $6.1 million being the fair value of outstanding ordinary shares transferred to Mr Peter Gray, formerly Vice Chairman of the Board of Directors and formerly Chief Executive Officer, by founding Directors, Dr. John Climax and Dr. Ronan Lambe.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Currency reserve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currency reserve comprises all foreign exchange differences arising from the translation of the financial statements of foreign currency denominated operations of the Group since 1 June 2004, the date of transition to IFRS. As at 31 December 2013, this amounted to a cumulative loss of $23.1 million (2012: $12.4 million). In addition the Group has recognised a cumulative gain for the currency impact of long term funding amounting to as at 31 December 2013 $20.0 million (2012: $18.9 million). This is offset by a cumulative charge of $1.1 million (2012: $1.1 million) for the related tax on the currency impact on long term funding.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Current asset investments – fair value reserve</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current asset investment – fair value reserve comprises unrealised fair value gains and losses on current asset investments held as available-for-sale. The Group has recognised a loss during the year ended 31 December 2013 of $0.2 million (2012: gain of $0.9 million). Unrealised gains and losses are released to the Consolidated Income Statement on disposal of the related asset.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Retained earnings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to the profit for the financial year the Group has also recognised the re-measurement of the defined benefit pension scheme in this reserve. In 2013 the Group recognised a re-measurement on the defined benefit pension scheme of $1.4 million (31 December 2012: actuarial gain of $0.7 million (restated)). The Group has also recognised a credit of $11.1 million (2012: $5.9 million) in respect of exercised and expired share based awards that have been transferred from the Option Reserve.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Financial Instruments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Board of Directors have overall responsibility for the establishment and oversight of the Group’s risk management framework. The Group is exposed to various financial risks in the normal course of its business. The principle financial risks to which it is exposed include credit risks related to the creditworthiness of its customers and counterparties with which it invests surplus cash funds, liquidity risk associated with the availability of sufficient capital resources, foreign currency risks, including both translation and transaction risk, and interest rate risk.</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 The Audit Committee of the Board oversees how management monitors compliance with the Group’s risk management policies and procedures and reviews the adequacy of the risk management framework in relation to the risks faced by the Group.</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risk</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Group’s exposure to credit risk arises predominately in respect of the creditworthiness of its customers in relation to amounts due from them for the value of work performed and the creditworthiness of counterparties with which it invests surplus cash balances.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Credit risk pertaining to customers is managed by ensuring strict credit procedures are in place, in particular through evaluation of all new customers and ongoing account monitoring. The Group earns revenues from contracts with its customers based upon certain activities and performance specifications. Contract terms may range from several weeks to several years depending on the nature of the work to be performed. Such contracts are generally either fixed price or units-based. In most cases, a small portion of the contract fee is paid at the time the study or trial is started. The balance of the contract fee is generally payable in instalments over the study or trial duration and may be based on the achievement of certain performance targets or "milestones" or, based on units delivered, or on a fixed monthly payment schedule. For instance, instalment payments may be based on patient enrolment or delivery of the database. Where customers request changes in the scope of a trial or in the services to be provided, a change order or amendment is issued which may result either in an increase or decrease in the contract value. The Group also contracts on a "fee-for-service" or "time and materials" basis.</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course of the study, the Group will generally incur expenses which are fully reimbursable by customers. Reimbursable expenses are typically estimated and budgeted within the contract and invoiced on a monthly basis. Reimbursable expenses include payments to investigators, travel and accommodation costs and various other direct costs incurred in the course of the clinical trial which are fully reimbursable by the customer.</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Most of the Group’s contracts are terminable immediately by the customer with justifiable cause or with 30 to 90 days notice without cause. In the event of termination, the Group is usually entitled to all sums owed for work performed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customer's decision to de-emphasise a particular trial or inadequate patient enrollment or investigator recruitment.</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Group’s top five customers accounted for approximately 53% and 48% respectively of net revenue during the years ended 31 December 2013 and 31 December 2012. During the year ended 31 December 2013 26% of the Group’s net revenues were derived from its top customer with 10% of net revenues being derived from the Group’s second largest customer. With the exception of these two customers no customer contributed more than 10% of net revenues during the period. During the year ended 31 December 2012 18% of the Group’s net revenues were derived from its top customer with 12% of net revenues being derived from the Group’s second largest customer. With the exception of this customer no customer contributed more than 10% of net revenues during this period.</w:t>
      </w:r>
    </w:p>
    <w:p>
      <w:pPr>
        <w:spacing w:after="0" w:line="200"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7"/>
          <w:szCs w:val="17"/>
          <w:color w:val="auto"/>
        </w:rPr>
        <w:t>The maximum exposure of credit risk pertaining to customers is the carrying value of accounts receivable and unbilled revenue balances. The carrying value of accounts receivable and unbilled revenue balances, by geographic region, at 31 December 2013 was as follows: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Accounts Receivable</w:t>
            </w:r>
          </w:p>
        </w:tc>
        <w:tc>
          <w:tcPr>
            <w:tcW w:w="13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Unbilled Revenue</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20" w:type="dxa"/>
            <w:vAlign w:val="bottom"/>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31 December</w:t>
            </w:r>
          </w:p>
        </w:tc>
        <w:tc>
          <w:tcPr>
            <w:tcW w:w="2060" w:type="dxa"/>
            <w:vAlign w:val="bottom"/>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920" w:type="dxa"/>
            <w:vAlign w:val="bottom"/>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2012</w:t>
            </w:r>
          </w:p>
        </w:tc>
        <w:tc>
          <w:tcPr>
            <w:tcW w:w="2060" w:type="dxa"/>
            <w:vAlign w:val="bottom"/>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20" w:type="dxa"/>
            <w:vAlign w:val="bottom"/>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$’000</w:t>
            </w:r>
          </w:p>
        </w:tc>
        <w:tc>
          <w:tcPr>
            <w:tcW w:w="2060" w:type="dxa"/>
            <w:vAlign w:val="bottom"/>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Europe</w:t>
            </w:r>
          </w:p>
        </w:tc>
        <w:tc>
          <w:tcPr>
            <w:tcW w:w="392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221,356</w:t>
            </w:r>
          </w:p>
        </w:tc>
        <w:tc>
          <w:tcPr>
            <w:tcW w:w="13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145,743</w:t>
            </w:r>
          </w:p>
        </w:tc>
        <w:tc>
          <w:tcPr>
            <w:tcW w:w="206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58,596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3920" w:type="dxa"/>
            <w:vAlign w:val="bottom"/>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117,546</w:t>
            </w: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136,061</w:t>
            </w:r>
          </w:p>
        </w:tc>
        <w:tc>
          <w:tcPr>
            <w:tcW w:w="2060" w:type="dxa"/>
            <w:vAlign w:val="bottom"/>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53,256</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 of World</w:t>
            </w:r>
          </w:p>
        </w:tc>
        <w:tc>
          <w:tcPr>
            <w:tcW w:w="392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3,679</w:t>
            </w:r>
          </w:p>
        </w:tc>
        <w:tc>
          <w:tcPr>
            <w:tcW w:w="132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3,615</w:t>
            </w:r>
          </w:p>
        </w:tc>
        <w:tc>
          <w:tcPr>
            <w:tcW w:w="206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1,387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92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342,581</w:t>
            </w:r>
          </w:p>
        </w:tc>
        <w:tc>
          <w:tcPr>
            <w:tcW w:w="132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285,419</w:t>
            </w:r>
          </w:p>
        </w:tc>
        <w:tc>
          <w:tcPr>
            <w:tcW w:w="206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113,239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Credit risk exposure arises due to the investment of Group surplus cash in various financial instruments. The Group’s treasury function actively manages cash resources and invests surplus cash balances with various financial institutions in accordance with strict credit risk management policies and controls as specified by the Group’s Board of Directors. Credit risk in relation to these balances is managed through on-going monitoring of the credit quality ensuring that funds are invested as per agreed Investment guidelines. These balances are classified as cash and cash equivalents or current asset investments depending on the maturity of the related investment. Invested cash comprises of cash and cash equivalents with a maturity of three months or less and credit quality is set at a minimum credit rating of BB+ for overnight maturities and a minimum of A- for any bank deposits greater than overnight and up to three months. Current asset investments comprise of investments with maturities of greater than three months. The minimum ratings required for each class of investment are as follows: bank deposits (A-), money market funds (AAA), liquidity funds (AAA) and fixed rate corporate bonds or floating rate notes (A- non-financial, AA- financial).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Liquid and Capital Resources</w:t>
            </w:r>
          </w:p>
        </w:tc>
        <w:tc>
          <w:tcPr>
            <w:tcW w:w="3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Group’s liquid and capital resources at 31 December 2013 were as follows:</w:t>
            </w:r>
          </w:p>
        </w:tc>
        <w:tc>
          <w:tcPr>
            <w:tcW w:w="3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0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30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 investments (note 17)</w:t>
            </w:r>
          </w:p>
        </w:tc>
        <w:tc>
          <w:tcPr>
            <w:tcW w:w="30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and cash equivalents (note 18)</w:t>
            </w:r>
          </w:p>
        </w:tc>
        <w:tc>
          <w:tcPr>
            <w:tcW w:w="30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182,519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liquid resources</w:t>
            </w:r>
          </w:p>
        </w:tc>
        <w:tc>
          <w:tcPr>
            <w:tcW w:w="30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320,836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190,230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30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929,550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766,441</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principal operating cash requirements of the Group include payment of salaries, office rents, travel expenditures and payments to investigators. Other cash requirements include capital expenditures for facilities and information system enhancements and cash required to fund acquisitions and other growth opportunities. The CRO industry is generally not capital intensive. The Group primarily finances its operations and growth through cash flows from operations, together with amounts drawn under negotiated facilities as required.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Group’s primary objectives in managing its liquid and capital resources are as follows:</w:t>
      </w:r>
    </w:p>
    <w:p>
      <w:pPr>
        <w:spacing w:after="0" w:line="35" w:lineRule="exact"/>
        <w:rPr>
          <w:sz w:val="20"/>
          <w:szCs w:val="20"/>
          <w:color w:val="auto"/>
        </w:rPr>
      </w:pPr>
    </w:p>
    <w:p>
      <w:pPr>
        <w:ind w:left="660" w:hanging="145"/>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adequate resources to fund its continued operations,</w:t>
      </w:r>
    </w:p>
    <w:p>
      <w:pPr>
        <w:spacing w:after="0" w:line="35" w:lineRule="exact"/>
        <w:rPr>
          <w:rFonts w:ascii="Times New Roman" w:cs="Times New Roman" w:eastAsia="Times New Roman" w:hAnsi="Times New Roman"/>
          <w:sz w:val="17"/>
          <w:szCs w:val="17"/>
          <w:color w:val="auto"/>
        </w:rPr>
      </w:pPr>
    </w:p>
    <w:p>
      <w:pPr>
        <w:ind w:left="660" w:hanging="145"/>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ensure availability of sufficient resources to sustain future development and growth of the business,</w:t>
      </w:r>
    </w:p>
    <w:p>
      <w:pPr>
        <w:spacing w:after="0" w:line="35" w:lineRule="exact"/>
        <w:rPr>
          <w:rFonts w:ascii="Times New Roman" w:cs="Times New Roman" w:eastAsia="Times New Roman" w:hAnsi="Times New Roman"/>
          <w:sz w:val="17"/>
          <w:szCs w:val="17"/>
          <w:color w:val="auto"/>
        </w:rPr>
      </w:pPr>
    </w:p>
    <w:p>
      <w:pPr>
        <w:ind w:left="660" w:hanging="145"/>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maintain sufficient resources to mitigate risks and unforeseen events which may arise.</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Group manages risks associated with liquid and capital resources through ongoing monitoring of actual and forecast cash balances and by reviewing the existing and future cash requirements of the business. It ensures that sufficient headroom is available under the Group’s existing negotiated facilities and negotiates additional facilities as required. Details of the Group’s negotiated facility is set out in note 22 </w:t>
      </w:r>
      <w:r>
        <w:rPr>
          <w:rFonts w:ascii="Times New Roman" w:cs="Times New Roman" w:eastAsia="Times New Roman" w:hAnsi="Times New Roman"/>
          <w:sz w:val="17"/>
          <w:szCs w:val="17"/>
          <w:i w:val="1"/>
          <w:iCs w:val="1"/>
          <w:color w:val="auto"/>
        </w:rPr>
        <w:t>Bank Credit Lines and Loan Facilities.</w:t>
      </w:r>
      <w:r>
        <w:rPr>
          <w:rFonts w:ascii="Times New Roman" w:cs="Times New Roman" w:eastAsia="Times New Roman" w:hAnsi="Times New Roman"/>
          <w:sz w:val="17"/>
          <w:szCs w:val="17"/>
          <w:color w:val="auto"/>
        </w:rPr>
        <w:t xml:space="preserve"> There were no funds drawn under this facility at 31 December 2013. The Group may raise additional finance through the issuance of ordinary shares or debt as required.</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sets out details of the maturity of the Group’s financial liabilities into the relevant maturity groupings based on the remaining period from the financial year end date to contractual maturity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Year ended 31 December 2013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6 months</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6-12</w:t>
            </w: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More than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Cashflows</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or less</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months</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1-2 years</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2-5 years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 years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64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other liabilities*</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(7,662)</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(7,662)</w:t>
            </w:r>
          </w:p>
        </w:tc>
        <w:tc>
          <w:tcPr>
            <w:tcW w:w="1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(7,662)</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360" w:type="dxa"/>
            <w:vAlign w:val="bottom"/>
          </w:tcPr>
          <w:p>
            <w:pPr>
              <w:spacing w:after="0"/>
              <w:rPr>
                <w:sz w:val="17"/>
                <w:szCs w:val="17"/>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(4,597)</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(4,597)</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(4,597)</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w:t>
            </w:r>
          </w:p>
        </w:tc>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(188,927)</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(188,927)</w:t>
            </w:r>
          </w:p>
        </w:tc>
        <w:tc>
          <w:tcPr>
            <w:tcW w:w="1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(188,927)</w:t>
            </w: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Provisions</w:t>
            </w:r>
          </w:p>
        </w:tc>
        <w:tc>
          <w:tcPr>
            <w:tcW w:w="1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(5,675)</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(5,675)</w:t>
            </w:r>
          </w:p>
        </w:tc>
        <w:tc>
          <w:tcPr>
            <w:tcW w:w="13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(2,430)</w:t>
            </w: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(3,245)</w:t>
            </w: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(206,861)</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(206,861)</w:t>
            </w:r>
          </w:p>
        </w:tc>
        <w:tc>
          <w:tcPr>
            <w:tcW w:w="13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(195,954)</w:t>
            </w: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(7,662)</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67"/>
        </w:trPr>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Year ended 31 December 2012</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6 months</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6-12</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More than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Cashflows</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or less</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months</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1-2 years</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2-5 years</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 years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64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other liabilities *</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(9,591)</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(9,591)</w:t>
            </w:r>
          </w:p>
        </w:tc>
        <w:tc>
          <w:tcPr>
            <w:tcW w:w="1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(6,131)</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(3,460)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360" w:type="dxa"/>
            <w:vAlign w:val="bottom"/>
          </w:tcPr>
          <w:p>
            <w:pPr>
              <w:spacing w:after="0"/>
              <w:rPr>
                <w:sz w:val="17"/>
                <w:szCs w:val="17"/>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(8,149)</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(8,149)</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(8,149)</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w:t>
            </w:r>
          </w:p>
        </w:tc>
        <w:tc>
          <w:tcPr>
            <w:tcW w:w="1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(133,670)</w:t>
            </w:r>
          </w:p>
        </w:tc>
        <w:tc>
          <w:tcPr>
            <w:tcW w:w="1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(133,670)</w:t>
            </w:r>
          </w:p>
        </w:tc>
        <w:tc>
          <w:tcPr>
            <w:tcW w:w="13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(133,670)</w:t>
            </w: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Provisions</w:t>
            </w:r>
          </w:p>
        </w:tc>
        <w:tc>
          <w:tcPr>
            <w:tcW w:w="13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(47,190)</w:t>
            </w:r>
          </w:p>
        </w:tc>
        <w:tc>
          <w:tcPr>
            <w:tcW w:w="1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(47,432)</w:t>
            </w:r>
          </w:p>
        </w:tc>
        <w:tc>
          <w:tcPr>
            <w:tcW w:w="13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(24,532)</w:t>
            </w:r>
          </w:p>
        </w:tc>
        <w:tc>
          <w:tcPr>
            <w:tcW w:w="12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(22,900)</w:t>
            </w:r>
          </w:p>
        </w:tc>
        <w:tc>
          <w:tcPr>
            <w:tcW w:w="12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(198,600)</w:t>
            </w:r>
          </w:p>
        </w:tc>
        <w:tc>
          <w:tcPr>
            <w:tcW w:w="13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(198,842)</w:t>
            </w: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(166,351)</w:t>
            </w: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(22,900)</w:t>
            </w:r>
          </w:p>
        </w:tc>
        <w:tc>
          <w:tcPr>
            <w:tcW w:w="12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(6,131)</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(3,460)</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25360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i w:val="1"/>
          <w:iCs w:val="1"/>
          <w:color w:val="auto"/>
        </w:rPr>
        <w:t>*Certain reclassifications have been made to prior year comparatives to be consistent with the current year presentation.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Non-current other liabilities above excludes retirement plan net benefit obligation (2013: $3.5 million and 2012: $4.7 million) and deferred government grants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(2013: $1.4 million and 2012: $1.4 million). Accrued and other liabilities excludes deferred government grants (2013: $0.2 million and 2012: $0.2 million).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Group is subject to a number of foreign currency risks given the global nature of its operations. The principal foreign currency risks to which the business is subject to includes both foreign currency translation risk and foreign currency transaction risk. Although domiciled in Ireland, the Group reports its results in U.S. dollars. As a consequence the results of non-U.S. based operations, when translated into U.S. dollars, could be affected by fluctuations in exchange rates between the U.S. dollar and the currencies of those operations.</w:t>
      </w:r>
    </w:p>
    <w:p>
      <w:pPr>
        <w:spacing w:after="0" w:line="1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 is also subject to foreign currency transaction exposures as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on, among other things, which of the Group’s offices provide staff for the contract, and the location of investigator sites.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its foreign currency exposures and usually negotiates currency fluctuation clauses in its contracts which allow for price negotiation if certain exchange rate triggers occur.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out the Group’s transaction risk in relation to financial assets and liabilities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U.S. Dollar</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Sterling</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Euro</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2013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148,750</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2,704</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1,808</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984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Unbilled revenue/payments on account</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(132,462)</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(2,395)</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1,766</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887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130,947</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8,115</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811</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1,279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947</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24</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573</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47</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62</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(544)</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(42)</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(141)</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(541)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(5,865)</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(57)</w:t>
            </w:r>
          </w:p>
        </w:tc>
        <w:tc>
          <w:tcPr>
            <w:tcW w:w="1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(239)</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Current tax payable</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8</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232</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Intergroup transactions</w:t>
            </w:r>
          </w:p>
        </w:tc>
        <w:tc>
          <w:tcPr>
            <w:tcW w:w="21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(17,710)</w:t>
            </w:r>
          </w:p>
        </w:tc>
        <w:tc>
          <w:tcPr>
            <w:tcW w:w="1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(2,236)</w:t>
            </w:r>
          </w:p>
        </w:tc>
        <w:tc>
          <w:tcPr>
            <w:tcW w:w="1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(15,109)</w:t>
            </w:r>
          </w:p>
        </w:tc>
        <w:tc>
          <w:tcPr>
            <w:tcW w:w="15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(21,745)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Transaction Risk</w:t>
            </w:r>
          </w:p>
        </w:tc>
        <w:tc>
          <w:tcPr>
            <w:tcW w:w="21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124,133</w:t>
            </w:r>
          </w:p>
        </w:tc>
        <w:tc>
          <w:tcPr>
            <w:tcW w:w="1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6,113</w:t>
            </w:r>
          </w:p>
        </w:tc>
        <w:tc>
          <w:tcPr>
            <w:tcW w:w="1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(10,299)</w:t>
            </w:r>
          </w:p>
        </w:tc>
        <w:tc>
          <w:tcPr>
            <w:tcW w:w="15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(19,213)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100,734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Foreign exchange gains and losses recognised on the above balances are recorded in “other operating expenses”. The total foreign exchange gain incurred during the year ending 31 December 2013 amounted to $1.2 million (2012: $1.2 million gain).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out the Group’s transaction risk in relation to financial assets and liabilities at 31 December 2012: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U.S. Dollar</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Sterling</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Euro</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69,444</w:t>
            </w:r>
          </w:p>
        </w:tc>
        <w:tc>
          <w:tcPr>
            <w:tcW w:w="1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5,174</w:t>
            </w:r>
          </w:p>
        </w:tc>
        <w:tc>
          <w:tcPr>
            <w:tcW w:w="1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2,455</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1,061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Unbilled revenue/payments on account</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(57,915)</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(3,180)</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1,349</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(2,062)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96,381</w:t>
            </w:r>
          </w:p>
        </w:tc>
        <w:tc>
          <w:tcPr>
            <w:tcW w:w="1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159</w:t>
            </w:r>
          </w:p>
        </w:tc>
        <w:tc>
          <w:tcPr>
            <w:tcW w:w="1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863</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720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505</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90</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513</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38</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62</w:t>
            </w:r>
          </w:p>
        </w:tc>
        <w:tc>
          <w:tcPr>
            <w:tcW w:w="1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(2,233)</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(372)</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(4)</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(470)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21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(20,508)</w:t>
            </w:r>
          </w:p>
        </w:tc>
        <w:tc>
          <w:tcPr>
            <w:tcW w:w="1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(312)</w:t>
            </w:r>
          </w:p>
        </w:tc>
        <w:tc>
          <w:tcPr>
            <w:tcW w:w="1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(268)</w:t>
            </w:r>
          </w:p>
        </w:tc>
        <w:tc>
          <w:tcPr>
            <w:tcW w:w="1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(88)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Current tax payable</w:t>
            </w:r>
          </w:p>
        </w:tc>
        <w:tc>
          <w:tcPr>
            <w:tcW w:w="21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175</w:t>
            </w:r>
          </w:p>
        </w:tc>
        <w:tc>
          <w:tcPr>
            <w:tcW w:w="1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106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Intergroup transactions</w:t>
            </w:r>
          </w:p>
        </w:tc>
        <w:tc>
          <w:tcPr>
            <w:tcW w:w="21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(86,396)</w:t>
            </w:r>
          </w:p>
        </w:tc>
        <w:tc>
          <w:tcPr>
            <w:tcW w:w="1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rPr>
              <w:t>(13,864)</w:t>
            </w:r>
          </w:p>
        </w:tc>
        <w:tc>
          <w:tcPr>
            <w:tcW w:w="15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905</w:t>
            </w:r>
          </w:p>
        </w:tc>
        <w:tc>
          <w:tcPr>
            <w:tcW w:w="15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(32,973)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Transaction Risk</w:t>
            </w:r>
          </w:p>
        </w:tc>
        <w:tc>
          <w:tcPr>
            <w:tcW w:w="21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(660)</w:t>
            </w:r>
          </w:p>
        </w:tc>
        <w:tc>
          <w:tcPr>
            <w:tcW w:w="1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(12,305)</w:t>
            </w:r>
          </w:p>
        </w:tc>
        <w:tc>
          <w:tcPr>
            <w:tcW w:w="15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5,988</w:t>
            </w:r>
          </w:p>
        </w:tc>
        <w:tc>
          <w:tcPr>
            <w:tcW w:w="15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(33,668)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(40,645)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Foreign exchange gains and losses recognised on the above balances are recorded in “other operating expenses”. The total foreign exchange gain incurred during the year ending 31 December 2012 amounted to $1.2 million (2011: $0.4million loss).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significant exchange rates applied during the year:</w:t>
            </w:r>
          </w:p>
        </w:tc>
        <w:tc>
          <w:tcPr>
            <w:tcW w:w="2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Average Rate</w:t>
            </w:r>
          </w:p>
        </w:tc>
        <w:tc>
          <w:tcPr>
            <w:tcW w:w="1460" w:type="dxa"/>
            <w:vAlign w:val="bottom"/>
          </w:tcPr>
          <w:p>
            <w:pPr>
              <w:spacing w:after="0"/>
              <w:rPr>
                <w:sz w:val="24"/>
                <w:szCs w:val="24"/>
                <w:color w:val="auto"/>
              </w:rPr>
            </w:pPr>
          </w:p>
        </w:tc>
        <w:tc>
          <w:tcPr>
            <w:tcW w:w="1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Closing Rate</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40" w:type="dxa"/>
            <w:vAlign w:val="bottom"/>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46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2012</w:t>
            </w:r>
          </w:p>
        </w:tc>
        <w:tc>
          <w:tcPr>
            <w:tcW w:w="1940" w:type="dxa"/>
            <w:vAlign w:val="bottom"/>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Euro 1:$</w:t>
            </w:r>
          </w:p>
        </w:tc>
        <w:tc>
          <w:tcPr>
            <w:tcW w:w="20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1.3254</w:t>
            </w:r>
          </w:p>
        </w:tc>
        <w:tc>
          <w:tcPr>
            <w:tcW w:w="14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1.2876</w:t>
            </w:r>
          </w:p>
        </w:tc>
        <w:tc>
          <w:tcPr>
            <w:tcW w:w="1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1.3743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Pound Sterling 1:$</w:t>
            </w:r>
          </w:p>
        </w:tc>
        <w:tc>
          <w:tcPr>
            <w:tcW w:w="20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1.5653</w:t>
            </w:r>
          </w:p>
        </w:tc>
        <w:tc>
          <w:tcPr>
            <w:tcW w:w="146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1.5832</w:t>
            </w:r>
          </w:p>
        </w:tc>
        <w:tc>
          <w:tcPr>
            <w:tcW w:w="1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b w:val="1"/>
                <w:bCs w:val="1"/>
                <w:color w:val="auto"/>
              </w:rPr>
              <w:t>1.6557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simultaneous ten percent strengthening or weakening of the US Dollar, Euro and Sterling against all other currencies (which remained constant) would have increased or decreased profit and equity by $11.26 million (31 December 2012 $0.63 million) as a consequence of the retranslation of foreign currency denominated financial assets and liabilities at those 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change in profit and equity is excluding the effect of foreign currency denominated long term loans.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Group is exposed to interest rate risk in respect of its cash and cash equivalents, current asset investments and amounts drawn under negotiated facilities which are subject to variable rates of interest.</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Group’s treasury function actively manages its available cash resources and invests significant cash balances in various financial instruments to try to ensure optimum returns for the Group’s surplus cash balances. Financial instruments are classified either as cash and cash equivalents or current asset investments depending upon the maturity of the related investment. Funds may be invested in the form of floating rate notes and medium term minimum “A-” rated corporate securities. The Group may be subject to interest rate risk in respect of interest rate changes on amounts invested. The Group manages interest rate risk in respect of these balances by monitoring the composition of the Group’s investment portfolio on an ongoing basis having regard to current market interest rates and future trends.</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In addition to interest rate risk on surplus cash balances invested, the Group may also be subject to interest rate risk on amounts drawn under negotiated facilities which are subject to variable rates of interest. Details of the Group’s negotiated facility is set out in note 22 </w:t>
      </w:r>
      <w:r>
        <w:rPr>
          <w:rFonts w:ascii="Times New Roman" w:cs="Times New Roman" w:eastAsia="Times New Roman" w:hAnsi="Times New Roman"/>
          <w:sz w:val="17"/>
          <w:szCs w:val="17"/>
          <w:i w:val="1"/>
          <w:iCs w:val="1"/>
          <w:color w:val="auto"/>
        </w:rPr>
        <w:t>Bank Credit Lines and Loan Facilities</w:t>
      </w:r>
      <w:r>
        <w:rPr>
          <w:rFonts w:ascii="Times New Roman" w:cs="Times New Roman" w:eastAsia="Times New Roman" w:hAnsi="Times New Roman"/>
          <w:sz w:val="17"/>
          <w:szCs w:val="17"/>
          <w:color w:val="auto"/>
        </w:rPr>
        <w:t>. There were no amounts drawn down under this at 31 December 2013 or at 31 December 2012. The Group manages interest rate risk in respect of amounts under negotiated facilities through ongoing monitoring of actual and forecast cash balances, reviewing existing and future cash requirements of the business and by reviewing existing levels of borrowings having regard to current market interest rates and future trends.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sensitivity analysis below represents the revised amount following the hypothetical change in our interest income and interest expense based on an immediate 1% movement in market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1320" w:type="dxa"/>
            <w:vAlign w:val="bottom"/>
          </w:tcPr>
          <w:p>
            <w:pPr>
              <w:spacing w:after="0"/>
              <w:rPr>
                <w:sz w:val="19"/>
                <w:szCs w:val="19"/>
                <w:color w:val="auto"/>
              </w:rPr>
            </w:pPr>
          </w:p>
        </w:tc>
        <w:tc>
          <w:tcPr>
            <w:tcW w:w="21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940" w:type="dxa"/>
            <w:vAlign w:val="bottom"/>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2012</w:t>
            </w:r>
          </w:p>
        </w:tc>
        <w:tc>
          <w:tcPr>
            <w:tcW w:w="212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2013</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940" w:type="dxa"/>
            <w:vAlign w:val="bottom"/>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rPr>
              <w:t>$’000</w:t>
            </w:r>
          </w:p>
        </w:tc>
        <w:tc>
          <w:tcPr>
            <w:tcW w:w="212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rPr>
              <w:t>$’000</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80" w:type="dxa"/>
            <w:vAlign w:val="bottom"/>
            <w:gridSpan w:val="2"/>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 reported</w:t>
            </w:r>
          </w:p>
        </w:tc>
        <w:tc>
          <w:tcPr>
            <w:tcW w:w="39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986</w:t>
            </w:r>
          </w:p>
        </w:tc>
        <w:tc>
          <w:tcPr>
            <w:tcW w:w="132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1,151</w:t>
            </w:r>
          </w:p>
        </w:tc>
        <w:tc>
          <w:tcPr>
            <w:tcW w:w="212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1%</w:t>
            </w:r>
          </w:p>
        </w:tc>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w:t>
            </w:r>
          </w:p>
        </w:tc>
        <w:tc>
          <w:tcPr>
            <w:tcW w:w="39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3,214</w:t>
            </w:r>
          </w:p>
        </w:tc>
        <w:tc>
          <w:tcPr>
            <w:tcW w:w="132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2,987</w:t>
            </w:r>
          </w:p>
        </w:tc>
        <w:tc>
          <w:tcPr>
            <w:tcW w:w="212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1%</w:t>
            </w:r>
          </w:p>
        </w:tc>
        <w:tc>
          <w:tcPr>
            <w:tcW w:w="3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w:t>
            </w:r>
          </w:p>
        </w:tc>
        <w:tc>
          <w:tcPr>
            <w:tcW w:w="39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i w:val="1"/>
          <w:iCs w:val="1"/>
          <w:color w:val="auto"/>
        </w:rPr>
        <w:t>Interest expense included in note 4 relates to commitment fees on bank overdraft and credit facilities and non-cash finance charges relating to acquisition contingent consideration and therefore is not included in the above sensitivity analysis. The above analysis assumes that all other variables remain constant.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Values</w:t>
      </w:r>
    </w:p>
    <w:p>
      <w:pPr>
        <w:spacing w:after="0" w:line="244"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Certain 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Inputs are based upon unadjusted quoted prices for identical instruments traded in active markets.</w:t>
      </w:r>
    </w:p>
    <w:p>
      <w:pPr>
        <w:spacing w:after="0" w:line="214" w:lineRule="exact"/>
        <w:rPr>
          <w:sz w:val="20"/>
          <w:szCs w:val="20"/>
          <w:color w:val="auto"/>
        </w:rPr>
      </w:pPr>
    </w:p>
    <w:p>
      <w:pPr>
        <w:jc w:val="both"/>
        <w:ind w:left="1160" w:right="20" w:hanging="1152"/>
        <w:spacing w:after="0" w:line="267" w:lineRule="auto"/>
        <w:tabs>
          <w:tab w:leader="none" w:pos="114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67" w:lineRule="exact"/>
        <w:rPr>
          <w:sz w:val="20"/>
          <w:szCs w:val="20"/>
          <w:color w:val="auto"/>
        </w:rPr>
      </w:pPr>
    </w:p>
    <w:p>
      <w:pPr>
        <w:ind w:left="1160" w:right="60" w:hanging="1152"/>
        <w:spacing w:after="0" w:line="284" w:lineRule="auto"/>
        <w:tabs>
          <w:tab w:leader="none" w:pos="114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Inputs are generally unobservable and typically reflect management’s estimates of assumptions that market participants would use in pricing the asset or liability.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financial assets and liabilities, together with the carrying amounts shown in the Statement of Financial Position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2012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Fair</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Carrying</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Amount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7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Level 1</w:t>
            </w:r>
          </w:p>
        </w:tc>
        <w:tc>
          <w:tcPr>
            <w:tcW w:w="0" w:type="dxa"/>
            <w:vAlign w:val="bottom"/>
          </w:tcPr>
          <w:p>
            <w:pPr>
              <w:spacing w:after="0"/>
              <w:rPr>
                <w:sz w:val="1"/>
                <w:szCs w:val="1"/>
                <w:color w:val="auto"/>
              </w:rPr>
            </w:pPr>
          </w:p>
        </w:tc>
      </w:tr>
      <w:tr>
        <w:trPr>
          <w:trHeight w:val="226"/>
        </w:trPr>
        <w:tc>
          <w:tcPr>
            <w:tcW w:w="35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 investments</w:t>
            </w:r>
          </w:p>
        </w:tc>
        <w:tc>
          <w:tcPr>
            <w:tcW w:w="31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76,183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138,317</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76,183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carrying values of other non-current assets, accounts receivable, less impairment provision, unbilled revenue, other current assets, cash and cash equivalents are carried at amortised cost and assumed to be approximate to their fair values due to the short term nature of these balances. As such their fair values have not been disclosed.</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Current asset investments are stated at fair value, with any resultant gain or loss recognised in the statement of comprehensive income. The fair value of current asset investments is their market price at the financial year end date. They are measured on the basis of level 1 inputs.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2012</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Fair</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Carrying</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Amount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7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6"/>
        </w:trPr>
        <w:tc>
          <w:tcPr>
            <w:tcW w:w="3540" w:type="dxa"/>
            <w:vAlign w:val="bottom"/>
          </w:tcPr>
          <w:p>
            <w:pPr>
              <w:spacing w:after="0"/>
              <w:rPr>
                <w:sz w:val="19"/>
                <w:szCs w:val="19"/>
                <w:color w:val="auto"/>
              </w:rPr>
            </w:pPr>
          </w:p>
        </w:tc>
        <w:tc>
          <w:tcPr>
            <w:tcW w:w="31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2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409"/>
        </w:trPr>
        <w:tc>
          <w:tcPr>
            <w:tcW w:w="3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3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Contingent consideration</w:t>
            </w:r>
          </w:p>
        </w:tc>
        <w:tc>
          <w:tcPr>
            <w:tcW w:w="31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(46,264)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540" w:type="dxa"/>
            <w:vAlign w:val="bottom"/>
            <w:tcBorders>
              <w:bottom w:val="single" w:sz="8" w:color="auto"/>
            </w:tcBorders>
            <w:shd w:val="clear" w:color="auto" w:fill="CCEEFF"/>
          </w:tcPr>
          <w:p>
            <w:pPr>
              <w:spacing w:after="0"/>
              <w:rPr>
                <w:sz w:val="18"/>
                <w:szCs w:val="18"/>
                <w:color w:val="auto"/>
              </w:rPr>
            </w:pPr>
          </w:p>
        </w:tc>
        <w:tc>
          <w:tcPr>
            <w:tcW w:w="314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(46,264)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carrying values of other non-current liabilities, non-current provisions (excluding contingent consideration), accounts payable, accrued and other liabilities and provisions (excluding contingent consideration), are carried at amortised cost and assumed to be approximate to their fair values due to the short term nature of these balances. As such their fair values have not been disclosed.</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25. Financial Instruments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shows a reconciliation from the opening balances to the closing balances for Level 3 fair values:</w:t>
            </w:r>
          </w:p>
        </w:tc>
        <w:tc>
          <w:tcPr>
            <w:tcW w:w="1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Contingent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Contingent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1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Consideration</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Consideration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1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Opening balance</w:t>
            </w:r>
          </w:p>
        </w:tc>
        <w:tc>
          <w:tcPr>
            <w:tcW w:w="17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46,506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Gain included in OCI</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fair value</w:t>
            </w:r>
          </w:p>
        </w:tc>
        <w:tc>
          <w:tcPr>
            <w:tcW w:w="17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Assumed in a business combination</w:t>
            </w:r>
          </w:p>
        </w:tc>
        <w:tc>
          <w:tcPr>
            <w:tcW w:w="178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 made during the year</w:t>
            </w:r>
          </w:p>
        </w:tc>
        <w:tc>
          <w:tcPr>
            <w:tcW w:w="17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(43,261)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Transfers out of Level 3</w:t>
            </w:r>
          </w:p>
        </w:tc>
        <w:tc>
          <w:tcPr>
            <w:tcW w:w="1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Closing balance</w:t>
            </w:r>
          </w:p>
        </w:tc>
        <w:tc>
          <w:tcPr>
            <w:tcW w:w="1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3,245</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valuation techniques used in measuring Level 3 fair values, as well as significant unobservable inputs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149860</wp:posOffset>
            </wp:positionV>
            <wp:extent cx="1838960" cy="472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38960" cy="472440"/>
                    </a:xfrm>
                    <a:prstGeom prst="rect">
                      <a:avLst/>
                    </a:prstGeom>
                    <a:noFill/>
                  </pic:spPr>
                </pic:pic>
              </a:graphicData>
            </a:graphic>
          </wp:anchor>
        </w:drawing>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Type</w:t>
            </w:r>
          </w:p>
        </w:tc>
        <w:tc>
          <w:tcPr>
            <w:tcW w:w="28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Valuation Technique</w:t>
            </w: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Significant Unobservable Inputs</w:t>
            </w:r>
          </w:p>
        </w:tc>
        <w:tc>
          <w:tcPr>
            <w:tcW w:w="2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Inter-relationship between significant</w:t>
            </w:r>
          </w:p>
        </w:tc>
      </w:tr>
      <w:tr>
        <w:trPr>
          <w:trHeight w:val="205"/>
        </w:trPr>
        <w:tc>
          <w:tcPr>
            <w:tcW w:w="2880" w:type="dxa"/>
            <w:vAlign w:val="bottom"/>
            <w:tcBorders>
              <w:left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2840" w:type="dxa"/>
            <w:vAlign w:val="bottom"/>
          </w:tcPr>
          <w:p>
            <w:pPr>
              <w:spacing w:after="0"/>
              <w:rPr>
                <w:sz w:val="17"/>
                <w:szCs w:val="17"/>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unobservable inputs and fair value</w:t>
            </w:r>
          </w:p>
        </w:tc>
      </w:tr>
      <w:tr>
        <w:trPr>
          <w:trHeight w:val="226"/>
        </w:trPr>
        <w:tc>
          <w:tcPr>
            <w:tcW w:w="288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2840" w:type="dxa"/>
            <w:vAlign w:val="bottom"/>
          </w:tcPr>
          <w:p>
            <w:pPr>
              <w:spacing w:after="0"/>
              <w:rPr>
                <w:sz w:val="19"/>
                <w:szCs w:val="19"/>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measurement</w:t>
            </w:r>
          </w:p>
        </w:tc>
      </w:tr>
      <w:tr>
        <w:trPr>
          <w:trHeight w:val="30"/>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214"/>
        </w:trPr>
        <w:tc>
          <w:tcPr>
            <w:tcW w:w="28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valuation model considers the</w:t>
            </w:r>
          </w:p>
        </w:tc>
        <w:tc>
          <w:tcPr>
            <w:tcW w:w="28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(1) Forecast future</w:t>
            </w: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estimated fair value would increase</w:t>
            </w:r>
          </w:p>
        </w:tc>
      </w:tr>
      <w:tr>
        <w:trPr>
          <w:trHeight w:val="205"/>
        </w:trPr>
        <w:tc>
          <w:tcPr>
            <w:tcW w:w="2880" w:type="dxa"/>
            <w:vAlign w:val="bottom"/>
            <w:tcBorders>
              <w:left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estimated future cashflows of the entity.</w:t>
            </w:r>
          </w:p>
        </w:tc>
        <w:tc>
          <w:tcPr>
            <w:tcW w:w="28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cashflows</w:t>
            </w: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(decrease) if the forecasted future</w:t>
            </w:r>
          </w:p>
        </w:tc>
      </w:tr>
      <w:tr>
        <w:trPr>
          <w:trHeight w:val="205"/>
        </w:trPr>
        <w:tc>
          <w:tcPr>
            <w:tcW w:w="2880" w:type="dxa"/>
            <w:vAlign w:val="bottom"/>
            <w:tcBorders>
              <w:left w:val="single" w:sz="8" w:color="auto"/>
              <w:right w:val="single" w:sz="8" w:color="auto"/>
            </w:tcBorders>
          </w:tcPr>
          <w:p>
            <w:pPr>
              <w:spacing w:after="0"/>
              <w:rPr>
                <w:sz w:val="17"/>
                <w:szCs w:val="17"/>
                <w:color w:val="auto"/>
              </w:rPr>
            </w:pPr>
          </w:p>
        </w:tc>
        <w:tc>
          <w:tcPr>
            <w:tcW w:w="28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(2) Forecast annual</w:t>
            </w: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cashflows were higher (lower) or if the</w:t>
            </w:r>
          </w:p>
        </w:tc>
      </w:tr>
      <w:tr>
        <w:trPr>
          <w:trHeight w:val="222"/>
        </w:trPr>
        <w:tc>
          <w:tcPr>
            <w:tcW w:w="2880" w:type="dxa"/>
            <w:vAlign w:val="bottom"/>
            <w:tcBorders>
              <w:left w:val="single" w:sz="8" w:color="auto"/>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28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growth rate</w:t>
            </w:r>
          </w:p>
        </w:tc>
        <w:tc>
          <w:tcPr>
            <w:tcW w:w="2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entity missed agreed targets.</w:t>
            </w:r>
          </w:p>
        </w:tc>
      </w:tr>
      <w:tr>
        <w:trPr>
          <w:trHeight w:val="30"/>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r>
      <w:tr>
        <w:trPr>
          <w:trHeight w:val="436"/>
        </w:trPr>
        <w:tc>
          <w:tcPr>
            <w:tcW w:w="2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26. Lease commitments</w:t>
            </w:r>
          </w:p>
        </w:tc>
        <w:tc>
          <w:tcPr>
            <w:tcW w:w="2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Group has several non-cancellable operating leases, primarily for facilities, that expire over the next 12 years. These leases generally contain renewal options and require the Group to pay all executory costs such as maintenance and insurance. Future minimum rental commitments for operating leases with non-cancellable terms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than one year</w:t>
            </w:r>
          </w:p>
        </w:tc>
        <w:tc>
          <w:tcPr>
            <w:tcW w:w="6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36,070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Between one and two years</w:t>
            </w:r>
          </w:p>
        </w:tc>
        <w:tc>
          <w:tcPr>
            <w:tcW w:w="6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31,815</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Between two and three years</w:t>
            </w:r>
          </w:p>
        </w:tc>
        <w:tc>
          <w:tcPr>
            <w:tcW w:w="6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25,993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Between three and four years</w:t>
            </w:r>
          </w:p>
        </w:tc>
        <w:tc>
          <w:tcPr>
            <w:tcW w:w="63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17,013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Between four and five years</w:t>
            </w:r>
          </w:p>
        </w:tc>
        <w:tc>
          <w:tcPr>
            <w:tcW w:w="63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12,704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More than five years</w:t>
            </w:r>
          </w:p>
        </w:tc>
        <w:tc>
          <w:tcPr>
            <w:tcW w:w="6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40,224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163,819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00" w:type="dxa"/>
            <w:vAlign w:val="bottom"/>
          </w:tcPr>
          <w:p>
            <w:pPr>
              <w:jc w:val="right"/>
              <w:ind w:right="4235"/>
              <w:spacing w:after="0"/>
              <w:rPr>
                <w:sz w:val="20"/>
                <w:szCs w:val="20"/>
                <w:color w:val="auto"/>
              </w:rPr>
            </w:pPr>
            <w:r>
              <w:rPr>
                <w:rFonts w:ascii="Times New Roman" w:cs="Times New Roman" w:eastAsia="Times New Roman" w:hAnsi="Times New Roman"/>
                <w:sz w:val="17"/>
                <w:szCs w:val="17"/>
                <w:color w:val="auto"/>
              </w:rPr>
              <w:t>88</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 Commitments and contingencies</w:t>
      </w:r>
    </w:p>
    <w:p>
      <w:pPr>
        <w:spacing w:after="0" w:line="244" w:lineRule="exact"/>
        <w:rPr>
          <w:sz w:val="20"/>
          <w:szCs w:val="20"/>
          <w:color w:val="auto"/>
        </w:rPr>
      </w:pPr>
    </w:p>
    <w:p>
      <w:pPr>
        <w:ind w:left="400" w:hanging="398"/>
        <w:spacing w:after="0"/>
        <w:tabs>
          <w:tab w:leader="none" w:pos="4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commitments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capital commitments for the purchase of property, plant and equipment were authorised by the Group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1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51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510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Contracted for</w:t>
            </w:r>
          </w:p>
        </w:tc>
        <w:tc>
          <w:tcPr>
            <w:tcW w:w="51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15,720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Not-contracted for</w:t>
            </w:r>
          </w:p>
        </w:tc>
        <w:tc>
          <w:tcPr>
            <w:tcW w:w="5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2,338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5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18,058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   Guarantees</w:t>
            </w:r>
          </w:p>
        </w:tc>
        <w:tc>
          <w:tcPr>
            <w:tcW w:w="5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Where the Group enters into financial guarantee contracts to guarantee the indebtedness of other companies within the Group, the Group considers these to be insurance arrangements and accounts for them as such. The Group treats the guarantee contract as a contingent liability until such time as it becomes probable that the Group will be required to make a payment under that guarantee.</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Group has guaranteed the liabilities referred to in Section 5 (c) (ii) of the Companies (Amendment) Act, 1986 in respect of the financial year ending 31 December 2013 for the subsidiary companies listed below. These subsidiaries are availing of the exemption under Section 17 of the Companies (Amendment) Act, 1986 not to file statutory financial statements.</w:t>
      </w:r>
    </w:p>
    <w:p>
      <w:pPr>
        <w:spacing w:after="0" w:line="193" w:lineRule="exact"/>
        <w:rPr>
          <w:sz w:val="20"/>
          <w:szCs w:val="20"/>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Clinical Research Limited</w:t>
      </w:r>
    </w:p>
    <w:p>
      <w:pPr>
        <w:spacing w:after="0" w:line="26"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Clinical Research Property Holdings (Ireland) Limited</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Clinical Research Property Development (Ireland) Limited</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Clinical Property Holdings Limited</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Clinical Property Development Limited</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Holdings Clinical Research International Limited</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Timpani</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US One</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US Two</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Firecrest Clinical Limited</w:t>
      </w:r>
    </w:p>
    <w:p>
      <w:pPr>
        <w:spacing w:after="0" w:line="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ICON Holdings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27. Commitments and contingencies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ind w:left="400" w:hanging="398"/>
        <w:spacing w:after="0"/>
        <w:tabs>
          <w:tab w:leader="none" w:pos="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obligations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represents Group contractual obligations and commercial commitments as at 31 December 2013: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540" w:type="dxa"/>
            <w:vAlign w:val="bottom"/>
            <w:gridSpan w:val="2"/>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Payments due by period</w:t>
            </w:r>
          </w:p>
        </w:tc>
        <w:tc>
          <w:tcPr>
            <w:tcW w:w="1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2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Less than</w:t>
            </w:r>
          </w:p>
        </w:tc>
        <w:tc>
          <w:tcPr>
            <w:tcW w:w="172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1 to 3</w:t>
            </w:r>
          </w:p>
        </w:tc>
        <w:tc>
          <w:tcPr>
            <w:tcW w:w="15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3 to 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More than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2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1 year</w:t>
            </w:r>
          </w:p>
        </w:tc>
        <w:tc>
          <w:tcPr>
            <w:tcW w:w="172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5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 years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82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72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4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commitments</w:t>
            </w:r>
          </w:p>
        </w:tc>
        <w:tc>
          <w:tcPr>
            <w:tcW w:w="206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rPr>
              <w:t>163,819</w:t>
            </w:r>
          </w:p>
        </w:tc>
        <w:tc>
          <w:tcPr>
            <w:tcW w:w="18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36,070</w:t>
            </w:r>
          </w:p>
        </w:tc>
        <w:tc>
          <w:tcPr>
            <w:tcW w:w="1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rPr>
              <w:t>57,808</w:t>
            </w:r>
          </w:p>
        </w:tc>
        <w:tc>
          <w:tcPr>
            <w:tcW w:w="154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29,717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Capital commitments</w:t>
            </w:r>
          </w:p>
        </w:tc>
        <w:tc>
          <w:tcPr>
            <w:tcW w:w="2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18,058</w:t>
            </w:r>
          </w:p>
        </w:tc>
        <w:tc>
          <w:tcPr>
            <w:tcW w:w="18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18,058</w:t>
            </w:r>
          </w:p>
        </w:tc>
        <w:tc>
          <w:tcPr>
            <w:tcW w:w="1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vMerge w:val="continue"/>
          </w:tcPr>
          <w:p>
            <w:pPr>
              <w:spacing w:after="0"/>
              <w:rPr>
                <w:sz w:val="18"/>
                <w:szCs w:val="18"/>
                <w:color w:val="auto"/>
              </w:rPr>
            </w:pP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181,877</w:t>
            </w:r>
          </w:p>
        </w:tc>
        <w:tc>
          <w:tcPr>
            <w:tcW w:w="18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54,128</w:t>
            </w:r>
          </w:p>
        </w:tc>
        <w:tc>
          <w:tcPr>
            <w:tcW w:w="1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57,808</w:t>
            </w:r>
          </w:p>
        </w:tc>
        <w:tc>
          <w:tcPr>
            <w:tcW w:w="1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29,717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40,224</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The Group expects to spend approximately $40 to $45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Litigation</w:t>
      </w:r>
    </w:p>
    <w:p>
      <w:pPr>
        <w:spacing w:after="0" w:line="244"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7"/>
          <w:szCs w:val="17"/>
          <w:color w:val="auto"/>
        </w:rPr>
        <w:t>The Group is not party to any litigation or other legal proceedings that the Group believes could reasonably be expected to have a material adverse effect on the Group’s business, results of operations and financial position.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Related Parties</w:t>
      </w:r>
    </w:p>
    <w:p>
      <w:pPr>
        <w:spacing w:after="0" w:line="240" w:lineRule="exact"/>
        <w:rPr>
          <w:sz w:val="20"/>
          <w:szCs w:val="20"/>
          <w:color w:val="auto"/>
        </w:rPr>
      </w:pPr>
    </w:p>
    <w:p>
      <w:pPr>
        <w:ind w:left="360" w:hanging="358"/>
        <w:spacing w:after="0"/>
        <w:tabs>
          <w:tab w:leader="none" w:pos="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Transactions with Directors and Executive Officer</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compensation of the Directors and Executive Officers (key management remuneration) for the years ended 31 December 2013 and 2012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Salary and fees</w:t>
            </w:r>
          </w:p>
        </w:tc>
        <w:tc>
          <w:tcPr>
            <w:tcW w:w="1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2,758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Bonus</w:t>
            </w: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2,588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benefits</w:t>
            </w:r>
          </w:p>
        </w:tc>
        <w:tc>
          <w:tcPr>
            <w:tcW w:w="1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7"/>
                <w:szCs w:val="17"/>
                <w:color w:val="auto"/>
              </w:rPr>
              <w:t>Pension contributions</w:t>
            </w: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343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payments</w:t>
            </w:r>
          </w:p>
        </w:tc>
        <w:tc>
          <w:tcPr>
            <w:tcW w:w="14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5,771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11,560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Details of ordinary shares, shares options, RSUs and PSUs held by the Directors and Executive Officers are set out in note 8.</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8660" w:type="dxa"/>
            <w:vAlign w:val="bottom"/>
            <w:gridSpan w:val="2"/>
          </w:tcPr>
          <w:p>
            <w:pPr>
              <w:jc w:val="right"/>
              <w:ind w:right="2775"/>
              <w:spacing w:after="0"/>
              <w:rPr>
                <w:sz w:val="20"/>
                <w:szCs w:val="20"/>
                <w:color w:val="auto"/>
              </w:rPr>
            </w:pPr>
            <w:r>
              <w:rPr>
                <w:rFonts w:ascii="Times New Roman" w:cs="Times New Roman" w:eastAsia="Times New Roman" w:hAnsi="Times New Roman"/>
                <w:sz w:val="17"/>
                <w:szCs w:val="17"/>
                <w:color w:val="auto"/>
              </w:rPr>
              <w:t>90</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29. Related Parties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7"/>
          <w:szCs w:val="17"/>
          <w:color w:val="auto"/>
        </w:rPr>
        <w:t>Details of transactions entered into by Directors and Key Executive Officer in shares and shares options of the Company during the year ended 31 December 2013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 options exercised</w:t>
            </w:r>
          </w:p>
        </w:tc>
        <w:tc>
          <w:tcPr>
            <w:tcW w:w="4120" w:type="dxa"/>
            <w:vAlign w:val="bottom"/>
          </w:tcPr>
          <w:p>
            <w:pPr>
              <w:spacing w:after="0"/>
              <w:rPr>
                <w:sz w:val="19"/>
                <w:szCs w:val="19"/>
                <w:color w:val="auto"/>
              </w:rPr>
            </w:pPr>
          </w:p>
        </w:tc>
        <w:tc>
          <w:tcPr>
            <w:tcW w:w="144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price on date of</w:t>
            </w:r>
          </w:p>
        </w:tc>
        <w:tc>
          <w:tcPr>
            <w:tcW w:w="0" w:type="dxa"/>
            <w:vAlign w:val="bottom"/>
          </w:tcPr>
          <w:p>
            <w:pPr>
              <w:spacing w:after="0"/>
              <w:rPr>
                <w:sz w:val="1"/>
                <w:szCs w:val="1"/>
                <w:color w:val="auto"/>
              </w:rPr>
            </w:pPr>
          </w:p>
        </w:tc>
      </w:tr>
      <w:tr>
        <w:trPr>
          <w:trHeight w:val="226"/>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4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share options</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Lynch*</w:t>
            </w:r>
          </w:p>
        </w:tc>
        <w:tc>
          <w:tcPr>
            <w:tcW w:w="412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3,200</w:t>
            </w: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Brendan Brennan**</w:t>
            </w:r>
          </w:p>
        </w:tc>
        <w:tc>
          <w:tcPr>
            <w:tcW w:w="41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2,420</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$33.06</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$39.38</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John Climax**</w:t>
            </w:r>
          </w:p>
        </w:tc>
        <w:tc>
          <w:tcPr>
            <w:tcW w:w="41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12,000</w:t>
            </w:r>
          </w:p>
        </w:tc>
        <w:tc>
          <w:tcPr>
            <w:tcW w:w="14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$11.00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Ciaran Murray**</w:t>
            </w:r>
          </w:p>
        </w:tc>
        <w:tc>
          <w:tcPr>
            <w:tcW w:w="41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54,000</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$13.82</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$37.63</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Ronan Lambe**</w:t>
            </w:r>
          </w:p>
        </w:tc>
        <w:tc>
          <w:tcPr>
            <w:tcW w:w="412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7"/>
                <w:szCs w:val="17"/>
                <w:color w:val="auto"/>
              </w:rPr>
              <w:t>4,000</w:t>
            </w:r>
          </w:p>
        </w:tc>
        <w:tc>
          <w:tcPr>
            <w:tcW w:w="14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$11.00</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Diarmaid Cunningham **</w:t>
            </w:r>
          </w:p>
        </w:tc>
        <w:tc>
          <w:tcPr>
            <w:tcW w:w="4120" w:type="dxa"/>
            <w:vAlign w:val="bottom"/>
          </w:tcPr>
          <w:p>
            <w:pPr>
              <w:jc w:val="right"/>
              <w:ind w:right="455"/>
              <w:spacing w:after="0"/>
              <w:rPr>
                <w:sz w:val="20"/>
                <w:szCs w:val="20"/>
                <w:color w:val="auto"/>
              </w:rPr>
            </w:pPr>
            <w:r>
              <w:rPr>
                <w:rFonts w:ascii="Times New Roman" w:cs="Times New Roman" w:eastAsia="Times New Roman" w:hAnsi="Times New Roman"/>
                <w:sz w:val="17"/>
                <w:szCs w:val="17"/>
                <w:color w:val="auto"/>
              </w:rPr>
              <w:t>6,200</w:t>
            </w: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$21.24</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$34.44</w:t>
            </w:r>
          </w:p>
        </w:tc>
        <w:tc>
          <w:tcPr>
            <w:tcW w:w="0" w:type="dxa"/>
            <w:vAlign w:val="bottom"/>
          </w:tcPr>
          <w:p>
            <w:pPr>
              <w:spacing w:after="0"/>
              <w:rPr>
                <w:sz w:val="1"/>
                <w:szCs w:val="1"/>
                <w:color w:val="auto"/>
              </w:rPr>
            </w:pPr>
          </w:p>
        </w:tc>
      </w:tr>
      <w:tr>
        <w:trPr>
          <w:trHeight w:val="419"/>
        </w:trPr>
        <w:tc>
          <w:tcPr>
            <w:tcW w:w="4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Options exercised and shares held.</w:t>
            </w:r>
          </w:p>
        </w:tc>
        <w:tc>
          <w:tcPr>
            <w:tcW w:w="4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Options exercised and resulting shares sold.</w:t>
            </w:r>
          </w:p>
        </w:tc>
        <w:tc>
          <w:tcPr>
            <w:tcW w:w="4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Shares sold</w:t>
            </w:r>
          </w:p>
        </w:tc>
        <w:tc>
          <w:tcPr>
            <w:tcW w:w="4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Average Market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Price of Shares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Sold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Tom Lynch</w:t>
            </w:r>
          </w:p>
        </w:tc>
        <w:tc>
          <w:tcPr>
            <w:tcW w:w="4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6,800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John Climax</w:t>
            </w:r>
          </w:p>
        </w:tc>
        <w:tc>
          <w:tcPr>
            <w:tcW w:w="4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250,000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RSUs vested and sold</w:t>
            </w:r>
          </w:p>
        </w:tc>
        <w:tc>
          <w:tcPr>
            <w:tcW w:w="4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Average Market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Price of Shares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4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Sold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Ciaran Murray</w:t>
            </w:r>
          </w:p>
        </w:tc>
        <w:tc>
          <w:tcPr>
            <w:tcW w:w="4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50,000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120" w:type="dxa"/>
            <w:vAlign w:val="bottom"/>
          </w:tcPr>
          <w:p>
            <w:pPr>
              <w:jc w:val="right"/>
              <w:ind w:right="2655"/>
              <w:spacing w:after="0"/>
              <w:rPr>
                <w:sz w:val="20"/>
                <w:szCs w:val="20"/>
                <w:color w:val="auto"/>
              </w:rPr>
            </w:pPr>
            <w:r>
              <w:rPr>
                <w:rFonts w:ascii="Times New Roman" w:cs="Times New Roman" w:eastAsia="Times New Roman" w:hAnsi="Times New Roman"/>
                <w:sz w:val="17"/>
                <w:szCs w:val="17"/>
                <w:color w:val="auto"/>
              </w:rPr>
              <w:t>91</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29. Related Parties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ind w:left="420" w:hanging="418"/>
        <w:spacing w:after="0"/>
        <w:tabs>
          <w:tab w:leader="none" w:pos="4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Related Party Transactions</w:t>
      </w:r>
    </w:p>
    <w:p>
      <w:pPr>
        <w:spacing w:after="0" w:line="24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On 19 July 2012, Mr. Peter Gray retired as a Director and employee of the Company. The Company subsequently entered into an agreement with Integritum Limited, a company controlled by Mr. Gray, for the provision of consultancy services for a period of two years from 1 August 2012, at an agreed fee of €265,000 ($350,000) per annum.</w:t>
      </w:r>
    </w:p>
    <w:p>
      <w:pPr>
        <w:spacing w:after="0" w:line="19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On 31 December 2009, Dr. John Climax retired as Chairman of the Board of the Company. From January 2010 he has held the position as an outside director of the Company. The Company has entered into an agreement with Rotrua Limited, a company controlled by Dr. Climax, for the provision of consultancy services for a period of three years from 1 January 2010, at an agreed fee of €262,500 ($346,000) per annum. The consultancy agreement expired in December 2012.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 Subsequent Events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Post year end acquisition of Aptiv Solutions</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29 March 2014 the Company agreed to acquire, subject to certain closing conditions that did not occur prior to filing these financial statements, 100% of the common stock of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In addition to boosting the Company’s service capabilities, Aptiv Solutions will also strengthen the Company’s international presence through the addition of over 850 highly qualified and experienced professionals in the United States, Europe and Japan.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 Subsidiary Undertakings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31 December 2013 the Group had the following principal subsidiary undertakings: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b w:val="1"/>
                <w:bCs w:val="1"/>
                <w:i w:val="1"/>
                <w:iCs w:val="1"/>
                <w:color w:val="auto"/>
              </w:rPr>
              <w:t>Proportion held by</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Limited</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South County Business Park</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Leopardstown</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Dublin 18</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Republic of Ireland</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Holdings</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South County Business Park</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Leopardstown</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Dublin 18</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Republic of Ireland</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Holdings Clinical Research</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South County Business Park</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 Limited</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Leopardstown</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Dublin 18</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Republic of Ireland</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Resourcing Limited</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South County Business Park</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Leopardstown</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Dublin 18</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Republic of Ireland</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International</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South County Business Park</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Leopardstown</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Dublin 18</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Republic of Ireland</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Development Solutions, LLC</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8282 Halsey Road,</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Whitesboro</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NY 13492</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U.S.A.</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Development Solutions, LLC</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7740 Milestone Parkway,</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Suite 150, Hanover,</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MD 21076</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U.S.A.</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2100 Pennbrook Parkway</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North Wales,</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PA 19454</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U.S.A.</w:t>
            </w:r>
          </w:p>
        </w:tc>
        <w:tc>
          <w:tcPr>
            <w:tcW w:w="358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Central Laboratories, Inc.</w:t>
            </w: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123 Smith Street,</w:t>
            </w:r>
          </w:p>
        </w:tc>
        <w:tc>
          <w:tcPr>
            <w:tcW w:w="35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Farmingdale,</w:t>
            </w:r>
          </w:p>
        </w:tc>
        <w:tc>
          <w:tcPr>
            <w:tcW w:w="358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NY 11735</w:t>
            </w:r>
          </w:p>
        </w:tc>
        <w:tc>
          <w:tcPr>
            <w:tcW w:w="358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3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U.S.A.</w:t>
            </w:r>
          </w:p>
        </w:tc>
        <w:tc>
          <w:tcPr>
            <w:tcW w:w="3580" w:type="dxa"/>
            <w:vAlign w:val="bottom"/>
          </w:tcPr>
          <w:p>
            <w:pPr>
              <w:spacing w:after="0"/>
              <w:rPr>
                <w:sz w:val="19"/>
                <w:szCs w:val="19"/>
                <w:color w:val="auto"/>
              </w:rPr>
            </w:pPr>
          </w:p>
        </w:tc>
      </w:tr>
      <w:tr>
        <w:trPr>
          <w:trHeight w:val="551"/>
        </w:trPr>
        <w:tc>
          <w:tcPr>
            <w:tcW w:w="3520" w:type="dxa"/>
            <w:vAlign w:val="bottom"/>
          </w:tcPr>
          <w:p>
            <w:pPr>
              <w:spacing w:after="0"/>
              <w:rPr>
                <w:sz w:val="24"/>
                <w:szCs w:val="24"/>
                <w:color w:val="auto"/>
              </w:rPr>
            </w:pPr>
          </w:p>
        </w:tc>
        <w:tc>
          <w:tcPr>
            <w:tcW w:w="432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93</w:t>
            </w:r>
          </w:p>
        </w:tc>
        <w:tc>
          <w:tcPr>
            <w:tcW w:w="3580" w:type="dxa"/>
            <w:vAlign w:val="bottom"/>
          </w:tcPr>
          <w:p>
            <w:pPr>
              <w:spacing w:after="0"/>
              <w:rPr>
                <w:sz w:val="24"/>
                <w:szCs w:val="24"/>
                <w:color w:val="auto"/>
              </w:rPr>
            </w:pPr>
          </w:p>
        </w:tc>
      </w:tr>
      <w:tr>
        <w:trPr>
          <w:trHeight w:val="111"/>
        </w:trPr>
        <w:tc>
          <w:tcPr>
            <w:tcW w:w="352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 Subsidiary Undertakings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b w:val="1"/>
                <w:bCs w:val="1"/>
                <w:i w:val="1"/>
                <w:iCs w:val="1"/>
                <w:color w:val="auto"/>
              </w:rPr>
              <w:t>Proportion held by</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Beacon Bioscience, Inc.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2800 Kelly Road,</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Suite 200,</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Warrington,</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PA 18976</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Healthcare Discoveries, LLC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8307 Gault Lane,</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San Antonio,</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TX 78209-1015</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Oxford Outcomes, LLC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7315 Wisconsin Avenue,</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Suite 250,</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Bethesda,</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MD 20814 (Montgomery County)</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PriceSpective, LLC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460 Norristown Road</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Suite 350</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Blue Bell</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PA 19422</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DOCS Global, Inc.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 Grand Central Tower,</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line="204" w:lineRule="exact"/>
              <w:rPr>
                <w:sz w:val="20"/>
                <w:szCs w:val="20"/>
                <w:color w:val="auto"/>
              </w:rPr>
            </w:pPr>
            <w:r>
              <w:rPr>
                <w:rFonts w:ascii="Times New Roman" w:cs="Times New Roman" w:eastAsia="Times New Roman" w:hAnsi="Times New Roman"/>
                <w:sz w:val="17"/>
                <w:szCs w:val="17"/>
                <w:color w:val="auto"/>
              </w:rPr>
              <w:t>140 East 45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Street,</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line="204" w:lineRule="exact"/>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Floor,</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New York,</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NY 10017</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Pharmacology, LLC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10845 Harney Street,</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Omaha,</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NE 68154</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ICON US Holdings Inc.</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2100 Pennbrook Parkway,</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North Wales,</w:t>
            </w:r>
          </w:p>
        </w:tc>
        <w:tc>
          <w:tcPr>
            <w:tcW w:w="3400" w:type="dxa"/>
            <w:vAlign w:val="bottom"/>
          </w:tcPr>
          <w:p>
            <w:pPr>
              <w:spacing w:after="0"/>
              <w:rPr>
                <w:sz w:val="17"/>
                <w:szCs w:val="17"/>
                <w:color w:val="auto"/>
              </w:rPr>
            </w:pP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PA 19454</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U.S.A.</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Belgium N.V</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Pegasuslaan 5</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1831 Diegem</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Belgium</w:t>
            </w:r>
          </w:p>
        </w:tc>
        <w:tc>
          <w:tcPr>
            <w:tcW w:w="3400" w:type="dxa"/>
            <w:vAlign w:val="bottom"/>
          </w:tcPr>
          <w:p>
            <w:pPr>
              <w:spacing w:after="0"/>
              <w:rPr>
                <w:sz w:val="19"/>
                <w:szCs w:val="19"/>
                <w:color w:val="auto"/>
              </w:rPr>
            </w:pPr>
          </w:p>
        </w:tc>
      </w:tr>
      <w:tr>
        <w:trPr>
          <w:trHeight w:val="393"/>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EOOD</w:t>
            </w: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2A, Saborna Str.,</w:t>
            </w:r>
          </w:p>
        </w:tc>
        <w:tc>
          <w:tcPr>
            <w:tcW w:w="340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00" w:type="dxa"/>
            <w:vAlign w:val="bottom"/>
          </w:tcPr>
          <w:p>
            <w:pPr>
              <w:spacing w:after="0"/>
              <w:rPr>
                <w:sz w:val="17"/>
                <w:szCs w:val="17"/>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4th floor, Sofia – 1000,</w:t>
            </w:r>
          </w:p>
        </w:tc>
        <w:tc>
          <w:tcPr>
            <w:tcW w:w="3400" w:type="dxa"/>
            <w:vAlign w:val="bottom"/>
          </w:tcPr>
          <w:p>
            <w:pPr>
              <w:spacing w:after="0"/>
              <w:rPr>
                <w:sz w:val="17"/>
                <w:szCs w:val="17"/>
                <w:color w:val="auto"/>
              </w:rPr>
            </w:pPr>
          </w:p>
        </w:tc>
      </w:tr>
      <w:tr>
        <w:trPr>
          <w:trHeight w:val="222"/>
        </w:trPr>
        <w:tc>
          <w:tcPr>
            <w:tcW w:w="35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Republic of Bulgaria</w:t>
            </w:r>
          </w:p>
        </w:tc>
        <w:tc>
          <w:tcPr>
            <w:tcW w:w="3400" w:type="dxa"/>
            <w:vAlign w:val="bottom"/>
          </w:tcPr>
          <w:p>
            <w:pPr>
              <w:spacing w:after="0"/>
              <w:rPr>
                <w:sz w:val="19"/>
                <w:szCs w:val="19"/>
                <w:color w:val="auto"/>
              </w:rPr>
            </w:pPr>
          </w:p>
        </w:tc>
      </w:tr>
      <w:tr>
        <w:trPr>
          <w:trHeight w:val="576"/>
        </w:trPr>
        <w:tc>
          <w:tcPr>
            <w:tcW w:w="3500" w:type="dxa"/>
            <w:vAlign w:val="bottom"/>
          </w:tcPr>
          <w:p>
            <w:pPr>
              <w:spacing w:after="0"/>
              <w:rPr>
                <w:sz w:val="24"/>
                <w:szCs w:val="24"/>
                <w:color w:val="auto"/>
              </w:rPr>
            </w:pPr>
          </w:p>
        </w:tc>
        <w:tc>
          <w:tcPr>
            <w:tcW w:w="4520" w:type="dxa"/>
            <w:vAlign w:val="bottom"/>
          </w:tcPr>
          <w:p>
            <w:pPr>
              <w:ind w:left="2120"/>
              <w:spacing w:after="0"/>
              <w:rPr>
                <w:sz w:val="20"/>
                <w:szCs w:val="20"/>
                <w:color w:val="auto"/>
              </w:rPr>
            </w:pPr>
            <w:r>
              <w:rPr>
                <w:rFonts w:ascii="Times New Roman" w:cs="Times New Roman" w:eastAsia="Times New Roman" w:hAnsi="Times New Roman"/>
                <w:sz w:val="17"/>
                <w:szCs w:val="17"/>
                <w:color w:val="auto"/>
              </w:rPr>
              <w:t>94</w:t>
            </w:r>
          </w:p>
        </w:tc>
        <w:tc>
          <w:tcPr>
            <w:tcW w:w="3400" w:type="dxa"/>
            <w:vAlign w:val="bottom"/>
          </w:tcPr>
          <w:p>
            <w:pPr>
              <w:spacing w:after="0"/>
              <w:rPr>
                <w:sz w:val="24"/>
                <w:szCs w:val="24"/>
                <w:color w:val="auto"/>
              </w:rPr>
            </w:pPr>
          </w:p>
        </w:tc>
      </w:tr>
      <w:tr>
        <w:trPr>
          <w:trHeight w:val="111"/>
        </w:trPr>
        <w:tc>
          <w:tcPr>
            <w:tcW w:w="3500" w:type="dxa"/>
            <w:vAlign w:val="bottom"/>
            <w:tcBorders>
              <w:bottom w:val="single" w:sz="8" w:color="808080"/>
            </w:tcBorders>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 Subsidiary Undertakings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continued</w:t>
      </w:r>
      <w:r>
        <w:rPr>
          <w:rFonts w:ascii="Times New Roman" w:cs="Times New Roman" w:eastAsia="Times New Roman" w:hAnsi="Times New Roman"/>
          <w:sz w:val="17"/>
          <w:szCs w:val="17"/>
          <w:i w:val="1"/>
          <w:iCs w:val="1"/>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b w:val="1"/>
                <w:bCs w:val="1"/>
                <w:i w:val="1"/>
                <w:iCs w:val="1"/>
                <w:color w:val="auto"/>
              </w:rPr>
              <w:t>Proportion held by</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Research Ltd. (Ispitivanja</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Radnicka cesta 80,</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d.o.o)</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10000 Zagreb,</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Croatia</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s.r.o.</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Praha 4 - Chodov,</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V parku 2335/20,</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PSČ 148 00</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Czech Republic</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Nordic</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Stengade 51, 3. tv.</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Countries A/S</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3000 Helsingør</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Denmark</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Finland Oy</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Mannerheimintie 12 B 5th Floor</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FIN-00100 Helsinki</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Finland</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S.A.R.L.</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 Capitole Building,</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55 Av Des Champs Pierreux</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92000 Nanterre</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France</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France S.A.S.</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55 Avenue des Champs Pierreux</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Le Capitole Building</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92000 Nanterre</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France</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GmbH</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Heinrich-Hertz-Straße 26</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63225</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Langen</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Hessen</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Germany</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Germany</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Frankfurter Welle</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GmbH</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An der Welle 4,</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60422 Frankfurt</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Germany</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Kft (ICON</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1037 Budapest,</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Klinikai Kutató Kft)</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Szépvölgyi út 39.</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Hungary</w:t>
            </w:r>
          </w:p>
        </w:tc>
        <w:tc>
          <w:tcPr>
            <w:tcW w:w="34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Israel</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6 Haba'al Shem Tov Street,</w:t>
            </w:r>
          </w:p>
        </w:tc>
        <w:tc>
          <w:tcPr>
            <w:tcW w:w="344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Lod,</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Zip Code 71289,</w:t>
            </w:r>
          </w:p>
        </w:tc>
        <w:tc>
          <w:tcPr>
            <w:tcW w:w="34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Northern Industrial Area,</w:t>
            </w:r>
          </w:p>
        </w:tc>
        <w:tc>
          <w:tcPr>
            <w:tcW w:w="34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Israel.</w:t>
            </w:r>
          </w:p>
        </w:tc>
        <w:tc>
          <w:tcPr>
            <w:tcW w:w="3440" w:type="dxa"/>
            <w:vAlign w:val="bottom"/>
          </w:tcPr>
          <w:p>
            <w:pPr>
              <w:spacing w:after="0"/>
              <w:rPr>
                <w:sz w:val="19"/>
                <w:szCs w:val="19"/>
                <w:color w:val="auto"/>
              </w:rPr>
            </w:pPr>
          </w:p>
        </w:tc>
      </w:tr>
      <w:tr>
        <w:trPr>
          <w:trHeight w:val="576"/>
        </w:trPr>
        <w:tc>
          <w:tcPr>
            <w:tcW w:w="3520" w:type="dxa"/>
            <w:vAlign w:val="bottom"/>
          </w:tcPr>
          <w:p>
            <w:pPr>
              <w:spacing w:after="0"/>
              <w:rPr>
                <w:sz w:val="24"/>
                <w:szCs w:val="24"/>
                <w:color w:val="auto"/>
              </w:rPr>
            </w:pPr>
          </w:p>
        </w:tc>
        <w:tc>
          <w:tcPr>
            <w:tcW w:w="446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95</w:t>
            </w:r>
          </w:p>
        </w:tc>
        <w:tc>
          <w:tcPr>
            <w:tcW w:w="3440" w:type="dxa"/>
            <w:vAlign w:val="bottom"/>
          </w:tcPr>
          <w:p>
            <w:pPr>
              <w:spacing w:after="0"/>
              <w:rPr>
                <w:sz w:val="24"/>
                <w:szCs w:val="24"/>
                <w:color w:val="auto"/>
              </w:rPr>
            </w:pPr>
          </w:p>
        </w:tc>
      </w:tr>
      <w:tr>
        <w:trPr>
          <w:trHeight w:val="111"/>
        </w:trPr>
        <w:tc>
          <w:tcPr>
            <w:tcW w:w="352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31. Subsidiary Undertakings </w:t>
            </w:r>
            <w:r>
              <w:rPr>
                <w:rFonts w:ascii="Times New Roman" w:cs="Times New Roman" w:eastAsia="Times New Roman" w:hAnsi="Times New Roman"/>
                <w:sz w:val="17"/>
                <w:szCs w:val="17"/>
                <w:b w:val="1"/>
                <w:bCs w:val="1"/>
                <w:i w:val="1"/>
                <w:iCs w:val="1"/>
                <w:color w:val="auto"/>
              </w:rPr>
              <w:t>(continued)</w:t>
            </w:r>
          </w:p>
        </w:tc>
        <w:tc>
          <w:tcPr>
            <w:tcW w:w="4160" w:type="dxa"/>
            <w:vAlign w:val="bottom"/>
          </w:tcPr>
          <w:p>
            <w:pPr>
              <w:spacing w:after="0"/>
              <w:rPr>
                <w:sz w:val="19"/>
                <w:szCs w:val="19"/>
                <w:color w:val="auto"/>
              </w:rPr>
            </w:pPr>
          </w:p>
        </w:tc>
        <w:tc>
          <w:tcPr>
            <w:tcW w:w="3500" w:type="dxa"/>
            <w:vAlign w:val="bottom"/>
          </w:tcPr>
          <w:p>
            <w:pPr>
              <w:spacing w:after="0"/>
              <w:rPr>
                <w:sz w:val="19"/>
                <w:szCs w:val="19"/>
                <w:color w:val="auto"/>
              </w:rPr>
            </w:pPr>
          </w:p>
        </w:tc>
      </w:tr>
      <w:tr>
        <w:trPr>
          <w:trHeight w:val="412"/>
        </w:trPr>
        <w:tc>
          <w:tcPr>
            <w:tcW w:w="37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b w:val="1"/>
                <w:bCs w:val="1"/>
                <w:i w:val="1"/>
                <w:iCs w:val="1"/>
                <w:color w:val="auto"/>
              </w:rPr>
              <w:t>Proportion held by</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DOCS Italia S.R.L.</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Via Benigno Crespi, 23</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20159 Milano</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Italy</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Investments Limited</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PO Box 76,</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Kleinwort Benson House,</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Wests Centre,</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St. Helier,</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JE4 8PQ</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Jersey</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BV</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Handelsweg 53</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1181 ZA Amstelveen</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The Netherlands</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DOCS Insourcing BV</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Handelsweg 53</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1181 ZA Amstelveen</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The Netherlands</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Poland Sp.zo.o.</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Warsaw Financial Centre,</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Regus Office</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XI floor</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53 Emilii Plater Street</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00-113 Warszawa</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Poland</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Sp.zo.o.</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Al. Jerozolimskie 56C,</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00-803,</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Warsaw</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Poland</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S.R.L.</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Calea Floreasca,</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Nr 133-137,</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Et. 3,</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Bucuruesti,</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Sector 1,</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Romania</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d.o.o. Beograd</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Floor,</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Zorana Djindjica 64a,</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11070 Belgrade,</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Serbia.</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Slovakia, s.r.o.</w:t>
            </w:r>
          </w:p>
        </w:tc>
        <w:tc>
          <w:tcPr>
            <w:tcW w:w="4160" w:type="dxa"/>
            <w:vAlign w:val="bottom"/>
          </w:tcPr>
          <w:p>
            <w:pPr>
              <w:ind w:left="820"/>
              <w:spacing w:after="0" w:line="196" w:lineRule="exact"/>
              <w:rPr>
                <w:sz w:val="20"/>
                <w:szCs w:val="20"/>
                <w:color w:val="auto"/>
              </w:rPr>
            </w:pPr>
            <w:r>
              <w:rPr>
                <w:rFonts w:ascii="Times New Roman" w:cs="Times New Roman" w:eastAsia="Times New Roman" w:hAnsi="Times New Roman"/>
                <w:sz w:val="17"/>
                <w:szCs w:val="17"/>
                <w:color w:val="auto"/>
              </w:rPr>
              <w:t>Suché 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 1, 811 03</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Bratislava</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Slovak Republic</w:t>
            </w:r>
          </w:p>
        </w:tc>
        <w:tc>
          <w:tcPr>
            <w:tcW w:w="350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Espana, S.L.</w:t>
            </w: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Calle Josep Pla</w:t>
            </w:r>
          </w:p>
        </w:tc>
        <w:tc>
          <w:tcPr>
            <w:tcW w:w="350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Numero 2, Torre Diagonal Mar</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Piso 11, Modulo 1</w:t>
            </w:r>
          </w:p>
        </w:tc>
        <w:tc>
          <w:tcPr>
            <w:tcW w:w="350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Barcelona</w:t>
            </w:r>
          </w:p>
        </w:tc>
        <w:tc>
          <w:tcPr>
            <w:tcW w:w="350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1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Spain</w:t>
            </w:r>
          </w:p>
        </w:tc>
        <w:tc>
          <w:tcPr>
            <w:tcW w:w="3500" w:type="dxa"/>
            <w:vAlign w:val="bottom"/>
          </w:tcPr>
          <w:p>
            <w:pPr>
              <w:spacing w:after="0"/>
              <w:rPr>
                <w:sz w:val="19"/>
                <w:szCs w:val="19"/>
                <w:color w:val="auto"/>
              </w:rPr>
            </w:pPr>
          </w:p>
        </w:tc>
      </w:tr>
      <w:tr>
        <w:trPr>
          <w:trHeight w:val="576"/>
        </w:trPr>
        <w:tc>
          <w:tcPr>
            <w:tcW w:w="3760" w:type="dxa"/>
            <w:vAlign w:val="bottom"/>
          </w:tcPr>
          <w:p>
            <w:pPr>
              <w:spacing w:after="0"/>
              <w:rPr>
                <w:sz w:val="24"/>
                <w:szCs w:val="24"/>
                <w:color w:val="auto"/>
              </w:rPr>
            </w:pPr>
          </w:p>
        </w:tc>
        <w:tc>
          <w:tcPr>
            <w:tcW w:w="416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96</w:t>
            </w:r>
          </w:p>
        </w:tc>
        <w:tc>
          <w:tcPr>
            <w:tcW w:w="3500" w:type="dxa"/>
            <w:vAlign w:val="bottom"/>
          </w:tcPr>
          <w:p>
            <w:pPr>
              <w:spacing w:after="0"/>
              <w:rPr>
                <w:sz w:val="24"/>
                <w:szCs w:val="24"/>
                <w:color w:val="auto"/>
              </w:rPr>
            </w:pPr>
          </w:p>
        </w:tc>
      </w:tr>
      <w:tr>
        <w:trPr>
          <w:trHeight w:val="111"/>
        </w:trPr>
        <w:tc>
          <w:tcPr>
            <w:tcW w:w="3760" w:type="dxa"/>
            <w:vAlign w:val="bottom"/>
            <w:tcBorders>
              <w:bottom w:val="single" w:sz="8" w:color="808080"/>
            </w:tcBorders>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 Subsidiary Undertakings </w:t>
      </w:r>
      <w:r>
        <w:rPr>
          <w:rFonts w:ascii="Times New Roman" w:cs="Times New Roman" w:eastAsia="Times New Roman" w:hAnsi="Times New Roman"/>
          <w:sz w:val="17"/>
          <w:szCs w:val="17"/>
          <w:b w:val="1"/>
          <w:bCs w:val="1"/>
          <w:i w:val="1"/>
          <w:iCs w:val="1"/>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Proportion held by</w:t>
            </w: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Sweden AB</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Gustav III:s Boulevard 34, 5th floor</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SE-169 73 Solna</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Sweden</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Medical Imaging AG</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Zeltweg 46</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8032 Zurich</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Switzerland</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Switzerland</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Steinengraben 40,</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GmbH</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c/o Experfina AG,</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CH-4002 Basel</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Switzerland</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Ankara Klinik Arastirma Dis</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Beştepe Mahallesi Dumlupınar</w:t>
            </w:r>
          </w:p>
        </w:tc>
        <w:tc>
          <w:tcPr>
            <w:tcW w:w="3340" w:type="dxa"/>
            <w:vAlign w:val="bottom"/>
          </w:tcPr>
          <w:p>
            <w:pPr>
              <w:spacing w:after="0"/>
              <w:rPr>
                <w:sz w:val="24"/>
                <w:szCs w:val="24"/>
                <w:color w:val="auto"/>
              </w:rPr>
            </w:pP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Ticaret Anonim Sirketi</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Bulvarı,</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No: 6/1211 06520</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Yenimahalle / Ankara</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Turkey</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LLC</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4th Floor,</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St. Poleva 24,</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Kiev,</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Ukraine, 03056</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ICON Development Solutions</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Skelton House</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Manchester Science Park</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Lloyd Street North</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Manchester</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UK M15 6SH</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United Kingdom</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DOCS International UK Limited</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Concept House,</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6 Stoneycroft Rise</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Chandlers Ford,</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Eastleigh,</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Hampshire,</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SO53 3LD</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United Kingdom</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Oxford Outcomes Limited</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Seacourt Tower</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West Way</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Oxford</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OX2 0JJ</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United Kingdom</w:t>
            </w:r>
          </w:p>
        </w:tc>
        <w:tc>
          <w:tcPr>
            <w:tcW w:w="3340" w:type="dxa"/>
            <w:vAlign w:val="bottom"/>
          </w:tcPr>
          <w:p>
            <w:pPr>
              <w:spacing w:after="0"/>
              <w:rPr>
                <w:sz w:val="19"/>
                <w:szCs w:val="19"/>
                <w:color w:val="auto"/>
              </w:rPr>
            </w:pPr>
          </w:p>
        </w:tc>
      </w:tr>
      <w:tr>
        <w:trPr>
          <w:trHeight w:val="39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PriceSpective Limited</w:t>
            </w: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2nd Floor</w:t>
            </w:r>
          </w:p>
        </w:tc>
        <w:tc>
          <w:tcPr>
            <w:tcW w:w="33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22 Tudor Street</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London</w:t>
            </w:r>
          </w:p>
        </w:tc>
        <w:tc>
          <w:tcPr>
            <w:tcW w:w="334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EC4Y 0AY</w:t>
            </w:r>
          </w:p>
        </w:tc>
        <w:tc>
          <w:tcPr>
            <w:tcW w:w="3340" w:type="dxa"/>
            <w:vAlign w:val="bottom"/>
          </w:tcPr>
          <w:p>
            <w:pPr>
              <w:spacing w:after="0"/>
              <w:rPr>
                <w:sz w:val="17"/>
                <w:szCs w:val="17"/>
                <w:color w:val="auto"/>
              </w:rPr>
            </w:pPr>
          </w:p>
        </w:tc>
      </w:tr>
      <w:tr>
        <w:trPr>
          <w:trHeight w:val="222"/>
        </w:trPr>
        <w:tc>
          <w:tcPr>
            <w:tcW w:w="3520" w:type="dxa"/>
            <w:vAlign w:val="bottom"/>
          </w:tcPr>
          <w:p>
            <w:pPr>
              <w:spacing w:after="0"/>
              <w:rPr>
                <w:sz w:val="19"/>
                <w:szCs w:val="19"/>
                <w:color w:val="auto"/>
              </w:rPr>
            </w:pPr>
          </w:p>
        </w:tc>
        <w:tc>
          <w:tcPr>
            <w:tcW w:w="456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United Kingdom</w:t>
            </w:r>
          </w:p>
        </w:tc>
        <w:tc>
          <w:tcPr>
            <w:tcW w:w="3340" w:type="dxa"/>
            <w:vAlign w:val="bottom"/>
          </w:tcPr>
          <w:p>
            <w:pPr>
              <w:spacing w:after="0"/>
              <w:rPr>
                <w:sz w:val="19"/>
                <w:szCs w:val="19"/>
                <w:color w:val="auto"/>
              </w:rPr>
            </w:pPr>
          </w:p>
        </w:tc>
      </w:tr>
      <w:tr>
        <w:trPr>
          <w:trHeight w:val="576"/>
        </w:trPr>
        <w:tc>
          <w:tcPr>
            <w:tcW w:w="3520" w:type="dxa"/>
            <w:vAlign w:val="bottom"/>
          </w:tcPr>
          <w:p>
            <w:pPr>
              <w:spacing w:after="0"/>
              <w:rPr>
                <w:sz w:val="24"/>
                <w:szCs w:val="24"/>
                <w:color w:val="auto"/>
              </w:rPr>
            </w:pPr>
          </w:p>
        </w:tc>
        <w:tc>
          <w:tcPr>
            <w:tcW w:w="456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97</w:t>
            </w:r>
          </w:p>
        </w:tc>
        <w:tc>
          <w:tcPr>
            <w:tcW w:w="3340" w:type="dxa"/>
            <w:vAlign w:val="bottom"/>
          </w:tcPr>
          <w:p>
            <w:pPr>
              <w:spacing w:after="0"/>
              <w:rPr>
                <w:sz w:val="24"/>
                <w:szCs w:val="24"/>
                <w:color w:val="auto"/>
              </w:rPr>
            </w:pPr>
          </w:p>
        </w:tc>
      </w:tr>
      <w:tr>
        <w:trPr>
          <w:trHeight w:val="111"/>
        </w:trPr>
        <w:tc>
          <w:tcPr>
            <w:tcW w:w="352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31. Subsidiary Undertakings </w:t>
            </w:r>
            <w:r>
              <w:rPr>
                <w:rFonts w:ascii="Times New Roman" w:cs="Times New Roman" w:eastAsia="Times New Roman" w:hAnsi="Times New Roman"/>
                <w:sz w:val="17"/>
                <w:szCs w:val="17"/>
                <w:b w:val="1"/>
                <w:bCs w:val="1"/>
                <w:i w:val="1"/>
                <w:iCs w:val="1"/>
                <w:color w:val="auto"/>
              </w:rPr>
              <w:t>(continued)</w:t>
            </w:r>
          </w:p>
        </w:tc>
        <w:tc>
          <w:tcPr>
            <w:tcW w:w="43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412"/>
        </w:trPr>
        <w:tc>
          <w:tcPr>
            <w:tcW w:w="37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w w:val="98"/>
              </w:rPr>
              <w:t>Proportion held by</w:t>
            </w: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(U.K.)</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Concept House,</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6 Stoneycroft Rise,</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Chandlers Ford,</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Eastleigh,</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Hampshire,</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SO53 3LD.</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United Kingdom</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AKOS Limited</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2 Globeside Business Park,</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Marlow,</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Buckinghamshire,</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SL7 1HZ,</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United Kingdom</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S.A.</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Avenida Leandro N. Alem 1110,</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Piso 13°,</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Ciudad Autónoma de Buenos Aires</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Argentina</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Pesquisas Clinicas LTDA</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Av. Ibirapuera 2332,</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Torre II 4º Andar,</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São Paulo,</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SP Brazil.</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(Canada) Inc.</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7405 Trans-Canada Highway,</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Suite 300 Saint-Laurent,</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Quebec H4T 1Z2</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Canada</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Oxford Outcomes Limited</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19th Floor</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885 West Georgia Street</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Vancouver BC V6C 3H4</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Canada</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Chile Limitada</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Huerfanos 770</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Piso 4</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Oficina 402</w:t>
            </w:r>
          </w:p>
        </w:tc>
        <w:tc>
          <w:tcPr>
            <w:tcW w:w="2380" w:type="dxa"/>
            <w:vAlign w:val="bottom"/>
          </w:tcPr>
          <w:p>
            <w:pPr>
              <w:spacing w:after="0"/>
              <w:rPr>
                <w:sz w:val="17"/>
                <w:szCs w:val="17"/>
                <w:color w:val="auto"/>
              </w:rPr>
            </w:pPr>
          </w:p>
        </w:tc>
      </w:tr>
      <w:tr>
        <w:trPr>
          <w:trHeight w:val="205"/>
        </w:trPr>
        <w:tc>
          <w:tcPr>
            <w:tcW w:w="3760" w:type="dxa"/>
            <w:vAlign w:val="bottom"/>
          </w:tcPr>
          <w:p>
            <w:pPr>
              <w:spacing w:after="0"/>
              <w:rPr>
                <w:sz w:val="17"/>
                <w:szCs w:val="17"/>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Santiago</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Chile</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México, S.A.</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Barranca del Muerto 329 3rd Floor</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de C.V.</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Col. San Jose Insugentes</w:t>
            </w:r>
          </w:p>
        </w:tc>
        <w:tc>
          <w:tcPr>
            <w:tcW w:w="2380" w:type="dxa"/>
            <w:vAlign w:val="bottom"/>
          </w:tcPr>
          <w:p>
            <w:pPr>
              <w:spacing w:after="0"/>
              <w:rPr>
                <w:sz w:val="17"/>
                <w:szCs w:val="17"/>
                <w:color w:val="auto"/>
              </w:rPr>
            </w:pP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03900 Mexico D.F.</w:t>
            </w:r>
          </w:p>
        </w:tc>
        <w:tc>
          <w:tcPr>
            <w:tcW w:w="2380" w:type="dxa"/>
            <w:vAlign w:val="bottom"/>
          </w:tcPr>
          <w:p>
            <w:pPr>
              <w:spacing w:after="0"/>
              <w:rPr>
                <w:sz w:val="19"/>
                <w:szCs w:val="19"/>
                <w:color w:val="auto"/>
              </w:rPr>
            </w:pPr>
          </w:p>
        </w:tc>
      </w:tr>
      <w:tr>
        <w:trPr>
          <w:trHeight w:val="393"/>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Peru S.A.</w:t>
            </w: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Av. 28 de Julio 150,</w:t>
            </w:r>
          </w:p>
        </w:tc>
        <w:tc>
          <w:tcPr>
            <w:tcW w:w="238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3760" w:type="dxa"/>
            <w:vAlign w:val="bottom"/>
          </w:tcPr>
          <w:p>
            <w:pPr>
              <w:spacing w:after="0"/>
              <w:rPr>
                <w:sz w:val="19"/>
                <w:szCs w:val="19"/>
                <w:color w:val="auto"/>
              </w:rPr>
            </w:pPr>
          </w:p>
        </w:tc>
        <w:tc>
          <w:tcPr>
            <w:tcW w:w="43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Piso 6,</w:t>
            </w:r>
          </w:p>
        </w:tc>
        <w:tc>
          <w:tcPr>
            <w:tcW w:w="2380" w:type="dxa"/>
            <w:vAlign w:val="bottom"/>
          </w:tcPr>
          <w:p>
            <w:pPr>
              <w:spacing w:after="0"/>
              <w:rPr>
                <w:sz w:val="19"/>
                <w:szCs w:val="19"/>
                <w:color w:val="auto"/>
              </w:rPr>
            </w:pPr>
          </w:p>
        </w:tc>
      </w:tr>
    </w:tbl>
    <w:p>
      <w:pPr>
        <w:ind w:left="4580"/>
        <w:spacing w:after="0"/>
        <w:rPr>
          <w:sz w:val="20"/>
          <w:szCs w:val="20"/>
          <w:color w:val="auto"/>
        </w:rPr>
      </w:pPr>
      <w:r>
        <w:rPr>
          <w:rFonts w:ascii="Times New Roman" w:cs="Times New Roman" w:eastAsia="Times New Roman" w:hAnsi="Times New Roman"/>
          <w:sz w:val="17"/>
          <w:szCs w:val="17"/>
          <w:color w:val="auto"/>
        </w:rPr>
        <w:t>Miraflores,</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Lima 18,</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Peru</w:t>
      </w:r>
    </w:p>
    <w:p>
      <w:pPr>
        <w:spacing w:after="0" w:line="3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60"/>
          </w:cols>
          <w:pgMar w:left="240" w:top="490" w:right="11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 Subsidiary Undertakings </w:t>
      </w:r>
      <w:r>
        <w:rPr>
          <w:rFonts w:ascii="Times New Roman" w:cs="Times New Roman" w:eastAsia="Times New Roman" w:hAnsi="Times New Roman"/>
          <w:sz w:val="17"/>
          <w:szCs w:val="17"/>
          <w:b w:val="1"/>
          <w:bCs w:val="1"/>
          <w:i w:val="1"/>
          <w:iCs w:val="1"/>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b w:val="1"/>
                <w:bCs w:val="1"/>
                <w:i w:val="1"/>
                <w:iCs w:val="1"/>
                <w:color w:val="auto"/>
              </w:rPr>
              <w:t>Proportion held by</w:t>
            </w: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PTY Limited</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Suite 201,</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Level 2, 2-4 Lyon Park Road,</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North Ryde,</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NSW 2113</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Australia</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(Beijing)</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Room B1101,</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Co., Limited</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Tower No. 1,</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line="204" w:lineRule="exact"/>
              <w:rPr>
                <w:sz w:val="20"/>
                <w:szCs w:val="20"/>
                <w:color w:val="auto"/>
              </w:rPr>
            </w:pPr>
            <w:r>
              <w:rPr>
                <w:rFonts w:ascii="Times New Roman" w:cs="Times New Roman" w:eastAsia="Times New Roman" w:hAnsi="Times New Roman"/>
                <w:sz w:val="17"/>
                <w:szCs w:val="17"/>
                <w:color w:val="auto"/>
              </w:rPr>
              <w:t>No. 36 North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7"/>
                <w:szCs w:val="17"/>
                <w:color w:val="auto"/>
              </w:rPr>
              <w:t xml:space="preserve"> Ring Road East,</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Dong Cheng District,</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Beijing,</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China</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(Beijing No.2) Co.,</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Room 335,</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No.8, An Ning Zhuang East Road,</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Haidian District,</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Beijing,</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China</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India Private</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RMZ Millenia Business Park,</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Block 3A - 2nd Floor,</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#143 Dr. MGR Road,</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Kandanchavady,</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Chennai,</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Tamil Nadu,</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India 600 096</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Japan K.K.</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6F-7F MD Kanda Building,</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9-1 Kanda Mitoyocho,</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Chiyoda-ku,</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Tokyo 101-0053</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Japan</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Korea Yuhan</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Capital Tower,</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Hoesa</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18th Floor</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736-1 Yeoksam-dong</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Gangnam-gu</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Seoul</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Korea 135-983</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Hong Kong</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Unit 3606, 36th/F</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Skyline Tower, 39 Wang Kwong Road</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Kowloon Bay, Kowloon</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Hong Kong</w:t>
            </w:r>
          </w:p>
        </w:tc>
        <w:tc>
          <w:tcPr>
            <w:tcW w:w="3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CRO Malaysia SDN. BHD.</w:t>
            </w: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Level 10, 1 Sentral, Jalan Travers,</w:t>
            </w:r>
          </w:p>
        </w:tc>
        <w:tc>
          <w:tcPr>
            <w:tcW w:w="3240" w:type="dxa"/>
            <w:vAlign w:val="bottom"/>
          </w:tcPr>
          <w:p>
            <w:pPr>
              <w:spacing w:after="0"/>
              <w:rPr>
                <w:sz w:val="24"/>
                <w:szCs w:val="24"/>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Kuala Lumpur Sentral,</w:t>
            </w:r>
          </w:p>
        </w:tc>
        <w:tc>
          <w:tcPr>
            <w:tcW w:w="32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P.O. Box 10192,</w:t>
            </w:r>
          </w:p>
        </w:tc>
        <w:tc>
          <w:tcPr>
            <w:tcW w:w="3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50706 Kuala Lumpur</w:t>
            </w:r>
          </w:p>
        </w:tc>
        <w:tc>
          <w:tcPr>
            <w:tcW w:w="3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3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Malaysia</w:t>
            </w:r>
          </w:p>
        </w:tc>
        <w:tc>
          <w:tcPr>
            <w:tcW w:w="3240" w:type="dxa"/>
            <w:vAlign w:val="bottom"/>
          </w:tcPr>
          <w:p>
            <w:pPr>
              <w:spacing w:after="0"/>
              <w:rPr>
                <w:sz w:val="19"/>
                <w:szCs w:val="19"/>
                <w:color w:val="auto"/>
              </w:rPr>
            </w:pPr>
          </w:p>
        </w:tc>
      </w:tr>
      <w:tr>
        <w:trPr>
          <w:trHeight w:val="576"/>
        </w:trPr>
        <w:tc>
          <w:tcPr>
            <w:tcW w:w="3800" w:type="dxa"/>
            <w:vAlign w:val="bottom"/>
          </w:tcPr>
          <w:p>
            <w:pPr>
              <w:spacing w:after="0"/>
              <w:rPr>
                <w:sz w:val="24"/>
                <w:szCs w:val="24"/>
                <w:color w:val="auto"/>
              </w:rPr>
            </w:pPr>
          </w:p>
        </w:tc>
        <w:tc>
          <w:tcPr>
            <w:tcW w:w="4380" w:type="dxa"/>
            <w:vAlign w:val="bottom"/>
          </w:tcPr>
          <w:p>
            <w:pPr>
              <w:ind w:left="1820"/>
              <w:spacing w:after="0"/>
              <w:rPr>
                <w:sz w:val="20"/>
                <w:szCs w:val="20"/>
                <w:color w:val="auto"/>
              </w:rPr>
            </w:pPr>
            <w:r>
              <w:rPr>
                <w:rFonts w:ascii="Times New Roman" w:cs="Times New Roman" w:eastAsia="Times New Roman" w:hAnsi="Times New Roman"/>
                <w:sz w:val="17"/>
                <w:szCs w:val="17"/>
                <w:color w:val="auto"/>
              </w:rPr>
              <w:t>99</w:t>
            </w:r>
          </w:p>
        </w:tc>
        <w:tc>
          <w:tcPr>
            <w:tcW w:w="3240" w:type="dxa"/>
            <w:vAlign w:val="bottom"/>
          </w:tcPr>
          <w:p>
            <w:pPr>
              <w:spacing w:after="0"/>
              <w:rPr>
                <w:sz w:val="24"/>
                <w:szCs w:val="24"/>
                <w:color w:val="auto"/>
              </w:rPr>
            </w:pPr>
          </w:p>
        </w:tc>
      </w:tr>
      <w:tr>
        <w:trPr>
          <w:trHeight w:val="111"/>
        </w:trPr>
        <w:tc>
          <w:tcPr>
            <w:tcW w:w="3800" w:type="dxa"/>
            <w:vAlign w:val="bottom"/>
            <w:tcBorders>
              <w:bottom w:val="single" w:sz="8" w:color="808080"/>
            </w:tcBorders>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color w:val="auto"/>
        </w:rPr>
        <w:t xml:space="preserve">Notes to Consolidated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31. Subsidiary Undertakings </w:t>
      </w:r>
      <w:r>
        <w:rPr>
          <w:rFonts w:ascii="Times New Roman" w:cs="Times New Roman" w:eastAsia="Times New Roman" w:hAnsi="Times New Roman"/>
          <w:sz w:val="20"/>
          <w:szCs w:val="20"/>
          <w:b w:val="1"/>
          <w:bCs w:val="1"/>
          <w:i w:val="1"/>
          <w:iCs w:val="1"/>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w w:val="98"/>
              </w:rPr>
              <w:t>Proportion held by</w:t>
            </w: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b w:val="1"/>
                <w:bCs w:val="1"/>
                <w:i w:val="1"/>
                <w:iCs w:val="1"/>
                <w:color w:val="auto"/>
              </w:rPr>
              <w:t>Registered Office</w:t>
            </w: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b w:val="1"/>
                <w:bCs w:val="1"/>
                <w:i w:val="1"/>
                <w:iCs w:val="1"/>
                <w:color w:val="auto"/>
              </w:rPr>
              <w:t>group</w:t>
            </w: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(New Zealand)</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Plaza Level,</w:t>
            </w: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Limited</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AXA Centre,</w:t>
            </w:r>
          </w:p>
        </w:tc>
        <w:tc>
          <w:tcPr>
            <w:tcW w:w="2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41 Shortland Street,</w:t>
            </w:r>
          </w:p>
        </w:tc>
        <w:tc>
          <w:tcPr>
            <w:tcW w:w="2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Auckland,</w:t>
            </w:r>
          </w:p>
        </w:tc>
        <w:tc>
          <w:tcPr>
            <w:tcW w:w="2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New Zealand 1010</w:t>
            </w:r>
          </w:p>
        </w:tc>
        <w:tc>
          <w:tcPr>
            <w:tcW w:w="2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Services</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28th Floor, Tower 2</w:t>
            </w: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Philippines, Inc.</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The Enterprise Center</w:t>
            </w:r>
          </w:p>
        </w:tc>
        <w:tc>
          <w:tcPr>
            <w:tcW w:w="2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6766 Ayala Ave. corner Paseo de Roxas</w:t>
            </w:r>
          </w:p>
        </w:tc>
        <w:tc>
          <w:tcPr>
            <w:tcW w:w="2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Makati City</w:t>
            </w:r>
          </w:p>
        </w:tc>
        <w:tc>
          <w:tcPr>
            <w:tcW w:w="2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1226 Philippines</w:t>
            </w:r>
          </w:p>
        </w:tc>
        <w:tc>
          <w:tcPr>
            <w:tcW w:w="2240" w:type="dxa"/>
            <w:vAlign w:val="bottom"/>
          </w:tcPr>
          <w:p>
            <w:pPr>
              <w:spacing w:after="0"/>
              <w:rPr>
                <w:sz w:val="19"/>
                <w:szCs w:val="19"/>
                <w:color w:val="auto"/>
              </w:rPr>
            </w:pPr>
          </w:p>
        </w:tc>
      </w:tr>
      <w:tr>
        <w:trPr>
          <w:trHeight w:val="393"/>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(Pte) Limited</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24 Raffles Place #24-03</w:t>
            </w: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17"/>
                <w:szCs w:val="17"/>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Clifford Centre</w:t>
            </w:r>
          </w:p>
        </w:tc>
        <w:tc>
          <w:tcPr>
            <w:tcW w:w="2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Singapore 048621</w:t>
            </w:r>
          </w:p>
        </w:tc>
        <w:tc>
          <w:tcPr>
            <w:tcW w:w="2240" w:type="dxa"/>
            <w:vAlign w:val="bottom"/>
          </w:tcPr>
          <w:p>
            <w:pPr>
              <w:spacing w:after="0"/>
              <w:rPr>
                <w:sz w:val="19"/>
                <w:szCs w:val="19"/>
                <w:color w:val="auto"/>
              </w:rPr>
            </w:pPr>
          </w:p>
        </w:tc>
      </w:tr>
      <w:tr>
        <w:trPr>
          <w:trHeight w:val="393"/>
        </w:trPr>
        <w:tc>
          <w:tcPr>
            <w:tcW w:w="3800" w:type="dxa"/>
            <w:vAlign w:val="bottom"/>
          </w:tcPr>
          <w:p>
            <w:pPr>
              <w:spacing w:after="0"/>
              <w:rPr>
                <w:sz w:val="24"/>
                <w:szCs w:val="24"/>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2F, No. 96, Sec. 1,</w:t>
            </w: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Taiwan Limited</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Chien Kou North Road,</w:t>
            </w:r>
          </w:p>
        </w:tc>
        <w:tc>
          <w:tcPr>
            <w:tcW w:w="2240" w:type="dxa"/>
            <w:vAlign w:val="bottom"/>
          </w:tcPr>
          <w:p>
            <w:pPr>
              <w:spacing w:after="0"/>
              <w:rPr>
                <w:sz w:val="17"/>
                <w:szCs w:val="17"/>
                <w:color w:val="auto"/>
              </w:rPr>
            </w:pPr>
          </w:p>
        </w:tc>
      </w:tr>
      <w:tr>
        <w:trPr>
          <w:trHeight w:val="205"/>
        </w:trPr>
        <w:tc>
          <w:tcPr>
            <w:tcW w:w="3800" w:type="dxa"/>
            <w:vAlign w:val="bottom"/>
          </w:tcPr>
          <w:p>
            <w:pPr>
              <w:spacing w:after="0"/>
              <w:rPr>
                <w:sz w:val="17"/>
                <w:szCs w:val="17"/>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Taipei 10495,</w:t>
            </w:r>
          </w:p>
        </w:tc>
        <w:tc>
          <w:tcPr>
            <w:tcW w:w="2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Taiwan</w:t>
            </w:r>
          </w:p>
        </w:tc>
        <w:tc>
          <w:tcPr>
            <w:tcW w:w="2240" w:type="dxa"/>
            <w:vAlign w:val="bottom"/>
          </w:tcPr>
          <w:p>
            <w:pPr>
              <w:spacing w:after="0"/>
              <w:rPr>
                <w:sz w:val="19"/>
                <w:szCs w:val="19"/>
                <w:color w:val="auto"/>
              </w:rPr>
            </w:pPr>
          </w:p>
        </w:tc>
      </w:tr>
      <w:tr>
        <w:trPr>
          <w:trHeight w:val="393"/>
        </w:trPr>
        <w:tc>
          <w:tcPr>
            <w:tcW w:w="3800" w:type="dxa"/>
            <w:vAlign w:val="bottom"/>
          </w:tcPr>
          <w:p>
            <w:pPr>
              <w:spacing w:after="0"/>
              <w:rPr>
                <w:sz w:val="24"/>
                <w:szCs w:val="24"/>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195 Empire Tower,</w:t>
            </w:r>
          </w:p>
        </w:tc>
        <w:tc>
          <w:tcPr>
            <w:tcW w:w="22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100%</w:t>
            </w:r>
          </w:p>
        </w:tc>
      </w:tr>
      <w:tr>
        <w:trPr>
          <w:trHeight w:val="205"/>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ICON Clinical Research (Thailand) Limited</w:t>
            </w: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24th Floor,</w:t>
            </w:r>
          </w:p>
        </w:tc>
        <w:tc>
          <w:tcPr>
            <w:tcW w:w="2240" w:type="dxa"/>
            <w:vAlign w:val="bottom"/>
          </w:tcPr>
          <w:p>
            <w:pPr>
              <w:spacing w:after="0"/>
              <w:rPr>
                <w:sz w:val="17"/>
                <w:szCs w:val="17"/>
                <w:color w:val="auto"/>
              </w:rPr>
            </w:pPr>
          </w:p>
        </w:tc>
      </w:tr>
      <w:tr>
        <w:trPr>
          <w:trHeight w:val="222"/>
        </w:trPr>
        <w:tc>
          <w:tcPr>
            <w:tcW w:w="3800" w:type="dxa"/>
            <w:vAlign w:val="bottom"/>
          </w:tcPr>
          <w:p>
            <w:pPr>
              <w:spacing w:after="0"/>
              <w:rPr>
                <w:sz w:val="19"/>
                <w:szCs w:val="19"/>
                <w:color w:val="auto"/>
              </w:rPr>
            </w:pPr>
          </w:p>
        </w:tc>
        <w:tc>
          <w:tcPr>
            <w:tcW w:w="442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Unit 2408,</w:t>
            </w:r>
          </w:p>
        </w:tc>
        <w:tc>
          <w:tcPr>
            <w:tcW w:w="2240" w:type="dxa"/>
            <w:vAlign w:val="bottom"/>
          </w:tcPr>
          <w:p>
            <w:pPr>
              <w:spacing w:after="0"/>
              <w:rPr>
                <w:sz w:val="19"/>
                <w:szCs w:val="19"/>
                <w:color w:val="auto"/>
              </w:rPr>
            </w:pPr>
          </w:p>
        </w:tc>
      </w:tr>
    </w:tbl>
    <w:p>
      <w:pPr>
        <w:ind w:left="4580"/>
        <w:spacing w:after="0"/>
        <w:rPr>
          <w:sz w:val="20"/>
          <w:szCs w:val="20"/>
          <w:color w:val="auto"/>
        </w:rPr>
      </w:pPr>
      <w:r>
        <w:rPr>
          <w:rFonts w:ascii="Times New Roman" w:cs="Times New Roman" w:eastAsia="Times New Roman" w:hAnsi="Times New Roman"/>
          <w:sz w:val="17"/>
          <w:szCs w:val="17"/>
          <w:color w:val="auto"/>
        </w:rPr>
        <w:t>South Sathorn Road,</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Yannawa,</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Sathorn,</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Bangkok,</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Thailand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held directly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 Approval of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approved these financial statements on 29 April 2014.</w:t>
      </w: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60"/>
          </w:cols>
          <w:pgMar w:left="240" w:top="490" w:right="11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Company Statement of Financial Position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at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4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400" w:type="dxa"/>
            <w:vAlign w:val="bottom"/>
          </w:tcPr>
          <w:p>
            <w:pPr>
              <w:spacing w:after="0"/>
              <w:rPr>
                <w:sz w:val="19"/>
                <w:szCs w:val="19"/>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84"/>
        </w:trPr>
        <w:tc>
          <w:tcPr>
            <w:tcW w:w="3200" w:type="dxa"/>
            <w:vAlign w:val="bottom"/>
            <w:gridSpan w:val="2"/>
            <w:vMerge w:val="continue"/>
          </w:tcPr>
          <w:p>
            <w:pPr>
              <w:spacing w:after="0"/>
              <w:rPr>
                <w:sz w:val="15"/>
                <w:szCs w:val="15"/>
                <w:color w:val="auto"/>
              </w:rPr>
            </w:pPr>
          </w:p>
        </w:tc>
        <w:tc>
          <w:tcPr>
            <w:tcW w:w="5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5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4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1</w:t>
            </w: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1,048</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5400" w:type="dxa"/>
            <w:vAlign w:val="bottom"/>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2</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504</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subsidiaries</w:t>
            </w:r>
          </w:p>
        </w:tc>
        <w:tc>
          <w:tcPr>
            <w:tcW w:w="54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3</w:t>
            </w: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524,810</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362,983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54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4</w:t>
            </w: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395</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526,757</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365,015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5400" w:type="dxa"/>
            <w:vAlign w:val="bottom"/>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5</w:t>
            </w: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2,727</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subsidiary undertakings</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137,072</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52,329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Current taxes receivable</w:t>
            </w:r>
          </w:p>
        </w:tc>
        <w:tc>
          <w:tcPr>
            <w:tcW w:w="540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174</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3,833</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5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143,806</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56,605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54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670,563</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421,620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5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5,168</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Share premium</w:t>
            </w:r>
          </w:p>
        </w:tc>
        <w:tc>
          <w:tcPr>
            <w:tcW w:w="540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199,785</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172,963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redemption reserve</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100</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Share based payment reserve</w:t>
            </w:r>
          </w:p>
        </w:tc>
        <w:tc>
          <w:tcPr>
            <w:tcW w:w="540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44,785</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42,527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reserves</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6,071</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6,071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Functional currency translation reserve</w:t>
            </w:r>
          </w:p>
        </w:tc>
        <w:tc>
          <w:tcPr>
            <w:tcW w:w="540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25,885</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365,282</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177,558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Attributable to equity holders</w:t>
            </w:r>
          </w:p>
        </w:tc>
        <w:tc>
          <w:tcPr>
            <w:tcW w:w="5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647,076</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407,592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5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647,076</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407,592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5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Non-current other liabilities</w:t>
            </w:r>
          </w:p>
        </w:tc>
        <w:tc>
          <w:tcPr>
            <w:tcW w:w="54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6</w:t>
            </w: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2,865</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2,865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5400" w:type="dxa"/>
            <w:vAlign w:val="bottom"/>
          </w:tcPr>
          <w:p>
            <w:pPr>
              <w:spacing w:after="0"/>
              <w:rPr>
                <w:sz w:val="17"/>
                <w:szCs w:val="17"/>
                <w:color w:val="auto"/>
              </w:rPr>
            </w:pPr>
          </w:p>
        </w:tc>
        <w:tc>
          <w:tcPr>
            <w:tcW w:w="15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608</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54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6</w:t>
            </w:r>
          </w:p>
        </w:tc>
        <w:tc>
          <w:tcPr>
            <w:tcW w:w="15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20,014</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8,185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Current taxes payable</w:t>
            </w:r>
          </w:p>
        </w:tc>
        <w:tc>
          <w:tcPr>
            <w:tcW w:w="5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20,622</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54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23,487</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14,028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 and liabilities</w:t>
            </w:r>
          </w:p>
        </w:tc>
        <w:tc>
          <w:tcPr>
            <w:tcW w:w="54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670,563</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421,620</w:t>
            </w:r>
          </w:p>
        </w:tc>
        <w:tc>
          <w:tcPr>
            <w:tcW w:w="0" w:type="dxa"/>
            <w:vAlign w:val="bottom"/>
          </w:tcPr>
          <w:p>
            <w:pPr>
              <w:spacing w:after="0"/>
              <w:rPr>
                <w:sz w:val="1"/>
                <w:szCs w:val="1"/>
                <w:color w:val="auto"/>
              </w:rPr>
            </w:pPr>
          </w:p>
        </w:tc>
      </w:tr>
      <w:tr>
        <w:trPr>
          <w:trHeight w:val="427"/>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On behalf of the Board</w:t>
            </w:r>
          </w:p>
        </w:tc>
        <w:tc>
          <w:tcPr>
            <w:tcW w:w="5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Declan McKeon</w:t>
            </w:r>
          </w:p>
        </w:tc>
        <w:tc>
          <w:tcPr>
            <w:tcW w:w="54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Ciaran Murray</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540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0" w:type="dxa"/>
            <w:vAlign w:val="bottom"/>
          </w:tcPr>
          <w:p>
            <w:pPr>
              <w:jc w:val="right"/>
              <w:ind w:right="2675"/>
              <w:spacing w:after="0"/>
              <w:rPr>
                <w:sz w:val="20"/>
                <w:szCs w:val="20"/>
                <w:color w:val="auto"/>
              </w:rPr>
            </w:pPr>
            <w:r>
              <w:rPr>
                <w:rFonts w:ascii="Times New Roman" w:cs="Times New Roman" w:eastAsia="Times New Roman" w:hAnsi="Times New Roman"/>
                <w:sz w:val="17"/>
                <w:szCs w:val="17"/>
                <w:color w:val="auto"/>
              </w:rPr>
              <w:t>101</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color w:val="auto"/>
        </w:rPr>
        <w:t>Company Statement of Changes in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Based</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Redemption</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Premium</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Reserves</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31"/>
        </w:trPr>
        <w:tc>
          <w:tcPr>
            <w:tcW w:w="2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$’000</w:t>
            </w: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415"/>
        </w:trPr>
        <w:tc>
          <w:tcPr>
            <w:tcW w:w="20" w:type="dxa"/>
            <w:vAlign w:val="bottom"/>
          </w:tcPr>
          <w:p>
            <w:pPr>
              <w:spacing w:after="0"/>
              <w:rPr>
                <w:sz w:val="24"/>
                <w:szCs w:val="24"/>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January 2013</w:t>
            </w:r>
          </w:p>
        </w:tc>
        <w:tc>
          <w:tcPr>
            <w:tcW w:w="16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60,287,498</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5,067</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172,963</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100</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42,527</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6,071</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3,306</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177,558</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407,592</w:t>
            </w:r>
          </w:p>
        </w:tc>
      </w:tr>
      <w:tr>
        <w:trPr>
          <w:trHeight w:val="184"/>
        </w:trPr>
        <w:tc>
          <w:tcPr>
            <w:tcW w:w="20" w:type="dxa"/>
            <w:vAlign w:val="bottom"/>
          </w:tcPr>
          <w:p>
            <w:pPr>
              <w:spacing w:after="0"/>
              <w:rPr>
                <w:sz w:val="16"/>
                <w:szCs w:val="16"/>
                <w:color w:val="auto"/>
              </w:rPr>
            </w:pPr>
          </w:p>
        </w:tc>
        <w:tc>
          <w:tcPr>
            <w:tcW w:w="39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Total comprehensive income for the</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176,616</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176,616</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1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6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22,579</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22,579</w:t>
            </w:r>
          </w:p>
        </w:tc>
      </w:tr>
      <w:tr>
        <w:trPr>
          <w:trHeight w:val="41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Total other comprehensive income</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22,579</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22,579</w:t>
            </w:r>
          </w:p>
        </w:tc>
      </w:tr>
      <w:tr>
        <w:trPr>
          <w:trHeight w:val="393"/>
        </w:trPr>
        <w:tc>
          <w:tcPr>
            <w:tcW w:w="20" w:type="dxa"/>
            <w:vAlign w:val="bottom"/>
          </w:tcPr>
          <w:p>
            <w:pPr>
              <w:spacing w:after="0"/>
              <w:rPr>
                <w:sz w:val="24"/>
                <w:szCs w:val="24"/>
                <w:color w:val="auto"/>
              </w:rPr>
            </w:pPr>
          </w:p>
        </w:tc>
        <w:tc>
          <w:tcPr>
            <w:tcW w:w="39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 for the</w:t>
            </w:r>
          </w:p>
        </w:tc>
        <w:tc>
          <w:tcPr>
            <w:tcW w:w="86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w:t>
            </w:r>
          </w:p>
        </w:tc>
        <w:tc>
          <w:tcPr>
            <w:tcW w:w="16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22,579</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176,616</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199,195</w:t>
            </w:r>
          </w:p>
        </w:tc>
      </w:tr>
      <w:tr>
        <w:trPr>
          <w:trHeight w:val="184"/>
        </w:trPr>
        <w:tc>
          <w:tcPr>
            <w:tcW w:w="20" w:type="dxa"/>
            <w:vAlign w:val="bottom"/>
          </w:tcPr>
          <w:p>
            <w:pPr>
              <w:spacing w:after="0"/>
              <w:rPr>
                <w:sz w:val="16"/>
                <w:szCs w:val="16"/>
                <w:color w:val="auto"/>
              </w:rPr>
            </w:pPr>
          </w:p>
        </w:tc>
        <w:tc>
          <w:tcPr>
            <w:tcW w:w="39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Transactions with owners, recorded</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directly in equity</w:t>
            </w:r>
          </w:p>
        </w:tc>
        <w:tc>
          <w:tcPr>
            <w:tcW w:w="1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13,366</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13,366</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1,249,759</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26,888</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26,989</w:t>
            </w: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issue costs</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(70)</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Issue of restricted share units</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50,000</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w:t>
            </w:r>
          </w:p>
        </w:tc>
      </w:tr>
      <w:tr>
        <w:trPr>
          <w:trHeight w:val="188"/>
        </w:trPr>
        <w:tc>
          <w:tcPr>
            <w:tcW w:w="20" w:type="dxa"/>
            <w:vAlign w:val="bottom"/>
          </w:tcPr>
          <w:p>
            <w:pPr>
              <w:spacing w:after="0"/>
              <w:rPr>
                <w:sz w:val="16"/>
                <w:szCs w:val="16"/>
                <w:color w:val="auto"/>
              </w:rPr>
            </w:pPr>
          </w:p>
        </w:tc>
        <w:tc>
          <w:tcPr>
            <w:tcW w:w="2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Transfer of exercised and expired</w:t>
            </w:r>
          </w:p>
        </w:tc>
        <w:tc>
          <w:tcPr>
            <w:tcW w:w="1600" w:type="dxa"/>
            <w:vAlign w:val="bottom"/>
            <w:shd w:val="clear" w:color="auto" w:fill="CCEEFF"/>
          </w:tcPr>
          <w:p>
            <w:pPr>
              <w:jc w:val="right"/>
              <w:ind w:right="1155"/>
              <w:spacing w:after="0" w:line="189" w:lineRule="exact"/>
              <w:rPr>
                <w:sz w:val="20"/>
                <w:szCs w:val="20"/>
                <w:color w:val="auto"/>
              </w:rPr>
            </w:pPr>
            <w:r>
              <w:rPr>
                <w:rFonts w:ascii="Times New Roman" w:cs="Times New Roman" w:eastAsia="Times New Roman" w:hAnsi="Times New Roman"/>
                <w:sz w:val="17"/>
                <w:szCs w:val="17"/>
                <w:color w:val="auto"/>
                <w:w w:val="94"/>
              </w:rPr>
              <w:t>share</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based awards</w:t>
            </w:r>
          </w:p>
        </w:tc>
        <w:tc>
          <w:tcPr>
            <w:tcW w:w="16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(11,108)</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11,108</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393"/>
        </w:trPr>
        <w:tc>
          <w:tcPr>
            <w:tcW w:w="3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contributions by and distributions</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7"/>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owners</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1,299,759</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26,822</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2,258</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11,108</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40,289</w:t>
            </w:r>
          </w:p>
        </w:tc>
      </w:tr>
      <w:tr>
        <w:trPr>
          <w:trHeight w:val="415"/>
        </w:trPr>
        <w:tc>
          <w:tcPr>
            <w:tcW w:w="20" w:type="dxa"/>
            <w:vAlign w:val="bottom"/>
          </w:tcPr>
          <w:p>
            <w:pPr>
              <w:spacing w:after="0"/>
              <w:rPr>
                <w:sz w:val="24"/>
                <w:szCs w:val="24"/>
                <w:color w:val="auto"/>
              </w:rPr>
            </w:pPr>
          </w:p>
        </w:tc>
        <w:tc>
          <w:tcPr>
            <w:tcW w:w="2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transactions with owners</w:t>
            </w:r>
          </w:p>
        </w:tc>
        <w:tc>
          <w:tcPr>
            <w:tcW w:w="16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1,299,759</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26,822</w:t>
            </w:r>
          </w:p>
        </w:tc>
        <w:tc>
          <w:tcPr>
            <w:tcW w:w="11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2,258</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11,108</w:t>
            </w:r>
          </w:p>
        </w:tc>
        <w:tc>
          <w:tcPr>
            <w:tcW w:w="8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40,289</w:t>
            </w:r>
          </w:p>
        </w:tc>
      </w:tr>
      <w:tr>
        <w:trPr>
          <w:trHeight w:val="410"/>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at 31 December 2013</w:t>
            </w:r>
          </w:p>
        </w:tc>
        <w:tc>
          <w:tcPr>
            <w:tcW w:w="16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61,587,257</w:t>
            </w:r>
          </w:p>
        </w:tc>
        <w:tc>
          <w:tcPr>
            <w:tcW w:w="8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5,168</w:t>
            </w: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199,785</w:t>
            </w: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100</w:t>
            </w: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44,785</w:t>
            </w: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6,071</w:t>
            </w:r>
          </w:p>
        </w:tc>
        <w:tc>
          <w:tcPr>
            <w:tcW w:w="9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25,885</w:t>
            </w: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365,282</w:t>
            </w: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647,076</w:t>
            </w:r>
          </w:p>
        </w:tc>
      </w:tr>
      <w:tr>
        <w:trPr>
          <w:trHeight w:val="20"/>
        </w:trPr>
        <w:tc>
          <w:tcPr>
            <w:tcW w:w="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As permitted by section 148(8) of the Companies Act 1963, the Company has not presented a Company income statement. The profit for the 2013 financial year retained by the Company amounted to $182,632,000(2012: profit $1,034,000).</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color w:val="auto"/>
        </w:rPr>
        <w:t>Company Statement of Changes in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Based</w:t>
            </w: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Redemption</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Payment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Currency</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of shares</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Premium</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Reserves</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Reserve</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31"/>
        </w:trPr>
        <w:tc>
          <w:tcPr>
            <w:tcW w:w="2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8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$’000</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$’000</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r>
      <w:tr>
        <w:trPr>
          <w:trHeight w:val="415"/>
        </w:trPr>
        <w:tc>
          <w:tcPr>
            <w:tcW w:w="20" w:type="dxa"/>
            <w:vAlign w:val="bottom"/>
          </w:tcPr>
          <w:p>
            <w:pPr>
              <w:spacing w:after="0"/>
              <w:rPr>
                <w:sz w:val="24"/>
                <w:szCs w:val="24"/>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January 2012</w:t>
            </w:r>
          </w:p>
        </w:tc>
        <w:tc>
          <w:tcPr>
            <w:tcW w:w="16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60,135,603</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5,055</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160,090</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44</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38,170</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6,071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(7,738)</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186,461</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388,153</w:t>
            </w:r>
          </w:p>
        </w:tc>
      </w:tr>
      <w:tr>
        <w:trPr>
          <w:trHeight w:val="184"/>
        </w:trPr>
        <w:tc>
          <w:tcPr>
            <w:tcW w:w="20" w:type="dxa"/>
            <w:vAlign w:val="bottom"/>
          </w:tcPr>
          <w:p>
            <w:pPr>
              <w:spacing w:after="0"/>
              <w:rPr>
                <w:sz w:val="16"/>
                <w:szCs w:val="16"/>
                <w:color w:val="auto"/>
              </w:rPr>
            </w:pPr>
          </w:p>
        </w:tc>
        <w:tc>
          <w:tcPr>
            <w:tcW w:w="40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Total comprehensive income for the</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year</w:t>
            </w:r>
          </w:p>
        </w:tc>
        <w:tc>
          <w:tcPr>
            <w:tcW w:w="1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1,034</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1,034</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16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11,044</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11,044</w:t>
            </w:r>
          </w:p>
        </w:tc>
      </w:tr>
      <w:tr>
        <w:trPr>
          <w:trHeight w:val="41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Total other comprehensive income</w:t>
            </w: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11,044</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11,044</w:t>
            </w:r>
          </w:p>
        </w:tc>
      </w:tr>
      <w:tr>
        <w:trPr>
          <w:trHeight w:val="393"/>
        </w:trPr>
        <w:tc>
          <w:tcPr>
            <w:tcW w:w="20" w:type="dxa"/>
            <w:vAlign w:val="bottom"/>
          </w:tcPr>
          <w:p>
            <w:pPr>
              <w:spacing w:after="0"/>
              <w:rPr>
                <w:sz w:val="24"/>
                <w:szCs w:val="24"/>
                <w:color w:val="auto"/>
              </w:rPr>
            </w:pPr>
          </w:p>
        </w:tc>
        <w:tc>
          <w:tcPr>
            <w:tcW w:w="4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comprehensive income for the</w:t>
            </w:r>
          </w:p>
        </w:tc>
        <w:tc>
          <w:tcPr>
            <w:tcW w:w="8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w:t>
            </w:r>
          </w:p>
        </w:tc>
        <w:tc>
          <w:tcPr>
            <w:tcW w:w="16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11,044</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1,034</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12,078</w:t>
            </w:r>
          </w:p>
        </w:tc>
      </w:tr>
      <w:tr>
        <w:trPr>
          <w:trHeight w:val="184"/>
        </w:trPr>
        <w:tc>
          <w:tcPr>
            <w:tcW w:w="20" w:type="dxa"/>
            <w:vAlign w:val="bottom"/>
          </w:tcPr>
          <w:p>
            <w:pPr>
              <w:spacing w:after="0"/>
              <w:rPr>
                <w:sz w:val="16"/>
                <w:szCs w:val="16"/>
                <w:color w:val="auto"/>
              </w:rPr>
            </w:pPr>
          </w:p>
        </w:tc>
        <w:tc>
          <w:tcPr>
            <w:tcW w:w="40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Transactions with owners, recorded</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directly in equity</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1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10,217</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10,217</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share options</w:t>
            </w: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890,236</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68</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12,947</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13,015</w:t>
            </w: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issue costs</w:t>
            </w:r>
          </w:p>
        </w:tc>
        <w:tc>
          <w:tcPr>
            <w:tcW w:w="1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5"/>
        </w:trPr>
        <w:tc>
          <w:tcPr>
            <w:tcW w:w="2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1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(738,341)</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56</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(15,607)</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(15,607)</w:t>
            </w:r>
          </w:p>
        </w:tc>
      </w:tr>
      <w:tr>
        <w:trPr>
          <w:trHeight w:val="205"/>
        </w:trPr>
        <w:tc>
          <w:tcPr>
            <w:tcW w:w="2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repurchase costs</w:t>
            </w:r>
          </w:p>
        </w:tc>
        <w:tc>
          <w:tcPr>
            <w:tcW w:w="16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(190)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188"/>
        </w:trPr>
        <w:tc>
          <w:tcPr>
            <w:tcW w:w="20" w:type="dxa"/>
            <w:vAlign w:val="bottom"/>
          </w:tcPr>
          <w:p>
            <w:pPr>
              <w:spacing w:after="0"/>
              <w:rPr>
                <w:sz w:val="16"/>
                <w:szCs w:val="16"/>
                <w:color w:val="auto"/>
              </w:rPr>
            </w:pPr>
          </w:p>
        </w:tc>
        <w:tc>
          <w:tcPr>
            <w:tcW w:w="23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Transfer of exercised and expired</w:t>
            </w:r>
          </w:p>
        </w:tc>
        <w:tc>
          <w:tcPr>
            <w:tcW w:w="1640" w:type="dxa"/>
            <w:vAlign w:val="bottom"/>
          </w:tcPr>
          <w:p>
            <w:pPr>
              <w:jc w:val="right"/>
              <w:ind w:right="1195"/>
              <w:spacing w:after="0" w:line="189" w:lineRule="exact"/>
              <w:rPr>
                <w:sz w:val="20"/>
                <w:szCs w:val="20"/>
                <w:color w:val="auto"/>
              </w:rPr>
            </w:pPr>
            <w:r>
              <w:rPr>
                <w:rFonts w:ascii="Times New Roman" w:cs="Times New Roman" w:eastAsia="Times New Roman" w:hAnsi="Times New Roman"/>
                <w:sz w:val="17"/>
                <w:szCs w:val="17"/>
                <w:color w:val="auto"/>
                <w:w w:val="94"/>
              </w:rPr>
              <w:t>share</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based awards</w:t>
            </w: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(5,860)</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5,860</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393"/>
        </w:trPr>
        <w:tc>
          <w:tcPr>
            <w:tcW w:w="20" w:type="dxa"/>
            <w:vAlign w:val="bottom"/>
          </w:tcPr>
          <w:p>
            <w:pPr>
              <w:spacing w:after="0"/>
              <w:rPr>
                <w:sz w:val="24"/>
                <w:szCs w:val="24"/>
                <w:color w:val="auto"/>
              </w:rPr>
            </w:pPr>
          </w:p>
        </w:tc>
        <w:tc>
          <w:tcPr>
            <w:tcW w:w="4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contributions by and distributions</w:t>
            </w:r>
          </w:p>
        </w:tc>
        <w:tc>
          <w:tcPr>
            <w:tcW w:w="86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 owners</w:t>
            </w:r>
          </w:p>
        </w:tc>
        <w:tc>
          <w:tcPr>
            <w:tcW w:w="16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151,895</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w:t>
            </w: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12,873</w:t>
            </w: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56</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4,357</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(9,937)</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7,361</w:t>
            </w:r>
          </w:p>
        </w:tc>
      </w:tr>
      <w:tr>
        <w:trPr>
          <w:trHeight w:val="415"/>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transactions with owners</w:t>
            </w:r>
          </w:p>
        </w:tc>
        <w:tc>
          <w:tcPr>
            <w:tcW w:w="16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151,895</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w:t>
            </w:r>
          </w:p>
        </w:tc>
        <w:tc>
          <w:tcPr>
            <w:tcW w:w="9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12,873</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56</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4,357</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(9,937)</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7,361</w:t>
            </w:r>
          </w:p>
        </w:tc>
      </w:tr>
      <w:tr>
        <w:trPr>
          <w:trHeight w:val="450"/>
        </w:trPr>
        <w:tc>
          <w:tcPr>
            <w:tcW w:w="20" w:type="dxa"/>
            <w:vAlign w:val="bottom"/>
          </w:tcPr>
          <w:p>
            <w:pPr>
              <w:spacing w:after="0"/>
              <w:rPr>
                <w:sz w:val="24"/>
                <w:szCs w:val="24"/>
                <w:color w:val="auto"/>
              </w:rPr>
            </w:pPr>
          </w:p>
        </w:tc>
        <w:tc>
          <w:tcPr>
            <w:tcW w:w="2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31 December 2012</w:t>
            </w:r>
          </w:p>
        </w:tc>
        <w:tc>
          <w:tcPr>
            <w:tcW w:w="16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60,287,498</w:t>
            </w:r>
          </w:p>
        </w:tc>
        <w:tc>
          <w:tcPr>
            <w:tcW w:w="8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5,067</w:t>
            </w:r>
          </w:p>
        </w:tc>
        <w:tc>
          <w:tcPr>
            <w:tcW w:w="9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172,963</w:t>
            </w:r>
          </w:p>
        </w:tc>
        <w:tc>
          <w:tcPr>
            <w:tcW w:w="11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100</w:t>
            </w:r>
          </w:p>
        </w:tc>
        <w:tc>
          <w:tcPr>
            <w:tcW w:w="9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42,527</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6,071</w:t>
            </w:r>
          </w:p>
        </w:tc>
        <w:tc>
          <w:tcPr>
            <w:tcW w:w="9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3,306</w:t>
            </w:r>
          </w:p>
        </w:tc>
        <w:tc>
          <w:tcPr>
            <w:tcW w:w="9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177,558</w:t>
            </w:r>
          </w:p>
        </w:tc>
        <w:tc>
          <w:tcPr>
            <w:tcW w:w="7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407,592</w:t>
            </w:r>
          </w:p>
        </w:tc>
      </w:tr>
    </w:tbl>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As permitted by section 148(8) of the Companies Act 1963, the Company has not presented a Company income statement. The profit for the 2012 financial year retained by the Company amounted to $1,034,000 (2011: profit $68,418,000).</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color w:val="auto"/>
        </w:rPr>
        <w:t>Company Statement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5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i w:val="1"/>
                <w:iCs w:val="1"/>
                <w:color w:val="auto"/>
              </w:rPr>
              <w:t>Note</w:t>
            </w: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389"/>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Profit for the financial year</w:t>
            </w:r>
          </w:p>
        </w:tc>
        <w:tc>
          <w:tcPr>
            <w:tcW w:w="3500" w:type="dxa"/>
            <w:vAlign w:val="bottom"/>
          </w:tcPr>
          <w:p>
            <w:pPr>
              <w:spacing w:after="0"/>
              <w:rPr>
                <w:sz w:val="24"/>
                <w:szCs w:val="24"/>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176,616</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1,034</w:t>
            </w:r>
          </w:p>
        </w:tc>
        <w:tc>
          <w:tcPr>
            <w:tcW w:w="0" w:type="dxa"/>
            <w:vAlign w:val="bottom"/>
          </w:tcPr>
          <w:p>
            <w:pPr>
              <w:spacing w:after="0"/>
              <w:rPr>
                <w:sz w:val="1"/>
                <w:szCs w:val="1"/>
                <w:color w:val="auto"/>
              </w:rPr>
            </w:pPr>
          </w:p>
        </w:tc>
      </w:tr>
      <w:tr>
        <w:trPr>
          <w:trHeight w:val="205"/>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to net cash generated from</w:t>
            </w:r>
          </w:p>
        </w:tc>
        <w:tc>
          <w:tcPr>
            <w:tcW w:w="3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35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1</w:t>
            </w: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511</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Amortisation of intangible assets</w:t>
            </w:r>
          </w:p>
        </w:tc>
        <w:tc>
          <w:tcPr>
            <w:tcW w:w="3500" w:type="dxa"/>
            <w:vAlign w:val="bottom"/>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2</w:t>
            </w: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265</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5,783</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3,665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Interest on intercompany loans</w:t>
            </w:r>
          </w:p>
        </w:tc>
        <w:tc>
          <w:tcPr>
            <w:tcW w:w="3500" w:type="dxa"/>
            <w:vAlign w:val="bottom"/>
          </w:tcPr>
          <w:p>
            <w:pPr>
              <w:jc w:val="right"/>
              <w:ind w:right="415"/>
              <w:spacing w:after="0"/>
              <w:rPr>
                <w:sz w:val="20"/>
                <w:szCs w:val="20"/>
                <w:color w:val="auto"/>
              </w:rPr>
            </w:pPr>
            <w:r>
              <w:rPr>
                <w:rFonts w:ascii="Times New Roman" w:cs="Times New Roman" w:eastAsia="Times New Roman" w:hAnsi="Times New Roman"/>
                <w:sz w:val="17"/>
                <w:szCs w:val="17"/>
                <w:i w:val="1"/>
                <w:iCs w:val="1"/>
                <w:color w:val="auto"/>
              </w:rPr>
              <w:t>3</w:t>
            </w:r>
          </w:p>
        </w:tc>
        <w:tc>
          <w:tcPr>
            <w:tcW w:w="16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(695)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expense</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1,600</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cash inflow before changes in working capital</w:t>
            </w:r>
          </w:p>
        </w:tc>
        <w:tc>
          <w:tcPr>
            <w:tcW w:w="3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184,080</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4,835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other current assets</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524</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accounts payable and accrued and other liabilities</w:t>
            </w:r>
          </w:p>
        </w:tc>
        <w:tc>
          <w:tcPr>
            <w:tcW w:w="350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8,595</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 increase in income taxes payable</w:t>
            </w:r>
          </w:p>
        </w:tc>
        <w:tc>
          <w:tcPr>
            <w:tcW w:w="3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(33)</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Cash provided by operations</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193,166</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9,023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paid on Group facility</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(935)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Income taxes paid</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(2,186)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inflow from operating activities</w:t>
            </w:r>
          </w:p>
        </w:tc>
        <w:tc>
          <w:tcPr>
            <w:tcW w:w="3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190,045</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computer software</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500" w:type="dxa"/>
            <w:vAlign w:val="bottom"/>
          </w:tcPr>
          <w:p>
            <w:pPr>
              <w:spacing w:after="0"/>
              <w:rPr>
                <w:sz w:val="17"/>
                <w:szCs w:val="17"/>
                <w:color w:val="auto"/>
              </w:rPr>
            </w:pPr>
          </w:p>
        </w:tc>
        <w:tc>
          <w:tcPr>
            <w:tcW w:w="16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(385)</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investment in subsidiaries</w:t>
            </w:r>
          </w:p>
        </w:tc>
        <w:tc>
          <w:tcPr>
            <w:tcW w:w="3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(132,102)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by investing activities</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(132,737)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(Increase) / decrease in amounts due from subsidiary undertakings</w:t>
            </w:r>
          </w:p>
        </w:tc>
        <w:tc>
          <w:tcPr>
            <w:tcW w:w="3500" w:type="dxa"/>
            <w:vAlign w:val="bottom"/>
          </w:tcPr>
          <w:p>
            <w:pPr>
              <w:spacing w:after="0"/>
              <w:rPr>
                <w:sz w:val="17"/>
                <w:szCs w:val="17"/>
                <w:color w:val="auto"/>
              </w:rPr>
            </w:pPr>
          </w:p>
        </w:tc>
        <w:tc>
          <w:tcPr>
            <w:tcW w:w="16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(81,544)</w:t>
            </w: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34,575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exercise of share options</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26,993</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3500" w:type="dxa"/>
            <w:vAlign w:val="bottom"/>
          </w:tcPr>
          <w:p>
            <w:pPr>
              <w:spacing w:after="0"/>
              <w:rPr>
                <w:sz w:val="17"/>
                <w:szCs w:val="17"/>
                <w:color w:val="auto"/>
              </w:rPr>
            </w:pPr>
          </w:p>
        </w:tc>
        <w:tc>
          <w:tcPr>
            <w:tcW w:w="162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(70)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ordinary shares</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Share repurchase costs</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 provided in financing activities</w:t>
            </w:r>
          </w:p>
        </w:tc>
        <w:tc>
          <w:tcPr>
            <w:tcW w:w="35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(54,621)</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31,721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increase / (decrease) in cash and cash equivalents</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2,687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35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88</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and cash equivalents at start of year</w:t>
            </w:r>
          </w:p>
        </w:tc>
        <w:tc>
          <w:tcPr>
            <w:tcW w:w="3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1,058</w:t>
            </w: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3,729</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year</w:t>
            </w:r>
          </w:p>
        </w:tc>
        <w:tc>
          <w:tcPr>
            <w:tcW w:w="35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3,833</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500" w:type="dxa"/>
            <w:vAlign w:val="bottom"/>
          </w:tcPr>
          <w:p>
            <w:pPr>
              <w:jc w:val="right"/>
              <w:ind w:right="2675"/>
              <w:spacing w:after="0"/>
              <w:rPr>
                <w:sz w:val="20"/>
                <w:szCs w:val="20"/>
                <w:color w:val="auto"/>
              </w:rPr>
            </w:pPr>
            <w:r>
              <w:rPr>
                <w:rFonts w:ascii="Times New Roman" w:cs="Times New Roman" w:eastAsia="Times New Roman" w:hAnsi="Times New Roman"/>
                <w:sz w:val="17"/>
                <w:szCs w:val="17"/>
                <w:color w:val="auto"/>
              </w:rPr>
              <w:t>104</w:t>
            </w:r>
          </w:p>
        </w:tc>
        <w:tc>
          <w:tcPr>
            <w:tcW w:w="1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 Property, plant and equipment</w:t>
            </w:r>
          </w:p>
        </w:tc>
        <w:tc>
          <w:tcPr>
            <w:tcW w:w="3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Leasehold</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furniture &amp;</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improvements</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fixtures</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4020" w:type="dxa"/>
            <w:vAlign w:val="bottom"/>
            <w:gridSpan w:val="2"/>
            <w:vMerge w:val="continue"/>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3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806</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1,777</w:t>
            </w:r>
          </w:p>
        </w:tc>
        <w:tc>
          <w:tcPr>
            <w:tcW w:w="1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1,462</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4,045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150</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182</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53</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movement</w:t>
            </w:r>
          </w:p>
        </w:tc>
        <w:tc>
          <w:tcPr>
            <w:tcW w:w="35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24</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58</w:t>
            </w:r>
          </w:p>
        </w:tc>
        <w:tc>
          <w:tcPr>
            <w:tcW w:w="16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48</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35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980</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2,017</w:t>
            </w:r>
          </w:p>
        </w:tc>
        <w:tc>
          <w:tcPr>
            <w:tcW w:w="16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1,563</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4,560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At 1 January 2013</w:t>
            </w: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648</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1,387</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874</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Charge for the year</w:t>
            </w:r>
          </w:p>
        </w:tc>
        <w:tc>
          <w:tcPr>
            <w:tcW w:w="3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151</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204</w:t>
            </w:r>
          </w:p>
        </w:tc>
        <w:tc>
          <w:tcPr>
            <w:tcW w:w="1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156</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currency movement</w:t>
            </w:r>
          </w:p>
        </w:tc>
        <w:tc>
          <w:tcPr>
            <w:tcW w:w="3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18</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45</w:t>
            </w:r>
          </w:p>
        </w:tc>
        <w:tc>
          <w:tcPr>
            <w:tcW w:w="1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29</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3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817</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1,636</w:t>
            </w:r>
          </w:p>
        </w:tc>
        <w:tc>
          <w:tcPr>
            <w:tcW w:w="1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1,059</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3,512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35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163</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381</w:t>
            </w:r>
          </w:p>
        </w:tc>
        <w:tc>
          <w:tcPr>
            <w:tcW w:w="16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504</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1,048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35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158</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390</w:t>
            </w:r>
          </w:p>
        </w:tc>
        <w:tc>
          <w:tcPr>
            <w:tcW w:w="16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588</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1,136</w:t>
            </w: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Office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Leasehold</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furniture &amp;</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improvement</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equipment</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fixtures</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4020" w:type="dxa"/>
            <w:vAlign w:val="bottom"/>
            <w:gridSpan w:val="2"/>
            <w:vMerge w:val="continue"/>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3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630</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1,545</w:t>
            </w:r>
          </w:p>
        </w:tc>
        <w:tc>
          <w:tcPr>
            <w:tcW w:w="1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1,535</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3,710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168</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w:t>
            </w:r>
          </w:p>
        </w:tc>
        <w:tc>
          <w:tcPr>
            <w:tcW w:w="3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138</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(138)</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currency movement</w:t>
            </w:r>
          </w:p>
        </w:tc>
        <w:tc>
          <w:tcPr>
            <w:tcW w:w="3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36</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64</w:t>
            </w:r>
          </w:p>
        </w:tc>
        <w:tc>
          <w:tcPr>
            <w:tcW w:w="1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63</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3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806</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1,777</w:t>
            </w:r>
          </w:p>
        </w:tc>
        <w:tc>
          <w:tcPr>
            <w:tcW w:w="1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1,462</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4,045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Depreciation</w:t>
            </w: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3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359</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1,147</w:t>
            </w:r>
          </w:p>
        </w:tc>
        <w:tc>
          <w:tcPr>
            <w:tcW w:w="1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732</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Charge for the year</w:t>
            </w:r>
          </w:p>
        </w:tc>
        <w:tc>
          <w:tcPr>
            <w:tcW w:w="35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165</w:t>
            </w: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196</w:t>
            </w:r>
          </w:p>
        </w:tc>
        <w:tc>
          <w:tcPr>
            <w:tcW w:w="16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218</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Reclassification</w:t>
            </w:r>
          </w:p>
        </w:tc>
        <w:tc>
          <w:tcPr>
            <w:tcW w:w="3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105</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(105)</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currency movement</w:t>
            </w:r>
          </w:p>
        </w:tc>
        <w:tc>
          <w:tcPr>
            <w:tcW w:w="3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19</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44</w:t>
            </w:r>
          </w:p>
        </w:tc>
        <w:tc>
          <w:tcPr>
            <w:tcW w:w="1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29</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35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648</w:t>
            </w:r>
          </w:p>
        </w:tc>
        <w:tc>
          <w:tcPr>
            <w:tcW w:w="1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1,387</w:t>
            </w:r>
          </w:p>
        </w:tc>
        <w:tc>
          <w:tcPr>
            <w:tcW w:w="16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874</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2,909</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2012</w:t>
            </w:r>
          </w:p>
        </w:tc>
        <w:tc>
          <w:tcPr>
            <w:tcW w:w="35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158</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390</w:t>
            </w:r>
          </w:p>
        </w:tc>
        <w:tc>
          <w:tcPr>
            <w:tcW w:w="16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588</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1,136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December 2011</w:t>
            </w:r>
          </w:p>
        </w:tc>
        <w:tc>
          <w:tcPr>
            <w:tcW w:w="35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271</w:t>
            </w: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398</w:t>
            </w:r>
          </w:p>
        </w:tc>
        <w:tc>
          <w:tcPr>
            <w:tcW w:w="162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803</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00" w:type="dxa"/>
            <w:vAlign w:val="bottom"/>
          </w:tcPr>
          <w:p>
            <w:pPr>
              <w:jc w:val="right"/>
              <w:ind w:right="1595"/>
              <w:spacing w:after="0"/>
              <w:rPr>
                <w:sz w:val="20"/>
                <w:szCs w:val="20"/>
                <w:color w:val="auto"/>
              </w:rPr>
            </w:pPr>
            <w:r>
              <w:rPr>
                <w:rFonts w:ascii="Times New Roman" w:cs="Times New Roman" w:eastAsia="Times New Roman" w:hAnsi="Times New Roman"/>
                <w:sz w:val="17"/>
                <w:szCs w:val="17"/>
                <w:color w:val="auto"/>
              </w:rPr>
              <w:t>105</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2. Intangible assets</w:t>
            </w:r>
          </w:p>
        </w:tc>
        <w:tc>
          <w:tcPr>
            <w:tcW w:w="7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Computer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Software</w:t>
            </w:r>
          </w:p>
        </w:tc>
        <w:tc>
          <w:tcPr>
            <w:tcW w:w="0" w:type="dxa"/>
            <w:vAlign w:val="bottom"/>
          </w:tcPr>
          <w:p>
            <w:pPr>
              <w:spacing w:after="0"/>
              <w:rPr>
                <w:sz w:val="1"/>
                <w:szCs w:val="1"/>
                <w:color w:val="auto"/>
              </w:rPr>
            </w:pPr>
          </w:p>
        </w:tc>
      </w:tr>
      <w:tr>
        <w:trPr>
          <w:trHeight w:val="226"/>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3780" w:type="dxa"/>
            <w:vAlign w:val="bottom"/>
            <w:gridSpan w:val="2"/>
            <w:vMerge w:val="continue"/>
          </w:tcPr>
          <w:p>
            <w:pPr>
              <w:spacing w:after="0"/>
              <w:rPr>
                <w:sz w:val="17"/>
                <w:szCs w:val="17"/>
                <w:color w:val="auto"/>
              </w:rPr>
            </w:pP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7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7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415"/>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7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7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415"/>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1,396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7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Amortisation</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7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Arising during the year</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7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415"/>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7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Arising during the year</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7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415"/>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76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892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7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7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504</w:t>
            </w:r>
          </w:p>
        </w:tc>
        <w:tc>
          <w:tcPr>
            <w:tcW w:w="0" w:type="dxa"/>
            <w:vAlign w:val="bottom"/>
          </w:tcPr>
          <w:p>
            <w:pPr>
              <w:spacing w:after="0"/>
              <w:rPr>
                <w:sz w:val="1"/>
                <w:szCs w:val="1"/>
                <w:color w:val="auto"/>
              </w:rPr>
            </w:pPr>
          </w:p>
        </w:tc>
      </w:tr>
      <w:tr>
        <w:trPr>
          <w:trHeight w:val="196"/>
        </w:trPr>
        <w:tc>
          <w:tcPr>
            <w:tcW w:w="3780" w:type="dxa"/>
            <w:vAlign w:val="bottom"/>
            <w:gridSpan w:val="2"/>
          </w:tcPr>
          <w:p>
            <w:pPr>
              <w:spacing w:after="0"/>
              <w:rPr>
                <w:sz w:val="17"/>
                <w:szCs w:val="17"/>
                <w:color w:val="auto"/>
              </w:rPr>
            </w:pP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3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76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640" w:type="dxa"/>
            <w:vAlign w:val="bottom"/>
          </w:tcPr>
          <w:p>
            <w:pPr>
              <w:jc w:val="right"/>
              <w:ind w:right="5495"/>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 Investment in subsidiaries</w:t>
            </w:r>
          </w:p>
        </w:tc>
        <w:tc>
          <w:tcPr>
            <w:tcW w:w="3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Long Term</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Investment in</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Advances to</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Subsidiary</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Undertakings</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Undertakings</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Cost</w:t>
            </w: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568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January 2012</w:t>
            </w:r>
          </w:p>
        </w:tc>
        <w:tc>
          <w:tcPr>
            <w:tcW w:w="3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232,019</w:t>
            </w:r>
          </w:p>
        </w:tc>
        <w:tc>
          <w:tcPr>
            <w:tcW w:w="15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73,145</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305,164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Imputed interest on long term intercompany loans</w:t>
            </w: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2,678</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3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46,480</w:t>
            </w:r>
          </w:p>
        </w:tc>
        <w:tc>
          <w:tcPr>
            <w:tcW w:w="15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46,480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6,551</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subscription payment from subsidiary companies</w:t>
            </w:r>
          </w:p>
        </w:tc>
        <w:tc>
          <w:tcPr>
            <w:tcW w:w="3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(4,765)</w:t>
            </w:r>
          </w:p>
        </w:tc>
        <w:tc>
          <w:tcPr>
            <w:tcW w:w="15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3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5,500</w:t>
            </w:r>
          </w:p>
        </w:tc>
        <w:tc>
          <w:tcPr>
            <w:tcW w:w="15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1,375</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6,875</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December 2012</w:t>
            </w:r>
          </w:p>
        </w:tc>
        <w:tc>
          <w:tcPr>
            <w:tcW w:w="31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285,785</w:t>
            </w:r>
          </w:p>
        </w:tc>
        <w:tc>
          <w:tcPr>
            <w:tcW w:w="15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77,198</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362,983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Imputed interest on long term intercompany loans</w:t>
            </w:r>
          </w:p>
        </w:tc>
        <w:tc>
          <w:tcPr>
            <w:tcW w:w="3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695</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Additions (1)</w:t>
            </w: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278,793</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278,793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Disposals / repayments (2)</w:t>
            </w:r>
          </w:p>
        </w:tc>
        <w:tc>
          <w:tcPr>
            <w:tcW w:w="3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(90,085)</w:t>
            </w:r>
          </w:p>
        </w:tc>
        <w:tc>
          <w:tcPr>
            <w:tcW w:w="15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(43,077)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31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7,951</w:t>
            </w:r>
          </w:p>
        </w:tc>
        <w:tc>
          <w:tcPr>
            <w:tcW w:w="156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7,951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subscription payment from subsidiary companies</w:t>
            </w:r>
          </w:p>
        </w:tc>
        <w:tc>
          <w:tcPr>
            <w:tcW w:w="3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(13,529)</w:t>
            </w:r>
          </w:p>
        </w:tc>
        <w:tc>
          <w:tcPr>
            <w:tcW w:w="15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exchange movement</w:t>
            </w:r>
          </w:p>
        </w:tc>
        <w:tc>
          <w:tcPr>
            <w:tcW w:w="3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19,422</w:t>
            </w:r>
          </w:p>
        </w:tc>
        <w:tc>
          <w:tcPr>
            <w:tcW w:w="15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1,657</w:t>
            </w: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21,079</w:t>
            </w: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December 2013</w:t>
            </w:r>
          </w:p>
        </w:tc>
        <w:tc>
          <w:tcPr>
            <w:tcW w:w="31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488,337</w:t>
            </w:r>
          </w:p>
        </w:tc>
        <w:tc>
          <w:tcPr>
            <w:tcW w:w="15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36,473</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524,810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620" w:hanging="410"/>
        <w:spacing w:after="0" w:line="267" w:lineRule="auto"/>
        <w:tabs>
          <w:tab w:leader="none" w:pos="6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2013, the Company invested $81.8 million for “A” shares in ICON Holdings. In November 2013, following an internal Group restructuring, the Company made a capital contribution to ICON Holdings and ICON Clinical Research UK Limited of $42.6 million and $38.2 million respectively. The Company also made an investment in ICON Clinical International of $116.2 million.</w:t>
      </w:r>
    </w:p>
    <w:p>
      <w:pPr>
        <w:spacing w:after="0" w:line="192" w:lineRule="exact"/>
        <w:rPr>
          <w:rFonts w:ascii="Times New Roman" w:cs="Times New Roman" w:eastAsia="Times New Roman" w:hAnsi="Times New Roman"/>
          <w:sz w:val="17"/>
          <w:szCs w:val="17"/>
          <w:color w:val="auto"/>
        </w:rPr>
      </w:pPr>
    </w:p>
    <w:p>
      <w:pPr>
        <w:ind w:left="620" w:hanging="410"/>
        <w:spacing w:after="0" w:line="284" w:lineRule="auto"/>
        <w:tabs>
          <w:tab w:leader="none" w:pos="62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2013, the Company made a payment of $43.1 million in respect of long term advances. Also in December 2013, the Company redeemed shares in ICON Holdings amounting to $90.1 million.</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180" w:hanging="178"/>
        <w:spacing w:after="0"/>
        <w:tabs>
          <w:tab w:leader="none" w:pos="1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Deferred taxation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net deferred tax asset at 31 December 2013 was as follows:</w:t>
            </w:r>
          </w:p>
        </w:tc>
        <w:tc>
          <w:tcPr>
            <w:tcW w:w="5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2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52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Deferred taxation assets</w:t>
            </w:r>
          </w:p>
        </w:tc>
        <w:tc>
          <w:tcPr>
            <w:tcW w:w="52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4980" w:type="dxa"/>
            <w:vAlign w:val="bottom"/>
            <w:gridSpan w:val="2"/>
            <w:vMerge w:val="continue"/>
          </w:tcPr>
          <w:p>
            <w:pPr>
              <w:spacing w:after="0"/>
              <w:rPr>
                <w:sz w:val="17"/>
                <w:szCs w:val="17"/>
                <w:color w:val="auto"/>
              </w:rPr>
            </w:pPr>
          </w:p>
        </w:tc>
        <w:tc>
          <w:tcPr>
            <w:tcW w:w="5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5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270</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2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105</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w:t>
            </w:r>
          </w:p>
        </w:tc>
        <w:tc>
          <w:tcPr>
            <w:tcW w:w="52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Loans to subsidiaries</w:t>
            </w:r>
          </w:p>
        </w:tc>
        <w:tc>
          <w:tcPr>
            <w:tcW w:w="5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52</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assets</w:t>
            </w:r>
          </w:p>
        </w:tc>
        <w:tc>
          <w:tcPr>
            <w:tcW w:w="5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427</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taxation liabilities</w:t>
            </w:r>
          </w:p>
        </w:tc>
        <w:tc>
          <w:tcPr>
            <w:tcW w:w="5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5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deferred taxation liabilities</w:t>
            </w:r>
          </w:p>
        </w:tc>
        <w:tc>
          <w:tcPr>
            <w:tcW w:w="5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deferred taxation asset</w:t>
            </w:r>
          </w:p>
        </w:tc>
        <w:tc>
          <w:tcPr>
            <w:tcW w:w="5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395</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220" w:type="dxa"/>
            <w:vAlign w:val="bottom"/>
          </w:tcPr>
          <w:p>
            <w:pPr>
              <w:jc w:val="right"/>
              <w:ind w:right="4275"/>
              <w:spacing w:after="0"/>
              <w:rPr>
                <w:sz w:val="20"/>
                <w:szCs w:val="20"/>
                <w:color w:val="auto"/>
              </w:rPr>
            </w:pPr>
            <w:r>
              <w:rPr>
                <w:rFonts w:ascii="Times New Roman" w:cs="Times New Roman" w:eastAsia="Times New Roman" w:hAnsi="Times New Roman"/>
                <w:sz w:val="17"/>
                <w:szCs w:val="17"/>
                <w:color w:val="auto"/>
              </w:rPr>
              <w:t>107</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 Deferred taxation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movement in temporary differences during the year ended 31 December 2013 and year ended 31 December 2012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40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 January</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Recognised in</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0" w:type="dxa"/>
            <w:vAlign w:val="bottom"/>
          </w:tcPr>
          <w:p>
            <w:pPr>
              <w:spacing w:after="0"/>
              <w:rPr>
                <w:sz w:val="1"/>
                <w:szCs w:val="1"/>
                <w:color w:val="auto"/>
              </w:rPr>
            </w:pPr>
          </w:p>
        </w:tc>
      </w:tr>
      <w:tr>
        <w:trPr>
          <w:trHeight w:val="226"/>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Deferred taxation assets</w:t>
            </w: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5420" w:type="dxa"/>
            <w:vAlign w:val="bottom"/>
            <w:gridSpan w:val="2"/>
            <w:vMerge w:val="continue"/>
          </w:tcPr>
          <w:p>
            <w:pPr>
              <w:spacing w:after="0"/>
              <w:rPr>
                <w:sz w:val="17"/>
                <w:szCs w:val="17"/>
                <w:color w:val="auto"/>
              </w:rPr>
            </w:pPr>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3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77</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193</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213</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(108)</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payments</w:t>
            </w:r>
          </w:p>
        </w:tc>
        <w:tc>
          <w:tcPr>
            <w:tcW w:w="3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Loans to subsidiaries</w:t>
            </w:r>
          </w:p>
        </w:tc>
        <w:tc>
          <w:tcPr>
            <w:tcW w:w="3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142</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(90)</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assets</w:t>
            </w:r>
          </w:p>
        </w:tc>
        <w:tc>
          <w:tcPr>
            <w:tcW w:w="3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432</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(5)</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427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taxation liabilities</w:t>
            </w:r>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3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(29)</w:t>
            </w: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3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(7)</w:t>
            </w: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liabilities</w:t>
            </w:r>
          </w:p>
        </w:tc>
        <w:tc>
          <w:tcPr>
            <w:tcW w:w="3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(36)</w:t>
            </w: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deferred taxation asset</w:t>
            </w:r>
          </w:p>
        </w:tc>
        <w:tc>
          <w:tcPr>
            <w:tcW w:w="3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396</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400" w:type="dxa"/>
            <w:vAlign w:val="bottom"/>
          </w:tcPr>
          <w:p>
            <w:pPr>
              <w:spacing w:after="0"/>
              <w:rPr>
                <w:sz w:val="24"/>
                <w:szCs w:val="24"/>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 January</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Recognised in</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2012</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2012</w:t>
            </w:r>
          </w:p>
        </w:tc>
        <w:tc>
          <w:tcPr>
            <w:tcW w:w="0" w:type="dxa"/>
            <w:vAlign w:val="bottom"/>
          </w:tcPr>
          <w:p>
            <w:pPr>
              <w:spacing w:after="0"/>
              <w:rPr>
                <w:sz w:val="1"/>
                <w:szCs w:val="1"/>
                <w:color w:val="auto"/>
              </w:rPr>
            </w:pPr>
          </w:p>
        </w:tc>
      </w:tr>
      <w:tr>
        <w:trPr>
          <w:trHeight w:val="226"/>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Deferred taxation assets</w:t>
            </w: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5420" w:type="dxa"/>
            <w:vAlign w:val="bottom"/>
            <w:gridSpan w:val="2"/>
            <w:vMerge w:val="continue"/>
          </w:tcPr>
          <w:p>
            <w:pPr>
              <w:spacing w:after="0"/>
              <w:rPr>
                <w:sz w:val="17"/>
                <w:szCs w:val="17"/>
                <w:color w:val="auto"/>
              </w:rPr>
            </w:pPr>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3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181</w:t>
            </w: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(104)</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w:t>
            </w: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207</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payments</w:t>
            </w:r>
          </w:p>
        </w:tc>
        <w:tc>
          <w:tcPr>
            <w:tcW w:w="3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w:t>
            </w: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(30)</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Loans to subsidiaries</w:t>
            </w:r>
          </w:p>
        </w:tc>
        <w:tc>
          <w:tcPr>
            <w:tcW w:w="3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477</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(335)</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assets</w:t>
            </w:r>
          </w:p>
        </w:tc>
        <w:tc>
          <w:tcPr>
            <w:tcW w:w="3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694</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(262)</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taxation liabilities</w:t>
            </w:r>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3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(24)</w:t>
            </w:r>
          </w:p>
        </w:tc>
        <w:tc>
          <w:tcPr>
            <w:tcW w:w="14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Accrued expenses and payments on account</w:t>
            </w:r>
          </w:p>
        </w:tc>
        <w:tc>
          <w:tcPr>
            <w:tcW w:w="3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deferred taxation liabilities</w:t>
            </w:r>
          </w:p>
        </w:tc>
        <w:tc>
          <w:tcPr>
            <w:tcW w:w="33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(28)</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deferred taxation asset</w:t>
            </w:r>
          </w:p>
        </w:tc>
        <w:tc>
          <w:tcPr>
            <w:tcW w:w="3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666</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(270)</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At 31 December 2013 and 31 December 2012 the Company had no operating loss carry forwards for income tax purposes and there were no deferred tax assets that have not been recognised</w:t>
      </w:r>
      <w:r>
        <w:rPr>
          <w:rFonts w:ascii="Times New Roman" w:cs="Times New Roman" w:eastAsia="Times New Roman" w:hAnsi="Times New Roman"/>
          <w:sz w:val="17"/>
          <w:szCs w:val="17"/>
          <w:b w:val="1"/>
          <w:bCs w:val="1"/>
          <w:color w:val="auto"/>
        </w:rPr>
        <w: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Other current assets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2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2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62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w:t>
            </w:r>
          </w:p>
        </w:tc>
        <w:tc>
          <w:tcPr>
            <w:tcW w:w="6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1,465</w:t>
            </w: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6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1,262</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1,578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vMerge w:val="continue"/>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2,727</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6. Accrued and other liabilities</w:t>
            </w:r>
          </w:p>
        </w:tc>
        <w:tc>
          <w:tcPr>
            <w:tcW w:w="6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62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Non-current other liabilities</w:t>
            </w:r>
          </w:p>
        </w:tc>
        <w:tc>
          <w:tcPr>
            <w:tcW w:w="62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3920" w:type="dxa"/>
            <w:vAlign w:val="bottom"/>
            <w:gridSpan w:val="2"/>
            <w:vMerge w:val="continue"/>
          </w:tcPr>
          <w:p>
            <w:pPr>
              <w:spacing w:after="0"/>
              <w:rPr>
                <w:sz w:val="17"/>
                <w:szCs w:val="17"/>
                <w:color w:val="auto"/>
              </w:rPr>
            </w:pPr>
          </w:p>
        </w:tc>
        <w:tc>
          <w:tcPr>
            <w:tcW w:w="6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other liabilities</w:t>
            </w:r>
          </w:p>
        </w:tc>
        <w:tc>
          <w:tcPr>
            <w:tcW w:w="6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2,865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2,865</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Accruals and other liabilities</w:t>
            </w:r>
          </w:p>
        </w:tc>
        <w:tc>
          <w:tcPr>
            <w:tcW w:w="6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20,014</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8,185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20,014</w:t>
            </w:r>
          </w:p>
        </w:tc>
        <w:tc>
          <w:tcPr>
            <w:tcW w:w="1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6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260" w:type="dxa"/>
            <w:vAlign w:val="bottom"/>
          </w:tcPr>
          <w:p>
            <w:pPr>
              <w:jc w:val="right"/>
              <w:ind w:right="4255"/>
              <w:spacing w:after="0"/>
              <w:rPr>
                <w:sz w:val="20"/>
                <w:szCs w:val="20"/>
                <w:color w:val="auto"/>
              </w:rPr>
            </w:pPr>
            <w:r>
              <w:rPr>
                <w:rFonts w:ascii="Times New Roman" w:cs="Times New Roman" w:eastAsia="Times New Roman" w:hAnsi="Times New Roman"/>
                <w:sz w:val="17"/>
                <w:szCs w:val="17"/>
                <w:color w:val="auto"/>
              </w:rPr>
              <w:t>109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6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Related parties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 entered into the following transactions with subsidiary companies during the period:</w:t>
            </w:r>
          </w:p>
        </w:tc>
        <w:tc>
          <w:tcPr>
            <w:tcW w:w="2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2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2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Statement</w:t>
            </w:r>
          </w:p>
        </w:tc>
        <w:tc>
          <w:tcPr>
            <w:tcW w:w="2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7880" w:type="dxa"/>
            <w:vAlign w:val="bottom"/>
            <w:gridSpan w:val="2"/>
            <w:vMerge w:val="continue"/>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Expenses recharged to subsidiary companies</w:t>
            </w:r>
          </w:p>
        </w:tc>
        <w:tc>
          <w:tcPr>
            <w:tcW w:w="2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43,978</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30,060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Profit on disposal of interest in subsidiaries </w:t>
            </w:r>
            <w:r>
              <w:rPr>
                <w:rFonts w:ascii="Times New Roman" w:cs="Times New Roman" w:eastAsia="Times New Roman" w:hAnsi="Times New Roman"/>
                <w:sz w:val="17"/>
                <w:szCs w:val="17"/>
                <w:i w:val="1"/>
                <w:iCs w:val="1"/>
                <w:color w:val="auto"/>
              </w:rPr>
              <w:t>(a)</w:t>
            </w:r>
          </w:p>
        </w:tc>
        <w:tc>
          <w:tcPr>
            <w:tcW w:w="2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179,545</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Imputed interest on loans charged to subsidiary companies</w:t>
            </w:r>
          </w:p>
        </w:tc>
        <w:tc>
          <w:tcPr>
            <w:tcW w:w="2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695</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2,678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224,218</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32,728</w:t>
            </w:r>
          </w:p>
        </w:tc>
        <w:tc>
          <w:tcPr>
            <w:tcW w:w="0" w:type="dxa"/>
            <w:vAlign w:val="bottom"/>
          </w:tcPr>
          <w:p>
            <w:pPr>
              <w:spacing w:after="0"/>
              <w:rPr>
                <w:sz w:val="1"/>
                <w:szCs w:val="1"/>
                <w:color w:val="auto"/>
              </w:rPr>
            </w:pPr>
          </w:p>
        </w:tc>
      </w:tr>
      <w:tr>
        <w:trPr>
          <w:trHeight w:val="657"/>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 Statement</w:t>
            </w: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intercompany debtors and investments</w:t>
            </w:r>
          </w:p>
        </w:tc>
        <w:tc>
          <w:tcPr>
            <w:tcW w:w="2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(213,646)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7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3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(213,646)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20" w:hanging="410"/>
        <w:spacing w:after="0" w:line="284" w:lineRule="auto"/>
        <w:tabs>
          <w:tab w:leader="none" w:pos="620"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 May 2013, the Company disposed of its interest in ICON Germany resulting in a profit on disposal of $58.5 million. In November 2013, following an internal Group restructuring, the Company disposed of it’s interest in ICON Clinical Research UK Limited resulting in a profit of $121.0 million.</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Directors and Executive Officers of the Parent Company are the same as those for the Group. For information on transactions with Directors and Executive Officers see note 29 to the Group financial statements, and for information on Directors’ remuneration see note 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several non-cancelable operating leases that expire over the next 5 years. These leases generally contain renewal options and require the Company to pay all executory costs such as maintenance and insurance. The Company recognised $3.2 million and $3.4 million in rental expense (including rates) for the years ended December 31, 2013 and December 31, 2012 respectively. Future minimum rental commitments for operating leases with non-cancelable terms in excess of one year are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Minimum rental</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2014</w:t>
            </w:r>
          </w:p>
        </w:tc>
        <w:tc>
          <w:tcPr>
            <w:tcW w:w="6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2015</w:t>
            </w:r>
          </w:p>
        </w:tc>
        <w:tc>
          <w:tcPr>
            <w:tcW w:w="6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w:t>
            </w:r>
          </w:p>
        </w:tc>
        <w:tc>
          <w:tcPr>
            <w:tcW w:w="6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7"/>
                <w:szCs w:val="17"/>
                <w:color w:val="auto"/>
              </w:rPr>
              <w:t>2017</w:t>
            </w:r>
          </w:p>
        </w:tc>
        <w:tc>
          <w:tcPr>
            <w:tcW w:w="6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w:t>
            </w:r>
          </w:p>
        </w:tc>
        <w:tc>
          <w:tcPr>
            <w:tcW w:w="6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18"/>
                <w:szCs w:val="18"/>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6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vMerge w:val="restart"/>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40" w:type="dxa"/>
            <w:vAlign w:val="bottom"/>
            <w:vMerge w:val="continue"/>
          </w:tcPr>
          <w:p>
            <w:pPr>
              <w:spacing w:after="0"/>
              <w:rPr>
                <w:sz w:val="17"/>
                <w:szCs w:val="17"/>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6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11,107</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140" w:type="dxa"/>
            <w:vAlign w:val="bottom"/>
          </w:tcPr>
          <w:p>
            <w:pPr>
              <w:jc w:val="right"/>
              <w:ind w:right="4075"/>
              <w:spacing w:after="0"/>
              <w:rPr>
                <w:sz w:val="20"/>
                <w:szCs w:val="20"/>
                <w:color w:val="auto"/>
              </w:rPr>
            </w:pPr>
            <w:r>
              <w:rPr>
                <w:rFonts w:ascii="Times New Roman" w:cs="Times New Roman" w:eastAsia="Times New Roman" w:hAnsi="Times New Roman"/>
                <w:sz w:val="17"/>
                <w:szCs w:val="17"/>
                <w:color w:val="auto"/>
              </w:rPr>
              <w:t>110</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4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61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Litigation</w:t>
      </w:r>
    </w:p>
    <w:p>
      <w:pPr>
        <w:spacing w:after="0" w:line="2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Financial instruments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risk</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Credit risk is the risk of financial loss to the Company if a customer or counterparty to a financial instrument fails to meet its contractual obligations. Credit risk in respect of the Company arises on balances due from group companies, and as the group is financially sound and the subsidiary entities that ICON Plc the company trades with are in a position to make payments as and when they fall due, the Company has assessed the exposure to credit risk as 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risk</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Liquidity risk is the risk that the Company will not be able to meet its financial obligations as they fall due. The Company’s liquidity risk arises from the repayment of short term debt and other obligations as they fall due. The Company minimises liquidity risk by ensuring that sufficient cash balances and committed bank lines of credit are available to meet its obligations as they fall due. The Company’s bank credit lines and facilities are the same as Group. Details of the Group’s bank credit lines and facilities are set out in note 22.</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following table sets out details of the maturity of the Company’s financial liabilities into the relevant maturity groupings based on the remaining period from the financial year end date to the contractual maturity date: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At 31 December 2013</w:t>
            </w:r>
          </w:p>
        </w:tc>
        <w:tc>
          <w:tcPr>
            <w:tcW w:w="1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66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6 to12</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1 to 2</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 to 5</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More than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Cashflows</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6 mths or less</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mths</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 years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(608)</w:t>
            </w: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(608)</w:t>
            </w:r>
          </w:p>
        </w:tc>
        <w:tc>
          <w:tcPr>
            <w:tcW w:w="16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(608)</w:t>
            </w:r>
          </w:p>
        </w:tc>
        <w:tc>
          <w:tcPr>
            <w:tcW w:w="13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Accruals and other</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(20,014)</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(20,014)</w:t>
            </w:r>
          </w:p>
        </w:tc>
        <w:tc>
          <w:tcPr>
            <w:tcW w:w="1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(20,014)</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Non-current other</w:t>
            </w:r>
          </w:p>
        </w:tc>
        <w:tc>
          <w:tcPr>
            <w:tcW w:w="1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(2,865)</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(2,865)</w:t>
            </w:r>
          </w:p>
        </w:tc>
        <w:tc>
          <w:tcPr>
            <w:tcW w:w="166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(2,865)</w:t>
            </w:r>
          </w:p>
        </w:tc>
        <w:tc>
          <w:tcPr>
            <w:tcW w:w="11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(23,487)</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(23,487)</w:t>
            </w:r>
          </w:p>
        </w:tc>
        <w:tc>
          <w:tcPr>
            <w:tcW w:w="16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(20,622)</w:t>
            </w:r>
          </w:p>
        </w:tc>
        <w:tc>
          <w:tcPr>
            <w:tcW w:w="13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(2,865)</w:t>
            </w:r>
          </w:p>
        </w:tc>
        <w:tc>
          <w:tcPr>
            <w:tcW w:w="11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658"/>
        </w:trPr>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At 31 December 2012</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66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6 to12</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1 to 2</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 to 5</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More than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Cashflows</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6 mths or less</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mths</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 years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(454)</w:t>
            </w: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(454)</w:t>
            </w:r>
          </w:p>
        </w:tc>
        <w:tc>
          <w:tcPr>
            <w:tcW w:w="16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rPr>
              <w:t>(454)</w:t>
            </w:r>
          </w:p>
        </w:tc>
        <w:tc>
          <w:tcPr>
            <w:tcW w:w="13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Accruals and other</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(8,185)</w:t>
            </w:r>
          </w:p>
        </w:tc>
        <w:tc>
          <w:tcPr>
            <w:tcW w:w="1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(8,185)</w:t>
            </w:r>
          </w:p>
        </w:tc>
        <w:tc>
          <w:tcPr>
            <w:tcW w:w="166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(8,185)</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Non-current other</w:t>
            </w:r>
          </w:p>
        </w:tc>
        <w:tc>
          <w:tcPr>
            <w:tcW w:w="1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(4,967)</w:t>
            </w:r>
          </w:p>
        </w:tc>
        <w:tc>
          <w:tcPr>
            <w:tcW w:w="1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(4,967)</w:t>
            </w:r>
          </w:p>
        </w:tc>
        <w:tc>
          <w:tcPr>
            <w:tcW w:w="16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(2,484)</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(2,483)</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9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(13,606)</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(13,606)</w:t>
            </w:r>
          </w:p>
        </w:tc>
        <w:tc>
          <w:tcPr>
            <w:tcW w:w="166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(8,639)</w:t>
            </w:r>
          </w:p>
        </w:tc>
        <w:tc>
          <w:tcPr>
            <w:tcW w:w="13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w:t>
            </w:r>
          </w:p>
        </w:tc>
        <w:tc>
          <w:tcPr>
            <w:tcW w:w="140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(2,484)</w:t>
            </w:r>
          </w:p>
        </w:tc>
        <w:tc>
          <w:tcPr>
            <w:tcW w:w="11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(2,483)</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6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rPr>
              <w:t>111</w:t>
            </w: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Notes to Company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10. Financial instruments </w:t>
      </w:r>
      <w:r>
        <w:rPr>
          <w:rFonts w:ascii="Times New Roman" w:cs="Times New Roman" w:eastAsia="Times New Roman" w:hAnsi="Times New Roman"/>
          <w:sz w:val="17"/>
          <w:szCs w:val="17"/>
          <w:b w:val="1"/>
          <w:bCs w:val="1"/>
          <w:i w:val="1"/>
          <w:iCs w:val="1"/>
          <w:color w:val="auto"/>
        </w:rPr>
        <w:t>(continued)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While the functional currency of the Company is Euro, the Company reports its results in U.S. dollars. As a consequence, the results, when translated into U.S. dollars, could be affected by fluctuations in exchange rates against the U.S. dollar. At 31 December 2013 (2012: $nil) the Company had $nil US dollar denominated bank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 At 31 December 2013, the Company did not have any borrowings drawn down.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Financial instruments are measured in the statement of financial position at fair value using a fair value hierarchy of valuation inputs. The hierarchy prioritises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19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Inputs are based upon unadjusted quoted prices for identical instruments traded in active markets.</w:t>
      </w:r>
    </w:p>
    <w:p>
      <w:pPr>
        <w:spacing w:after="0" w:line="214" w:lineRule="exact"/>
        <w:rPr>
          <w:sz w:val="20"/>
          <w:szCs w:val="20"/>
          <w:color w:val="auto"/>
        </w:rPr>
      </w:pPr>
    </w:p>
    <w:p>
      <w:pPr>
        <w:ind w:left="1240" w:right="200" w:hanging="1241"/>
        <w:spacing w:after="0" w:line="267" w:lineRule="auto"/>
        <w:tabs>
          <w:tab w:leader="none" w:pos="12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67" w:lineRule="exact"/>
        <w:rPr>
          <w:sz w:val="20"/>
          <w:szCs w:val="20"/>
          <w:color w:val="auto"/>
        </w:rPr>
      </w:pPr>
    </w:p>
    <w:p>
      <w:pPr>
        <w:ind w:left="1240" w:right="340" w:hanging="1241"/>
        <w:spacing w:after="0" w:line="284" w:lineRule="auto"/>
        <w:tabs>
          <w:tab w:leader="none" w:pos="12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Inputs are generally unobservable and typically reflect management’s estimates of assumptions that market participants would use in pricing the asset or liability.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color w:val="auto"/>
        </w:rPr>
        <w:t xml:space="preserve">Notes to Company Financial Statements </w:t>
      </w:r>
      <w:r>
        <w:rPr>
          <w:rFonts w:ascii="Times New Roman" w:cs="Times New Roman" w:eastAsia="Times New Roman" w:hAnsi="Times New Roman"/>
          <w:sz w:val="17"/>
          <w:szCs w:val="17"/>
          <w:i w:val="1"/>
          <w:iCs w:val="1"/>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31 December 2013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10. Financial instruments </w:t>
      </w:r>
      <w:r>
        <w:rPr>
          <w:rFonts w:ascii="Times New Roman" w:cs="Times New Roman" w:eastAsia="Times New Roman" w:hAnsi="Times New Roman"/>
          <w:sz w:val="17"/>
          <w:szCs w:val="17"/>
          <w:b w:val="1"/>
          <w:bCs w:val="1"/>
          <w:i w:val="1"/>
          <w:iCs w:val="1"/>
          <w:color w:val="auto"/>
        </w:rPr>
        <w:t>(continued)</w:t>
      </w:r>
    </w:p>
    <w:p>
      <w:pPr>
        <w:spacing w:after="0" w:line="24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together with the carrying amounts, which are shown in the Statement of Financial Position,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2012</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Carrying</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Fair</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Carrying</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Amount</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38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3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$’000</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$’000</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to/from subsidiaries</w:t>
            </w:r>
          </w:p>
        </w:tc>
        <w:tc>
          <w:tcPr>
            <w:tcW w:w="3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36,473</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36,473</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77,198</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77,198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20" w:type="dxa"/>
            <w:vAlign w:val="bottom"/>
            <w:tcBorders>
              <w:bottom w:val="single" w:sz="8" w:color="auto"/>
            </w:tcBorders>
            <w:shd w:val="clear" w:color="auto" w:fill="CCEEFF"/>
          </w:tcPr>
          <w:p>
            <w:pPr>
              <w:spacing w:after="0"/>
              <w:rPr>
                <w:sz w:val="21"/>
                <w:szCs w:val="21"/>
                <w:color w:val="auto"/>
              </w:rPr>
            </w:pPr>
          </w:p>
        </w:tc>
        <w:tc>
          <w:tcPr>
            <w:tcW w:w="3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36,473</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36,473</w:t>
            </w: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77,198</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77,198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carrying values of amounts due from subsidiary undertakings, cash and cash equivalents, other current assets, accounts payable and accruals and other liabilities are carried at amortised cost and assumed to be approximate to their fair values due to the short term nature of these balances.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fair value of loans to/from subsidiaries for disclosure purposes is calculated based on the present value of future principal and interest cash flows, discounted at the market rate of interest at the reporting date. They are measured on the basis of level three inputs.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Each category of asset and liability has remained within the same level of hierarchy as the prior year as there has been no change in the extent to which the inputs used in measuring fair value are or are not observable within the market.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Approval of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approved the Company financial statements on 29 April 2014.</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Reconciliation from IFRS to US Accounting Policies</w:t>
      </w:r>
    </w:p>
    <w:p>
      <w:pPr>
        <w:spacing w:after="0" w:line="200" w:lineRule="exact"/>
        <w:rPr>
          <w:sz w:val="20"/>
          <w:szCs w:val="20"/>
          <w:color w:val="auto"/>
        </w:rPr>
      </w:pPr>
    </w:p>
    <w:p>
      <w:pPr>
        <w:spacing w:after="0" w:line="2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financial statements of the Group set out on pages 12 to 100 have been prepared in accordance with International Financial Reporting Standards (“IFRS”), as adopted by the European Union (“EU IFRS”), which differ in certain significant respects from generally accepted accounting principles applicable in the U.S. (“U.S. GAAP”). The material differences as they apply to the Group’s financial statements are as follows:</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(a)</w:t>
        <w:tab/>
        <w:t>Financial statement format</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format of the financial statements and certain note disclosures differ under U.S. GAAP from those under EU IFRS. The Group prepared a U.S. Securities and Exchange Commission Form 20-F Report which was made available to all shareholders in March 2014. The financial statements included in such Form 20-F are prepared in accordance with U.S. GAAP.</w:t>
      </w:r>
    </w:p>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(b)</w:t>
        <w:tab/>
        <w:t>Merger with PRAI</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Group accounts for business combinations under EU IFRS in accordance with the IFRS 3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As permitted by IFRS 1 </w:t>
      </w:r>
      <w:r>
        <w:rPr>
          <w:rFonts w:ascii="Times New Roman" w:cs="Times New Roman" w:eastAsia="Times New Roman" w:hAnsi="Times New Roman"/>
          <w:sz w:val="17"/>
          <w:szCs w:val="17"/>
          <w:i w:val="1"/>
          <w:iCs w:val="1"/>
          <w:color w:val="auto"/>
        </w:rPr>
        <w:t>First Time Adoption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International Financial Reporting Standards </w:t>
      </w:r>
      <w:r>
        <w:rPr>
          <w:rFonts w:ascii="Times New Roman" w:cs="Times New Roman" w:eastAsia="Times New Roman" w:hAnsi="Times New Roman"/>
          <w:sz w:val="17"/>
          <w:szCs w:val="17"/>
          <w:color w:val="auto"/>
        </w:rPr>
        <w:t>the Group has only restated business combinations from 1 June 2001 onwards. Business combinations prior to this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not 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Group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206" w:lineRule="exact"/>
        <w:rPr>
          <w:sz w:val="20"/>
          <w:szCs w:val="20"/>
          <w:color w:val="auto"/>
        </w:rPr>
      </w:pPr>
    </w:p>
    <w:p>
      <w:pPr>
        <w:ind w:left="360" w:hanging="358"/>
        <w:spacing w:after="0"/>
        <w:tabs>
          <w:tab w:leader="none" w:pos="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historic US GAAP financial statements have been restated to reflect the combined results of ICON and PRAI;</w:t>
      </w:r>
    </w:p>
    <w:p>
      <w:pPr>
        <w:spacing w:after="0" w:line="26" w:lineRule="exact"/>
        <w:rPr>
          <w:rFonts w:ascii="Times New Roman" w:cs="Times New Roman" w:eastAsia="Times New Roman" w:hAnsi="Times New Roman"/>
          <w:sz w:val="17"/>
          <w:szCs w:val="17"/>
          <w:color w:val="auto"/>
        </w:rPr>
      </w:pPr>
    </w:p>
    <w:p>
      <w:pPr>
        <w:ind w:left="360" w:hanging="358"/>
        <w:spacing w:after="0"/>
        <w:tabs>
          <w:tab w:leader="none" w:pos="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the merger were expensed for U.S. GAAP purposes and included in the cost of acquisition for IFRS;</w:t>
      </w:r>
    </w:p>
    <w:p>
      <w:pPr>
        <w:spacing w:after="0" w:line="9" w:lineRule="exact"/>
        <w:rPr>
          <w:rFonts w:ascii="Times New Roman" w:cs="Times New Roman" w:eastAsia="Times New Roman" w:hAnsi="Times New Roman"/>
          <w:sz w:val="17"/>
          <w:szCs w:val="17"/>
          <w:color w:val="auto"/>
        </w:rPr>
      </w:pPr>
    </w:p>
    <w:p>
      <w:pPr>
        <w:ind w:left="360" w:hanging="358"/>
        <w:spacing w:after="0"/>
        <w:tabs>
          <w:tab w:leader="none" w:pos="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goodwill arising on IFRS has been amortised over its expected useful life up to 31 May 2001. No goodwill arose on the merger under U.S. GAAP;</w:t>
      </w:r>
    </w:p>
    <w:p>
      <w:pPr>
        <w:spacing w:after="0" w:line="9" w:lineRule="exact"/>
        <w:rPr>
          <w:rFonts w:ascii="Times New Roman" w:cs="Times New Roman" w:eastAsia="Times New Roman" w:hAnsi="Times New Roman"/>
          <w:sz w:val="17"/>
          <w:szCs w:val="17"/>
          <w:color w:val="auto"/>
        </w:rPr>
      </w:pPr>
    </w:p>
    <w:p>
      <w:pPr>
        <w:ind w:left="360" w:hanging="358"/>
        <w:spacing w:after="0"/>
        <w:tabs>
          <w:tab w:leader="none" w:pos="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charge arising on the conversion of PRAI from an S-Corporation to a C-Corporation is treated as a pre acquisition charge under IFRS.</w:t>
      </w: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(c)</w:t>
        <w:tab/>
        <w:t>Share based payment expense</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IFRS requires that the fair value of share based payments be expensed to the income statement over the period the related services are received, with a corresponding increase in equity. In the year ending 31 December 2013, the Group has accounted for share based payments under U.S. GAAP in accordance with </w:t>
      </w:r>
      <w:r>
        <w:rPr>
          <w:rFonts w:ascii="Times New Roman" w:cs="Times New Roman" w:eastAsia="Times New Roman" w:hAnsi="Times New Roman"/>
          <w:sz w:val="17"/>
          <w:szCs w:val="17"/>
          <w:i w:val="1"/>
          <w:iCs w:val="1"/>
          <w:color w:val="auto"/>
        </w:rPr>
        <w:t>FASB ASC 718,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which also requires that the fair value of share based payments be expensed to the income statement over the period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are received, with a corresponding increase in equity. There is a difference in recorded expense because firstly different periods are in scope for both treatments due to the different effective dates under both standards and secondly due to different models used to calculate the fair value of options. Under US GAAP the Black-Scholes model was used for the calculation of the expense whereas under IFRS this model is not the preferred model to be used and as such the binomial model is used.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 xml:space="preserve">Reconciliation from IFRS to US Accounting Principles </w:t>
      </w:r>
      <w:r>
        <w:rPr>
          <w:rFonts w:ascii="Times New Roman" w:cs="Times New Roman" w:eastAsia="Times New Roman" w:hAnsi="Times New Roman"/>
          <w:sz w:val="17"/>
          <w:szCs w:val="17"/>
          <w:i w:val="1"/>
          <w:iCs w:val="1"/>
          <w:color w:val="auto"/>
        </w:rPr>
        <w:t>(continued)</w:t>
      </w:r>
    </w:p>
    <w:p>
      <w:pPr>
        <w:spacing w:after="0" w:line="200" w:lineRule="exact"/>
        <w:rPr>
          <w:sz w:val="20"/>
          <w:szCs w:val="20"/>
          <w:color w:val="auto"/>
        </w:rPr>
      </w:pPr>
    </w:p>
    <w:p>
      <w:pPr>
        <w:spacing w:after="0" w:line="21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(d)</w:t>
        <w:tab/>
        <w:t>Deferred tax assets</w:t>
      </w:r>
    </w:p>
    <w:p>
      <w:pPr>
        <w:spacing w:after="0" w:line="2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IFRS requires that the fair value of share based payments, including share options issued to employees, is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Under US GAAP, FASB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the Group has recognised a deferred tax asset for the cumulative amount of compensation cost recognised in the financial statements for options that will result in a future tax deduction. A similar deferred tax asset is also recognised under IFRS for options that will result in a future tax deduction, however, under IAS 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if the tax deduction available in future periods is not known at the end of the period it is estimated based on information available at the end of the period. As the tax deduction is dependent upon the Group’s share price at the exercise date, the measurement of the deductible temporary difference is based on the Group’s share price at the end of the period. Where the amount of the estimated future tax deduction exceeds the amount of the related cumulative remuneration expense, the deferred tax associated with the excess is recognised directly in equity.</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(e)</w:t>
        <w:tab/>
        <w:t>Forward-looking statements</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the extent any statements made in this annual report deal with information that is not historical, these statements are necessarily forward-looking. Because forward-looking statements relate to the future, they are subject to inherent uncertainties, risks and changes in circumstances that are difficult to predict and many of which are outside of the Group’s control. Any forward-looking statement made by the Group is based only on information currently available as at the time of publication of this report. Forward-looking statements are subject to the occurrence of many events outside of the Group’s control and are subject to various risk factors that would cause our results to differ materially from those expressed in any forward-looking statement. These risk factors described in Appendix A on pages 118 to 126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195" w:lineRule="exact"/>
        <w:rPr>
          <w:sz w:val="20"/>
          <w:szCs w:val="20"/>
          <w:color w:val="auto"/>
        </w:rPr>
      </w:pPr>
    </w:p>
    <w:p>
      <w:pPr>
        <w:ind w:left="360" w:hanging="358"/>
        <w:spacing w:after="0"/>
        <w:tabs>
          <w:tab w:leader="none" w:pos="36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IAS 19R Defined Benefit Pensions</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main impact of the adoption of IAS 19R on the financial results of the Group is in the calculation of finance income and charges in respect of post-employment benefit obligations. The Group has recognised the net interest expense of the defined benefit pension scheme within the payroll costs (operating expenses) in the income statement under IAS19R which is in line with US GAAP treatment of this cost.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 xml:space="preserve">Reconciliation from IFRS to US Accounting Principles </w:t>
      </w:r>
      <w:r>
        <w:rPr>
          <w:rFonts w:ascii="Times New Roman" w:cs="Times New Roman" w:eastAsia="Times New Roman" w:hAnsi="Times New Roman"/>
          <w:sz w:val="17"/>
          <w:szCs w:val="17"/>
          <w:i w:val="1"/>
          <w:iCs w:val="1"/>
          <w:color w:val="auto"/>
        </w:rPr>
        <w:t>(continued)</w:t>
      </w:r>
    </w:p>
    <w:p>
      <w:pPr>
        <w:spacing w:after="0" w:line="200" w:lineRule="exact"/>
        <w:rPr>
          <w:sz w:val="20"/>
          <w:szCs w:val="20"/>
          <w:color w:val="auto"/>
        </w:rPr>
      </w:pPr>
    </w:p>
    <w:p>
      <w:pPr>
        <w:spacing w:after="0" w:line="27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7"/>
          <w:szCs w:val="17"/>
          <w:color w:val="auto"/>
        </w:rPr>
        <w:t>The following is a summary of the material adjustments to profit for the financial year and shareholders’ equity, which would be required, had the financial statements been prepared in accordance with U.S. GAAP.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i w:val="1"/>
                <w:iCs w:val="1"/>
                <w:color w:val="auto"/>
              </w:rPr>
              <w:t>Effect on profit for the financial year</w:t>
            </w:r>
          </w:p>
        </w:tc>
        <w:tc>
          <w:tcPr>
            <w:tcW w:w="47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740" w:type="dxa"/>
            <w:vAlign w:val="bottom"/>
            <w:vMerge w:val="restart"/>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Restated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Year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Profit for the financial year attributable to equity holders as stated under IFRS</w:t>
            </w:r>
          </w:p>
        </w:tc>
        <w:tc>
          <w:tcPr>
            <w:tcW w:w="4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107,058</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58,124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US GAAP adjustments</w:t>
            </w:r>
          </w:p>
        </w:tc>
        <w:tc>
          <w:tcPr>
            <w:tcW w:w="4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Share based payment expense under IFRS</w:t>
            </w: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13,734</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10,217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based payment expense under U.S. GAAP</w:t>
            </w:r>
          </w:p>
        </w:tc>
        <w:tc>
          <w:tcPr>
            <w:tcW w:w="47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(14,220)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adjustments on share based payments</w:t>
            </w:r>
          </w:p>
        </w:tc>
        <w:tc>
          <w:tcPr>
            <w:tcW w:w="47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(3,819)</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costs defined benefit pension scheme</w:t>
            </w:r>
          </w:p>
        </w:tc>
        <w:tc>
          <w:tcPr>
            <w:tcW w:w="4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as stated under U.S. GAAP</w:t>
            </w:r>
          </w:p>
        </w:tc>
        <w:tc>
          <w:tcPr>
            <w:tcW w:w="4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102,812</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55,420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Basic earnings per Ordinary Share under U.S. GAAP</w:t>
            </w:r>
          </w:p>
        </w:tc>
        <w:tc>
          <w:tcPr>
            <w:tcW w:w="4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$1.69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$0.92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Diluted earnings per Ordinary Share under U.S. GAAP</w:t>
            </w:r>
          </w:p>
        </w:tc>
        <w:tc>
          <w:tcPr>
            <w:tcW w:w="4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$1.65</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$0.92</w:t>
            </w:r>
          </w:p>
        </w:tc>
        <w:tc>
          <w:tcPr>
            <w:tcW w:w="0" w:type="dxa"/>
            <w:vAlign w:val="bottom"/>
          </w:tcPr>
          <w:p>
            <w:pPr>
              <w:spacing w:after="0"/>
              <w:rPr>
                <w:sz w:val="1"/>
                <w:szCs w:val="1"/>
                <w:color w:val="auto"/>
              </w:rPr>
            </w:pPr>
          </w:p>
        </w:tc>
      </w:tr>
      <w:tr>
        <w:trPr>
          <w:trHeight w:val="658"/>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i w:val="1"/>
                <w:iCs w:val="1"/>
                <w:color w:val="auto"/>
              </w:rPr>
              <w:t>Effect on shareholders’ equity</w:t>
            </w:r>
          </w:p>
        </w:tc>
        <w:tc>
          <w:tcPr>
            <w:tcW w:w="4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474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 as stated under IFRS</w:t>
            </w:r>
          </w:p>
        </w:tc>
        <w:tc>
          <w:tcPr>
            <w:tcW w:w="4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929,550</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766,441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US GAAP adjustments</w:t>
            </w:r>
          </w:p>
        </w:tc>
        <w:tc>
          <w:tcPr>
            <w:tcW w:w="4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Goodwill arising on merger with PRAI</w:t>
            </w:r>
          </w:p>
        </w:tc>
        <w:tc>
          <w:tcPr>
            <w:tcW w:w="47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(15,010)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Amortisation of goodwill arising on merger with PRAI</w:t>
            </w:r>
          </w:p>
        </w:tc>
        <w:tc>
          <w:tcPr>
            <w:tcW w:w="47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1,001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adjustments on share based payments</w:t>
            </w:r>
          </w:p>
        </w:tc>
        <w:tc>
          <w:tcPr>
            <w:tcW w:w="47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(4,992)</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 on share based payments</w:t>
            </w:r>
          </w:p>
        </w:tc>
        <w:tc>
          <w:tcPr>
            <w:tcW w:w="4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30</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Shareholders’ equity as stated under U.S. GAAP</w:t>
            </w:r>
          </w:p>
        </w:tc>
        <w:tc>
          <w:tcPr>
            <w:tcW w:w="47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910,579</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754,575</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740" w:type="dxa"/>
            <w:vAlign w:val="bottom"/>
          </w:tcPr>
          <w:p>
            <w:pPr>
              <w:jc w:val="right"/>
              <w:ind w:right="4275"/>
              <w:spacing w:after="0"/>
              <w:rPr>
                <w:sz w:val="20"/>
                <w:szCs w:val="20"/>
                <w:color w:val="auto"/>
              </w:rPr>
            </w:pPr>
            <w:r>
              <w:rPr>
                <w:rFonts w:ascii="Times New Roman" w:cs="Times New Roman" w:eastAsia="Times New Roman" w:hAnsi="Times New Roman"/>
                <w:sz w:val="17"/>
                <w:szCs w:val="17"/>
                <w:color w:val="auto"/>
              </w:rPr>
              <w:t>116</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44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26"/>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Reconciliation from IFRS to US Accounting Principles </w:t>
            </w:r>
            <w:r>
              <w:rPr>
                <w:rFonts w:ascii="Times New Roman" w:cs="Times New Roman" w:eastAsia="Times New Roman" w:hAnsi="Times New Roman"/>
                <w:sz w:val="17"/>
                <w:szCs w:val="17"/>
                <w:i w:val="1"/>
                <w:iCs w:val="1"/>
                <w:color w:val="auto"/>
              </w:rPr>
              <w:t>(continued)</w:t>
            </w:r>
          </w:p>
        </w:tc>
        <w:tc>
          <w:tcPr>
            <w:tcW w:w="5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(iii) </w:t>
            </w:r>
            <w:r>
              <w:rPr>
                <w:rFonts w:ascii="Times New Roman" w:cs="Times New Roman" w:eastAsia="Times New Roman" w:hAnsi="Times New Roman"/>
                <w:sz w:val="17"/>
                <w:szCs w:val="17"/>
                <w:i w:val="1"/>
                <w:iCs w:val="1"/>
                <w:color w:val="auto"/>
              </w:rPr>
              <w:t>Effect on total assets</w:t>
            </w:r>
          </w:p>
        </w:tc>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as stated under IFRS</w:t>
            </w:r>
          </w:p>
        </w:tc>
        <w:tc>
          <w:tcPr>
            <w:tcW w:w="5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1,450,741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1,205,173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US GAAP adjustments</w:t>
            </w:r>
          </w:p>
        </w:tc>
        <w:tc>
          <w:tcPr>
            <w:tcW w:w="5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Goodwill arising on merger with PRAI</w:t>
            </w:r>
          </w:p>
        </w:tc>
        <w:tc>
          <w:tcPr>
            <w:tcW w:w="51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(15,010)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Amortisation of goodwill arising on merger with PRAI</w:t>
            </w:r>
          </w:p>
        </w:tc>
        <w:tc>
          <w:tcPr>
            <w:tcW w:w="5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1,001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adjustments on share based payments</w:t>
            </w:r>
          </w:p>
        </w:tc>
        <w:tc>
          <w:tcPr>
            <w:tcW w:w="51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(4,992)</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Offset between deferred tax assets and liabilities</w:t>
            </w:r>
          </w:p>
        </w:tc>
        <w:tc>
          <w:tcPr>
            <w:tcW w:w="51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10,720</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8,801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as stated under U.S. GAAP</w:t>
            </w:r>
          </w:p>
        </w:tc>
        <w:tc>
          <w:tcPr>
            <w:tcW w:w="51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1,442,460</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1,202,108</w:t>
            </w:r>
          </w:p>
        </w:tc>
        <w:tc>
          <w:tcPr>
            <w:tcW w:w="0" w:type="dxa"/>
            <w:vAlign w:val="bottom"/>
          </w:tcPr>
          <w:p>
            <w:pPr>
              <w:spacing w:after="0"/>
              <w:rPr>
                <w:sz w:val="1"/>
                <w:szCs w:val="1"/>
                <w:color w:val="auto"/>
              </w:rPr>
            </w:pPr>
          </w:p>
        </w:tc>
      </w:tr>
      <w:tr>
        <w:trPr>
          <w:trHeight w:val="658"/>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i w:val="1"/>
                <w:iCs w:val="1"/>
                <w:color w:val="auto"/>
              </w:rPr>
              <w:t>Effect on total liabilities</w:t>
            </w:r>
          </w:p>
        </w:tc>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31 December</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31 December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2013</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2012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$’000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as stated under IFRS</w:t>
            </w:r>
          </w:p>
        </w:tc>
        <w:tc>
          <w:tcPr>
            <w:tcW w:w="51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521,191</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438,732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US GAAP adjustments</w:t>
            </w:r>
          </w:p>
        </w:tc>
        <w:tc>
          <w:tcPr>
            <w:tcW w:w="5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Offset between deferred tax assets and liabilities</w:t>
            </w:r>
          </w:p>
        </w:tc>
        <w:tc>
          <w:tcPr>
            <w:tcW w:w="51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10,720</w:t>
            </w: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8,801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adjustments on share based payments</w:t>
            </w:r>
          </w:p>
        </w:tc>
        <w:tc>
          <w:tcPr>
            <w:tcW w:w="51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(30)</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as stated under U.S. GAAP</w:t>
            </w:r>
          </w:p>
        </w:tc>
        <w:tc>
          <w:tcPr>
            <w:tcW w:w="51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531,881</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447,533</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100" w:type="dxa"/>
            <w:vAlign w:val="bottom"/>
          </w:tcPr>
          <w:p>
            <w:pPr>
              <w:jc w:val="right"/>
              <w:ind w:right="4275"/>
              <w:spacing w:after="0"/>
              <w:rPr>
                <w:sz w:val="20"/>
                <w:szCs w:val="20"/>
                <w:color w:val="auto"/>
              </w:rPr>
            </w:pPr>
            <w:r>
              <w:rPr>
                <w:rFonts w:ascii="Times New Roman" w:cs="Times New Roman" w:eastAsia="Times New Roman" w:hAnsi="Times New Roman"/>
                <w:sz w:val="17"/>
                <w:szCs w:val="17"/>
                <w:color w:val="auto"/>
              </w:rPr>
              <w:t>117</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5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color w:val="auto"/>
        </w:rPr>
        <w:t>Appendix A: Risk Factors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business and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clients and a loss of or significant decrease in business from them or one or more of them could affect our business.</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in the past and may in the future derive a significant portion of our net revenue from a relatively limited number of major projects or clients. During the years ended 31 December 2013, 31 December 2012 and 31 December 2011, 53%, 48% and 37% of our net revenues were derived from our top five clients. During the year ended 31 December 2013 26% and 10% of our net revenues were derived from two clients, with no other client contributing more than 10% of net revenues during this period. During the year ended 31 December 2012 18% and 12% of our net revenues were derived from two clients, with no other client contributing more than 10% of net revenues during this period. During the year ended 31 December 2011 13% of our net revenues were derived from one client, with no other client contributing more than 10% of net revenues during this period. The loss of, or a significant decrease in business from one or more of these key clients could have a material adverse impact on our results of operations.</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Many of our contracts are long-term fixed-fee contracts. We would lose money in performing these contracts if the costs of performance exceed the fixed fees for these projects and we were unable to negotiate a change order for the value of work performed</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Many of our contracts are long-term fixed fee contracts. Revenues on these contracts are agreed in the contract between the Group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Group regularly reviews the estimated hours on each contract to determine if the budget accurately reflects the agreed tasks to be performed taking into account the state of progress at the time of review. The Group further endeavours to ensure that changes in scope are appropriately monitored and change orders for additional revenue are promptly negotiated for additional work as necessary. If we were to fail to recognise and negotiate change orders for changes in the resources required or the scope of the work to be performed the Group could lose money if the costs of performance of these contracts exceeded their fixed fees.</w:t>
      </w:r>
    </w:p>
    <w:p>
      <w:pPr>
        <w:spacing w:after="0" w:line="19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clients discontinue using our services, or cancel or discontinue projects, our revenue will be adversely affected and/or we may not receive their business in the future or may not be able to attract new clients.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cancelled or discontinued projects and may in the future cancel their contracts with us for reasons including:</w:t>
      </w:r>
    </w:p>
    <w:p>
      <w:pPr>
        <w:spacing w:after="0" w:line="193" w:lineRule="exact"/>
        <w:rPr>
          <w:sz w:val="20"/>
          <w:szCs w:val="20"/>
          <w:color w:val="auto"/>
        </w:rPr>
      </w:pPr>
    </w:p>
    <w:p>
      <w:pPr>
        <w:ind w:left="620" w:hanging="34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products being tested to satisfy safety or efficacy requirements;</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or undesired clinical results of the product;</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decision that a particular study is no longer necessary or viable;</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poor project performance, quality concerns, insufficient patient enrollment or investigator recruitment; or</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problems resulting in shortages of the drug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lose clients, we may not be able to attract new ones, and if we lose individual projects, we may not be able to replace them.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attract or retain qualified staff, our performance may suffer.</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business, future success and ability to continue and expand operations depend upon our ability to attract, hire, train and retain qualified professional, scientific and technical operating staff. We compete for qualified professionals with other Clinical Research Organisations “CROs”, temporary staffing agencies and the in-house departments of pharmaceutical, biotechnology and medical device companies. An inability to attract and retain a sufficient number of high calibre clinical research professionals (in particular, key personnel and executives) at an acceptable cost would impact our ability to provide our services, our future performace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perform clinical trials is dependent upon the ability to recruit suitable willing patients.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 Insufficient or inappropriate patient enrollment may result in the termination or delay of a study which could have a material adverse impact on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perform clinical trials is dependent upon our ability to recruit suitable willing investigators.</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contract with physicians located in hospitals, clinics or other such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patient enrolment, may result in the termination or delay of a study which could have a material adverse impact on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third parties for important products and services.</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could have a material adverse effect on our business.</w:t>
      </w:r>
    </w:p>
    <w:p>
      <w:pPr>
        <w:spacing w:after="0" w:line="190" w:lineRule="exact"/>
        <w:rPr>
          <w:sz w:val="20"/>
          <w:szCs w:val="20"/>
          <w:color w:val="auto"/>
        </w:rPr>
      </w:pPr>
    </w:p>
    <w:p>
      <w:pPr>
        <w:ind w:right="6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information technology. If we fail to keep our systems up to date, or our systems fail or are unreliable, our operations may be adversely impacted.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efficient operation of our business depends on our information technology infrastructure and our management information systems. Our information technology infrastructure includes both third party solutions and applications designed and maintained internally. Since our Group operates on multiple platforms, the failure of our information technology infrastructure and/or our management information systems to perform could severely disrupt our business and adversely affect our results of operation. In addition, our information technology infrastructure and/or our management information systems are vulnerable to damage or interruption from, amongst others, natural or man-made disasters, terrorist attacks, computer viruses or hackers, power loss, other computer systems, internet telecommunications or data network failures. Any such interruption could adversely affect our business and results of operations.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significant portion of our operations rely on the secure processing, storage and transmission of confidential information, including client and personal confidential information. For example, through our Phase I business, we obtain and store personal health-related information of participating subjects. Our activities are subject to a risk of cyber security issues and/or attacks which could result in the disclosure or loss of confidential client or customer information, damage to our reputation, additional costs, regulatory penalties and financial losses. Despite our security measures, our computer systems, software and networks, or those of our suppliers, customers and so on, are vulnerable to unauthorized access, loss or destruction of data (including confidential client information and personal health data), hardware malfunctions, unavailability of service, computer viruses or other malicious code, cyber attacks and other events. These threats may derive from human error, fraud or malice on the part of employees or third parties, or may result from accidental technological failure.</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we do not keep pace with rapid technological changes in the CRO industry, our products and services may become less competitive or even obsolete. This applies in particular to our ICONIK and Firecrest services. Also, changes to our operating systems, software or programs could adversely impact our business.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00" w:lineRule="exact"/>
        <w:rPr>
          <w:sz w:val="20"/>
          <w:szCs w:val="20"/>
          <w:color w:val="auto"/>
        </w:rPr>
      </w:pPr>
    </w:p>
    <w:p>
      <w:pPr>
        <w:spacing w:after="0" w:line="268"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develop and maintain computer run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 other things.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might be impacted by a disruption to travel systems.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Many of our operations rely on the availability of air or other transportation for the distribution of clinical trial materials, study samples and personnel. While we have developed contingency plans to minimise the impact of such events, a disruption to the availability of air transportation or other travel systems could have a material adverse impact on our activities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make, or be unable to make, acquisitions in the future, which may lead to disruptions to our ongoing business.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made a number of acquisitions and will continue to review new acquisition opportunities. If we are unable to identify suitable acquisition targets, consummate an acquisition or successfully integrate an acquired company or business, our business may be disrupted. The success of an acquisition will depend upon, among other things, our ability to:</w:t>
      </w:r>
    </w:p>
    <w:p>
      <w:pPr>
        <w:spacing w:after="0" w:line="193" w:lineRule="exact"/>
        <w:rPr>
          <w:sz w:val="20"/>
          <w:szCs w:val="20"/>
          <w:color w:val="auto"/>
        </w:rPr>
      </w:pPr>
    </w:p>
    <w:p>
      <w:pPr>
        <w:ind w:left="1080" w:hanging="591"/>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assimilate the operations and services or products of the acquired company or business;</w:t>
      </w:r>
    </w:p>
    <w:p>
      <w:pPr>
        <w:spacing w:after="0" w:line="239" w:lineRule="exact"/>
        <w:rPr>
          <w:rFonts w:ascii="Times New Roman" w:cs="Times New Roman" w:eastAsia="Times New Roman" w:hAnsi="Times New Roman"/>
          <w:sz w:val="17"/>
          <w:szCs w:val="17"/>
          <w:color w:val="auto"/>
        </w:rPr>
      </w:pPr>
    </w:p>
    <w:p>
      <w:pPr>
        <w:ind w:left="1080" w:hanging="591"/>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 acquired personnel;</w:t>
      </w:r>
    </w:p>
    <w:p>
      <w:pPr>
        <w:spacing w:after="0" w:line="239" w:lineRule="exact"/>
        <w:rPr>
          <w:rFonts w:ascii="Times New Roman" w:cs="Times New Roman" w:eastAsia="Times New Roman" w:hAnsi="Times New Roman"/>
          <w:sz w:val="17"/>
          <w:szCs w:val="17"/>
          <w:color w:val="auto"/>
        </w:rPr>
      </w:pPr>
    </w:p>
    <w:p>
      <w:pPr>
        <w:ind w:left="1080" w:hanging="591"/>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 and motivate key employees;</w:t>
      </w:r>
    </w:p>
    <w:p>
      <w:pPr>
        <w:spacing w:after="0" w:line="239" w:lineRule="exact"/>
        <w:rPr>
          <w:rFonts w:ascii="Times New Roman" w:cs="Times New Roman" w:eastAsia="Times New Roman" w:hAnsi="Times New Roman"/>
          <w:sz w:val="17"/>
          <w:szCs w:val="17"/>
          <w:color w:val="auto"/>
        </w:rPr>
      </w:pPr>
    </w:p>
    <w:p>
      <w:pPr>
        <w:ind w:left="1080" w:hanging="591"/>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retain customers; and</w:t>
      </w:r>
    </w:p>
    <w:p>
      <w:pPr>
        <w:spacing w:after="0" w:line="239" w:lineRule="exact"/>
        <w:rPr>
          <w:rFonts w:ascii="Times New Roman" w:cs="Times New Roman" w:eastAsia="Times New Roman" w:hAnsi="Times New Roman"/>
          <w:sz w:val="17"/>
          <w:szCs w:val="17"/>
          <w:color w:val="auto"/>
        </w:rPr>
      </w:pPr>
    </w:p>
    <w:p>
      <w:pPr>
        <w:ind w:left="1080" w:hanging="591"/>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minimise the diversion of management's attention from other business concerns.</w:t>
      </w:r>
    </w:p>
    <w:p>
      <w:pPr>
        <w:spacing w:after="0" w:line="2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Serious adverse events can occur in Phase I trials.</w:t>
      </w:r>
    </w:p>
    <w:p>
      <w:pPr>
        <w:spacing w:after="0" w:line="24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We conduct Early Phase and Proof of Principle clinical trials including first-in human and healthy volunteer studies. Although we have policies and procedures in place, due to the experimental nature of these studies, serious adverse events may arise.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Industry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the continued outsourcing of research and development by the pharmaceutical, biotechnology and medical device industries.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and that we do not control. We have benefited to date from the tendency of pharmaceutical, biotechnology and medical device companies to outsource clinical research projects. Any downturn in these industries or reduction in spending or outsourcing could adversely affect our business. The following could each result in such a downturn:</w:t>
      </w:r>
    </w:p>
    <w:p>
      <w:pPr>
        <w:spacing w:after="0" w:line="200" w:lineRule="exact"/>
        <w:rPr>
          <w:sz w:val="20"/>
          <w:szCs w:val="20"/>
          <w:color w:val="auto"/>
        </w:rPr>
      </w:pPr>
    </w:p>
    <w:p>
      <w:pPr>
        <w:ind w:left="620" w:hanging="362"/>
        <w:spacing w:after="0" w:line="262"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pharmaceutical, biotechnology or medical device companies expanded upon their in-house clinical or development capabilities, they would be less likely to utilise our services</w:t>
      </w:r>
    </w:p>
    <w:p>
      <w:pPr>
        <w:ind w:left="620" w:hanging="362"/>
        <w:spacing w:after="0" w:line="251"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governmental regulations were changed, it could affect the ability of our clients to operate profitably, which may lead to a decrease in research spending and therefore this could have a material adverse effect on our business</w:t>
      </w:r>
    </w:p>
    <w:p>
      <w:pPr>
        <w:ind w:left="620" w:hanging="362"/>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unfavourable economic conditions or disruptions in the credit and capital markets negatively impacted our clients</w:t>
      </w:r>
    </w:p>
    <w:p>
      <w:pPr>
        <w:spacing w:after="0" w:line="200" w:lineRule="exact"/>
        <w:rPr>
          <w:sz w:val="20"/>
          <w:szCs w:val="20"/>
          <w:color w:val="auto"/>
        </w:rPr>
      </w:pPr>
    </w:p>
    <w:p>
      <w:pPr>
        <w:spacing w:after="0" w:line="222" w:lineRule="exact"/>
        <w:rPr>
          <w:sz w:val="20"/>
          <w:szCs w:val="20"/>
          <w:color w:val="auto"/>
        </w:rPr>
      </w:pPr>
    </w:p>
    <w:p>
      <w:pPr>
        <w:ind w:right="4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Large pharmaceutical companies are increasingly consolidating their vendor base and entering strategic partnership arrangements with a limited number of outsource providers.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Increased collaboration amongst pharmaceutical companies in research and development activities may lead to fewer research opportunities.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and dynamic market.</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of operations. Similarly, we compete with other CROs for work which comes outside of these strategic relationships.</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type and depth of services provided by CROs have changed in recent years. Failure to develop and market new services or expand existing service offerings could adversely effect our business and operations.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Financial Results and Financial Position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are dependent upon a number of factors and can fluctuate from quarter to quarter.</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results of operations in any quarter can fluctuate or differ from expected or forecasted results depending upon or due to, among other things, the number and scope of ongoing client projects, the commencement, postponement, variation cancellation or termination of projects in a quarter, the mix of revenue, cost overruns, employee hiring and other factors. Our net revenue in any period is directly related to the number and percentage of employees who were working on projects billable to the client during that period. We may be unable to compensate for periods of underutilization during one part of a fiscal period by augmenting revenues during another part of that period. We believe that operating results for any particular quarter are not necessarily a meaningful indication of future results.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Also, if in future quarters, we are unable to achieve efficiencies and our expenses group faster than our net revenues, our operating margins and profitability will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exposure to exchange rate fluctuations could adversely affect our results of operations.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a subsidiary’s financial results into U.S. dollars for purposes of reporting our consolidated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effective tax rate may fluctuate from quarter-to-quarter, which may affect our results of operations.</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of operations. In addition, as we operate in multiple tax jurisdictions, we may be subject to audits in certain jurisdictions. These audits may involve complex issues which could require an extended period of time for resolution. The resolution of audit issues may lead to differences which could have a significant impact on our effective tax rate.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backlog may not convert to net revenue and the rate of conversion may slow.</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backlog consists of potential net revenue yet to be earned from projects awarded by clients. Our backlog at any date is not necessarily a meaningful predictor of future results, due to the potential for the cancellation or delay of projects underlying the backlog. No assurances can be given that we will be able to realise this backlog as net revenue. A failure to realise backlog as net revenue could have a material adverse impact on our results of operations. In addition, as the length and complexity of projects underlying our backlog increases, the rate at which backlog converts to net revenue may be slower than in the past. A significant reduction in the rate at which backlog converts to net revenue could have a material impact on our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changes from our estimates of contingent consideration payable on acquisitions could have a serious adverse impact on our results of operations.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made a number of acquisitions in the past and will continue to review new acquisition opportunities. The cost of many of these acquisitions includes a portion which is contingent upon certain future events, such as the achievement of a particular revenue or earnings target. Where an acquisition agreement provides for such additional consideration, the amount of the estimated additional consideration is recognised on the acquisition date at fair value. The accounting treatment of any changes to this estimate in subsequent periods will depend on the classification of the contingent consideration. If the contingent consideration is classified as equity it shall not be re-measured and the settlement shall be accounted for within equity. If the contingent consideration is classified as an asset or liability any adjustments will be accounted for through the consolidated income statement or other comprehensive income depending on whether the asset or liability is considered a financial instrument. Significant estimates and judgements are required in estimating the acquisition date fair value of the additional consideration. Changes in business conditions or the performance of the acquired business could lead to a significant change between our estimate of the acquisition date fair value and amounts payable which could have a significant adverse impact on our results of operations.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Group is exposed to various risks in relation to our cash and cash equivalents and current asset investments.</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Group’s treasury function actively manages our available cash resources and invests significant cash balances in various financial institutions to try to ensure optimum returns for our surplus cash balances. These balances are classified as cash and cash equivalents or current asset investments depending on the maturity of the related investment. Cash and cash equivalents comprise cash and highly liquid investments with maturities of three months or less. Current asset investments comprise highly liquid investments with maturities of greater than three months and minimum “A-” rated fixed and floating rate securities.</w:t>
      </w:r>
    </w:p>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Given the global nature of our business, we are exposed to various risks in relation to these balances including liquidity risk, credit risk associated with the counterparties with which we invest, interest rate risk on floating rate securities, sovereign risk (our principal sovereign risk relates to investments in U.S. Treasury funds), and other factors.</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manage risks in relation to these balances through ongoing monitoring of the composition of the balances and ensuring that funds are invested in accordance with strict risk management policies and controls as specified by the Company’s Board of Directors.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Although we have not recognised any significant losses to date on our cash and cash equivalents or current asset investments, any significant declines in their market values could have a material adverse affect on our financial position and operating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Political, Legal or Regulatory Environment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lose business opportunities as a result of health care reform and the expansion of managed care organisations.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lose business as a result of changes in the regulatory environment.</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38"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the regulations of the U.S. Food and Drug Administration and other regulatory authorities could result in substantial penalties and/or loss of business.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U.S. Food and Drug Administration, or FDA, and other regulatory authorities inspect us from time to time to ensure that we comply with their regulations and guidelines, including environmental and health and safety matters. In addition, we must comply with the applicable regulatory requirements governing the conduct of clinical trials in all countries in which we operate. If we fail to comply with any of these requirements we could suffer some or all of:</w:t>
      </w:r>
    </w:p>
    <w:p>
      <w:pPr>
        <w:spacing w:after="0" w:line="200" w:lineRule="exact"/>
        <w:rPr>
          <w:sz w:val="20"/>
          <w:szCs w:val="20"/>
          <w:color w:val="auto"/>
        </w:rPr>
      </w:pPr>
    </w:p>
    <w:p>
      <w:pPr>
        <w:spacing w:after="0" w:line="223" w:lineRule="exact"/>
        <w:rPr>
          <w:sz w:val="20"/>
          <w:szCs w:val="20"/>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or delay in any research;</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disqualification of data;</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denial of the right to conduct business;</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penalties;</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enforcement actions;</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clients and/or business; and</w:t>
      </w:r>
    </w:p>
    <w:p>
      <w:pPr>
        <w:spacing w:after="0" w:line="239" w:lineRule="exact"/>
        <w:rPr>
          <w:rFonts w:ascii="Times New Roman" w:cs="Times New Roman" w:eastAsia="Times New Roman" w:hAnsi="Times New Roman"/>
          <w:sz w:val="17"/>
          <w:szCs w:val="17"/>
          <w:color w:val="auto"/>
        </w:rPr>
      </w:pPr>
    </w:p>
    <w:p>
      <w:pPr>
        <w:ind w:left="620" w:hanging="340"/>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from clients and resulting material penalties, damages and costs.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political, regulatory and legal risks associated with our international operations.</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volatility in gross domestic product, economic and governmental instability, the potential for nationalisation of private assets and the imposition of exchange controls. In addition, operating globally means the Company faces the challenges associated with coordinating its services across different countries, time zones and cultures.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color w:val="auto"/>
        </w:rPr>
        <w:t xml:space="preserve">Appendix A: Risk Factors </w:t>
      </w:r>
      <w:r>
        <w:rPr>
          <w:rFonts w:ascii="Times New Roman" w:cs="Times New Roman" w:eastAsia="Times New Roman" w:hAnsi="Times New Roman"/>
          <w:sz w:val="17"/>
          <w:szCs w:val="17"/>
          <w:i w:val="1"/>
          <w:iCs w:val="1"/>
          <w:color w:val="auto"/>
        </w:rPr>
        <w:t>(continued)</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Finally, we operate in some countries where national laws may require not only accurate books and records, but also sufficient controls, policies and processes to ensure business is conducted without the influence of bribery and corruption. Given the high level of complexity of some of these laws and the large number of employees and contractors we have in many jurisdictions, there is a risk that some provisions may inadvertently be breached, for example through negligent behaviour of individual employees, or failure to comply with certain formal documentation requirements or otherwise. Any violation of these laws or allegations of such violations, whether merited or not, could have a material adverse effect on our reputation and could cause the trading price of our common stock to decline.</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any of the above risks or similar risks associated with our international operations were to materialise, our results of operations and financial condition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Privacy</w:t>
      </w:r>
    </w:p>
    <w:p>
      <w:pPr>
        <w:spacing w:after="0" w:line="24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7"/>
          <w:szCs w:val="17"/>
          <w:color w:val="auto"/>
        </w:rPr>
        <w:t>Current and proposed laws and regulations relating to the confidentiality of personal data of patients and others could limit the scope of our services, expose us to increased risk and liability and increase the cost of doing business</w:t>
      </w:r>
      <w:r>
        <w:rPr>
          <w:rFonts w:ascii="Times New Roman" w:cs="Times New Roman" w:eastAsia="Times New Roman" w:hAnsi="Times New Roman"/>
          <w:sz w:val="17"/>
          <w:szCs w:val="17"/>
          <w:b w:val="1"/>
          <w:bCs w:val="1"/>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claims brought against us could result in payment of substantial damages to plaintiffs and decrease our profitability.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Client Claims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we breach the terms of an agreement with a client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should one or more employees or contractors fail to comply with all applicable regulations and Good Clinical Practice and thereby expose us to the risk of claims by clients.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Claims relating to Investigators</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against the investigators with whom we contract.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from Clients</w:t>
      </w:r>
    </w:p>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Indemnifications provided by our clients against the risk of liability for personal injury to or death of the patients arising from the study drug vary from client to client and from trial to trial and may not be sufficient in scope or amount or the client may not have the financial ability to fulfill their indemnification obligations. Furthermore, we would be liable for our own negligence and negligence of our employees and such negligence could lead to litigation from clients.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maintain what we believe is an appropriate level of worldwide Professional Liability/Error and Omissions Insurance. We may in the future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Claims to Date</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805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 xml:space="preserve">Appendix A: Risk Factors </w:t>
      </w:r>
      <w:r>
        <w:rPr>
          <w:rFonts w:ascii="Times New Roman" w:cs="Times New Roman" w:eastAsia="Times New Roman" w:hAnsi="Times New Roman"/>
          <w:sz w:val="20"/>
          <w:szCs w:val="20"/>
          <w:i w:val="1"/>
          <w:iCs w:val="1"/>
          <w:color w:val="auto"/>
        </w:rPr>
        <w:t>(continued)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Common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Volatility in the market price of our common stock could lead to losses by investors.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market price of our common stock has experienced volatility in the past and may experience volatility in the future which could lead to losses for investors. Factors impacting volatility in the market price of our common stock include, amongst others, our results of operations, analyst expectations, developments impacting the industry or our competitors and general market and economic conditions. 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4"/>
    </w:lvl>
    <w:lvl w:ilvl="1">
      <w:lvlJc w:val="left"/>
      <w:lvlText w:val="(%2)"/>
      <w:numFmt w:val="lowerRoman"/>
      <w:start w:val="1"/>
    </w:lvl>
  </w:abstractNum>
  <w:abstractNum w:abstractNumId="5">
    <w:nsid w:val="75A2A8D4"/>
    <w:multiLevelType w:val="hybridMultilevel"/>
    <w:lvl w:ilvl="0">
      <w:lvlJc w:val="left"/>
      <w:lvlText w:val="%1."/>
      <w:numFmt w:val="decimal"/>
      <w:start w:val="5"/>
    </w:lvl>
    <w:lvl w:ilvl="1">
      <w:lvlJc w:val="left"/>
      <w:lvlText w:val="(%2)"/>
      <w:numFmt w:val="lowerLetter"/>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3"/>
    </w:lvl>
    <w:lvl w:ilvl="1">
      <w:lvlJc w:val="left"/>
      <w:lvlText w:val="●"/>
      <w:numFmt w:val="bullet"/>
      <w:start w:val="1"/>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lowerRoman"/>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lvl w:ilvl="1">
      <w:lvlJc w:val="left"/>
      <w:lvlText w:val="*"/>
      <w:numFmt w:val="bullet"/>
      <w:start w:val="1"/>
    </w:lvl>
  </w:abstractNum>
  <w:abstractNum w:abstractNumId="20">
    <w:nsid w:val="737B8DDC"/>
    <w:multiLevelType w:val="hybridMultilevel"/>
    <w:lvl w:ilvl="0">
      <w:lvlJc w:val="left"/>
      <w:lvlText w:val="***"/>
      <w:numFmt w:val="bullet"/>
      <w:start w:val="1"/>
    </w:lvl>
    <w:lvl w:ilvl="1">
      <w:lvlJc w:val="left"/>
      <w:lvlText w:val="*"/>
      <w:numFmt w:val="bullet"/>
      <w:start w:val="1"/>
    </w:lvl>
  </w:abstractNum>
  <w:abstractNum w:abstractNumId="21">
    <w:nsid w:val="6CEAF087"/>
    <w:multiLevelType w:val="hybridMultilevel"/>
    <w:lvl w:ilvl="0">
      <w:lvlJc w:val="left"/>
      <w:lvlText w:val="****"/>
      <w:numFmt w:val="bullet"/>
      <w:start w:val="1"/>
    </w:lvl>
    <w:lvl w:ilvl="1">
      <w:lvlJc w:val="left"/>
      <w:lvlText w:val="*"/>
      <w:numFmt w:val="bullet"/>
      <w:start w:val="1"/>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1."/>
      <w:numFmt w:val="decimal"/>
      <w:start w:val="9"/>
    </w:lvl>
  </w:abstractNum>
  <w:abstractNum w:abstractNumId="25">
    <w:nsid w:val="614FD4A1"/>
    <w:multiLevelType w:val="hybridMultilevel"/>
    <w:lvl w:ilvl="0">
      <w:lvlJc w:val="left"/>
      <w:lvlText w:val="%1."/>
      <w:numFmt w:val="decimal"/>
      <w:start w:val="10"/>
    </w:lvl>
  </w:abstractNum>
  <w:abstractNum w:abstractNumId="26">
    <w:nsid w:val="419AC241"/>
    <w:multiLevelType w:val="hybridMultilevel"/>
    <w:lvl w:ilvl="0">
      <w:lvlJc w:val="left"/>
      <w:lvlText w:val="%1."/>
      <w:numFmt w:val="decimal"/>
      <w:start w:val="12"/>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lowerRoman"/>
      <w:start w:val="1"/>
    </w:lvl>
  </w:abstractNum>
  <w:abstractNum w:abstractNumId="32">
    <w:nsid w:val="7724C67E"/>
    <w:multiLevelType w:val="hybridMultilevel"/>
    <w:lvl w:ilvl="0">
      <w:lvlJc w:val="left"/>
      <w:lvlText w:val="(%1)"/>
      <w:numFmt w:val="lowerRoman"/>
      <w:start w:val="2"/>
    </w:lvl>
  </w:abstractNum>
  <w:abstractNum w:abstractNumId="33">
    <w:nsid w:val="5C482A97"/>
    <w:multiLevelType w:val="hybridMultilevel"/>
    <w:lvl w:ilvl="0">
      <w:lvlJc w:val="left"/>
      <w:lvlText w:val="%1"/>
      <w:numFmt w:val="decimal"/>
      <w:start w:val="1"/>
    </w:lvl>
    <w:lvl w:ilvl="1">
      <w:lvlJc w:val="left"/>
      <w:lvlText w:val="(%2)"/>
      <w:numFmt w:val="decimal"/>
      <w:start w:val="1"/>
    </w:lvl>
  </w:abstractNum>
  <w:abstractNum w:abstractNumId="34">
    <w:nsid w:val="2463B9EA"/>
    <w:multiLevelType w:val="hybridMultilevel"/>
    <w:lvl w:ilvl="0">
      <w:lvlJc w:val="left"/>
      <w:lvlText w:val="%1."/>
      <w:numFmt w:val="decimal"/>
      <w:start w:val="4"/>
    </w:lvl>
    <w:lvl w:ilvl="1">
      <w:lvlJc w:val="left"/>
      <w:lvlText w:val="%2"/>
      <w:numFmt w:val="decimal"/>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Roman"/>
      <w:start w:val="1"/>
    </w:lvl>
  </w:abstractNum>
  <w:abstractNum w:abstractNumId="37">
    <w:nsid w:val="2D517796"/>
    <w:multiLevelType w:val="hybridMultilevel"/>
    <w:lvl w:ilvl="0">
      <w:lvlJc w:val="left"/>
      <w:lvlText w:val="(%1)"/>
      <w:numFmt w:val="lowerLetter"/>
      <w:start w:val="6"/>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2019-12-06T19:58:07Z</dcterms:created>
  <dcterms:modified xsi:type="dcterms:W3CDTF">2019-12-06T19:58:07Z</dcterms:modified>
</cp:coreProperties>
</file>