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7202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6858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April 2009</w:t>
      </w:r>
      <w:r>
        <w:rPr>
          <w:rFonts w:ascii="Arial" w:cs="Arial" w:eastAsia="Arial" w:hAnsi="Arial"/>
          <w:sz w:val="18"/>
          <w:szCs w:val="18"/>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333-08704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ICON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County Business Park, Leopardstown, Dublin 18, Ireland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46"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ectPr>
          <w:pgSz w:w="11900" w:h="16838" w:orient="portrait"/>
          <w:cols w:equalWidth="0" w:num="1">
            <w:col w:w="11420"/>
          </w:cols>
          <w:pgMar w:left="240" w:top="760" w:right="239" w:bottom="1440" w:gutter="0" w:footer="0" w:header="0"/>
        </w:sectPr>
      </w:pPr>
    </w:p>
    <w:p>
      <w:pPr>
        <w:spacing w:after="0" w:line="275" w:lineRule="exact"/>
        <w:rPr>
          <w:sz w:val="24"/>
          <w:szCs w:val="24"/>
          <w:color w:val="auto"/>
        </w:rPr>
      </w:pPr>
    </w:p>
    <w:p>
      <w:pPr>
        <w:ind w:left="4420"/>
        <w:spacing w:after="0"/>
        <w:rPr>
          <w:sz w:val="20"/>
          <w:szCs w:val="20"/>
          <w:color w:val="auto"/>
        </w:rPr>
      </w:pPr>
      <w:r>
        <w:rPr>
          <w:rFonts w:ascii="Arial" w:cs="Arial" w:eastAsia="Arial" w:hAnsi="Arial"/>
          <w:sz w:val="16"/>
          <w:szCs w:val="16"/>
          <w:color w:val="auto"/>
        </w:rPr>
        <w:t>Form 20-F [ x ]</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color w:val="auto"/>
        </w:rPr>
        <w:t>Form 40-F [</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3">
            <w:col w:w="5520" w:space="440"/>
            <w:col w:w="860" w:space="120"/>
            <w:col w:w="4480"/>
          </w:cols>
          <w:pgMar w:left="240" w:top="760" w:right="239" w:bottom="1440" w:gutter="0" w:footer="0" w:header="0"/>
          <w:type w:val="continuous"/>
        </w:sectPr>
      </w:pPr>
    </w:p>
    <w:p>
      <w:pPr>
        <w:spacing w:after="0" w:line="5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9180" w:space="180"/>
            <w:col w:w="2060"/>
          </w:cols>
          <w:pgMar w:left="240" w:top="760" w:right="239" w:bottom="1440" w:gutter="0" w:footer="0" w:header="0"/>
          <w:type w:val="continuous"/>
        </w:sectPr>
      </w:pPr>
    </w:p>
    <w:p>
      <w:pPr>
        <w:spacing w:after="0" w:line="19" w:lineRule="exact"/>
        <w:rPr>
          <w:sz w:val="24"/>
          <w:szCs w:val="24"/>
          <w:color w:val="auto"/>
        </w:rPr>
      </w:pPr>
    </w:p>
    <w:p>
      <w:pPr>
        <w:jc w:val="both"/>
        <w:ind w:firstLine="351"/>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Regulation S-T Rule 101(b)(1) only permits the submission in paper of a Form 6-K if submitted solely to provide an attached annual report to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holders.</w:t>
      </w:r>
    </w:p>
    <w:p>
      <w:pPr>
        <w:spacing w:after="0" w:line="207" w:lineRule="exact"/>
        <w:rPr>
          <w:sz w:val="24"/>
          <w:szCs w:val="24"/>
          <w:color w:val="auto"/>
        </w:rPr>
      </w:pPr>
    </w:p>
    <w:p>
      <w:pPr>
        <w:ind w:left="360"/>
        <w:spacing w:after="0"/>
        <w:tabs>
          <w:tab w:leader="none" w:pos="934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jc w:val="both"/>
        <w:ind w:firstLine="500"/>
        <w:spacing w:after="0" w:line="296"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95" w:lineRule="exact"/>
        <w:rPr>
          <w:sz w:val="24"/>
          <w:szCs w:val="24"/>
          <w:color w:val="auto"/>
        </w:rPr>
      </w:pPr>
    </w:p>
    <w:p>
      <w:pPr>
        <w:jc w:val="both"/>
        <w:ind w:firstLine="538"/>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13" w:lineRule="exact"/>
        <w:rPr>
          <w:sz w:val="24"/>
          <w:szCs w:val="24"/>
          <w:color w:val="auto"/>
        </w:rPr>
      </w:pPr>
    </w:p>
    <w:p>
      <w:pPr>
        <w:ind w:left="4920"/>
        <w:spacing w:after="0"/>
        <w:tabs>
          <w:tab w:leader="none" w:pos="5440" w:val="left"/>
          <w:tab w:leader="none" w:pos="5940" w:val="left"/>
        </w:tabs>
        <w:rPr>
          <w:sz w:val="20"/>
          <w:szCs w:val="20"/>
          <w:color w:val="auto"/>
        </w:rPr>
      </w:pPr>
      <w:r>
        <w:rPr>
          <w:rFonts w:ascii="Arial" w:cs="Arial" w:eastAsia="Arial" w:hAnsi="Arial"/>
          <w:sz w:val="18"/>
          <w:szCs w:val="18"/>
          <w:color w:val="auto"/>
        </w:rPr>
        <w:t>Yes [</w:t>
        <w:tab/>
        <w:t>]</w:t>
      </w:r>
      <w:r>
        <w:rPr>
          <w:sz w:val="20"/>
          <w:szCs w:val="20"/>
          <w:color w:val="auto"/>
        </w:rPr>
        <w:tab/>
      </w:r>
      <w:r>
        <w:rPr>
          <w:rFonts w:ascii="Arial" w:cs="Arial" w:eastAsia="Arial" w:hAnsi="Arial"/>
          <w:sz w:val="16"/>
          <w:szCs w:val="16"/>
          <w:color w:val="auto"/>
        </w:rPr>
        <w:t>No [ x ]</w:t>
      </w:r>
    </w:p>
    <w:p>
      <w:pPr>
        <w:spacing w:after="0" w:line="25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ICON plc</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7,100 employees worldwide, with operations in 71 locations in 38 countries, including the United States and major markets in Europe and Rest of World. For the three months ended March 31, 2009, we derived approximately 47%, 45%, and 8% of our net revenue in the United States, Europe and Rest of World,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Headquartered in Dublin, Ireland, we began operations in 1990 and have expanded our business through internal growth and strategic acquisitions.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condensed consolidated financial statements and the notes thereto have been retrospectively restated to give effect to the Bonus Issue as if it had occurred as of the date referenced.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14, 2008, the Company acquired 100% of the common stock of Prevalere Life Sciences Inc. (“Prevalere”), for an initial cash consideration of $36.8 million, excluding costs of acquisition. Prevalere, located in Whitesboro, New York, is a leading provider of bioanalytical and immunoassay services to pharmaceutical and biotechnology companies.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($46.5 million) with The Governor and Company of the Bank of Ireland. Our obligations under the facility are secured by certain composite guarantees, indemnities and pledges in favor of the bank. The facility bears interest at an annual rate equal to EURIBOR plus a margin. On July 10, 2007, the Company drew down €29.5 million ($39.2 million) of the facility to fund the acquisition of DOCS International. On October 15, 2007, the remaining €5.5 million ($7.3 million) of the facility was drawn down to fund expenditure on the expansion of the Company’s facility in Dublin, Republic of Ireland.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2009, an additional four year committed credit facility was negotiated with The Governor and Company of the Bank of Ireland for $25 million. The facility bears interest at LIBOR plus a margin and is secured by certain composite guarantees, indemnities and pledges in favor of the bank. At March 31, 2009, $17.4 million of this facility was drawn.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8"/>
          <w:szCs w:val="18"/>
          <w:color w:val="auto"/>
        </w:rPr>
        <w:t>On December 22, 2008, committed credit facilities were negotiated with Allied Irish Bank plc for $75 million. The facilities comprise a one year Euro facility of approximately €20 million ($26.6 million), with the balance comprising a three year US dollar facility. The Euro facility bears interest at EURIBOR plus a margin and the US dollar facility bears interest at LIBOR plus a margin. Both facilities are secured by certain composite guarantees and pledges in favour of the bank. At March 31, 2009, $41.0 million of these facilities were drawn, $26.6 million (€20.0 million), to fund the refinancing of previous uncommitted facilities and $14.4 million to fund the acquisition of Prevalere.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4, 2008, an uncommitted credit facility was negotiated with Citibank N.A, for $30 million. Interest is calculated at the London Interbank Market rate plus a margin. At March 31, 2009, this facility was un-drawn and available to the Company.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22"/>
          <w:szCs w:val="22"/>
          <w:b w:val="1"/>
          <w:bCs w:val="1"/>
          <w:color w:val="auto"/>
        </w:rPr>
        <w:t>AS AT MARCH 31, 2009 AND DECEMBER 31,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6EF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6EFFF"/>
          </w:tcPr>
          <w:p>
            <w:pPr>
              <w:jc w:val="right"/>
              <w:ind w:right="200"/>
              <w:spacing w:after="0"/>
              <w:rPr>
                <w:sz w:val="20"/>
                <w:szCs w:val="20"/>
                <w:color w:val="auto"/>
              </w:rPr>
            </w:pPr>
            <w:r>
              <w:rPr>
                <w:rFonts w:ascii="Arial" w:cs="Arial" w:eastAsia="Arial" w:hAnsi="Arial"/>
                <w:sz w:val="18"/>
                <w:szCs w:val="18"/>
                <w:color w:val="auto"/>
              </w:rPr>
              <w:t>70,816</w:t>
            </w:r>
          </w:p>
        </w:tc>
        <w:tc>
          <w:tcPr>
            <w:tcW w:w="240" w:type="dxa"/>
            <w:vAlign w:val="bottom"/>
            <w:gridSpan w:val="2"/>
            <w:shd w:val="clear" w:color="auto" w:fill="E6EFFF"/>
          </w:tcPr>
          <w:p>
            <w:pPr>
              <w:jc w:val="right"/>
              <w:ind w:right="6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58,378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Short term investments - available for sale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26,182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222,564</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210,535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Unbilled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122,757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Other receivables</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11,334</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11,196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Prepayments and other current assets</w:t>
            </w:r>
          </w:p>
        </w:tc>
        <w:tc>
          <w:tcPr>
            <w:tcW w:w="320" w:type="dxa"/>
            <w:vAlign w:val="bottom"/>
            <w:shd w:val="clear" w:color="auto" w:fill="E6EFFF"/>
          </w:tcPr>
          <w:p>
            <w:pPr>
              <w:spacing w:after="0"/>
              <w:rPr>
                <w:sz w:val="18"/>
                <w:szCs w:val="18"/>
                <w:color w:val="auto"/>
              </w:rPr>
            </w:pPr>
          </w:p>
        </w:tc>
        <w:tc>
          <w:tcPr>
            <w:tcW w:w="1360" w:type="dxa"/>
            <w:vAlign w:val="bottom"/>
            <w:gridSpan w:val="2"/>
            <w:shd w:val="clear" w:color="auto" w:fill="E6EFFF"/>
          </w:tcPr>
          <w:p>
            <w:pPr>
              <w:jc w:val="right"/>
              <w:ind w:right="200"/>
              <w:spacing w:after="0"/>
              <w:rPr>
                <w:sz w:val="20"/>
                <w:szCs w:val="20"/>
                <w:color w:val="auto"/>
              </w:rPr>
            </w:pPr>
            <w:r>
              <w:rPr>
                <w:rFonts w:ascii="Arial" w:cs="Arial" w:eastAsia="Arial" w:hAnsi="Arial"/>
                <w:sz w:val="18"/>
                <w:szCs w:val="18"/>
                <w:color w:val="auto"/>
              </w:rPr>
              <w:t>27,991</w:t>
            </w: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24,332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Borders>
              <w:bottom w:val="single" w:sz="8" w:color="E6EFFF"/>
            </w:tcBorders>
          </w:tcPr>
          <w:p>
            <w:pPr>
              <w:ind w:left="500"/>
              <w:spacing w:after="0"/>
              <w:rPr>
                <w:sz w:val="20"/>
                <w:szCs w:val="20"/>
                <w:color w:val="auto"/>
              </w:rPr>
            </w:pPr>
            <w:r>
              <w:rPr>
                <w:rFonts w:ascii="Arial" w:cs="Arial" w:eastAsia="Arial" w:hAnsi="Arial"/>
                <w:sz w:val="18"/>
                <w:szCs w:val="18"/>
                <w:color w:val="auto"/>
              </w:rPr>
              <w:t>Income taxes receivable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Borders>
              <w:bottom w:val="single" w:sz="8" w:color="E6EFFF"/>
            </w:tcBorders>
          </w:tcPr>
          <w:p>
            <w:pPr>
              <w:spacing w:after="0"/>
              <w:rPr>
                <w:sz w:val="18"/>
                <w:szCs w:val="18"/>
                <w:color w:val="auto"/>
              </w:rPr>
            </w:pPr>
          </w:p>
        </w:tc>
        <w:tc>
          <w:tcPr>
            <w:tcW w:w="20" w:type="dxa"/>
            <w:vAlign w:val="bottom"/>
            <w:tcBorders>
              <w:bottom w:val="single" w:sz="8" w:color="E6E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492,237</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500,279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165,970</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171,748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166,723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Non-current other assets</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2,179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Non-current income taxes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Non-current deferred tax asset</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8,165</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Borders>
              <w:top w:val="single" w:sz="8" w:color="E6EFFF"/>
              <w:bottom w:val="single" w:sz="8" w:color="E6EFFF"/>
            </w:tcBorders>
            <w:shd w:val="clear" w:color="auto" w:fill="E6EF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E6EF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850,536</w:t>
            </w:r>
          </w:p>
        </w:tc>
        <w:tc>
          <w:tcPr>
            <w:tcW w:w="200" w:type="dxa"/>
            <w:vAlign w:val="bottom"/>
            <w:tcBorders>
              <w:top w:val="single" w:sz="8" w:color="E6EFFF"/>
              <w:bottom w:val="single" w:sz="8" w:color="E6EFFF"/>
            </w:tcBorders>
            <w:shd w:val="clear" w:color="auto" w:fill="E6EFFF"/>
          </w:tcPr>
          <w:p>
            <w:pPr>
              <w:spacing w:after="0"/>
              <w:rPr>
                <w:sz w:val="18"/>
                <w:szCs w:val="18"/>
                <w:color w:val="auto"/>
              </w:rPr>
            </w:pPr>
          </w:p>
        </w:tc>
        <w:tc>
          <w:tcPr>
            <w:tcW w:w="20" w:type="dxa"/>
            <w:vAlign w:val="bottom"/>
            <w:tcBorders>
              <w:top w:val="single" w:sz="8" w:color="E6EFFF"/>
              <w:bottom w:val="single" w:sz="8" w:color="E6EFFF"/>
            </w:tcBorders>
            <w:shd w:val="clear" w:color="auto" w:fill="E6EFFF"/>
          </w:tcPr>
          <w:p>
            <w:pPr>
              <w:spacing w:after="0"/>
              <w:rPr>
                <w:sz w:val="18"/>
                <w:szCs w:val="18"/>
                <w:color w:val="auto"/>
              </w:rPr>
            </w:pPr>
          </w:p>
        </w:tc>
        <w:tc>
          <w:tcPr>
            <w:tcW w:w="220" w:type="dxa"/>
            <w:vAlign w:val="bottom"/>
            <w:tcBorders>
              <w:top w:val="single" w:sz="8" w:color="auto"/>
              <w:bottom w:val="single" w:sz="8" w:color="auto"/>
            </w:tcBorders>
            <w:shd w:val="clear" w:color="auto" w:fill="E6EF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867,285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line="237" w:lineRule="exact"/>
              <w:rPr>
                <w:sz w:val="20"/>
                <w:szCs w:val="20"/>
                <w:color w:val="auto"/>
              </w:rPr>
            </w:pPr>
            <w:r>
              <w:rPr>
                <w:rFonts w:ascii="Arial" w:cs="Arial" w:eastAsia="Arial" w:hAnsi="Arial"/>
                <w:sz w:val="18"/>
                <w:szCs w:val="18"/>
                <w:b w:val="1"/>
                <w:bCs w:val="1"/>
                <w:color w:val="auto"/>
              </w:rPr>
              <w:t>LIABILITIES AND SHAREHOLDERS</w:t>
            </w:r>
            <w:r>
              <w:rPr>
                <w:rFonts w:ascii="Arial Unicode MS" w:cs="Arial Unicode MS" w:eastAsia="Arial Unicode MS" w:hAnsi="Arial Unicode MS"/>
                <w:sz w:val="18"/>
                <w:szCs w:val="18"/>
                <w:color w:val="auto"/>
                <w:highlight w:val="black"/>
              </w:rPr>
              <w:t>�</w:t>
            </w:r>
            <w:r>
              <w:rPr>
                <w:rFonts w:ascii="Arial" w:cs="Arial" w:eastAsia="Arial" w:hAnsi="Arial"/>
                <w:sz w:val="18"/>
                <w:szCs w:val="18"/>
                <w:b w:val="1"/>
                <w:bCs w:val="1"/>
                <w:color w:val="auto"/>
              </w:rPr>
              <w:t xml:space="preserve"> EQUITY</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9,726</w:t>
            </w:r>
          </w:p>
        </w:tc>
        <w:tc>
          <w:tcPr>
            <w:tcW w:w="200" w:type="dxa"/>
            <w:vAlign w:val="bottom"/>
          </w:tcPr>
          <w:p>
            <w:pPr>
              <w:spacing w:after="0"/>
              <w:rPr>
                <w:sz w:val="18"/>
                <w:szCs w:val="18"/>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Payments on account</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134,989</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121,935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94,361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Bank credit lines and loan facilities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38,239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auto"/>
            </w:tcBorders>
            <w:shd w:val="clear" w:color="auto" w:fill="E6EFFF"/>
          </w:tcPr>
          <w:p>
            <w:pPr>
              <w:spacing w:after="0"/>
              <w:rPr>
                <w:sz w:val="18"/>
                <w:szCs w:val="18"/>
                <w:color w:val="auto"/>
              </w:rPr>
            </w:pPr>
          </w:p>
        </w:tc>
        <w:tc>
          <w:tcPr>
            <w:tcW w:w="116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4,637</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tcBorders>
              <w:bottom w:val="single" w:sz="8" w:color="auto"/>
            </w:tcBorders>
            <w:shd w:val="clear" w:color="auto" w:fill="E6EFFF"/>
          </w:tcPr>
          <w:p>
            <w:pPr>
              <w:spacing w:after="0"/>
              <w:rPr>
                <w:sz w:val="18"/>
                <w:szCs w:val="18"/>
                <w:color w:val="auto"/>
              </w:rPr>
            </w:pPr>
          </w:p>
        </w:tc>
        <w:tc>
          <w:tcPr>
            <w:tcW w:w="1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283,138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Long term government grants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Long term finance leases</w:t>
            </w:r>
          </w:p>
        </w:tc>
        <w:tc>
          <w:tcPr>
            <w:tcW w:w="320" w:type="dxa"/>
            <w:vAlign w:val="bottom"/>
            <w:shd w:val="clear" w:color="auto" w:fill="E6EFFF"/>
          </w:tcPr>
          <w:p>
            <w:pPr>
              <w:spacing w:after="0"/>
              <w:rPr>
                <w:sz w:val="18"/>
                <w:szCs w:val="18"/>
                <w:color w:val="auto"/>
              </w:rPr>
            </w:pPr>
          </w:p>
        </w:tc>
        <w:tc>
          <w:tcPr>
            <w:tcW w:w="1360" w:type="dxa"/>
            <w:vAlign w:val="bottom"/>
            <w:gridSpan w:val="2"/>
            <w:shd w:val="clear" w:color="auto" w:fill="E6EFFF"/>
          </w:tcPr>
          <w:p>
            <w:pPr>
              <w:jc w:val="right"/>
              <w:ind w:right="200"/>
              <w:spacing w:after="0"/>
              <w:rPr>
                <w:sz w:val="20"/>
                <w:szCs w:val="20"/>
                <w:color w:val="auto"/>
              </w:rPr>
            </w:pPr>
            <w:r>
              <w:rPr>
                <w:rFonts w:ascii="Arial" w:cs="Arial" w:eastAsia="Arial" w:hAnsi="Arial"/>
                <w:sz w:val="18"/>
                <w:szCs w:val="18"/>
                <w:color w:val="auto"/>
              </w:rPr>
              <w:t>391</w:t>
            </w: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Non-current income taxes payable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16,508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Non-current deferred tax liability</w:t>
            </w:r>
          </w:p>
        </w:tc>
        <w:tc>
          <w:tcPr>
            <w:tcW w:w="320" w:type="dxa"/>
            <w:vAlign w:val="bottom"/>
            <w:shd w:val="clear" w:color="auto" w:fill="E6EFFF"/>
          </w:tcPr>
          <w:p>
            <w:pPr>
              <w:spacing w:after="0"/>
              <w:rPr>
                <w:sz w:val="18"/>
                <w:szCs w:val="18"/>
                <w:color w:val="auto"/>
              </w:rPr>
            </w:pPr>
          </w:p>
        </w:tc>
        <w:tc>
          <w:tcPr>
            <w:tcW w:w="1360" w:type="dxa"/>
            <w:vAlign w:val="bottom"/>
            <w:gridSpan w:val="2"/>
            <w:shd w:val="clear" w:color="auto" w:fill="E6EFFF"/>
          </w:tcPr>
          <w:p>
            <w:pPr>
              <w:jc w:val="right"/>
              <w:ind w:right="200"/>
              <w:spacing w:after="0"/>
              <w:rPr>
                <w:sz w:val="20"/>
                <w:szCs w:val="20"/>
                <w:color w:val="auto"/>
              </w:rPr>
            </w:pPr>
            <w:r>
              <w:rPr>
                <w:rFonts w:ascii="Arial" w:cs="Arial" w:eastAsia="Arial" w:hAnsi="Arial"/>
                <w:sz w:val="18"/>
                <w:szCs w:val="18"/>
                <w:color w:val="auto"/>
              </w:rPr>
              <w:t>12,129</w:t>
            </w: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12,196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Non-current other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Non-current bank credit lines and loan facilities</w:t>
            </w:r>
          </w:p>
        </w:tc>
        <w:tc>
          <w:tcPr>
            <w:tcW w:w="320" w:type="dxa"/>
            <w:vAlign w:val="bottom"/>
            <w:shd w:val="clear" w:color="auto" w:fill="E6EFFF"/>
          </w:tcPr>
          <w:p>
            <w:pPr>
              <w:spacing w:after="0"/>
              <w:rPr>
                <w:sz w:val="18"/>
                <w:szCs w:val="18"/>
                <w:color w:val="auto"/>
              </w:rPr>
            </w:pPr>
          </w:p>
        </w:tc>
        <w:tc>
          <w:tcPr>
            <w:tcW w:w="1360" w:type="dxa"/>
            <w:vAlign w:val="bottom"/>
            <w:gridSpan w:val="2"/>
            <w:shd w:val="clear" w:color="auto" w:fill="E6EFFF"/>
          </w:tcPr>
          <w:p>
            <w:pPr>
              <w:jc w:val="right"/>
              <w:ind w:right="200"/>
              <w:spacing w:after="0"/>
              <w:rPr>
                <w:sz w:val="20"/>
                <w:szCs w:val="20"/>
                <w:color w:val="auto"/>
              </w:rPr>
            </w:pPr>
            <w:r>
              <w:rPr>
                <w:rFonts w:ascii="Arial" w:cs="Arial" w:eastAsia="Arial" w:hAnsi="Arial"/>
                <w:sz w:val="18"/>
                <w:szCs w:val="18"/>
                <w:color w:val="auto"/>
              </w:rPr>
              <w:t>60,972</w:t>
            </w: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65,186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58,557,464 shares issued and outstanding at March 31, 2009 and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58,518,195 shares issued and outstanding at December 31, 2008</w:t>
            </w:r>
          </w:p>
        </w:tc>
        <w:tc>
          <w:tcPr>
            <w:tcW w:w="320" w:type="dxa"/>
            <w:vAlign w:val="bottom"/>
            <w:shd w:val="clear" w:color="auto" w:fill="E6EFFF"/>
          </w:tcPr>
          <w:p>
            <w:pPr>
              <w:spacing w:after="0"/>
              <w:rPr>
                <w:sz w:val="18"/>
                <w:szCs w:val="18"/>
                <w:color w:val="auto"/>
              </w:rPr>
            </w:pP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4,924</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4,921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163,975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6EFFF"/>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E6EFFF"/>
          </w:tcPr>
          <w:p>
            <w:pPr>
              <w:spacing w:after="0"/>
              <w:rPr>
                <w:sz w:val="18"/>
                <w:szCs w:val="18"/>
                <w:color w:val="auto"/>
              </w:rPr>
            </w:pPr>
          </w:p>
        </w:tc>
        <w:tc>
          <w:tcPr>
            <w:tcW w:w="136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(1,662)</w:t>
            </w:r>
          </w:p>
        </w:tc>
        <w:tc>
          <w:tcPr>
            <w:tcW w:w="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3,178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Borders>
              <w:bottom w:val="single" w:sz="8" w:color="E6EFFF"/>
            </w:tcBorders>
          </w:tcPr>
          <w:p>
            <w:pPr>
              <w:ind w:left="50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307,154</w:t>
            </w:r>
          </w:p>
        </w:tc>
        <w:tc>
          <w:tcPr>
            <w:tcW w:w="200" w:type="dxa"/>
            <w:vAlign w:val="bottom"/>
            <w:tcBorders>
              <w:bottom w:val="single" w:sz="8" w:color="E6EFFF"/>
            </w:tcBorders>
          </w:tcPr>
          <w:p>
            <w:pPr>
              <w:spacing w:after="0"/>
              <w:rPr>
                <w:sz w:val="18"/>
                <w:szCs w:val="18"/>
                <w:color w:val="auto"/>
              </w:rPr>
            </w:pPr>
          </w:p>
        </w:tc>
        <w:tc>
          <w:tcPr>
            <w:tcW w:w="20" w:type="dxa"/>
            <w:vAlign w:val="bottom"/>
            <w:tcBorders>
              <w:bottom w:val="single" w:sz="8" w:color="E6E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E6EF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shd w:val="clear" w:color="auto" w:fill="E6EFFF"/>
          </w:tcPr>
          <w:p>
            <w:pPr>
              <w:spacing w:after="0"/>
              <w:rPr>
                <w:sz w:val="18"/>
                <w:szCs w:val="18"/>
                <w:color w:val="auto"/>
              </w:rPr>
            </w:pPr>
          </w:p>
        </w:tc>
        <w:tc>
          <w:tcPr>
            <w:tcW w:w="116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474,391</w:t>
            </w:r>
          </w:p>
        </w:tc>
        <w:tc>
          <w:tcPr>
            <w:tcW w:w="20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20" w:type="dxa"/>
            <w:vAlign w:val="bottom"/>
            <w:tcBorders>
              <w:bottom w:val="single" w:sz="8" w:color="auto"/>
            </w:tcBorders>
            <w:shd w:val="clear" w:color="auto" w:fill="E6EFFF"/>
          </w:tcPr>
          <w:p>
            <w:pPr>
              <w:spacing w:after="0"/>
              <w:rPr>
                <w:sz w:val="18"/>
                <w:szCs w:val="18"/>
                <w:color w:val="auto"/>
              </w:rPr>
            </w:pPr>
          </w:p>
        </w:tc>
        <w:tc>
          <w:tcPr>
            <w:tcW w:w="1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456,366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850,536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867,285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FOR THE THREE MONTHS ENDED MARCH 31, 2009 AND MARCH 31,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5"/>
          </w:tcPr>
          <w:p>
            <w:pPr>
              <w:jc w:val="center"/>
              <w:spacing w:after="0" w:line="191" w:lineRule="exact"/>
              <w:rPr>
                <w:sz w:val="20"/>
                <w:szCs w:val="20"/>
                <w:color w:val="auto"/>
              </w:rPr>
            </w:pPr>
            <w:r>
              <w:rPr>
                <w:rFonts w:ascii="Arial" w:cs="Arial" w:eastAsia="Arial" w:hAnsi="Arial"/>
                <w:sz w:val="18"/>
                <w:szCs w:val="18"/>
                <w:b w:val="1"/>
                <w:bCs w:val="1"/>
                <w:color w:val="auto"/>
                <w:w w:val="89"/>
              </w:rPr>
              <w:t>(in thousands except share and per share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center"/>
              <w:ind w:right="125"/>
              <w:spacing w:after="0"/>
              <w:rPr>
                <w:sz w:val="20"/>
                <w:szCs w:val="20"/>
                <w:color w:val="auto"/>
              </w:rPr>
            </w:pPr>
            <w:r>
              <w:rPr>
                <w:rFonts w:ascii="Arial" w:cs="Arial" w:eastAsia="Arial" w:hAnsi="Arial"/>
                <w:sz w:val="18"/>
                <w:szCs w:val="18"/>
                <w:b w:val="1"/>
                <w:bCs w:val="1"/>
                <w:color w:val="auto"/>
                <w:w w:val="92"/>
              </w:rPr>
              <w:t>data)</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Gross 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318,538</w:t>
            </w:r>
          </w:p>
        </w:tc>
        <w:tc>
          <w:tcPr>
            <w:tcW w:w="60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Reimbursable expenses</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8"/>
                <w:szCs w:val="18"/>
                <w:color w:val="auto"/>
              </w:rPr>
              <w:t>(98,707)</w:t>
            </w: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(82,509)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Net revenue</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8"/>
                <w:szCs w:val="18"/>
                <w:color w:val="auto"/>
              </w:rPr>
              <w:t>219,831</w:t>
            </w: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201,344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Costs and expenses:</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Direct costs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124,168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8"/>
                <w:szCs w:val="18"/>
                <w:color w:val="auto"/>
              </w:rPr>
              <w:t>61,258</w:t>
            </w: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60,545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E6EFFF"/>
            </w:tcBorders>
            <w:shd w:val="clear" w:color="auto" w:fill="E6EFFF"/>
          </w:tcPr>
          <w:p>
            <w:pPr>
              <w:spacing w:after="0"/>
              <w:rPr>
                <w:sz w:val="18"/>
                <w:szCs w:val="18"/>
                <w:color w:val="auto"/>
              </w:rPr>
            </w:pPr>
          </w:p>
        </w:tc>
        <w:tc>
          <w:tcPr>
            <w:tcW w:w="46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tcBorders>
            <w:shd w:val="clear" w:color="auto" w:fill="E6EFFF"/>
          </w:tcPr>
          <w:p>
            <w:pPr>
              <w:spacing w:after="0"/>
              <w:rPr>
                <w:sz w:val="18"/>
                <w:szCs w:val="18"/>
                <w:color w:val="auto"/>
              </w:rPr>
            </w:pPr>
          </w:p>
        </w:tc>
        <w:tc>
          <w:tcPr>
            <w:tcW w:w="1420" w:type="dxa"/>
            <w:vAlign w:val="bottom"/>
            <w:tcBorders>
              <w:top w:val="single" w:sz="8" w:color="auto"/>
              <w:right w:val="single" w:sz="8" w:color="E6EFFF"/>
            </w:tcBorders>
            <w:shd w:val="clear" w:color="auto" w:fill="E6EFFF"/>
          </w:tcPr>
          <w:p>
            <w:pPr>
              <w:spacing w:after="0"/>
              <w:rPr>
                <w:sz w:val="18"/>
                <w:szCs w:val="18"/>
                <w:color w:val="auto"/>
              </w:rPr>
            </w:pPr>
          </w:p>
        </w:tc>
        <w:tc>
          <w:tcPr>
            <w:tcW w:w="160" w:type="dxa"/>
            <w:vAlign w:val="bottom"/>
            <w:tcBorders>
              <w:top w:val="single" w:sz="8" w:color="E6EFFF"/>
            </w:tcBorders>
            <w:shd w:val="clear" w:color="auto" w:fill="E6EFFF"/>
          </w:tcPr>
          <w:p>
            <w:pPr>
              <w:spacing w:after="0"/>
              <w:rPr>
                <w:sz w:val="18"/>
                <w:szCs w:val="18"/>
                <w:color w:val="auto"/>
              </w:rPr>
            </w:pPr>
          </w:p>
        </w:tc>
        <w:tc>
          <w:tcPr>
            <w:tcW w:w="440" w:type="dxa"/>
            <w:vAlign w:val="bottom"/>
            <w:tcBorders>
              <w:top w:val="single" w:sz="8" w:color="auto"/>
            </w:tcBorders>
            <w:shd w:val="clear" w:color="auto" w:fill="E6EFFF"/>
          </w:tcPr>
          <w:p>
            <w:pPr>
              <w:spacing w:after="0"/>
              <w:rPr>
                <w:sz w:val="18"/>
                <w:szCs w:val="18"/>
                <w:color w:val="auto"/>
              </w:rPr>
            </w:pPr>
          </w:p>
        </w:tc>
        <w:tc>
          <w:tcPr>
            <w:tcW w:w="102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192,916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179,832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E6EFFF"/>
            </w:tcBorders>
            <w:shd w:val="clear" w:color="auto" w:fill="E6EFFF"/>
          </w:tcPr>
          <w:p>
            <w:pPr>
              <w:spacing w:after="0"/>
              <w:rPr>
                <w:sz w:val="18"/>
                <w:szCs w:val="18"/>
                <w:color w:val="auto"/>
              </w:rPr>
            </w:pPr>
          </w:p>
        </w:tc>
        <w:tc>
          <w:tcPr>
            <w:tcW w:w="46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tcBorders>
            <w:shd w:val="clear" w:color="auto" w:fill="E6EFFF"/>
          </w:tcPr>
          <w:p>
            <w:pPr>
              <w:spacing w:after="0"/>
              <w:rPr>
                <w:sz w:val="18"/>
                <w:szCs w:val="18"/>
                <w:color w:val="auto"/>
              </w:rPr>
            </w:pPr>
          </w:p>
        </w:tc>
        <w:tc>
          <w:tcPr>
            <w:tcW w:w="1420" w:type="dxa"/>
            <w:vAlign w:val="bottom"/>
            <w:tcBorders>
              <w:top w:val="single" w:sz="8" w:color="auto"/>
              <w:right w:val="single" w:sz="8" w:color="E6EFFF"/>
            </w:tcBorders>
            <w:shd w:val="clear" w:color="auto" w:fill="E6EFFF"/>
          </w:tcPr>
          <w:p>
            <w:pPr>
              <w:spacing w:after="0"/>
              <w:rPr>
                <w:sz w:val="18"/>
                <w:szCs w:val="18"/>
                <w:color w:val="auto"/>
              </w:rPr>
            </w:pPr>
          </w:p>
        </w:tc>
        <w:tc>
          <w:tcPr>
            <w:tcW w:w="160" w:type="dxa"/>
            <w:vAlign w:val="bottom"/>
            <w:tcBorders>
              <w:top w:val="single" w:sz="8" w:color="E6EFFF"/>
            </w:tcBorders>
            <w:shd w:val="clear" w:color="auto" w:fill="E6EFFF"/>
          </w:tcPr>
          <w:p>
            <w:pPr>
              <w:spacing w:after="0"/>
              <w:rPr>
                <w:sz w:val="18"/>
                <w:szCs w:val="18"/>
                <w:color w:val="auto"/>
              </w:rPr>
            </w:pPr>
          </w:p>
        </w:tc>
        <w:tc>
          <w:tcPr>
            <w:tcW w:w="440" w:type="dxa"/>
            <w:vAlign w:val="bottom"/>
            <w:tcBorders>
              <w:top w:val="single" w:sz="8" w:color="auto"/>
            </w:tcBorders>
            <w:shd w:val="clear" w:color="auto" w:fill="E6EFFF"/>
          </w:tcPr>
          <w:p>
            <w:pPr>
              <w:spacing w:after="0"/>
              <w:rPr>
                <w:sz w:val="18"/>
                <w:szCs w:val="18"/>
                <w:color w:val="auto"/>
              </w:rPr>
            </w:pPr>
          </w:p>
        </w:tc>
        <w:tc>
          <w:tcPr>
            <w:tcW w:w="102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26,915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E6EFFF"/>
            </w:tcBorders>
            <w:shd w:val="clear" w:color="auto" w:fill="E6EFFF"/>
          </w:tcPr>
          <w:p>
            <w:pPr>
              <w:spacing w:after="0"/>
              <w:rPr>
                <w:sz w:val="18"/>
                <w:szCs w:val="18"/>
                <w:color w:val="auto"/>
              </w:rPr>
            </w:pPr>
          </w:p>
        </w:tc>
        <w:tc>
          <w:tcPr>
            <w:tcW w:w="46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tcBorders>
            <w:shd w:val="clear" w:color="auto" w:fill="E6EFFF"/>
          </w:tcPr>
          <w:p>
            <w:pPr>
              <w:spacing w:after="0"/>
              <w:rPr>
                <w:sz w:val="18"/>
                <w:szCs w:val="18"/>
                <w:color w:val="auto"/>
              </w:rPr>
            </w:pPr>
          </w:p>
        </w:tc>
        <w:tc>
          <w:tcPr>
            <w:tcW w:w="1420" w:type="dxa"/>
            <w:vAlign w:val="bottom"/>
            <w:tcBorders>
              <w:top w:val="single" w:sz="8" w:color="auto"/>
              <w:right w:val="single" w:sz="8" w:color="E6EFFF"/>
            </w:tcBorders>
            <w:shd w:val="clear" w:color="auto" w:fill="E6EFFF"/>
          </w:tcPr>
          <w:p>
            <w:pPr>
              <w:spacing w:after="0"/>
              <w:rPr>
                <w:sz w:val="18"/>
                <w:szCs w:val="18"/>
                <w:color w:val="auto"/>
              </w:rPr>
            </w:pPr>
          </w:p>
        </w:tc>
        <w:tc>
          <w:tcPr>
            <w:tcW w:w="160" w:type="dxa"/>
            <w:vAlign w:val="bottom"/>
            <w:tcBorders>
              <w:top w:val="single" w:sz="8" w:color="E6EFFF"/>
            </w:tcBorders>
            <w:shd w:val="clear" w:color="auto" w:fill="E6EFFF"/>
          </w:tcPr>
          <w:p>
            <w:pPr>
              <w:spacing w:after="0"/>
              <w:rPr>
                <w:sz w:val="18"/>
                <w:szCs w:val="18"/>
                <w:color w:val="auto"/>
              </w:rPr>
            </w:pPr>
          </w:p>
        </w:tc>
        <w:tc>
          <w:tcPr>
            <w:tcW w:w="440" w:type="dxa"/>
            <w:vAlign w:val="bottom"/>
            <w:tcBorders>
              <w:top w:val="single" w:sz="8" w:color="auto"/>
            </w:tcBorders>
            <w:shd w:val="clear" w:color="auto" w:fill="E6EFFF"/>
          </w:tcPr>
          <w:p>
            <w:pPr>
              <w:spacing w:after="0"/>
              <w:rPr>
                <w:sz w:val="18"/>
                <w:szCs w:val="18"/>
                <w:color w:val="auto"/>
              </w:rPr>
            </w:pPr>
          </w:p>
        </w:tc>
        <w:tc>
          <w:tcPr>
            <w:tcW w:w="102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26,179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8"/>
                <w:szCs w:val="18"/>
                <w:color w:val="auto"/>
              </w:rPr>
              <w:t>(5,235)</w:t>
            </w: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E6EFFF"/>
            </w:tcBorders>
            <w:shd w:val="clear" w:color="auto" w:fill="E6EFFF"/>
          </w:tcPr>
          <w:p>
            <w:pPr>
              <w:spacing w:after="0"/>
              <w:rPr>
                <w:sz w:val="18"/>
                <w:szCs w:val="18"/>
                <w:color w:val="auto"/>
              </w:rPr>
            </w:pPr>
          </w:p>
        </w:tc>
        <w:tc>
          <w:tcPr>
            <w:tcW w:w="46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tcBorders>
            <w:shd w:val="clear" w:color="auto" w:fill="E6EFFF"/>
          </w:tcPr>
          <w:p>
            <w:pPr>
              <w:spacing w:after="0"/>
              <w:rPr>
                <w:sz w:val="18"/>
                <w:szCs w:val="18"/>
                <w:color w:val="auto"/>
              </w:rPr>
            </w:pPr>
          </w:p>
        </w:tc>
        <w:tc>
          <w:tcPr>
            <w:tcW w:w="1420" w:type="dxa"/>
            <w:vAlign w:val="bottom"/>
            <w:tcBorders>
              <w:top w:val="single" w:sz="8" w:color="auto"/>
              <w:right w:val="single" w:sz="8" w:color="E6EFFF"/>
            </w:tcBorders>
            <w:shd w:val="clear" w:color="auto" w:fill="E6EFFF"/>
          </w:tcPr>
          <w:p>
            <w:pPr>
              <w:spacing w:after="0"/>
              <w:rPr>
                <w:sz w:val="18"/>
                <w:szCs w:val="18"/>
                <w:color w:val="auto"/>
              </w:rPr>
            </w:pPr>
          </w:p>
        </w:tc>
        <w:tc>
          <w:tcPr>
            <w:tcW w:w="160" w:type="dxa"/>
            <w:vAlign w:val="bottom"/>
            <w:tcBorders>
              <w:top w:val="single" w:sz="8" w:color="E6EFFF"/>
            </w:tcBorders>
            <w:shd w:val="clear" w:color="auto" w:fill="E6EFFF"/>
          </w:tcPr>
          <w:p>
            <w:pPr>
              <w:spacing w:after="0"/>
              <w:rPr>
                <w:sz w:val="18"/>
                <w:szCs w:val="18"/>
                <w:color w:val="auto"/>
              </w:rPr>
            </w:pPr>
          </w:p>
        </w:tc>
        <w:tc>
          <w:tcPr>
            <w:tcW w:w="440" w:type="dxa"/>
            <w:vAlign w:val="bottom"/>
            <w:tcBorders>
              <w:top w:val="single" w:sz="8" w:color="auto"/>
            </w:tcBorders>
            <w:shd w:val="clear" w:color="auto" w:fill="E6EFFF"/>
          </w:tcPr>
          <w:p>
            <w:pPr>
              <w:spacing w:after="0"/>
              <w:rPr>
                <w:sz w:val="18"/>
                <w:szCs w:val="18"/>
                <w:color w:val="auto"/>
              </w:rPr>
            </w:pPr>
          </w:p>
        </w:tc>
        <w:tc>
          <w:tcPr>
            <w:tcW w:w="102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20,944</w:t>
            </w:r>
          </w:p>
        </w:tc>
        <w:tc>
          <w:tcPr>
            <w:tcW w:w="60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Borders>
              <w:top w:val="single" w:sz="8" w:color="E6EFFF"/>
            </w:tcBorders>
            <w:shd w:val="clear" w:color="auto" w:fill="E6EFFF"/>
          </w:tcPr>
          <w:p>
            <w:pPr>
              <w:spacing w:after="0" w:line="190" w:lineRule="exact"/>
              <w:rPr>
                <w:sz w:val="20"/>
                <w:szCs w:val="20"/>
                <w:color w:val="auto"/>
              </w:rPr>
            </w:pPr>
            <w:r>
              <w:rPr>
                <w:rFonts w:ascii="Arial" w:cs="Arial" w:eastAsia="Arial" w:hAnsi="Arial"/>
                <w:sz w:val="18"/>
                <w:szCs w:val="18"/>
                <w:color w:val="auto"/>
              </w:rPr>
              <w:t>Net income per Ordinary Share:</w:t>
            </w:r>
          </w:p>
        </w:tc>
        <w:tc>
          <w:tcPr>
            <w:tcW w:w="46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auto"/>
            </w:tcBorders>
            <w:shd w:val="clear" w:color="auto" w:fill="E6EFFF"/>
          </w:tcPr>
          <w:p>
            <w:pPr>
              <w:spacing w:after="0"/>
              <w:rPr>
                <w:sz w:val="17"/>
                <w:szCs w:val="17"/>
                <w:color w:val="auto"/>
              </w:rPr>
            </w:pPr>
          </w:p>
        </w:tc>
        <w:tc>
          <w:tcPr>
            <w:tcW w:w="1420" w:type="dxa"/>
            <w:vAlign w:val="bottom"/>
            <w:tcBorders>
              <w:top w:val="single" w:sz="8" w:color="auto"/>
              <w:right w:val="single" w:sz="8" w:color="E6EFFF"/>
            </w:tcBorders>
            <w:shd w:val="clear" w:color="auto" w:fill="E6EFFF"/>
          </w:tcPr>
          <w:p>
            <w:pPr>
              <w:spacing w:after="0"/>
              <w:rPr>
                <w:sz w:val="17"/>
                <w:szCs w:val="17"/>
                <w:color w:val="auto"/>
              </w:rPr>
            </w:pPr>
          </w:p>
        </w:tc>
        <w:tc>
          <w:tcPr>
            <w:tcW w:w="160" w:type="dxa"/>
            <w:vAlign w:val="bottom"/>
            <w:tcBorders>
              <w:top w:val="single" w:sz="8" w:color="E6EFFF"/>
            </w:tcBorders>
            <w:shd w:val="clear" w:color="auto" w:fill="E6EFFF"/>
          </w:tcPr>
          <w:p>
            <w:pPr>
              <w:spacing w:after="0"/>
              <w:rPr>
                <w:sz w:val="17"/>
                <w:szCs w:val="17"/>
                <w:color w:val="auto"/>
              </w:rPr>
            </w:pPr>
          </w:p>
        </w:tc>
        <w:tc>
          <w:tcPr>
            <w:tcW w:w="440" w:type="dxa"/>
            <w:vAlign w:val="bottom"/>
            <w:tcBorders>
              <w:top w:val="single" w:sz="8" w:color="auto"/>
            </w:tcBorders>
            <w:shd w:val="clear" w:color="auto" w:fill="E6EFFF"/>
          </w:tcPr>
          <w:p>
            <w:pPr>
              <w:spacing w:after="0"/>
              <w:rPr>
                <w:sz w:val="17"/>
                <w:szCs w:val="17"/>
                <w:color w:val="auto"/>
              </w:rPr>
            </w:pPr>
          </w:p>
        </w:tc>
        <w:tc>
          <w:tcPr>
            <w:tcW w:w="102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0.36</w:t>
            </w:r>
          </w:p>
        </w:tc>
        <w:tc>
          <w:tcPr>
            <w:tcW w:w="60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Borders>
              <w:top w:val="single" w:sz="8" w:color="E6EFFF"/>
              <w:bottom w:val="single" w:sz="8" w:color="E6EFFF"/>
            </w:tcBorders>
            <w:shd w:val="clear" w:color="auto" w:fill="E6EFFF"/>
          </w:tcPr>
          <w:p>
            <w:pPr>
              <w:ind w:left="120"/>
              <w:spacing w:after="0" w:line="190" w:lineRule="exact"/>
              <w:rPr>
                <w:sz w:val="20"/>
                <w:szCs w:val="20"/>
                <w:color w:val="auto"/>
              </w:rPr>
            </w:pPr>
            <w:r>
              <w:rPr>
                <w:rFonts w:ascii="Arial" w:cs="Arial" w:eastAsia="Arial" w:hAnsi="Arial"/>
                <w:sz w:val="18"/>
                <w:szCs w:val="18"/>
                <w:color w:val="auto"/>
              </w:rPr>
              <w:t>Diluted</w:t>
            </w:r>
          </w:p>
        </w:tc>
        <w:tc>
          <w:tcPr>
            <w:tcW w:w="460" w:type="dxa"/>
            <w:vAlign w:val="bottom"/>
            <w:tcBorders>
              <w:top w:val="single" w:sz="8" w:color="E6EFFF"/>
              <w:bottom w:val="single" w:sz="8" w:color="E6EFFF"/>
            </w:tcBorders>
            <w:shd w:val="clear" w:color="auto" w:fill="E6EFFF"/>
          </w:tcPr>
          <w:p>
            <w:pPr>
              <w:spacing w:after="0"/>
              <w:rPr>
                <w:sz w:val="17"/>
                <w:szCs w:val="17"/>
                <w:color w:val="auto"/>
              </w:rPr>
            </w:pPr>
          </w:p>
        </w:tc>
        <w:tc>
          <w:tcPr>
            <w:tcW w:w="120" w:type="dxa"/>
            <w:vAlign w:val="bottom"/>
            <w:tcBorders>
              <w:top w:val="single" w:sz="8" w:color="auto"/>
              <w:bottom w:val="single" w:sz="8" w:color="auto"/>
            </w:tcBorders>
            <w:shd w:val="clear" w:color="auto" w:fill="E6E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right w:val="single" w:sz="8" w:color="E6EFFF"/>
            </w:tcBorders>
            <w:shd w:val="clear" w:color="auto" w:fill="E6EFFF"/>
          </w:tcPr>
          <w:p>
            <w:pPr>
              <w:jc w:val="right"/>
              <w:spacing w:after="0" w:line="196" w:lineRule="exact"/>
              <w:rPr>
                <w:sz w:val="20"/>
                <w:szCs w:val="20"/>
                <w:color w:val="auto"/>
              </w:rPr>
            </w:pPr>
            <w:r>
              <w:rPr>
                <w:rFonts w:ascii="Arial" w:cs="Arial" w:eastAsia="Arial" w:hAnsi="Arial"/>
                <w:sz w:val="18"/>
                <w:szCs w:val="18"/>
                <w:color w:val="auto"/>
              </w:rPr>
              <w:t>0.35</w:t>
            </w:r>
          </w:p>
        </w:tc>
        <w:tc>
          <w:tcPr>
            <w:tcW w:w="160" w:type="dxa"/>
            <w:vAlign w:val="bottom"/>
            <w:tcBorders>
              <w:top w:val="single" w:sz="8" w:color="E6EFFF"/>
              <w:bottom w:val="single" w:sz="8" w:color="E6EFFF"/>
            </w:tcBorders>
            <w:shd w:val="clear" w:color="auto" w:fill="E6EFFF"/>
          </w:tcPr>
          <w:p>
            <w:pPr>
              <w:spacing w:after="0"/>
              <w:rPr>
                <w:sz w:val="17"/>
                <w:szCs w:val="17"/>
                <w:color w:val="auto"/>
              </w:rPr>
            </w:pPr>
          </w:p>
        </w:tc>
        <w:tc>
          <w:tcPr>
            <w:tcW w:w="440" w:type="dxa"/>
            <w:vAlign w:val="bottom"/>
            <w:tcBorders>
              <w:top w:val="single" w:sz="8" w:color="auto"/>
              <w:bottom w:val="single" w:sz="8" w:color="auto"/>
            </w:tcBorders>
            <w:shd w:val="clear" w:color="auto" w:fill="E6EFFF"/>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6EFFF"/>
          </w:tcPr>
          <w:p>
            <w:pPr>
              <w:jc w:val="right"/>
              <w:spacing w:after="0" w:line="196" w:lineRule="exact"/>
              <w:rPr>
                <w:sz w:val="20"/>
                <w:szCs w:val="20"/>
                <w:color w:val="auto"/>
              </w:rPr>
            </w:pPr>
            <w:r>
              <w:rPr>
                <w:rFonts w:ascii="Arial" w:cs="Arial" w:eastAsia="Arial" w:hAnsi="Arial"/>
                <w:sz w:val="18"/>
                <w:szCs w:val="18"/>
                <w:color w:val="auto"/>
              </w:rPr>
              <w:t>0.28</w:t>
            </w:r>
          </w:p>
        </w:tc>
        <w:tc>
          <w:tcPr>
            <w:tcW w:w="220" w:type="dxa"/>
            <w:vAlign w:val="bottom"/>
            <w:tcBorders>
              <w:top w:val="single" w:sz="8" w:color="E6EFFF"/>
              <w:bottom w:val="single" w:sz="8" w:color="E6EFFF"/>
            </w:tcBorders>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8"/>
                <w:szCs w:val="18"/>
                <w:color w:val="auto"/>
              </w:rPr>
              <w:t>58,537,795</w:t>
            </w: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57,805,260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E6EFFF"/>
            </w:tcBorders>
          </w:tcPr>
          <w:p>
            <w:pPr>
              <w:spacing w:after="0" w:line="20" w:lineRule="exact"/>
              <w:rPr>
                <w:sz w:val="1"/>
                <w:szCs w:val="1"/>
                <w:color w:val="auto"/>
              </w:rPr>
            </w:pPr>
          </w:p>
        </w:tc>
        <w:tc>
          <w:tcPr>
            <w:tcW w:w="460" w:type="dxa"/>
            <w:vAlign w:val="bottom"/>
            <w:tcBorders>
              <w:top w:val="single" w:sz="8" w:color="E6E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6E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8"/>
                <w:szCs w:val="18"/>
                <w:color w:val="auto"/>
              </w:rPr>
              <w:t>59,771,335</w:t>
            </w:r>
          </w:p>
        </w:tc>
        <w:tc>
          <w:tcPr>
            <w:tcW w:w="1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60,079,472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E6EFFF"/>
          </w:tcPr>
          <w:p>
            <w:pPr>
              <w:spacing w:after="0" w:line="20" w:lineRule="exact"/>
              <w:rPr>
                <w:sz w:val="1"/>
                <w:szCs w:val="1"/>
                <w:color w:val="auto"/>
              </w:rPr>
            </w:pPr>
          </w:p>
        </w:tc>
        <w:tc>
          <w:tcPr>
            <w:tcW w:w="460" w:type="dxa"/>
            <w:vAlign w:val="bottom"/>
            <w:shd w:val="clear" w:color="auto" w:fill="E6E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tcBorders>
              <w:right w:val="single" w:sz="8" w:color="E6EFFF"/>
            </w:tcBorders>
            <w:shd w:val="clear" w:color="auto" w:fill="000000"/>
          </w:tcPr>
          <w:p>
            <w:pPr>
              <w:spacing w:after="0" w:line="20" w:lineRule="exact"/>
              <w:rPr>
                <w:sz w:val="1"/>
                <w:szCs w:val="1"/>
                <w:color w:val="auto"/>
              </w:rPr>
            </w:pPr>
          </w:p>
        </w:tc>
        <w:tc>
          <w:tcPr>
            <w:tcW w:w="160" w:type="dxa"/>
            <w:vAlign w:val="bottom"/>
            <w:shd w:val="clear" w:color="auto" w:fill="E6EF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w w:val="95"/>
              </w:rPr>
              <w:t>The accompanying notes are an integral part of these condensed consolidated financial statements.</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right="40"/>
        <w:spacing w:after="0" w:line="230" w:lineRule="auto"/>
        <w:rPr>
          <w:sz w:val="20"/>
          <w:szCs w:val="20"/>
          <w:color w:val="auto"/>
        </w:rPr>
      </w:pPr>
      <w:r>
        <w:rPr>
          <w:rFonts w:ascii="Arial" w:cs="Arial" w:eastAsia="Arial" w:hAnsi="Arial"/>
          <w:sz w:val="22"/>
          <w:szCs w:val="22"/>
          <w:b w:val="1"/>
          <w:bCs w:val="1"/>
          <w:color w:val="auto"/>
        </w:rPr>
        <w:t>FOR THE THREE MONTHS ENDED MARCH 31, 2009 AND MARCH 31,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gridSpan w:val="2"/>
          </w:tcPr>
          <w:p>
            <w:pPr>
              <w:jc w:val="right"/>
              <w:ind w:right="140"/>
              <w:spacing w:after="0" w:line="191" w:lineRule="exact"/>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0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20,944</w:t>
            </w:r>
          </w:p>
        </w:tc>
        <w:tc>
          <w:tcPr>
            <w:tcW w:w="720" w:type="dxa"/>
            <w:vAlign w:val="bottom"/>
            <w:gridSpan w:val="2"/>
          </w:tcPr>
          <w:p>
            <w:pPr>
              <w:jc w:val="center"/>
              <w:ind w:righ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0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Loss on disposal of property, plant and equipment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7,490</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Amortization of grants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Share-based compensation expense</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(2,181)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Minority interest</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Increase in accounts receivable</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spacing w:after="0"/>
              <w:rPr>
                <w:sz w:val="20"/>
                <w:szCs w:val="20"/>
                <w:color w:val="auto"/>
              </w:rPr>
            </w:pPr>
            <w:r>
              <w:rPr>
                <w:rFonts w:ascii="Arial" w:cs="Arial" w:eastAsia="Arial" w:hAnsi="Arial"/>
                <w:sz w:val="18"/>
                <w:szCs w:val="18"/>
                <w:color w:val="auto"/>
              </w:rPr>
              <w:t>(15,471)</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(46,821)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Decrease/(Increase) in unbilled revenue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17,369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Decrease in other receivables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6,824</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Increase in prepayments and other current assets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(4,623)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Increase in other non current assets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Increase in payments on account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14,223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Decrease in other current liabilities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spacing w:after="0"/>
              <w:rPr>
                <w:sz w:val="20"/>
                <w:szCs w:val="20"/>
                <w:color w:val="auto"/>
              </w:rPr>
            </w:pPr>
            <w:r>
              <w:rPr>
                <w:rFonts w:ascii="Arial" w:cs="Arial" w:eastAsia="Arial" w:hAnsi="Arial"/>
                <w:sz w:val="18"/>
                <w:szCs w:val="18"/>
                <w:color w:val="auto"/>
              </w:rPr>
              <w:t>(19,280)</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Increase in other non current liabilities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Increase in income taxes payable</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4,893</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Decrease in accounts payable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(7,279)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E6EFFF"/>
            </w:tcBorders>
            <w:shd w:val="clear" w:color="auto" w:fill="E6EFFF"/>
          </w:tcPr>
          <w:p>
            <w:pPr>
              <w:spacing w:after="0"/>
              <w:rPr>
                <w:sz w:val="20"/>
                <w:szCs w:val="20"/>
                <w:color w:val="auto"/>
              </w:rPr>
            </w:pPr>
            <w:r>
              <w:rPr>
                <w:rFonts w:ascii="Arial" w:cs="Arial" w:eastAsia="Arial" w:hAnsi="Arial"/>
                <w:sz w:val="18"/>
                <w:szCs w:val="18"/>
                <w:color w:val="auto"/>
              </w:rPr>
              <w:t>Net cash provided by / (used in) operating activities</w:t>
            </w:r>
          </w:p>
        </w:tc>
        <w:tc>
          <w:tcPr>
            <w:tcW w:w="460" w:type="dxa"/>
            <w:vAlign w:val="bottom"/>
            <w:tcBorders>
              <w:top w:val="single" w:sz="8" w:color="E6EFFF"/>
            </w:tcBorders>
            <w:shd w:val="clear" w:color="auto" w:fill="E6EFFF"/>
          </w:tcPr>
          <w:p>
            <w:pPr>
              <w:spacing w:after="0"/>
              <w:rPr>
                <w:sz w:val="18"/>
                <w:szCs w:val="18"/>
                <w:color w:val="auto"/>
              </w:rPr>
            </w:pPr>
          </w:p>
        </w:tc>
        <w:tc>
          <w:tcPr>
            <w:tcW w:w="400" w:type="dxa"/>
            <w:vAlign w:val="bottom"/>
            <w:tcBorders>
              <w:top w:val="single" w:sz="8" w:color="auto"/>
            </w:tcBorders>
            <w:shd w:val="clear" w:color="auto" w:fill="E6EFFF"/>
          </w:tcPr>
          <w:p>
            <w:pPr>
              <w:spacing w:after="0"/>
              <w:rPr>
                <w:sz w:val="18"/>
                <w:szCs w:val="18"/>
                <w:color w:val="auto"/>
              </w:rPr>
            </w:pPr>
          </w:p>
        </w:tc>
        <w:tc>
          <w:tcPr>
            <w:tcW w:w="1080" w:type="dxa"/>
            <w:vAlign w:val="bottom"/>
            <w:tcBorders>
              <w:top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24,670</w:t>
            </w:r>
          </w:p>
        </w:tc>
        <w:tc>
          <w:tcPr>
            <w:tcW w:w="140" w:type="dxa"/>
            <w:vAlign w:val="bottom"/>
            <w:tcBorders>
              <w:top w:val="single" w:sz="8" w:color="E6EFFF"/>
            </w:tcBorders>
            <w:shd w:val="clear" w:color="auto" w:fill="E6EFFF"/>
          </w:tcPr>
          <w:p>
            <w:pPr>
              <w:spacing w:after="0"/>
              <w:rPr>
                <w:sz w:val="18"/>
                <w:szCs w:val="18"/>
                <w:color w:val="auto"/>
              </w:rPr>
            </w:pPr>
          </w:p>
        </w:tc>
        <w:tc>
          <w:tcPr>
            <w:tcW w:w="80" w:type="dxa"/>
            <w:vAlign w:val="bottom"/>
            <w:tcBorders>
              <w:top w:val="single" w:sz="8" w:color="E6EFFF"/>
            </w:tcBorders>
            <w:shd w:val="clear" w:color="auto" w:fill="E6EFFF"/>
          </w:tcPr>
          <w:p>
            <w:pPr>
              <w:spacing w:after="0"/>
              <w:rPr>
                <w:sz w:val="18"/>
                <w:szCs w:val="18"/>
                <w:color w:val="auto"/>
              </w:rPr>
            </w:pPr>
          </w:p>
        </w:tc>
        <w:tc>
          <w:tcPr>
            <w:tcW w:w="64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(12,330</w:t>
            </w:r>
          </w:p>
        </w:tc>
        <w:tc>
          <w:tcPr>
            <w:tcW w:w="220" w:type="dxa"/>
            <w:vAlign w:val="bottom"/>
            <w:tcBorders>
              <w:top w:val="single" w:sz="8" w:color="E6EFFF"/>
            </w:tcBorders>
            <w:shd w:val="clear" w:color="auto" w:fill="E6EF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0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Arial" w:cs="Arial" w:eastAsia="Arial" w:hAnsi="Arial"/>
                <w:sz w:val="18"/>
                <w:szCs w:val="18"/>
                <w:color w:val="auto"/>
              </w:rPr>
              <w:t>Purchase of property, plant and equipment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(8,120)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00"/>
              <w:spacing w:after="0"/>
              <w:rPr>
                <w:sz w:val="20"/>
                <w:szCs w:val="20"/>
                <w:color w:val="auto"/>
              </w:rPr>
            </w:pPr>
            <w:r>
              <w:rPr>
                <w:rFonts w:ascii="Arial" w:cs="Arial" w:eastAsia="Arial" w:hAnsi="Arial"/>
                <w:sz w:val="18"/>
                <w:szCs w:val="18"/>
                <w:color w:val="auto"/>
              </w:rPr>
              <w:t>Purchase of subsidiary undertakings &amp; acquisition costs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(11,053)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Cash acquired with subsidiary undertaking</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ind w:left="220"/>
              <w:spacing w:after="0"/>
              <w:rPr>
                <w:sz w:val="20"/>
                <w:szCs w:val="20"/>
                <w:color w:val="auto"/>
              </w:rPr>
            </w:pPr>
            <w:r>
              <w:rPr>
                <w:rFonts w:ascii="Arial" w:cs="Arial" w:eastAsia="Arial" w:hAnsi="Arial"/>
                <w:sz w:val="18"/>
                <w:szCs w:val="18"/>
                <w:color w:val="auto"/>
              </w:rPr>
              <w:t>Sale of short term investments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16,544</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12,009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(15,556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0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Drawdown of credit lines and facilities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26,722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Repayment of credit lines and facilities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(20,116)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Proceeds from exercise of share options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Share issuance costs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6EFFF"/>
          </w:tcPr>
          <w:p>
            <w:pPr>
              <w:spacing w:after="0"/>
              <w:rPr>
                <w:sz w:val="20"/>
                <w:szCs w:val="20"/>
                <w:color w:val="auto"/>
              </w:rPr>
            </w:pPr>
            <w:r>
              <w:rPr>
                <w:rFonts w:ascii="Arial" w:cs="Arial" w:eastAsia="Arial" w:hAnsi="Arial"/>
                <w:sz w:val="18"/>
                <w:szCs w:val="18"/>
                <w:color w:val="auto"/>
              </w:rPr>
              <w:t>Tax benefit from the exercise of share options</w:t>
            </w:r>
          </w:p>
        </w:tc>
        <w:tc>
          <w:tcPr>
            <w:tcW w:w="46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Repayment of other liabilities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E6EFFF"/>
            </w:tcBorders>
            <w:shd w:val="clear" w:color="auto" w:fill="E6EFFF"/>
          </w:tcPr>
          <w:p>
            <w:pPr>
              <w:spacing w:after="0"/>
              <w:rPr>
                <w:sz w:val="20"/>
                <w:szCs w:val="20"/>
                <w:color w:val="auto"/>
              </w:rPr>
            </w:pPr>
            <w:r>
              <w:rPr>
                <w:rFonts w:ascii="Arial" w:cs="Arial" w:eastAsia="Arial" w:hAnsi="Arial"/>
                <w:sz w:val="18"/>
                <w:szCs w:val="18"/>
                <w:color w:val="auto"/>
              </w:rPr>
              <w:t>Net cash (used in)/provided by financing activities</w:t>
            </w:r>
          </w:p>
        </w:tc>
        <w:tc>
          <w:tcPr>
            <w:tcW w:w="460" w:type="dxa"/>
            <w:vAlign w:val="bottom"/>
            <w:tcBorders>
              <w:top w:val="single" w:sz="8" w:color="E6EFFF"/>
            </w:tcBorders>
            <w:shd w:val="clear" w:color="auto" w:fill="E6EFFF"/>
          </w:tcPr>
          <w:p>
            <w:pPr>
              <w:spacing w:after="0"/>
              <w:rPr>
                <w:sz w:val="18"/>
                <w:szCs w:val="18"/>
                <w:color w:val="auto"/>
              </w:rPr>
            </w:pPr>
          </w:p>
        </w:tc>
        <w:tc>
          <w:tcPr>
            <w:tcW w:w="400" w:type="dxa"/>
            <w:vAlign w:val="bottom"/>
            <w:tcBorders>
              <w:top w:val="single" w:sz="8" w:color="auto"/>
            </w:tcBorders>
            <w:shd w:val="clear" w:color="auto" w:fill="E6EFFF"/>
          </w:tcPr>
          <w:p>
            <w:pPr>
              <w:spacing w:after="0"/>
              <w:rPr>
                <w:sz w:val="18"/>
                <w:szCs w:val="18"/>
                <w:color w:val="auto"/>
              </w:rPr>
            </w:pPr>
          </w:p>
        </w:tc>
        <w:tc>
          <w:tcPr>
            <w:tcW w:w="1080" w:type="dxa"/>
            <w:vAlign w:val="bottom"/>
            <w:tcBorders>
              <w:top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(2,468</w:t>
            </w:r>
          </w:p>
        </w:tc>
        <w:tc>
          <w:tcPr>
            <w:tcW w:w="140" w:type="dxa"/>
            <w:vAlign w:val="bottom"/>
            <w:tcBorders>
              <w:top w:val="single" w:sz="8" w:color="E6EFFF"/>
            </w:tcBorders>
            <w:shd w:val="clear" w:color="auto" w:fill="E6E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6EFFF"/>
            </w:tcBorders>
            <w:shd w:val="clear" w:color="auto" w:fill="E6EFFF"/>
          </w:tcPr>
          <w:p>
            <w:pPr>
              <w:spacing w:after="0"/>
              <w:rPr>
                <w:sz w:val="18"/>
                <w:szCs w:val="18"/>
                <w:color w:val="auto"/>
              </w:rPr>
            </w:pPr>
          </w:p>
        </w:tc>
        <w:tc>
          <w:tcPr>
            <w:tcW w:w="64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31,335</w:t>
            </w:r>
          </w:p>
        </w:tc>
        <w:tc>
          <w:tcPr>
            <w:tcW w:w="22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Effect of exchange rate movements on cash</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E6EFFF"/>
            </w:tcBorders>
            <w:shd w:val="clear" w:color="auto" w:fill="E6EF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460" w:type="dxa"/>
            <w:vAlign w:val="bottom"/>
            <w:tcBorders>
              <w:top w:val="single" w:sz="8" w:color="E6EFFF"/>
            </w:tcBorders>
            <w:shd w:val="clear" w:color="auto" w:fill="E6EFFF"/>
          </w:tcPr>
          <w:p>
            <w:pPr>
              <w:spacing w:after="0"/>
              <w:rPr>
                <w:sz w:val="18"/>
                <w:szCs w:val="18"/>
                <w:color w:val="auto"/>
              </w:rPr>
            </w:pPr>
          </w:p>
        </w:tc>
        <w:tc>
          <w:tcPr>
            <w:tcW w:w="400" w:type="dxa"/>
            <w:vAlign w:val="bottom"/>
            <w:tcBorders>
              <w:top w:val="single" w:sz="8" w:color="auto"/>
            </w:tcBorders>
            <w:shd w:val="clear" w:color="auto" w:fill="E6EFFF"/>
          </w:tcPr>
          <w:p>
            <w:pPr>
              <w:spacing w:after="0"/>
              <w:rPr>
                <w:sz w:val="18"/>
                <w:szCs w:val="18"/>
                <w:color w:val="auto"/>
              </w:rPr>
            </w:pPr>
          </w:p>
        </w:tc>
        <w:tc>
          <w:tcPr>
            <w:tcW w:w="1080" w:type="dxa"/>
            <w:vAlign w:val="bottom"/>
            <w:tcBorders>
              <w:top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12,438</w:t>
            </w:r>
          </w:p>
        </w:tc>
        <w:tc>
          <w:tcPr>
            <w:tcW w:w="140" w:type="dxa"/>
            <w:vAlign w:val="bottom"/>
            <w:tcBorders>
              <w:top w:val="single" w:sz="8" w:color="E6EFFF"/>
            </w:tcBorders>
            <w:shd w:val="clear" w:color="auto" w:fill="E6EFFF"/>
          </w:tcPr>
          <w:p>
            <w:pPr>
              <w:spacing w:after="0"/>
              <w:rPr>
                <w:sz w:val="18"/>
                <w:szCs w:val="18"/>
                <w:color w:val="auto"/>
              </w:rPr>
            </w:pPr>
          </w:p>
        </w:tc>
        <w:tc>
          <w:tcPr>
            <w:tcW w:w="80" w:type="dxa"/>
            <w:vAlign w:val="bottom"/>
            <w:tcBorders>
              <w:top w:val="single" w:sz="8" w:color="E6EFFF"/>
            </w:tcBorders>
            <w:shd w:val="clear" w:color="auto" w:fill="E6EFFF"/>
          </w:tcPr>
          <w:p>
            <w:pPr>
              <w:spacing w:after="0"/>
              <w:rPr>
                <w:sz w:val="18"/>
                <w:szCs w:val="18"/>
                <w:color w:val="auto"/>
              </w:rPr>
            </w:pPr>
          </w:p>
        </w:tc>
        <w:tc>
          <w:tcPr>
            <w:tcW w:w="64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4,341</w:t>
            </w:r>
          </w:p>
        </w:tc>
        <w:tc>
          <w:tcPr>
            <w:tcW w:w="22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58,378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76,881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E6EFFF"/>
            </w:tcBorders>
            <w:shd w:val="clear" w:color="auto" w:fill="E6EFFF"/>
          </w:tcPr>
          <w:p>
            <w:pPr>
              <w:spacing w:after="0"/>
              <w:rPr>
                <w:sz w:val="18"/>
                <w:szCs w:val="18"/>
                <w:color w:val="auto"/>
              </w:rPr>
            </w:pPr>
          </w:p>
        </w:tc>
        <w:tc>
          <w:tcPr>
            <w:tcW w:w="460" w:type="dxa"/>
            <w:vAlign w:val="bottom"/>
            <w:tcBorders>
              <w:top w:val="single" w:sz="8" w:color="E6EFFF"/>
            </w:tcBorders>
            <w:shd w:val="clear" w:color="auto" w:fill="E6EFFF"/>
          </w:tcPr>
          <w:p>
            <w:pPr>
              <w:spacing w:after="0"/>
              <w:rPr>
                <w:sz w:val="18"/>
                <w:szCs w:val="18"/>
                <w:color w:val="auto"/>
              </w:rPr>
            </w:pPr>
          </w:p>
        </w:tc>
        <w:tc>
          <w:tcPr>
            <w:tcW w:w="400" w:type="dxa"/>
            <w:vAlign w:val="bottom"/>
            <w:tcBorders>
              <w:top w:val="single" w:sz="8" w:color="auto"/>
            </w:tcBorders>
            <w:shd w:val="clear" w:color="auto" w:fill="E6EFFF"/>
          </w:tcPr>
          <w:p>
            <w:pPr>
              <w:spacing w:after="0"/>
              <w:rPr>
                <w:sz w:val="18"/>
                <w:szCs w:val="18"/>
                <w:color w:val="auto"/>
              </w:rPr>
            </w:pPr>
          </w:p>
        </w:tc>
        <w:tc>
          <w:tcPr>
            <w:tcW w:w="1080" w:type="dxa"/>
            <w:vAlign w:val="bottom"/>
            <w:tcBorders>
              <w:top w:val="single" w:sz="8" w:color="auto"/>
            </w:tcBorders>
            <w:shd w:val="clear" w:color="auto" w:fill="E6EFFF"/>
          </w:tcPr>
          <w:p>
            <w:pPr>
              <w:spacing w:after="0"/>
              <w:rPr>
                <w:sz w:val="18"/>
                <w:szCs w:val="18"/>
                <w:color w:val="auto"/>
              </w:rPr>
            </w:pPr>
          </w:p>
        </w:tc>
        <w:tc>
          <w:tcPr>
            <w:tcW w:w="140" w:type="dxa"/>
            <w:vAlign w:val="bottom"/>
            <w:tcBorders>
              <w:top w:val="single" w:sz="8" w:color="E6EFFF"/>
            </w:tcBorders>
            <w:shd w:val="clear" w:color="auto" w:fill="E6EFFF"/>
          </w:tcPr>
          <w:p>
            <w:pPr>
              <w:spacing w:after="0"/>
              <w:rPr>
                <w:sz w:val="18"/>
                <w:szCs w:val="18"/>
                <w:color w:val="auto"/>
              </w:rPr>
            </w:pPr>
          </w:p>
        </w:tc>
        <w:tc>
          <w:tcPr>
            <w:tcW w:w="80" w:type="dxa"/>
            <w:vAlign w:val="bottom"/>
            <w:tcBorders>
              <w:top w:val="single" w:sz="8" w:color="E6EFFF"/>
            </w:tcBorders>
            <w:shd w:val="clear" w:color="auto" w:fill="E6EFFF"/>
          </w:tcPr>
          <w:p>
            <w:pPr>
              <w:spacing w:after="0"/>
              <w:rPr>
                <w:sz w:val="18"/>
                <w:szCs w:val="18"/>
                <w:color w:val="auto"/>
              </w:rPr>
            </w:pPr>
          </w:p>
        </w:tc>
        <w:tc>
          <w:tcPr>
            <w:tcW w:w="64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70,816</w:t>
            </w:r>
          </w:p>
        </w:tc>
        <w:tc>
          <w:tcPr>
            <w:tcW w:w="720" w:type="dxa"/>
            <w:vAlign w:val="bottom"/>
            <w:gridSpan w:val="2"/>
          </w:tcPr>
          <w:p>
            <w:pPr>
              <w:jc w:val="center"/>
              <w:ind w:righ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81,222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w w:val="95"/>
              </w:rPr>
              <w:t>The accompanying notes are an integral part of these condensed consolidated financial statements.</w:t>
            </w: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CONDENSED CONSOLIDATED STATEMENTS OF SHAREHOLDERS' EQUITY AND COMPREHENSIVE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5"/>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Retained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9"/>
          </w:tcPr>
          <w:p>
            <w:pPr>
              <w:jc w:val="right"/>
              <w:ind w:right="140"/>
              <w:spacing w:after="0"/>
              <w:rPr>
                <w:sz w:val="20"/>
                <w:szCs w:val="20"/>
                <w:color w:val="auto"/>
              </w:rPr>
            </w:pPr>
            <w:r>
              <w:rPr>
                <w:rFonts w:ascii="Arial" w:cs="Arial" w:eastAsia="Arial" w:hAnsi="Arial"/>
                <w:sz w:val="18"/>
                <w:szCs w:val="18"/>
                <w:b w:val="1"/>
                <w:bCs w:val="1"/>
                <w:color w:val="auto"/>
                <w:w w:val="94"/>
              </w:rPr>
              <w:t>(dollars in thousands, except share data)</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Balance at December 31, 2008</w:t>
            </w:r>
          </w:p>
        </w:tc>
        <w:tc>
          <w:tcPr>
            <w:tcW w:w="1020" w:type="dxa"/>
            <w:vAlign w:val="bottom"/>
            <w:gridSpan w:val="2"/>
            <w:shd w:val="clear" w:color="auto" w:fill="E6EFFF"/>
          </w:tcPr>
          <w:p>
            <w:pPr>
              <w:jc w:val="right"/>
              <w:ind w:right="120"/>
              <w:spacing w:after="0"/>
              <w:rPr>
                <w:sz w:val="20"/>
                <w:szCs w:val="20"/>
                <w:color w:val="auto"/>
              </w:rPr>
            </w:pPr>
            <w:r>
              <w:rPr>
                <w:rFonts w:ascii="Arial" w:cs="Arial" w:eastAsia="Arial" w:hAnsi="Arial"/>
                <w:sz w:val="18"/>
                <w:szCs w:val="18"/>
                <w:color w:val="auto"/>
                <w:w w:val="97"/>
              </w:rPr>
              <w:t>58,518,195</w:t>
            </w:r>
          </w:p>
        </w:tc>
        <w:tc>
          <w:tcPr>
            <w:tcW w:w="300" w:type="dxa"/>
            <w:vAlign w:val="bottom"/>
            <w:gridSpan w:val="2"/>
            <w:shd w:val="clear" w:color="auto" w:fill="E6EF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FFF"/>
          </w:tcPr>
          <w:p>
            <w:pPr>
              <w:jc w:val="right"/>
              <w:spacing w:after="0"/>
              <w:rPr>
                <w:sz w:val="20"/>
                <w:szCs w:val="20"/>
                <w:color w:val="auto"/>
              </w:rPr>
            </w:pPr>
            <w:r>
              <w:rPr>
                <w:rFonts w:ascii="Arial" w:cs="Arial" w:eastAsia="Arial" w:hAnsi="Arial"/>
                <w:sz w:val="18"/>
                <w:szCs w:val="18"/>
                <w:color w:val="auto"/>
              </w:rPr>
              <w:t>4,921</w:t>
            </w: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162,057</w:t>
            </w:r>
          </w:p>
        </w:tc>
        <w:tc>
          <w:tcPr>
            <w:tcW w:w="180" w:type="dxa"/>
            <w:vAlign w:val="bottom"/>
            <w:gridSpan w:val="2"/>
            <w:shd w:val="clear" w:color="auto" w:fill="E6E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FFF"/>
          </w:tcPr>
          <w:p>
            <w:pPr>
              <w:jc w:val="right"/>
              <w:spacing w:after="0"/>
              <w:rPr>
                <w:sz w:val="20"/>
                <w:szCs w:val="20"/>
                <w:color w:val="auto"/>
              </w:rPr>
            </w:pPr>
            <w:r>
              <w:rPr>
                <w:rFonts w:ascii="Arial" w:cs="Arial" w:eastAsia="Arial" w:hAnsi="Arial"/>
                <w:sz w:val="18"/>
                <w:szCs w:val="18"/>
                <w:color w:val="auto"/>
              </w:rPr>
              <w:t>3,178</w:t>
            </w:r>
          </w:p>
        </w:tc>
        <w:tc>
          <w:tcPr>
            <w:tcW w:w="140" w:type="dxa"/>
            <w:vAlign w:val="bottom"/>
            <w:shd w:val="clear" w:color="auto" w:fill="E6EFFF"/>
          </w:tcPr>
          <w:p>
            <w:pPr>
              <w:spacing w:after="0"/>
              <w:rPr>
                <w:sz w:val="18"/>
                <w:szCs w:val="18"/>
                <w:color w:val="auto"/>
              </w:rPr>
            </w:pPr>
          </w:p>
        </w:tc>
        <w:tc>
          <w:tcPr>
            <w:tcW w:w="24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6EFFF"/>
          </w:tcPr>
          <w:p>
            <w:pPr>
              <w:jc w:val="right"/>
              <w:ind w:right="120"/>
              <w:spacing w:after="0"/>
              <w:rPr>
                <w:sz w:val="20"/>
                <w:szCs w:val="20"/>
                <w:color w:val="auto"/>
              </w:rPr>
            </w:pPr>
            <w:r>
              <w:rPr>
                <w:rFonts w:ascii="Arial" w:cs="Arial" w:eastAsia="Arial" w:hAnsi="Arial"/>
                <w:sz w:val="18"/>
                <w:szCs w:val="18"/>
                <w:color w:val="auto"/>
              </w:rPr>
              <w:t>286,210</w:t>
            </w:r>
          </w:p>
        </w:tc>
        <w:tc>
          <w:tcPr>
            <w:tcW w:w="32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6EFFF"/>
          </w:tcPr>
          <w:p>
            <w:pPr>
              <w:jc w:val="right"/>
              <w:spacing w:after="0"/>
              <w:rPr>
                <w:sz w:val="20"/>
                <w:szCs w:val="20"/>
                <w:color w:val="auto"/>
              </w:rPr>
            </w:pPr>
            <w:r>
              <w:rPr>
                <w:rFonts w:ascii="Arial" w:cs="Arial" w:eastAsia="Arial" w:hAnsi="Arial"/>
                <w:sz w:val="18"/>
                <w:szCs w:val="18"/>
                <w:color w:val="auto"/>
              </w:rPr>
              <w:t>456,366</w:t>
            </w: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E6EFFF"/>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20,944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6EFFF"/>
          </w:tcPr>
          <w:p>
            <w:pPr>
              <w:spacing w:after="0"/>
              <w:rPr>
                <w:sz w:val="20"/>
                <w:szCs w:val="20"/>
                <w:color w:val="auto"/>
              </w:rPr>
            </w:pPr>
            <w:r>
              <w:rPr>
                <w:rFonts w:ascii="Arial" w:cs="Arial" w:eastAsia="Arial" w:hAnsi="Arial"/>
                <w:sz w:val="18"/>
                <w:szCs w:val="18"/>
                <w:color w:val="auto"/>
              </w:rPr>
              <w:t>Currency translation adjustment (net of taxation)</w:t>
            </w:r>
          </w:p>
        </w:tc>
        <w:tc>
          <w:tcPr>
            <w:tcW w:w="1020" w:type="dxa"/>
            <w:vAlign w:val="bottom"/>
            <w:gridSpan w:val="2"/>
            <w:shd w:val="clear" w:color="auto" w:fill="E6E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700" w:type="dxa"/>
            <w:vAlign w:val="bottom"/>
            <w:shd w:val="clear" w:color="auto" w:fill="E6E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2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(4,840)</w:t>
            </w:r>
          </w:p>
        </w:tc>
        <w:tc>
          <w:tcPr>
            <w:tcW w:w="80" w:type="dxa"/>
            <w:vAlign w:val="bottom"/>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860" w:type="dxa"/>
            <w:vAlign w:val="bottom"/>
            <w:gridSpan w:val="2"/>
            <w:shd w:val="clear" w:color="auto" w:fill="E6E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900" w:type="dxa"/>
            <w:vAlign w:val="bottom"/>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Total comprehensive income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6EFFF"/>
          </w:tcPr>
          <w:p>
            <w:pPr>
              <w:spacing w:after="0"/>
              <w:rPr>
                <w:sz w:val="20"/>
                <w:szCs w:val="20"/>
                <w:color w:val="auto"/>
              </w:rPr>
            </w:pPr>
            <w:r>
              <w:rPr>
                <w:rFonts w:ascii="Arial" w:cs="Arial" w:eastAsia="Arial" w:hAnsi="Arial"/>
                <w:sz w:val="18"/>
                <w:szCs w:val="18"/>
                <w:color w:val="auto"/>
              </w:rPr>
              <w:t>Share issuance costs</w:t>
            </w:r>
          </w:p>
        </w:tc>
        <w:tc>
          <w:tcPr>
            <w:tcW w:w="9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900" w:type="dxa"/>
            <w:vAlign w:val="bottom"/>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6EFFF"/>
          </w:tcPr>
          <w:p>
            <w:pPr>
              <w:spacing w:after="0"/>
              <w:rPr>
                <w:sz w:val="20"/>
                <w:szCs w:val="20"/>
                <w:color w:val="auto"/>
              </w:rPr>
            </w:pPr>
            <w:r>
              <w:rPr>
                <w:rFonts w:ascii="Arial" w:cs="Arial" w:eastAsia="Arial" w:hAnsi="Arial"/>
                <w:sz w:val="18"/>
                <w:szCs w:val="18"/>
                <w:color w:val="auto"/>
              </w:rPr>
              <w:t>Non-cash stock compensation expense</w:t>
            </w:r>
          </w:p>
        </w:tc>
        <w:tc>
          <w:tcPr>
            <w:tcW w:w="9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68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1,594</w:t>
            </w: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E6E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shd w:val="clear" w:color="auto" w:fill="E6EFFF"/>
          </w:tcPr>
          <w:p>
            <w:pPr>
              <w:spacing w:after="0"/>
              <w:rPr>
                <w:sz w:val="18"/>
                <w:szCs w:val="18"/>
                <w:color w:val="auto"/>
              </w:rPr>
            </w:pPr>
          </w:p>
        </w:tc>
        <w:tc>
          <w:tcPr>
            <w:tcW w:w="9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March 31, 2009</w:t>
            </w: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7"/>
              </w:rPr>
              <w:t>58,557,464</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163,975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($1,662)</w:t>
            </w:r>
          </w:p>
        </w:tc>
        <w:tc>
          <w:tcPr>
            <w:tcW w:w="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307,154</w:t>
            </w: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THE CONDENSED CONSOLIDATED FINANCIAL STATEMENTS</w:t>
      </w:r>
    </w:p>
    <w:p>
      <w:pPr>
        <w:ind w:left="496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MARCH 31, 2009</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2008. Operating results for the three months ended March 31, 2009, are not necessarily indicative of the results that may be expected for the fiscal year ending December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6EFFF"/>
          </w:tcPr>
          <w:p>
            <w:pPr>
              <w:spacing w:after="0"/>
              <w:rPr>
                <w:sz w:val="20"/>
                <w:szCs w:val="20"/>
                <w:color w:val="auto"/>
              </w:rPr>
            </w:pPr>
            <w:r>
              <w:rPr>
                <w:rFonts w:ascii="Arial" w:cs="Arial" w:eastAsia="Arial" w:hAnsi="Arial"/>
                <w:sz w:val="18"/>
                <w:szCs w:val="18"/>
                <w:color w:val="auto"/>
              </w:rPr>
              <w:t>Opening balance</w:t>
            </w:r>
          </w:p>
        </w:tc>
        <w:tc>
          <w:tcPr>
            <w:tcW w:w="190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169,344</w:t>
            </w:r>
          </w:p>
        </w:tc>
        <w:tc>
          <w:tcPr>
            <w:tcW w:w="320" w:type="dxa"/>
            <w:vAlign w:val="bottom"/>
            <w:gridSpan w:val="2"/>
            <w:shd w:val="clear" w:color="auto" w:fill="E6EFFF"/>
          </w:tcPr>
          <w:p>
            <w:pPr>
              <w:jc w:val="center"/>
              <w:ind w:right="8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123,879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Arising on current period acquisitions</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6EFFF"/>
          </w:tcPr>
          <w:p>
            <w:pPr>
              <w:spacing w:after="0"/>
              <w:rPr>
                <w:sz w:val="20"/>
                <w:szCs w:val="20"/>
                <w:color w:val="auto"/>
              </w:rPr>
            </w:pPr>
            <w:r>
              <w:rPr>
                <w:rFonts w:ascii="Arial" w:cs="Arial" w:eastAsia="Arial" w:hAnsi="Arial"/>
                <w:sz w:val="18"/>
                <w:szCs w:val="18"/>
                <w:color w:val="auto"/>
              </w:rPr>
              <w:t>Foreign exchange movement</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(2,621)</w:t>
            </w:r>
          </w:p>
        </w:tc>
        <w:tc>
          <w:tcPr>
            <w:tcW w:w="80" w:type="dxa"/>
            <w:vAlign w:val="bottom"/>
            <w:shd w:val="clear" w:color="auto" w:fill="E6EFFF"/>
          </w:tcPr>
          <w:p>
            <w:pPr>
              <w:spacing w:after="0"/>
              <w:rPr>
                <w:sz w:val="18"/>
                <w:szCs w:val="18"/>
                <w:color w:val="auto"/>
              </w:rPr>
            </w:pPr>
          </w:p>
        </w:tc>
        <w:tc>
          <w:tcPr>
            <w:tcW w:w="240" w:type="dxa"/>
            <w:vAlign w:val="bottom"/>
            <w:shd w:val="clear" w:color="auto" w:fill="E6EFFF"/>
          </w:tcPr>
          <w:p>
            <w:pPr>
              <w:spacing w:after="0"/>
              <w:rPr>
                <w:sz w:val="18"/>
                <w:szCs w:val="18"/>
                <w:color w:val="auto"/>
              </w:rPr>
            </w:pPr>
          </w:p>
        </w:tc>
        <w:tc>
          <w:tcPr>
            <w:tcW w:w="1440" w:type="dxa"/>
            <w:vAlign w:val="bottom"/>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(10,209)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6EFFF"/>
          </w:tcPr>
          <w:p>
            <w:pPr>
              <w:spacing w:after="0"/>
              <w:rPr>
                <w:sz w:val="20"/>
                <w:szCs w:val="20"/>
                <w:color w:val="auto"/>
              </w:rPr>
            </w:pPr>
            <w:r>
              <w:rPr>
                <w:rFonts w:ascii="Arial" w:cs="Arial" w:eastAsia="Arial" w:hAnsi="Arial"/>
                <w:sz w:val="18"/>
                <w:szCs w:val="18"/>
                <w:color w:val="auto"/>
              </w:rPr>
              <w:t>Closing balance</w:t>
            </w:r>
          </w:p>
        </w:tc>
        <w:tc>
          <w:tcPr>
            <w:tcW w:w="190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166,723</w:t>
            </w:r>
          </w:p>
        </w:tc>
        <w:tc>
          <w:tcPr>
            <w:tcW w:w="320" w:type="dxa"/>
            <w:vAlign w:val="bottom"/>
            <w:gridSpan w:val="2"/>
            <w:shd w:val="clear" w:color="auto" w:fill="E6EFFF"/>
          </w:tcPr>
          <w:p>
            <w:pPr>
              <w:jc w:val="center"/>
              <w:ind w:right="8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169,344</w:t>
            </w:r>
          </w:p>
        </w:tc>
        <w:tc>
          <w:tcPr>
            <w:tcW w:w="0" w:type="dxa"/>
            <w:vAlign w:val="bottom"/>
          </w:tcPr>
          <w:p>
            <w:pPr>
              <w:spacing w:after="0"/>
              <w:rPr>
                <w:sz w:val="1"/>
                <w:szCs w:val="1"/>
                <w:color w:val="auto"/>
              </w:rPr>
            </w:pPr>
          </w:p>
        </w:tc>
      </w:tr>
      <w:tr>
        <w:trPr>
          <w:trHeight w:val="453"/>
        </w:trPr>
        <w:tc>
          <w:tcPr>
            <w:tcW w:w="6540" w:type="dxa"/>
            <w:vAlign w:val="bottom"/>
            <w:gridSpan w:val="2"/>
          </w:tcPr>
          <w:p>
            <w:pPr>
              <w:spacing w:after="0"/>
              <w:rPr>
                <w:sz w:val="20"/>
                <w:szCs w:val="20"/>
                <w:color w:val="auto"/>
              </w:rPr>
            </w:pPr>
            <w:r>
              <w:rPr>
                <w:rFonts w:ascii="Arial" w:cs="Arial" w:eastAsia="Arial" w:hAnsi="Arial"/>
                <w:sz w:val="18"/>
                <w:szCs w:val="18"/>
                <w:color w:val="auto"/>
              </w:rPr>
              <w:t>The goodwill balance relates entirely to the clinical research segment.</w:t>
            </w:r>
          </w:p>
        </w:tc>
        <w:tc>
          <w:tcPr>
            <w:tcW w:w="15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remaining 30% interest in Beacon Biosciences Inc.</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are achieved during the year ended December 31, 2009. No amounts have been accrued in respect of the additional consideration payable.</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acquisition of Beacon has been accounted for as a business combination in accordance with FASB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The excess of consideration paid of $17.8 million, including costs of acquisition, over the carrying value of minority interest of $1.5 million, has been recorded as goodwill of $16.3 million., pending the Company’s finalization of the allocation of total consideration paid to acquired net tangible and intangible assets. This allocation will be completed in 2009. Goodwill represents the acquisition of the minority interest in the net assets of Beacon.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Acquisition of Prevalere Life Sciences Inc.</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14, 2008, the Company acquired 100% of the common stock of Prevalere Life Sciences Inc. (“Prevalere”), for an initial cash consideration of $36.8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Additional consideration of $5.0 million has been accrued in respect of the milestones for the year ended December 31, 2008. No amounts have been accrued for additional consideration potentially payable in respect of the milestones for the year ended December 31, 2009.</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acquisition of Prevalere has been accounted for as a business combination in accordance with FASB Statement No. 141 Business Combinations (“SFAS 141”). The following table summarises the fair values of the assets acquired and the liabilities assumed at the date of acquisition.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November 14,</w:t>
            </w:r>
          </w:p>
        </w:tc>
      </w:tr>
      <w:tr>
        <w:trPr>
          <w:trHeight w:val="216"/>
        </w:trPr>
        <w:tc>
          <w:tcPr>
            <w:tcW w:w="5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r>
      <w:tr>
        <w:trPr>
          <w:trHeight w:val="234"/>
        </w:trPr>
        <w:tc>
          <w:tcPr>
            <w:tcW w:w="5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780" w:type="dxa"/>
            <w:vAlign w:val="bottom"/>
            <w:shd w:val="clear" w:color="auto" w:fill="E6EFFF"/>
          </w:tcPr>
          <w:p>
            <w:pPr>
              <w:spacing w:after="0"/>
              <w:rPr>
                <w:sz w:val="20"/>
                <w:szCs w:val="20"/>
                <w:color w:val="auto"/>
              </w:rPr>
            </w:pPr>
            <w:r>
              <w:rPr>
                <w:rFonts w:ascii="Arial" w:cs="Arial" w:eastAsia="Arial" w:hAnsi="Arial"/>
                <w:sz w:val="18"/>
                <w:szCs w:val="18"/>
                <w:color w:val="auto"/>
              </w:rPr>
              <w:t>Property, plant and equipment</w:t>
            </w:r>
          </w:p>
        </w:tc>
        <w:tc>
          <w:tcPr>
            <w:tcW w:w="4020" w:type="dxa"/>
            <w:vAlign w:val="bottom"/>
            <w:shd w:val="clear" w:color="auto" w:fill="E6EF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2,614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Intangible assets</w:t>
            </w:r>
          </w:p>
        </w:tc>
        <w:tc>
          <w:tcPr>
            <w:tcW w:w="402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7,375</w:t>
            </w:r>
          </w:p>
        </w:tc>
      </w:tr>
      <w:tr>
        <w:trPr>
          <w:trHeight w:val="216"/>
        </w:trPr>
        <w:tc>
          <w:tcPr>
            <w:tcW w:w="5780" w:type="dxa"/>
            <w:vAlign w:val="bottom"/>
            <w:shd w:val="clear" w:color="auto" w:fill="E6EFFF"/>
          </w:tcPr>
          <w:p>
            <w:pPr>
              <w:spacing w:after="0"/>
              <w:rPr>
                <w:sz w:val="20"/>
                <w:szCs w:val="20"/>
                <w:color w:val="auto"/>
              </w:rPr>
            </w:pPr>
            <w:r>
              <w:rPr>
                <w:rFonts w:ascii="Arial" w:cs="Arial" w:eastAsia="Arial" w:hAnsi="Arial"/>
                <w:sz w:val="18"/>
                <w:szCs w:val="18"/>
                <w:color w:val="auto"/>
              </w:rPr>
              <w:t>Goodwill</w:t>
            </w:r>
          </w:p>
        </w:tc>
        <w:tc>
          <w:tcPr>
            <w:tcW w:w="4020" w:type="dxa"/>
            <w:vAlign w:val="bottom"/>
            <w:shd w:val="clear" w:color="auto" w:fill="E6EFFF"/>
          </w:tcPr>
          <w:p>
            <w:pPr>
              <w:spacing w:after="0"/>
              <w:rPr>
                <w:sz w:val="18"/>
                <w:szCs w:val="18"/>
                <w:color w:val="auto"/>
              </w:rPr>
            </w:pPr>
          </w:p>
        </w:tc>
        <w:tc>
          <w:tcPr>
            <w:tcW w:w="16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29,086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Cash</w:t>
            </w:r>
          </w:p>
        </w:tc>
        <w:tc>
          <w:tcPr>
            <w:tcW w:w="402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544</w:t>
            </w:r>
          </w:p>
        </w:tc>
      </w:tr>
      <w:tr>
        <w:trPr>
          <w:trHeight w:val="216"/>
        </w:trPr>
        <w:tc>
          <w:tcPr>
            <w:tcW w:w="5780" w:type="dxa"/>
            <w:vAlign w:val="bottom"/>
            <w:shd w:val="clear" w:color="auto" w:fill="E6EFFF"/>
          </w:tcPr>
          <w:p>
            <w:pPr>
              <w:spacing w:after="0"/>
              <w:rPr>
                <w:sz w:val="20"/>
                <w:szCs w:val="20"/>
                <w:color w:val="auto"/>
              </w:rPr>
            </w:pPr>
            <w:r>
              <w:rPr>
                <w:rFonts w:ascii="Arial" w:cs="Arial" w:eastAsia="Arial" w:hAnsi="Arial"/>
                <w:sz w:val="18"/>
                <w:szCs w:val="18"/>
                <w:color w:val="auto"/>
              </w:rPr>
              <w:t>Other current assets</w:t>
            </w:r>
          </w:p>
        </w:tc>
        <w:tc>
          <w:tcPr>
            <w:tcW w:w="4020" w:type="dxa"/>
            <w:vAlign w:val="bottom"/>
            <w:shd w:val="clear" w:color="auto" w:fill="E6EFFF"/>
          </w:tcPr>
          <w:p>
            <w:pPr>
              <w:spacing w:after="0"/>
              <w:rPr>
                <w:sz w:val="18"/>
                <w:szCs w:val="18"/>
                <w:color w:val="auto"/>
              </w:rPr>
            </w:pPr>
          </w:p>
        </w:tc>
        <w:tc>
          <w:tcPr>
            <w:tcW w:w="16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5,833</w:t>
            </w:r>
          </w:p>
        </w:tc>
      </w:tr>
      <w:tr>
        <w:trPr>
          <w:trHeight w:val="21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liabilities</w:t>
            </w:r>
          </w:p>
        </w:tc>
        <w:tc>
          <w:tcPr>
            <w:tcW w:w="4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(2,827)</w:t>
            </w:r>
          </w:p>
        </w:tc>
      </w:tr>
      <w:tr>
        <w:trPr>
          <w:trHeight w:val="217"/>
        </w:trPr>
        <w:tc>
          <w:tcPr>
            <w:tcW w:w="57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Purchase price</w:t>
            </w:r>
          </w:p>
        </w:tc>
        <w:tc>
          <w:tcPr>
            <w:tcW w:w="4020" w:type="dxa"/>
            <w:vAlign w:val="bottom"/>
            <w:tcBorders>
              <w:bottom w:val="single" w:sz="8" w:color="auto"/>
            </w:tcBorders>
            <w:shd w:val="clear" w:color="auto" w:fill="E6EF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42,625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bioanalytical and immunoassay services to pharmaceutical and biotechnology companies and allows ICON to participate in a growing market for these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Healthcare Discoveries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additional amounts have been paid as these milestones were not achieved during the year ended December 31, 2008.</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acquisition of Healthcare Discoveries has been accounted for as a business combination in accordance with FASB Statement No. 141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(“SFAS 141”). The following table summarises the fair values of the assets acquired and the liabilities assumed at the date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February 11,</w:t>
            </w:r>
          </w:p>
        </w:tc>
      </w:tr>
      <w:tr>
        <w:trPr>
          <w:trHeight w:val="216"/>
        </w:trPr>
        <w:tc>
          <w:tcPr>
            <w:tcW w:w="5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r>
      <w:tr>
        <w:trPr>
          <w:trHeight w:val="234"/>
        </w:trPr>
        <w:tc>
          <w:tcPr>
            <w:tcW w:w="5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780" w:type="dxa"/>
            <w:vAlign w:val="bottom"/>
            <w:shd w:val="clear" w:color="auto" w:fill="E6EFFF"/>
          </w:tcPr>
          <w:p>
            <w:pPr>
              <w:spacing w:after="0"/>
              <w:rPr>
                <w:sz w:val="20"/>
                <w:szCs w:val="20"/>
                <w:color w:val="auto"/>
              </w:rPr>
            </w:pPr>
            <w:r>
              <w:rPr>
                <w:rFonts w:ascii="Arial" w:cs="Arial" w:eastAsia="Arial" w:hAnsi="Arial"/>
                <w:sz w:val="18"/>
                <w:szCs w:val="18"/>
                <w:color w:val="auto"/>
              </w:rPr>
              <w:t>Property, plant and equipment</w:t>
            </w:r>
          </w:p>
        </w:tc>
        <w:tc>
          <w:tcPr>
            <w:tcW w:w="4020" w:type="dxa"/>
            <w:vAlign w:val="bottom"/>
            <w:shd w:val="clear" w:color="auto" w:fill="E6EF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327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Intangible assets</w:t>
            </w:r>
          </w:p>
        </w:tc>
        <w:tc>
          <w:tcPr>
            <w:tcW w:w="402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2,890</w:t>
            </w:r>
          </w:p>
        </w:tc>
      </w:tr>
      <w:tr>
        <w:trPr>
          <w:trHeight w:val="216"/>
        </w:trPr>
        <w:tc>
          <w:tcPr>
            <w:tcW w:w="5780" w:type="dxa"/>
            <w:vAlign w:val="bottom"/>
            <w:shd w:val="clear" w:color="auto" w:fill="E6EFFF"/>
          </w:tcPr>
          <w:p>
            <w:pPr>
              <w:spacing w:after="0"/>
              <w:rPr>
                <w:sz w:val="20"/>
                <w:szCs w:val="20"/>
                <w:color w:val="auto"/>
              </w:rPr>
            </w:pPr>
            <w:r>
              <w:rPr>
                <w:rFonts w:ascii="Arial" w:cs="Arial" w:eastAsia="Arial" w:hAnsi="Arial"/>
                <w:sz w:val="18"/>
                <w:szCs w:val="18"/>
                <w:color w:val="auto"/>
              </w:rPr>
              <w:t>Goodwill</w:t>
            </w:r>
          </w:p>
        </w:tc>
        <w:tc>
          <w:tcPr>
            <w:tcW w:w="4020" w:type="dxa"/>
            <w:vAlign w:val="bottom"/>
            <w:shd w:val="clear" w:color="auto" w:fill="E6EFFF"/>
          </w:tcPr>
          <w:p>
            <w:pPr>
              <w:spacing w:after="0"/>
              <w:rPr>
                <w:sz w:val="18"/>
                <w:szCs w:val="18"/>
                <w:color w:val="auto"/>
              </w:rPr>
            </w:pPr>
          </w:p>
        </w:tc>
        <w:tc>
          <w:tcPr>
            <w:tcW w:w="16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9,995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Cash</w:t>
            </w:r>
          </w:p>
        </w:tc>
        <w:tc>
          <w:tcPr>
            <w:tcW w:w="402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16"/>
        </w:trPr>
        <w:tc>
          <w:tcPr>
            <w:tcW w:w="5780" w:type="dxa"/>
            <w:vAlign w:val="bottom"/>
            <w:shd w:val="clear" w:color="auto" w:fill="E6EFFF"/>
          </w:tcPr>
          <w:p>
            <w:pPr>
              <w:spacing w:after="0"/>
              <w:rPr>
                <w:sz w:val="20"/>
                <w:szCs w:val="20"/>
                <w:color w:val="auto"/>
              </w:rPr>
            </w:pPr>
            <w:r>
              <w:rPr>
                <w:rFonts w:ascii="Arial" w:cs="Arial" w:eastAsia="Arial" w:hAnsi="Arial"/>
                <w:sz w:val="18"/>
                <w:szCs w:val="18"/>
                <w:color w:val="auto"/>
              </w:rPr>
              <w:t>Other current assets</w:t>
            </w:r>
          </w:p>
        </w:tc>
        <w:tc>
          <w:tcPr>
            <w:tcW w:w="4020" w:type="dxa"/>
            <w:vAlign w:val="bottom"/>
            <w:shd w:val="clear" w:color="auto" w:fill="E6EFFF"/>
          </w:tcPr>
          <w:p>
            <w:pPr>
              <w:spacing w:after="0"/>
              <w:rPr>
                <w:sz w:val="18"/>
                <w:szCs w:val="18"/>
                <w:color w:val="auto"/>
              </w:rPr>
            </w:pPr>
          </w:p>
        </w:tc>
        <w:tc>
          <w:tcPr>
            <w:tcW w:w="16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575</w:t>
            </w:r>
          </w:p>
        </w:tc>
      </w:tr>
      <w:tr>
        <w:trPr>
          <w:trHeight w:val="21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liabilities</w:t>
            </w:r>
          </w:p>
        </w:tc>
        <w:tc>
          <w:tcPr>
            <w:tcW w:w="4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(1,951)</w:t>
            </w:r>
          </w:p>
        </w:tc>
      </w:tr>
      <w:tr>
        <w:trPr>
          <w:trHeight w:val="217"/>
        </w:trPr>
        <w:tc>
          <w:tcPr>
            <w:tcW w:w="57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Purchase price</w:t>
            </w:r>
          </w:p>
        </w:tc>
        <w:tc>
          <w:tcPr>
            <w:tcW w:w="4020" w:type="dxa"/>
            <w:vAlign w:val="bottom"/>
            <w:tcBorders>
              <w:bottom w:val="single" w:sz="8" w:color="auto"/>
            </w:tcBorders>
            <w:shd w:val="clear" w:color="auto" w:fill="E6EF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11,841</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adopted the provisions of FIN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effective January 1, 2007. As at March 31, 2009, the Company maintains an $11.6 million liability for unrecognized tax benefit, which is comprised of $8.9 million related to items generating unrecognized tax benefits and $2.7 million for interest and related penalties to such items. The Company recognizes interest and penalties accrued on unrecognized tax benefits as an additional income tax expense.</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2003 through 2007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number of shares, restated to reflect the Bonus Issue, used in the computation of basic and diluted net income per ordinary share is as follows:</w:t>
      </w:r>
    </w:p>
    <w:p>
      <w:pPr>
        <w:spacing w:after="0" w:line="193"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400"/>
        <w:spacing w:after="0"/>
        <w:tabs>
          <w:tab w:leader="none" w:pos="1050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7"/>
          <w:szCs w:val="17"/>
          <w:b w:val="1"/>
          <w:bCs w:val="1"/>
          <w:color w:val="auto"/>
        </w:rPr>
        <w:t>March 31,</w:t>
      </w:r>
    </w:p>
    <w:p>
      <w:pPr>
        <w:spacing w:after="0" w:line="9" w:lineRule="exact"/>
        <w:rPr>
          <w:sz w:val="20"/>
          <w:szCs w:val="20"/>
          <w:color w:val="auto"/>
        </w:rPr>
      </w:pPr>
    </w:p>
    <w:p>
      <w:pPr>
        <w:ind w:left="9820"/>
        <w:spacing w:after="0"/>
        <w:tabs>
          <w:tab w:leader="none" w:pos="1094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shd w:val="clear" w:color="auto" w:fill="E6EFFF"/>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12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58,537,795</w:t>
            </w:r>
          </w:p>
        </w:tc>
        <w:tc>
          <w:tcPr>
            <w:tcW w:w="1020" w:type="dxa"/>
            <w:vAlign w:val="bottom"/>
            <w:gridSpan w:val="2"/>
            <w:shd w:val="clear" w:color="auto" w:fill="E6EFFF"/>
          </w:tcPr>
          <w:p>
            <w:pPr>
              <w:jc w:val="right"/>
              <w:ind w:right="100"/>
              <w:spacing w:after="0"/>
              <w:rPr>
                <w:sz w:val="20"/>
                <w:szCs w:val="20"/>
                <w:color w:val="auto"/>
              </w:rPr>
            </w:pPr>
            <w:r>
              <w:rPr>
                <w:rFonts w:ascii="Arial" w:cs="Arial" w:eastAsia="Arial" w:hAnsi="Arial"/>
                <w:sz w:val="18"/>
                <w:szCs w:val="18"/>
                <w:color w:val="auto"/>
                <w:w w:val="99"/>
              </w:rPr>
              <w:t>57,805,260</w:t>
            </w:r>
          </w:p>
        </w:tc>
      </w:tr>
      <w:tr>
        <w:trPr>
          <w:trHeight w:val="257"/>
        </w:trPr>
        <w:tc>
          <w:tcPr>
            <w:tcW w:w="9160" w:type="dxa"/>
            <w:vAlign w:val="bottom"/>
            <w:tcBorders>
              <w:bottom w:val="single" w:sz="8" w:color="E6EFFF"/>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1,233,540</w:t>
            </w:r>
          </w:p>
        </w:tc>
        <w:tc>
          <w:tcPr>
            <w:tcW w:w="220" w:type="dxa"/>
            <w:vAlign w:val="bottom"/>
            <w:tcBorders>
              <w:bottom w:val="single" w:sz="8" w:color="E6EF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2,274,212</w:t>
            </w:r>
          </w:p>
        </w:tc>
        <w:tc>
          <w:tcPr>
            <w:tcW w:w="100" w:type="dxa"/>
            <w:vAlign w:val="bottom"/>
            <w:tcBorders>
              <w:bottom w:val="single" w:sz="8" w:color="E6EFFF"/>
            </w:tcBorders>
          </w:tcPr>
          <w:p>
            <w:pPr>
              <w:spacing w:after="0"/>
              <w:rPr>
                <w:sz w:val="22"/>
                <w:szCs w:val="22"/>
                <w:color w:val="auto"/>
              </w:rPr>
            </w:pPr>
          </w:p>
        </w:tc>
      </w:tr>
      <w:tr>
        <w:trPr>
          <w:trHeight w:val="244"/>
        </w:trPr>
        <w:tc>
          <w:tcPr>
            <w:tcW w:w="9160" w:type="dxa"/>
            <w:vAlign w:val="bottom"/>
            <w:tcBorders>
              <w:bottom w:val="single" w:sz="8" w:color="E6EFFF"/>
            </w:tcBorders>
            <w:shd w:val="clear" w:color="auto" w:fill="E6EFFF"/>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10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59,771,335</w:t>
            </w:r>
          </w:p>
        </w:tc>
        <w:tc>
          <w:tcPr>
            <w:tcW w:w="220" w:type="dxa"/>
            <w:vAlign w:val="bottom"/>
            <w:tcBorders>
              <w:bottom w:val="single" w:sz="8" w:color="E6EFFF"/>
            </w:tcBorders>
            <w:shd w:val="clear" w:color="auto" w:fill="E6EFFF"/>
          </w:tcPr>
          <w:p>
            <w:pPr>
              <w:spacing w:after="0"/>
              <w:rPr>
                <w:sz w:val="21"/>
                <w:szCs w:val="21"/>
                <w:color w:val="auto"/>
              </w:rPr>
            </w:pPr>
          </w:p>
        </w:tc>
        <w:tc>
          <w:tcPr>
            <w:tcW w:w="9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w w:val="99"/>
              </w:rPr>
              <w:t>60,079,472</w:t>
            </w:r>
          </w:p>
        </w:tc>
        <w:tc>
          <w:tcPr>
            <w:tcW w:w="100" w:type="dxa"/>
            <w:vAlign w:val="bottom"/>
            <w:tcBorders>
              <w:bottom w:val="single" w:sz="8" w:color="E6EFFF"/>
            </w:tcBorders>
            <w:shd w:val="clear" w:color="auto" w:fill="E6EFFF"/>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Options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2008, the Company adopted the Employee Share Option Plan 2008 (the “2008 Employee Plan”) pursuant to which the Compensation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Committee of the Company’s Board of Directors may grant options to any consultant, adviser or non-executive director retained by the Company or any Subsidiary for the purchase of ordinary shares.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Code. Each grant of an option under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the 2008 Employees Restricted Share Unit Plan (the “2008 RSU Plan”) pursuant to which the Compensation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2008, is eight years. No options can be granted after January 17, 2013.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b w:val="1"/>
                <w:bCs w:val="1"/>
                <w:color w:val="auto"/>
              </w:rPr>
              <w:t>Options</w:t>
            </w:r>
          </w:p>
        </w:tc>
        <w:tc>
          <w:tcPr>
            <w:tcW w:w="4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Weighted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b w:val="1"/>
                <w:bCs w:val="1"/>
                <w:color w:val="auto"/>
              </w:rPr>
              <w:t>Outstanding</w:t>
            </w:r>
          </w:p>
        </w:tc>
        <w:tc>
          <w:tcPr>
            <w:tcW w:w="4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Average</w:t>
            </w:r>
          </w:p>
        </w:tc>
        <w:tc>
          <w:tcPr>
            <w:tcW w:w="38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color w:val="auto"/>
              </w:rPr>
              <w:t>Weighted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 of</w:t>
            </w:r>
          </w:p>
        </w:tc>
        <w:tc>
          <w:tcPr>
            <w:tcW w:w="4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Exercise</w:t>
            </w:r>
          </w:p>
        </w:tc>
        <w:tc>
          <w:tcPr>
            <w:tcW w:w="38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color w:val="auto"/>
              </w:rPr>
              <w:t>Average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Shares</w:t>
            </w:r>
          </w:p>
        </w:tc>
        <w:tc>
          <w:tcPr>
            <w:tcW w:w="4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Price</w:t>
            </w:r>
          </w:p>
        </w:tc>
        <w:tc>
          <w:tcPr>
            <w:tcW w:w="380" w:type="dxa"/>
            <w:vAlign w:val="bottom"/>
          </w:tcPr>
          <w:p>
            <w:pPr>
              <w:spacing w:after="0"/>
              <w:rPr>
                <w:sz w:val="19"/>
                <w:szCs w:val="19"/>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6EFFF"/>
          </w:tcPr>
          <w:p>
            <w:pPr>
              <w:spacing w:after="0"/>
              <w:rPr>
                <w:sz w:val="20"/>
                <w:szCs w:val="20"/>
                <w:color w:val="auto"/>
              </w:rPr>
            </w:pPr>
            <w:r>
              <w:rPr>
                <w:rFonts w:ascii="Arial" w:cs="Arial" w:eastAsia="Arial" w:hAnsi="Arial"/>
                <w:sz w:val="18"/>
                <w:szCs w:val="18"/>
                <w:color w:val="auto"/>
              </w:rPr>
              <w:t>Outstanding at December 31, 2008</w:t>
            </w:r>
          </w:p>
        </w:tc>
        <w:tc>
          <w:tcPr>
            <w:tcW w:w="1380" w:type="dxa"/>
            <w:vAlign w:val="bottom"/>
            <w:tcBorders>
              <w:bottom w:val="single" w:sz="8" w:color="auto"/>
            </w:tcBorders>
            <w:shd w:val="clear" w:color="auto" w:fill="E6EFFF"/>
          </w:tcPr>
          <w:p>
            <w:pPr>
              <w:jc w:val="right"/>
              <w:ind w:right="52"/>
              <w:spacing w:after="0"/>
              <w:rPr>
                <w:sz w:val="20"/>
                <w:szCs w:val="20"/>
                <w:color w:val="auto"/>
              </w:rPr>
            </w:pPr>
            <w:r>
              <w:rPr>
                <w:rFonts w:ascii="Arial" w:cs="Arial" w:eastAsia="Arial" w:hAnsi="Arial"/>
                <w:sz w:val="18"/>
                <w:szCs w:val="18"/>
                <w:color w:val="auto"/>
              </w:rPr>
              <w:t>5,222,263</w:t>
            </w:r>
          </w:p>
        </w:tc>
        <w:tc>
          <w:tcPr>
            <w:tcW w:w="400" w:type="dxa"/>
            <w:vAlign w:val="bottom"/>
            <w:tcBorders>
              <w:bottom w:val="single" w:sz="8" w:color="auto"/>
            </w:tcBorders>
            <w:shd w:val="clear" w:color="auto" w:fill="E6EF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FFF"/>
          </w:tcPr>
          <w:p>
            <w:pPr>
              <w:jc w:val="right"/>
              <w:ind w:right="32"/>
              <w:spacing w:after="0"/>
              <w:rPr>
                <w:sz w:val="20"/>
                <w:szCs w:val="20"/>
                <w:color w:val="auto"/>
              </w:rPr>
            </w:pPr>
            <w:r>
              <w:rPr>
                <w:rFonts w:ascii="Arial" w:cs="Arial" w:eastAsia="Arial" w:hAnsi="Arial"/>
                <w:sz w:val="18"/>
                <w:szCs w:val="18"/>
                <w:color w:val="auto"/>
              </w:rPr>
              <w:t>17.98</w:t>
            </w:r>
          </w:p>
        </w:tc>
        <w:tc>
          <w:tcPr>
            <w:tcW w:w="38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6EFFF"/>
          </w:tcPr>
          <w:p>
            <w:pPr>
              <w:jc w:val="right"/>
              <w:ind w:right="192"/>
              <w:spacing w:after="0"/>
              <w:rPr>
                <w:sz w:val="20"/>
                <w:szCs w:val="20"/>
                <w:color w:val="auto"/>
              </w:rPr>
            </w:pPr>
            <w:r>
              <w:rPr>
                <w:rFonts w:ascii="Arial" w:cs="Arial" w:eastAsia="Arial" w:hAnsi="Arial"/>
                <w:sz w:val="18"/>
                <w:szCs w:val="18"/>
                <w:color w:val="auto"/>
              </w:rPr>
              <w:t>7.24</w:t>
            </w:r>
          </w:p>
        </w:tc>
        <w:tc>
          <w:tcPr>
            <w:tcW w:w="1180" w:type="dxa"/>
            <w:vAlign w:val="bottom"/>
            <w:tcBorders>
              <w:bottom w:val="single" w:sz="8" w:color="auto"/>
            </w:tcBorders>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6EFFF"/>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E6EFFF"/>
          </w:tcPr>
          <w:p>
            <w:pPr>
              <w:jc w:val="right"/>
              <w:ind w:right="52"/>
              <w:spacing w:after="0"/>
              <w:rPr>
                <w:sz w:val="20"/>
                <w:szCs w:val="20"/>
                <w:color w:val="auto"/>
              </w:rPr>
            </w:pPr>
            <w:r>
              <w:rPr>
                <w:rFonts w:ascii="Arial" w:cs="Arial" w:eastAsia="Arial" w:hAnsi="Arial"/>
                <w:sz w:val="18"/>
                <w:szCs w:val="18"/>
                <w:color w:val="auto"/>
              </w:rPr>
              <w:t>817,233</w:t>
            </w:r>
          </w:p>
        </w:tc>
        <w:tc>
          <w:tcPr>
            <w:tcW w:w="400" w:type="dxa"/>
            <w:vAlign w:val="bottom"/>
            <w:shd w:val="clear" w:color="auto" w:fill="E6EF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FFF"/>
          </w:tcPr>
          <w:p>
            <w:pPr>
              <w:jc w:val="right"/>
              <w:ind w:right="32"/>
              <w:spacing w:after="0"/>
              <w:rPr>
                <w:sz w:val="20"/>
                <w:szCs w:val="20"/>
                <w:color w:val="auto"/>
              </w:rPr>
            </w:pPr>
            <w:r>
              <w:rPr>
                <w:rFonts w:ascii="Arial" w:cs="Arial" w:eastAsia="Arial" w:hAnsi="Arial"/>
                <w:sz w:val="18"/>
                <w:szCs w:val="18"/>
                <w:color w:val="auto"/>
              </w:rPr>
              <w:t>22.25</w:t>
            </w:r>
          </w:p>
        </w:tc>
        <w:tc>
          <w:tcPr>
            <w:tcW w:w="380" w:type="dxa"/>
            <w:vAlign w:val="bottom"/>
            <w:shd w:val="clear" w:color="auto" w:fill="E6EFFF"/>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E6EFFF"/>
          </w:tcPr>
          <w:p>
            <w:pPr>
              <w:jc w:val="right"/>
              <w:ind w:right="192"/>
              <w:spacing w:after="0"/>
              <w:rPr>
                <w:sz w:val="20"/>
                <w:szCs w:val="20"/>
                <w:color w:val="auto"/>
              </w:rPr>
            </w:pPr>
            <w:r>
              <w:rPr>
                <w:rFonts w:ascii="Arial" w:cs="Arial" w:eastAsia="Arial" w:hAnsi="Arial"/>
                <w:sz w:val="18"/>
                <w:szCs w:val="18"/>
                <w:color w:val="auto"/>
              </w:rPr>
              <w:t>8.76</w:t>
            </w:r>
          </w:p>
        </w:tc>
        <w:tc>
          <w:tcPr>
            <w:tcW w:w="118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(39,269)</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9.10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4.19</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6EFFF"/>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(57,804)</w:t>
            </w:r>
          </w:p>
        </w:tc>
        <w:tc>
          <w:tcPr>
            <w:tcW w:w="400" w:type="dxa"/>
            <w:vAlign w:val="bottom"/>
            <w:tcBorders>
              <w:bottom w:val="single" w:sz="8" w:color="auto"/>
            </w:tcBorders>
            <w:shd w:val="clear" w:color="auto" w:fill="E6EF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FFF"/>
          </w:tcPr>
          <w:p>
            <w:pPr>
              <w:jc w:val="right"/>
              <w:ind w:right="32"/>
              <w:spacing w:after="0"/>
              <w:rPr>
                <w:sz w:val="20"/>
                <w:szCs w:val="20"/>
                <w:color w:val="auto"/>
              </w:rPr>
            </w:pPr>
            <w:r>
              <w:rPr>
                <w:rFonts w:ascii="Arial" w:cs="Arial" w:eastAsia="Arial" w:hAnsi="Arial"/>
                <w:sz w:val="18"/>
                <w:szCs w:val="18"/>
                <w:color w:val="auto"/>
              </w:rPr>
              <w:t>24.50</w:t>
            </w:r>
          </w:p>
        </w:tc>
        <w:tc>
          <w:tcPr>
            <w:tcW w:w="38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6EFFF"/>
          </w:tcPr>
          <w:p>
            <w:pPr>
              <w:jc w:val="right"/>
              <w:ind w:right="192"/>
              <w:spacing w:after="0"/>
              <w:rPr>
                <w:sz w:val="20"/>
                <w:szCs w:val="20"/>
                <w:color w:val="auto"/>
              </w:rPr>
            </w:pPr>
            <w:r>
              <w:rPr>
                <w:rFonts w:ascii="Arial" w:cs="Arial" w:eastAsia="Arial" w:hAnsi="Arial"/>
                <w:sz w:val="18"/>
                <w:szCs w:val="18"/>
                <w:color w:val="auto"/>
              </w:rPr>
              <w:t>9.53</w:t>
            </w:r>
          </w:p>
        </w:tc>
        <w:tc>
          <w:tcPr>
            <w:tcW w:w="1180" w:type="dxa"/>
            <w:vAlign w:val="bottom"/>
            <w:tcBorders>
              <w:bottom w:val="single" w:sz="8" w:color="auto"/>
            </w:tcBorders>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bottom w:val="single" w:sz="8" w:color="E6EFFF"/>
            </w:tcBorders>
            <w:shd w:val="clear" w:color="auto" w:fill="E6EFFF"/>
          </w:tcPr>
          <w:p>
            <w:pPr>
              <w:spacing w:after="0"/>
              <w:rPr>
                <w:sz w:val="20"/>
                <w:szCs w:val="20"/>
                <w:color w:val="auto"/>
              </w:rPr>
            </w:pPr>
            <w:r>
              <w:rPr>
                <w:rFonts w:ascii="Arial" w:cs="Arial" w:eastAsia="Arial" w:hAnsi="Arial"/>
                <w:sz w:val="18"/>
                <w:szCs w:val="18"/>
                <w:color w:val="auto"/>
              </w:rPr>
              <w:t>Outstanding at March 31, 2009</w:t>
            </w:r>
          </w:p>
        </w:tc>
        <w:tc>
          <w:tcPr>
            <w:tcW w:w="1380" w:type="dxa"/>
            <w:vAlign w:val="bottom"/>
            <w:tcBorders>
              <w:bottom w:val="single" w:sz="8" w:color="auto"/>
            </w:tcBorders>
            <w:shd w:val="clear" w:color="auto" w:fill="E6EFFF"/>
          </w:tcPr>
          <w:p>
            <w:pPr>
              <w:jc w:val="right"/>
              <w:ind w:right="52"/>
              <w:spacing w:after="0"/>
              <w:rPr>
                <w:sz w:val="20"/>
                <w:szCs w:val="20"/>
                <w:color w:val="auto"/>
              </w:rPr>
            </w:pPr>
            <w:r>
              <w:rPr>
                <w:rFonts w:ascii="Arial" w:cs="Arial" w:eastAsia="Arial" w:hAnsi="Arial"/>
                <w:sz w:val="18"/>
                <w:szCs w:val="18"/>
                <w:color w:val="auto"/>
              </w:rPr>
              <w:t>5,942,423</w:t>
            </w:r>
          </w:p>
        </w:tc>
        <w:tc>
          <w:tcPr>
            <w:tcW w:w="400" w:type="dxa"/>
            <w:vAlign w:val="bottom"/>
            <w:tcBorders>
              <w:bottom w:val="single" w:sz="8" w:color="auto"/>
            </w:tcBorders>
            <w:shd w:val="clear" w:color="auto" w:fill="E6EF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FFF"/>
          </w:tcPr>
          <w:p>
            <w:pPr>
              <w:jc w:val="right"/>
              <w:ind w:right="32"/>
              <w:spacing w:after="0"/>
              <w:rPr>
                <w:sz w:val="20"/>
                <w:szCs w:val="20"/>
                <w:color w:val="auto"/>
              </w:rPr>
            </w:pPr>
            <w:r>
              <w:rPr>
                <w:rFonts w:ascii="Arial" w:cs="Arial" w:eastAsia="Arial" w:hAnsi="Arial"/>
                <w:sz w:val="18"/>
                <w:szCs w:val="18"/>
                <w:color w:val="auto"/>
              </w:rPr>
              <w:t>18.56</w:t>
            </w:r>
          </w:p>
        </w:tc>
        <w:tc>
          <w:tcPr>
            <w:tcW w:w="38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6EFFF"/>
          </w:tcPr>
          <w:p>
            <w:pPr>
              <w:jc w:val="right"/>
              <w:ind w:right="192"/>
              <w:spacing w:after="0"/>
              <w:rPr>
                <w:sz w:val="20"/>
                <w:szCs w:val="20"/>
                <w:color w:val="auto"/>
              </w:rPr>
            </w:pPr>
            <w:r>
              <w:rPr>
                <w:rFonts w:ascii="Arial" w:cs="Arial" w:eastAsia="Arial" w:hAnsi="Arial"/>
                <w:sz w:val="18"/>
                <w:szCs w:val="18"/>
                <w:color w:val="auto"/>
              </w:rPr>
              <w:t>7.45</w:t>
            </w:r>
          </w:p>
        </w:tc>
        <w:tc>
          <w:tcPr>
            <w:tcW w:w="11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Borders>
              <w:bottom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bottom w:val="single" w:sz="8" w:color="E6EFFF"/>
            </w:tcBorders>
            <w:shd w:val="clear" w:color="auto" w:fill="E6EFFF"/>
          </w:tcPr>
          <w:p>
            <w:pPr>
              <w:spacing w:after="0"/>
              <w:rPr>
                <w:sz w:val="20"/>
                <w:szCs w:val="20"/>
                <w:color w:val="auto"/>
              </w:rPr>
            </w:pPr>
            <w:r>
              <w:rPr>
                <w:rFonts w:ascii="Arial" w:cs="Arial" w:eastAsia="Arial" w:hAnsi="Arial"/>
                <w:sz w:val="18"/>
                <w:szCs w:val="18"/>
                <w:color w:val="auto"/>
              </w:rPr>
              <w:t>Exercisable at March 31, 2009</w:t>
            </w:r>
          </w:p>
        </w:tc>
        <w:tc>
          <w:tcPr>
            <w:tcW w:w="1380" w:type="dxa"/>
            <w:vAlign w:val="bottom"/>
            <w:tcBorders>
              <w:bottom w:val="single" w:sz="8" w:color="auto"/>
            </w:tcBorders>
            <w:shd w:val="clear" w:color="auto" w:fill="E6EFFF"/>
          </w:tcPr>
          <w:p>
            <w:pPr>
              <w:jc w:val="right"/>
              <w:ind w:right="52"/>
              <w:spacing w:after="0"/>
              <w:rPr>
                <w:sz w:val="20"/>
                <w:szCs w:val="20"/>
                <w:color w:val="auto"/>
              </w:rPr>
            </w:pPr>
            <w:r>
              <w:rPr>
                <w:rFonts w:ascii="Arial" w:cs="Arial" w:eastAsia="Arial" w:hAnsi="Arial"/>
                <w:sz w:val="18"/>
                <w:szCs w:val="18"/>
                <w:color w:val="auto"/>
              </w:rPr>
              <w:t>2,446,523</w:t>
            </w:r>
          </w:p>
        </w:tc>
        <w:tc>
          <w:tcPr>
            <w:tcW w:w="400" w:type="dxa"/>
            <w:vAlign w:val="bottom"/>
            <w:tcBorders>
              <w:bottom w:val="single" w:sz="8" w:color="auto"/>
            </w:tcBorders>
            <w:shd w:val="clear" w:color="auto" w:fill="E6EF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FFF"/>
          </w:tcPr>
          <w:p>
            <w:pPr>
              <w:jc w:val="right"/>
              <w:ind w:right="32"/>
              <w:spacing w:after="0"/>
              <w:rPr>
                <w:sz w:val="20"/>
                <w:szCs w:val="20"/>
                <w:color w:val="auto"/>
              </w:rPr>
            </w:pPr>
            <w:r>
              <w:rPr>
                <w:rFonts w:ascii="Arial" w:cs="Arial" w:eastAsia="Arial" w:hAnsi="Arial"/>
                <w:sz w:val="18"/>
                <w:szCs w:val="18"/>
                <w:color w:val="auto"/>
              </w:rPr>
              <w:t>13.86</w:t>
            </w:r>
          </w:p>
        </w:tc>
        <w:tc>
          <w:tcPr>
            <w:tcW w:w="38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6EFFF"/>
          </w:tcPr>
          <w:p>
            <w:pPr>
              <w:jc w:val="right"/>
              <w:ind w:right="192"/>
              <w:spacing w:after="0"/>
              <w:rPr>
                <w:sz w:val="20"/>
                <w:szCs w:val="20"/>
                <w:color w:val="auto"/>
              </w:rPr>
            </w:pPr>
            <w:r>
              <w:rPr>
                <w:rFonts w:ascii="Arial" w:cs="Arial" w:eastAsia="Arial" w:hAnsi="Arial"/>
                <w:sz w:val="18"/>
                <w:szCs w:val="18"/>
                <w:color w:val="auto"/>
              </w:rPr>
              <w:t>5.79</w:t>
            </w:r>
          </w:p>
        </w:tc>
        <w:tc>
          <w:tcPr>
            <w:tcW w:w="11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bottom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2009, is eight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stock options granted during the three months ended March 31, 2009, calculated using the Black-Scholes option pricing model, was $8.76 based on the following assumptions; dividend yield - 0%, risk free interest rate – 0.3%, expected volatility - 45% and weighted average expected life – 5.11 years.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life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gilts zero-coupon yield curve in effect at time of grant for periods corresponding with the expected life of the option.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7, 2008, the Company issued 6,280 restricted share units to certain employees of the Group. These shares are exercisable over periods ranging from February 26, 2009, to February 26, 2011. The market value of the Company’s shares on the date of issue was $41.95.</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for the three months ended March 31, 2009, is stated after charging $1.6 million in respect of non-cash stock compensation expense. Basic and diluted earnings per share for the three months ended March 31, 2009, had SFAS 123R not been introduced would have been $0.39 and $0.38 respectively. Non-cash stock compensation expense for the three months ended March 31, 2009, has been allocated to direct costs and selling, general and administrative expenses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10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1200" w:type="dxa"/>
            <w:vAlign w:val="bottom"/>
            <w:shd w:val="clear" w:color="auto" w:fill="E6EF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Direct costs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220" w:type="dxa"/>
            <w:vAlign w:val="bottom"/>
            <w:gridSpan w:val="2"/>
            <w:shd w:val="clear" w:color="auto" w:fill="E6EFFF"/>
          </w:tcPr>
          <w:p>
            <w:pPr>
              <w:jc w:val="right"/>
              <w:ind w:right="10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1200" w:type="dxa"/>
            <w:vAlign w:val="bottom"/>
            <w:shd w:val="clear" w:color="auto" w:fill="E6EFFF"/>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18"/>
                <w:szCs w:val="18"/>
                <w:color w:val="auto"/>
              </w:rPr>
            </w:pPr>
          </w:p>
        </w:tc>
        <w:tc>
          <w:tcPr>
            <w:tcW w:w="138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FFF"/>
          </w:tcPr>
          <w:p>
            <w:pPr>
              <w:spacing w:after="0"/>
              <w:rPr>
                <w:sz w:val="18"/>
                <w:szCs w:val="18"/>
                <w:color w:val="auto"/>
              </w:rPr>
            </w:pPr>
          </w:p>
        </w:tc>
        <w:tc>
          <w:tcPr>
            <w:tcW w:w="11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E6EFFF"/>
          </w:tcPr>
          <w:p>
            <w:pPr>
              <w:spacing w:after="0"/>
              <w:rPr>
                <w:sz w:val="18"/>
                <w:szCs w:val="18"/>
                <w:color w:val="auto"/>
              </w:rPr>
            </w:pPr>
          </w:p>
        </w:tc>
        <w:tc>
          <w:tcPr>
            <w:tcW w:w="380" w:type="dxa"/>
            <w:vAlign w:val="bottom"/>
            <w:gridSpan w:val="2"/>
            <w:shd w:val="clear" w:color="auto" w:fill="E6EF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shd w:val="clear" w:color="auto" w:fill="E6EFFF"/>
          </w:tcPr>
          <w:p>
            <w:pPr>
              <w:spacing w:after="0" w:line="20" w:lineRule="exact"/>
              <w:rPr>
                <w:sz w:val="1"/>
                <w:szCs w:val="1"/>
                <w:color w:val="auto"/>
              </w:rPr>
            </w:pPr>
          </w:p>
        </w:tc>
        <w:tc>
          <w:tcPr>
            <w:tcW w:w="1220" w:type="dxa"/>
            <w:vAlign w:val="bottom"/>
            <w:shd w:val="clear" w:color="auto" w:fill="E6E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E6EFFF"/>
          </w:tcPr>
          <w:p>
            <w:pPr>
              <w:spacing w:after="0" w:line="20" w:lineRule="exact"/>
              <w:rPr>
                <w:sz w:val="1"/>
                <w:szCs w:val="1"/>
                <w:color w:val="auto"/>
              </w:rPr>
            </w:pPr>
          </w:p>
        </w:tc>
        <w:tc>
          <w:tcPr>
            <w:tcW w:w="100" w:type="dxa"/>
            <w:vAlign w:val="bottom"/>
            <w:shd w:val="clear" w:color="auto" w:fill="E6E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Non vested shares outstanding as at March 31, 2009, are as follows:</w:t>
            </w: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4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Non vested outstanding at December 31, 2008</w:t>
            </w:r>
          </w:p>
        </w:tc>
        <w:tc>
          <w:tcPr>
            <w:tcW w:w="1380" w:type="dxa"/>
            <w:vAlign w:val="bottom"/>
            <w:tcBorders>
              <w:bottom w:val="single" w:sz="8" w:color="auto"/>
            </w:tcBorders>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3,760,750</w:t>
            </w:r>
          </w:p>
        </w:tc>
        <w:tc>
          <w:tcPr>
            <w:tcW w:w="2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E6EFFF"/>
          </w:tcPr>
          <w:p>
            <w:pPr>
              <w:jc w:val="right"/>
              <w:ind w:right="100"/>
              <w:spacing w:after="0"/>
              <w:rPr>
                <w:sz w:val="20"/>
                <w:szCs w:val="20"/>
                <w:color w:val="auto"/>
              </w:rPr>
            </w:pPr>
            <w:r>
              <w:rPr>
                <w:rFonts w:ascii="Arial" w:cs="Arial" w:eastAsia="Arial" w:hAnsi="Arial"/>
                <w:sz w:val="18"/>
                <w:szCs w:val="18"/>
                <w:color w:val="auto"/>
              </w:rPr>
              <w:t>20.69</w:t>
            </w:r>
          </w:p>
        </w:tc>
        <w:tc>
          <w:tcPr>
            <w:tcW w:w="380" w:type="dxa"/>
            <w:vAlign w:val="bottom"/>
            <w:tcBorders>
              <w:bottom w:val="single" w:sz="8" w:color="auto"/>
            </w:tcBorders>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817,233</w:t>
            </w:r>
          </w:p>
        </w:tc>
        <w:tc>
          <w:tcPr>
            <w:tcW w:w="200" w:type="dxa"/>
            <w:vAlign w:val="bottom"/>
            <w:shd w:val="clear" w:color="auto" w:fill="E6E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6EFFF"/>
          </w:tcPr>
          <w:p>
            <w:pPr>
              <w:jc w:val="right"/>
              <w:ind w:right="100"/>
              <w:spacing w:after="0"/>
              <w:rPr>
                <w:sz w:val="20"/>
                <w:szCs w:val="20"/>
                <w:color w:val="auto"/>
              </w:rPr>
            </w:pPr>
            <w:r>
              <w:rPr>
                <w:rFonts w:ascii="Arial" w:cs="Arial" w:eastAsia="Arial" w:hAnsi="Arial"/>
                <w:sz w:val="18"/>
                <w:szCs w:val="18"/>
                <w:color w:val="auto"/>
              </w:rPr>
              <w:t>22.25</w:t>
            </w:r>
          </w:p>
        </w:tc>
        <w:tc>
          <w:tcPr>
            <w:tcW w:w="380" w:type="dxa"/>
            <w:vAlign w:val="bottom"/>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(1,028,629)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17.74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(53,454)</w:t>
            </w:r>
          </w:p>
        </w:tc>
        <w:tc>
          <w:tcPr>
            <w:tcW w:w="2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E6EFFF"/>
          </w:tcPr>
          <w:p>
            <w:pPr>
              <w:jc w:val="right"/>
              <w:ind w:right="100"/>
              <w:spacing w:after="0"/>
              <w:rPr>
                <w:sz w:val="20"/>
                <w:szCs w:val="20"/>
                <w:color w:val="auto"/>
              </w:rPr>
            </w:pPr>
            <w:r>
              <w:rPr>
                <w:rFonts w:ascii="Arial" w:cs="Arial" w:eastAsia="Arial" w:hAnsi="Arial"/>
                <w:sz w:val="18"/>
                <w:szCs w:val="18"/>
                <w:color w:val="auto"/>
              </w:rPr>
              <w:t>25.32</w:t>
            </w:r>
          </w:p>
        </w:tc>
        <w:tc>
          <w:tcPr>
            <w:tcW w:w="380" w:type="dxa"/>
            <w:vAlign w:val="bottom"/>
            <w:tcBorders>
              <w:bottom w:val="single" w:sz="8" w:color="auto"/>
            </w:tcBorders>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Non vested outstanding at March 31, 2009</w:t>
            </w:r>
          </w:p>
        </w:tc>
        <w:tc>
          <w:tcPr>
            <w:tcW w:w="1380" w:type="dxa"/>
            <w:vAlign w:val="bottom"/>
            <w:tcBorders>
              <w:bottom w:val="single" w:sz="8" w:color="auto"/>
            </w:tcBorders>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3,495,900</w:t>
            </w:r>
          </w:p>
        </w:tc>
        <w:tc>
          <w:tcPr>
            <w:tcW w:w="2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E6EFFF"/>
          </w:tcPr>
          <w:p>
            <w:pPr>
              <w:jc w:val="right"/>
              <w:ind w:right="100"/>
              <w:spacing w:after="0"/>
              <w:rPr>
                <w:sz w:val="20"/>
                <w:szCs w:val="20"/>
                <w:color w:val="auto"/>
              </w:rPr>
            </w:pPr>
            <w:r>
              <w:rPr>
                <w:rFonts w:ascii="Arial" w:cs="Arial" w:eastAsia="Arial" w:hAnsi="Arial"/>
                <w:sz w:val="18"/>
                <w:szCs w:val="18"/>
                <w:color w:val="auto"/>
              </w:rPr>
              <w:t>21.85</w:t>
            </w:r>
          </w:p>
        </w:tc>
        <w:tc>
          <w:tcPr>
            <w:tcW w:w="380" w:type="dxa"/>
            <w:vAlign w:val="bottom"/>
            <w:tcBorders>
              <w:bottom w:val="single" w:sz="8" w:color="auto"/>
            </w:tcBorders>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at March 31, 2009, total unrecognized compensation cost related to unvested options, which the Company expects to recognize over a weighted average period of 2.31 years, amounted to $20.95 million. The Company has granted options with fair values ranging from $3.17 to $13.93 per option or a weighted average fair value of $6.00 per option. The Company issues new ordinary shares for all options exercised. The total amount of fully vested share options which remained outstanding at March 31, 2009, was 2,446,523. Fully vested share options at March 31, 2009, have an average remaining contractual term of 4.27 years, an average exercise price of $13.86 and a total intrinsic value of $5.6 million. The total intrinsic value of options exercised during the three months ended March 31, 2009, was $0.3 million (March 31, 2008: $6.5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Business Segment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predominantly in the contract clinical research industry providing a broad range of clinical research and integrated product development services on a global basis for the pharmaceutical and biotechnology industries. The Company also has a central laboratory segment primarily based in New York, USA. This, together with laboratory services based in Dublin, India and Singapore form the central laboratory segment information disclosed below.</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areas of operation outside of Ireland principally include the United Kingdom, United States, Germany, Australia, Argentina, France, Italy, Japan, Israel, Singapore, Canada, Sweden, The Netherlands, Latvia, Russia, Lithuania, Poland, South Africa, India, Hong Kong, Taiwan, Mexico, Brazil, Hungary, Spain, Thailand, South Korea, China, Chile, New Zealand, Denmark, Finland, Peru, Czech Republic, Ukraine, Romania and Colombia. Segment information as at March 31, 2009 and March 31, 2008 and for the three months ended March 31, 2009 and March 31, 2008,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Ireland*</w:t>
            </w:r>
          </w:p>
        </w:tc>
        <w:tc>
          <w:tcPr>
            <w:tcW w:w="140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43,680</w:t>
            </w:r>
          </w:p>
        </w:tc>
        <w:tc>
          <w:tcPr>
            <w:tcW w:w="760" w:type="dxa"/>
            <w:vAlign w:val="bottom"/>
            <w:shd w:val="clear" w:color="auto" w:fill="E6EFFF"/>
          </w:tcPr>
          <w:p>
            <w:pPr>
              <w:jc w:val="center"/>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35,438</w:t>
            </w: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Rest of Europe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55,195</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103,238</w:t>
            </w:r>
          </w:p>
        </w:tc>
        <w:tc>
          <w:tcPr>
            <w:tcW w:w="760" w:type="dxa"/>
            <w:vAlign w:val="bottom"/>
            <w:shd w:val="clear" w:color="auto" w:fill="E6EFFF"/>
          </w:tcPr>
          <w:p>
            <w:pPr>
              <w:spacing w:after="0"/>
              <w:rPr>
                <w:sz w:val="18"/>
                <w:szCs w:val="18"/>
                <w:color w:val="auto"/>
              </w:rPr>
            </w:pPr>
          </w:p>
        </w:tc>
        <w:tc>
          <w:tcPr>
            <w:tcW w:w="8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92,098</w:t>
            </w: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17,718</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16,102</w:t>
            </w:r>
          </w:p>
        </w:tc>
        <w:tc>
          <w:tcPr>
            <w:tcW w:w="220" w:type="dxa"/>
            <w:vAlign w:val="bottom"/>
            <w:tcBorders>
              <w:bottom w:val="single" w:sz="8" w:color="E6E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219,831</w:t>
            </w:r>
          </w:p>
        </w:tc>
        <w:tc>
          <w:tcPr>
            <w:tcW w:w="7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201,344</w:t>
            </w:r>
          </w:p>
        </w:tc>
        <w:tc>
          <w:tcPr>
            <w:tcW w:w="220" w:type="dxa"/>
            <w:vAlign w:val="bottom"/>
            <w:tcBorders>
              <w:bottom w:val="single" w:sz="8" w:color="E6E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 All sales shown for Ireland are export sales.</w:t>
            </w:r>
          </w:p>
        </w:tc>
        <w:tc>
          <w:tcPr>
            <w:tcW w:w="10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040" w:type="dxa"/>
            <w:vAlign w:val="bottom"/>
            <w:gridSpan w:val="2"/>
          </w:tcPr>
          <w:p>
            <w:pPr>
              <w:spacing w:after="0"/>
              <w:rPr>
                <w:sz w:val="20"/>
                <w:szCs w:val="20"/>
                <w:color w:val="auto"/>
              </w:rPr>
            </w:pPr>
            <w:r>
              <w:rPr>
                <w:rFonts w:ascii="Arial" w:cs="Arial" w:eastAsia="Arial" w:hAnsi="Arial"/>
                <w:sz w:val="18"/>
                <w:szCs w:val="18"/>
                <w:color w:val="auto"/>
              </w:rPr>
              <w:t>b) The distribution of net revenue by business segment was as follows:</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Central laboratory</w:t>
            </w:r>
          </w:p>
        </w:tc>
        <w:tc>
          <w:tcPr>
            <w:tcW w:w="140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18,678</w:t>
            </w:r>
          </w:p>
        </w:tc>
        <w:tc>
          <w:tcPr>
            <w:tcW w:w="760" w:type="dxa"/>
            <w:vAlign w:val="bottom"/>
            <w:shd w:val="clear" w:color="auto" w:fill="E6EFFF"/>
          </w:tcPr>
          <w:p>
            <w:pPr>
              <w:jc w:val="center"/>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16,408</w:t>
            </w: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201,153</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184,936</w:t>
            </w:r>
          </w:p>
        </w:tc>
        <w:tc>
          <w:tcPr>
            <w:tcW w:w="220" w:type="dxa"/>
            <w:vAlign w:val="bottom"/>
            <w:tcBorders>
              <w:bottom w:val="single" w:sz="8" w:color="E6E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219,831</w:t>
            </w:r>
          </w:p>
        </w:tc>
        <w:tc>
          <w:tcPr>
            <w:tcW w:w="7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40" w:type="dxa"/>
            <w:vAlign w:val="bottom"/>
            <w:gridSpan w:val="2"/>
          </w:tcPr>
          <w:p>
            <w:pPr>
              <w:spacing w:after="0"/>
              <w:rPr>
                <w:sz w:val="20"/>
                <w:szCs w:val="20"/>
                <w:color w:val="auto"/>
              </w:rPr>
            </w:pPr>
            <w:r>
              <w:rPr>
                <w:rFonts w:ascii="Arial" w:cs="Arial" w:eastAsia="Arial" w:hAnsi="Arial"/>
                <w:sz w:val="18"/>
                <w:szCs w:val="18"/>
                <w:color w:val="auto"/>
              </w:rPr>
              <w:t>c) The distribution of income from operations by geographical area was as follows:</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Ireland</w:t>
            </w:r>
          </w:p>
        </w:tc>
        <w:tc>
          <w:tcPr>
            <w:tcW w:w="140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18,818</w:t>
            </w:r>
          </w:p>
        </w:tc>
        <w:tc>
          <w:tcPr>
            <w:tcW w:w="760" w:type="dxa"/>
            <w:vAlign w:val="bottom"/>
            <w:shd w:val="clear" w:color="auto" w:fill="E6EFFF"/>
          </w:tcPr>
          <w:p>
            <w:pPr>
              <w:jc w:val="center"/>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11,905</w:t>
            </w: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Rest of Europe</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6EFFF"/>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6,350</w:t>
            </w:r>
          </w:p>
        </w:tc>
        <w:tc>
          <w:tcPr>
            <w:tcW w:w="760" w:type="dxa"/>
            <w:vAlign w:val="bottom"/>
            <w:shd w:val="clear" w:color="auto" w:fill="E6EFFF"/>
          </w:tcPr>
          <w:p>
            <w:pPr>
              <w:spacing w:after="0"/>
              <w:rPr>
                <w:sz w:val="18"/>
                <w:szCs w:val="18"/>
                <w:color w:val="auto"/>
              </w:rPr>
            </w:pPr>
          </w:p>
        </w:tc>
        <w:tc>
          <w:tcPr>
            <w:tcW w:w="8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5,504</w:t>
            </w: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E6E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26,915</w:t>
            </w:r>
          </w:p>
        </w:tc>
        <w:tc>
          <w:tcPr>
            <w:tcW w:w="7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d) The distribution of income from operations by business segment was as follows:</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6EFFF"/>
          </w:tcPr>
          <w:p>
            <w:pPr>
              <w:spacing w:after="0"/>
              <w:rPr>
                <w:sz w:val="20"/>
                <w:szCs w:val="20"/>
                <w:color w:val="auto"/>
              </w:rPr>
            </w:pPr>
            <w:r>
              <w:rPr>
                <w:rFonts w:ascii="Arial" w:cs="Arial" w:eastAsia="Arial" w:hAnsi="Arial"/>
                <w:sz w:val="18"/>
                <w:szCs w:val="18"/>
                <w:color w:val="auto"/>
              </w:rPr>
              <w:t>Central laboratory</w:t>
            </w:r>
          </w:p>
        </w:tc>
        <w:tc>
          <w:tcPr>
            <w:tcW w:w="102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1,757</w:t>
            </w:r>
          </w:p>
        </w:tc>
        <w:tc>
          <w:tcPr>
            <w:tcW w:w="3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25,158</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26,915</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21,512</w:t>
            </w:r>
          </w:p>
        </w:tc>
        <w:tc>
          <w:tcPr>
            <w:tcW w:w="0" w:type="dxa"/>
            <w:vAlign w:val="bottom"/>
          </w:tcPr>
          <w:p>
            <w:pPr>
              <w:spacing w:after="0"/>
              <w:rPr>
                <w:sz w:val="1"/>
                <w:szCs w:val="1"/>
                <w:color w:val="auto"/>
              </w:rPr>
            </w:pPr>
          </w:p>
        </w:tc>
      </w:tr>
      <w:tr>
        <w:trPr>
          <w:trHeight w:val="459"/>
        </w:trPr>
        <w:tc>
          <w:tcPr>
            <w:tcW w:w="7420" w:type="dxa"/>
            <w:vAlign w:val="bottom"/>
            <w:gridSpan w:val="2"/>
          </w:tcPr>
          <w:p>
            <w:pPr>
              <w:spacing w:after="0"/>
              <w:rPr>
                <w:sz w:val="20"/>
                <w:szCs w:val="20"/>
                <w:color w:val="auto"/>
              </w:rPr>
            </w:pPr>
            <w:r>
              <w:rPr>
                <w:rFonts w:ascii="Arial" w:cs="Arial" w:eastAsia="Arial" w:hAnsi="Arial"/>
                <w:sz w:val="18"/>
                <w:szCs w:val="18"/>
                <w:color w:val="auto"/>
                <w:w w:val="99"/>
              </w:rPr>
              <w:t>e) The distribution of property, plant and equipment, net, by geographical area was as follows:</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24"/>
                <w:szCs w:val="24"/>
                <w:color w:val="auto"/>
              </w:rPr>
            </w:pP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6EFFF"/>
          </w:tcPr>
          <w:p>
            <w:pPr>
              <w:spacing w:after="0"/>
              <w:rPr>
                <w:sz w:val="20"/>
                <w:szCs w:val="20"/>
                <w:color w:val="auto"/>
              </w:rPr>
            </w:pPr>
            <w:r>
              <w:rPr>
                <w:rFonts w:ascii="Arial" w:cs="Arial" w:eastAsia="Arial" w:hAnsi="Arial"/>
                <w:sz w:val="18"/>
                <w:szCs w:val="18"/>
                <w:color w:val="auto"/>
              </w:rPr>
              <w:t>Ireland</w:t>
            </w:r>
          </w:p>
        </w:tc>
        <w:tc>
          <w:tcPr>
            <w:tcW w:w="102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95,054</w:t>
            </w:r>
          </w:p>
        </w:tc>
        <w:tc>
          <w:tcPr>
            <w:tcW w:w="3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101,715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Rest of Europe</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16,899</w:t>
            </w: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18,071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6EF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45,453</w:t>
            </w: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43,976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8,564</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165,970</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171,748</w:t>
            </w:r>
          </w:p>
        </w:tc>
        <w:tc>
          <w:tcPr>
            <w:tcW w:w="0" w:type="dxa"/>
            <w:vAlign w:val="bottom"/>
          </w:tcPr>
          <w:p>
            <w:pPr>
              <w:spacing w:after="0"/>
              <w:rPr>
                <w:sz w:val="1"/>
                <w:szCs w:val="1"/>
                <w:color w:val="auto"/>
              </w:rPr>
            </w:pPr>
          </w:p>
        </w:tc>
      </w:tr>
      <w:tr>
        <w:trPr>
          <w:trHeight w:val="459"/>
        </w:trPr>
        <w:tc>
          <w:tcPr>
            <w:tcW w:w="7420" w:type="dxa"/>
            <w:vAlign w:val="bottom"/>
            <w:gridSpan w:val="2"/>
          </w:tcPr>
          <w:p>
            <w:pPr>
              <w:spacing w:after="0"/>
              <w:rPr>
                <w:sz w:val="20"/>
                <w:szCs w:val="20"/>
                <w:color w:val="auto"/>
              </w:rPr>
            </w:pPr>
            <w:r>
              <w:rPr>
                <w:rFonts w:ascii="Arial" w:cs="Arial" w:eastAsia="Arial" w:hAnsi="Arial"/>
                <w:sz w:val="18"/>
                <w:szCs w:val="18"/>
                <w:color w:val="auto"/>
                <w:w w:val="99"/>
              </w:rPr>
              <w:t>f) The distribution of property, plant and equipment, net, by business segment was as follows:</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6EFFF"/>
          </w:tcPr>
          <w:p>
            <w:pPr>
              <w:spacing w:after="0"/>
              <w:rPr>
                <w:sz w:val="20"/>
                <w:szCs w:val="20"/>
                <w:color w:val="auto"/>
              </w:rPr>
            </w:pPr>
            <w:r>
              <w:rPr>
                <w:rFonts w:ascii="Arial" w:cs="Arial" w:eastAsia="Arial" w:hAnsi="Arial"/>
                <w:sz w:val="18"/>
                <w:szCs w:val="18"/>
                <w:color w:val="auto"/>
              </w:rPr>
              <w:t>Central laboratory</w:t>
            </w:r>
          </w:p>
        </w:tc>
        <w:tc>
          <w:tcPr>
            <w:tcW w:w="102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13,503</w:t>
            </w:r>
          </w:p>
        </w:tc>
        <w:tc>
          <w:tcPr>
            <w:tcW w:w="3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152,467</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159,067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165,970</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171,748</w:t>
            </w:r>
          </w:p>
        </w:tc>
        <w:tc>
          <w:tcPr>
            <w:tcW w:w="0" w:type="dxa"/>
            <w:vAlign w:val="bottom"/>
          </w:tcPr>
          <w:p>
            <w:pPr>
              <w:spacing w:after="0"/>
              <w:rPr>
                <w:sz w:val="1"/>
                <w:szCs w:val="1"/>
                <w:color w:val="auto"/>
              </w:rPr>
            </w:pPr>
          </w:p>
        </w:tc>
      </w:tr>
      <w:tr>
        <w:trPr>
          <w:trHeight w:val="459"/>
        </w:trPr>
        <w:tc>
          <w:tcPr>
            <w:tcW w:w="7420" w:type="dxa"/>
            <w:vAlign w:val="bottom"/>
            <w:gridSpan w:val="2"/>
          </w:tcPr>
          <w:p>
            <w:pPr>
              <w:spacing w:after="0"/>
              <w:rPr>
                <w:sz w:val="20"/>
                <w:szCs w:val="20"/>
                <w:color w:val="auto"/>
              </w:rPr>
            </w:pPr>
            <w:r>
              <w:rPr>
                <w:rFonts w:ascii="Arial" w:cs="Arial" w:eastAsia="Arial" w:hAnsi="Arial"/>
                <w:sz w:val="18"/>
                <w:szCs w:val="18"/>
                <w:color w:val="auto"/>
              </w:rPr>
              <w:t>g) The distribution of depreciation and amortization by geographical area was as follows:</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6EFFF"/>
          </w:tcPr>
          <w:p>
            <w:pPr>
              <w:spacing w:after="0"/>
              <w:rPr>
                <w:sz w:val="20"/>
                <w:szCs w:val="20"/>
                <w:color w:val="auto"/>
              </w:rPr>
            </w:pPr>
            <w:r>
              <w:rPr>
                <w:rFonts w:ascii="Arial" w:cs="Arial" w:eastAsia="Arial" w:hAnsi="Arial"/>
                <w:sz w:val="18"/>
                <w:szCs w:val="18"/>
                <w:color w:val="auto"/>
              </w:rPr>
              <w:t>Ireland</w:t>
            </w:r>
          </w:p>
        </w:tc>
        <w:tc>
          <w:tcPr>
            <w:tcW w:w="1020" w:type="dxa"/>
            <w:vAlign w:val="bottom"/>
            <w:gridSpan w:val="2"/>
            <w:shd w:val="clear" w:color="auto" w:fill="E6EF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2,152</w:t>
            </w:r>
          </w:p>
        </w:tc>
        <w:tc>
          <w:tcPr>
            <w:tcW w:w="3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Rest of Europe</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1,415</w:t>
            </w: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6EF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3,284</w:t>
            </w: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7,490</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h) The distribution of depreciation and amortization by business segment was as follows: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6EFFF"/>
          </w:tcPr>
          <w:p>
            <w:pPr>
              <w:spacing w:after="0"/>
              <w:rPr>
                <w:sz w:val="20"/>
                <w:szCs w:val="20"/>
                <w:color w:val="auto"/>
              </w:rPr>
            </w:pPr>
            <w:r>
              <w:rPr>
                <w:rFonts w:ascii="Arial" w:cs="Arial" w:eastAsia="Arial" w:hAnsi="Arial"/>
                <w:sz w:val="18"/>
                <w:szCs w:val="18"/>
                <w:color w:val="auto"/>
              </w:rPr>
              <w:t>Central laboratory</w:t>
            </w:r>
          </w:p>
        </w:tc>
        <w:tc>
          <w:tcPr>
            <w:tcW w:w="920" w:type="dxa"/>
            <w:vAlign w:val="bottom"/>
            <w:gridSpan w:val="2"/>
            <w:shd w:val="clear" w:color="auto" w:fill="E6EF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737</w:t>
            </w:r>
          </w:p>
        </w:tc>
        <w:tc>
          <w:tcPr>
            <w:tcW w:w="3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6,753</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7,490</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459"/>
        </w:trPr>
        <w:tc>
          <w:tcPr>
            <w:tcW w:w="7240" w:type="dxa"/>
            <w:vAlign w:val="bottom"/>
            <w:gridSpan w:val="2"/>
          </w:tcPr>
          <w:p>
            <w:pPr>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6EFFF"/>
          </w:tcPr>
          <w:p>
            <w:pPr>
              <w:spacing w:after="0"/>
              <w:rPr>
                <w:sz w:val="20"/>
                <w:szCs w:val="20"/>
                <w:color w:val="auto"/>
              </w:rPr>
            </w:pPr>
            <w:r>
              <w:rPr>
                <w:rFonts w:ascii="Arial" w:cs="Arial" w:eastAsia="Arial" w:hAnsi="Arial"/>
                <w:sz w:val="18"/>
                <w:szCs w:val="18"/>
                <w:color w:val="auto"/>
              </w:rPr>
              <w:t>Ireland</w:t>
            </w:r>
          </w:p>
        </w:tc>
        <w:tc>
          <w:tcPr>
            <w:tcW w:w="920" w:type="dxa"/>
            <w:vAlign w:val="bottom"/>
            <w:gridSpan w:val="2"/>
            <w:shd w:val="clear" w:color="auto" w:fill="E6EF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262,972</w:t>
            </w:r>
          </w:p>
        </w:tc>
        <w:tc>
          <w:tcPr>
            <w:tcW w:w="3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234,159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Rest of Europe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160,091</w:t>
            </w:r>
          </w:p>
        </w:tc>
        <w:tc>
          <w:tcPr>
            <w:tcW w:w="3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165,624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6EFFF"/>
          </w:tcPr>
          <w:p>
            <w:pPr>
              <w:spacing w:after="0"/>
              <w:rPr>
                <w:sz w:val="20"/>
                <w:szCs w:val="20"/>
                <w:color w:val="auto"/>
              </w:rPr>
            </w:pPr>
            <w:r>
              <w:rPr>
                <w:rFonts w:ascii="Arial" w:cs="Arial" w:eastAsia="Arial" w:hAnsi="Arial"/>
                <w:sz w:val="18"/>
                <w:szCs w:val="18"/>
                <w:color w:val="auto"/>
              </w:rPr>
              <w:t>U.S.</w:t>
            </w:r>
          </w:p>
        </w:tc>
        <w:tc>
          <w:tcPr>
            <w:tcW w:w="8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402,744</w:t>
            </w: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442,351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24,729</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25,151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850,536</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867,285</w:t>
            </w:r>
          </w:p>
        </w:tc>
        <w:tc>
          <w:tcPr>
            <w:tcW w:w="0" w:type="dxa"/>
            <w:vAlign w:val="bottom"/>
          </w:tcPr>
          <w:p>
            <w:pPr>
              <w:spacing w:after="0"/>
              <w:rPr>
                <w:sz w:val="1"/>
                <w:szCs w:val="1"/>
                <w:color w:val="auto"/>
              </w:rPr>
            </w:pPr>
          </w:p>
        </w:tc>
      </w:tr>
      <w:tr>
        <w:trPr>
          <w:trHeight w:val="459"/>
        </w:trPr>
        <w:tc>
          <w:tcPr>
            <w:tcW w:w="7240" w:type="dxa"/>
            <w:vAlign w:val="bottom"/>
            <w:gridSpan w:val="2"/>
          </w:tcPr>
          <w:p>
            <w:pPr>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6EFFF"/>
          </w:tcPr>
          <w:p>
            <w:pPr>
              <w:spacing w:after="0"/>
              <w:rPr>
                <w:sz w:val="20"/>
                <w:szCs w:val="20"/>
                <w:color w:val="auto"/>
              </w:rPr>
            </w:pPr>
            <w:r>
              <w:rPr>
                <w:rFonts w:ascii="Arial" w:cs="Arial" w:eastAsia="Arial" w:hAnsi="Arial"/>
                <w:sz w:val="18"/>
                <w:szCs w:val="18"/>
                <w:color w:val="auto"/>
              </w:rPr>
              <w:t>Central laboratory</w:t>
            </w:r>
          </w:p>
        </w:tc>
        <w:tc>
          <w:tcPr>
            <w:tcW w:w="920" w:type="dxa"/>
            <w:vAlign w:val="bottom"/>
            <w:gridSpan w:val="2"/>
            <w:shd w:val="clear" w:color="auto" w:fill="E6EF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57,305</w:t>
            </w:r>
          </w:p>
        </w:tc>
        <w:tc>
          <w:tcPr>
            <w:tcW w:w="3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62,031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793,231</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805,254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850,536</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867,285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2008.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 highly fragmented industry, we are one of a small number of companies with the capability and expertise to conduct clinical trials in all major therapeutic areas on a global basis. Currently, we have approximately 7,100 employees, in 71 locations in 38 countries, providing Phase I - IV Clinical Trial Management, Drug Development Support Services, Data Management and Biostatistics and Central Laboratory and Imaging Services. For the three months ended March 31, 2009, we derived approximately 47%, 45% and 8% of our net revenue in the United States, Europe and Rest of World,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consist primarily of compensation, associated fringe benefits and share based compensation expense for project-related employees and other direct project driven costs. Selling, general and administrative expenses consist of compensation, related fringe benefits and share based compensation expense for selling and administrative employees, professional services expenditure, advertising costs and all costs related to facilities and information systems.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We have 20 operations operating in U.S. dollars, 11 trading in Euros, 5 in pounds Sterling, 3 in Indian Rupee, 2 each in Russian Rouble, Japanese Yen, Swedish Krona and Polish Zloty, and 1 each in Australian dollars, Singapore dollars, Israeli New Shekels, Latvian Lats, Argentine Peso, South African Rand, Canadian dollar, Hungarian Forint, Danish Krone, Czech Koruna, Ukraine Hryvnia, Romanian New Leu, Hong Kong dollar, Taiwan dollar, Mexican Peso, Brazilian Real, Chilean Peso, South Korean Won, Thai Baht, Chinese Yuan Renminbi, Lithuanian Litas, Colombian Peso, Peruvian Neuvo Sol &amp; New Zealand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when appropriate, hedge a portion of these, using forward exchange contracts, where they are not covered by natural hedges. In addition, we usually negotiate currency fluctuation clauses in our contracts which allow for price negotiation if certain exchange rate triggers occur.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compared with Three Months Ended March 31, 2008</w:t>
      </w:r>
    </w:p>
    <w:p>
      <w:pPr>
        <w:spacing w:after="0" w:line="25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rPr>
              <w:t>March 31,</w:t>
            </w:r>
          </w:p>
        </w:tc>
        <w:tc>
          <w:tcPr>
            <w:tcW w:w="12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 2009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8"/>
              </w:rPr>
              <w:t>Percentage of Net Revenue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Net revenue</w:t>
            </w:r>
          </w:p>
        </w:tc>
        <w:tc>
          <w:tcPr>
            <w:tcW w:w="13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Direct costs</w:t>
            </w:r>
          </w:p>
        </w:tc>
        <w:tc>
          <w:tcPr>
            <w:tcW w:w="13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56.5%</w:t>
            </w:r>
          </w:p>
        </w:tc>
        <w:tc>
          <w:tcPr>
            <w:tcW w:w="146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56.2%</w:t>
            </w:r>
          </w:p>
        </w:tc>
        <w:tc>
          <w:tcPr>
            <w:tcW w:w="146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3.4%</w:t>
            </w:r>
          </w:p>
        </w:tc>
        <w:tc>
          <w:tcPr>
            <w:tcW w:w="146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3.0%</w:t>
            </w:r>
          </w:p>
        </w:tc>
        <w:tc>
          <w:tcPr>
            <w:tcW w:w="1460" w:type="dxa"/>
            <w:vAlign w:val="bottom"/>
            <w:gridSpan w:val="2"/>
            <w:shd w:val="clear" w:color="auto" w:fill="E6EFFF"/>
          </w:tcPr>
          <w:p>
            <w:pPr>
              <w:jc w:val="right"/>
              <w:ind w:right="2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 increased by $18.5 million, or 9.2%, from $201.3 million to $219.8 million. In the three months ended March 31, 2009, net revenue from our central laboratory business increased by 13.8%, from $16.4 million, to $18.7 million, while our clinical research segment improved by 8.8%, from $184.9 million to $201.2 million, over the prior period. This increase in net revenue has resulted from a combination of increased business from existing clients, business won from new clients, increased use of outsourcing by the pharmaceutical, biotechnology and medical device industries and an underlying increase in research and development spending.</w:t>
      </w:r>
    </w:p>
    <w:p>
      <w:pPr>
        <w:spacing w:after="0" w:line="21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Direct costs increased by $11.0 million, or 9.7%, from $113.2 million for the three months ended March 31, 2008, to $124.2 million for the three months ended March 31, 2009, primarily due to increased personnel related costs of $8.9 million resulting from an increase in project-related employees of over 980. The remainder of the increase resulted primarily from increased laboratory, consulting and other direct project related expenses. Direct costs as a percentage of net revenue increased from 56.2% for the three months ended March 31, 2008, to 56.5% for the three months ended March 31, 2009.</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expenses increased by $0.7 million, or 1.2%, from $60.5 million for the three months ended March 31, 2008, to $61.3 million for the three months ended March 31, 2009. The increase in S,G&amp;A costs arises from increases in rent and utility costs of $1.0 million, increases in professional legal and accounting costs of $0.3 million, additional bad debt provisions of $0.5 million and additional foreign exchange losses on the revaluation of monetary assets and liabilities during the period of $0.5 million. These increases were offset by a reduction in personnel related costs of $1.9 million, primarily due to a reduction in recruitment costs during the three months ended March 31, 2009. As a percentage of net revenue, selling, general and administrative expenses, decreased from 30.1% in the three months ended March 31, 2008, to 27.9% in the three months ended March 31, 2009.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three months ended March 31, 2009 amounted to $1.6 million compared to $1.3 million during the three months ended March 31, 2008.</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by $1.4 million, or 22.8%, from $6.1 million to $7.5 million. As a percentage of net revenue, depreciation and amortization increased from 3.0% of net revenues for the three months ended March 31, 2008, to 3.4% for the three months ended March 31, 2009. The increase in absolute terms arises primarily from the expansion of the Company’s facility in Dublin, Republic of Ireland, and investment in facilities and equipment to enable our continued growth.</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from operations for the period increased by $5.4 million, or 25.1%, from $21.5 million for the three months ended March 31, 2008, to $26.9 million for the three months ended March 31, 2009. As a percentage of net revenue, income from operations increased from 10.7% of net revenues for the three months ended March 31, 2008, to 12.2% for the three months ended March 31, 2009. Operating margins for our central laboratory business were 9.4% for the three months ended March 31, 2009, compared to 7.5% for the three months ended March 31, 2008. The central laboratory constitutes approximately 8.5% of our business revenues for the three months ended March 31, 2009. Operating margins for our clinical research segment increased to 12.5% for the three months ended March 31, 2009, from 11.0% for the three months ended March 31, 2008.</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for the three months ended March 31, 2009, was $0.7 million, an increase of $0.7 million on net interest expense of $0.04 million from the three months ended March 31, 2008. Interest expense for the period increased by $0.2 million from $1.0 million for the three months ended March 31, 2008, to $1.2 million for the three months ended March 31, 2009. Interest income for the period decreased from $0.9 million for the three months ended March 31, 2008, to $0.5 million for the three months ended March 31, 2009.</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provision for income taxes increased from $4.2 million for the three months ended March 31, 2008, to $5.2 million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2009.  ICON plc’s effective tax rate for the three months ended March 31, 2008, was 20.0% compared with 19.8%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The effective tax rate is principally a function of the distribution of pre-tax profits in the territories in which the Group operates.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CRO industry generally is not capital intensive. Since our inception, we have financed our operations and growth primarily with cash flows from operations, net proceeds of $49.1 million raised in our initial public offering in May 1998, net proceeds of $44.3 million raised in our public offering in August 2003 and net borrowings of $99.2 million. Our principal operating cash needs are payment of salaries, office rents, travel expenditures and payments to investigators. The aggregate amount of employee compensation, excluding stock compensation expense, paid by us and our subsidiaries for the three months ended March 31, 2009 and March 31, 2008, amounted to $135.7 million and $125.5 million respectively. Investing activities primarily reflect capital expenditures for facilities, information systems enhancements, the purchase of short-term investments and acquisitions.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2009, our working capital was $209.1 million, compared to $186.0 million at December 31, 2008.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and the timing of cash receipts. The number of days revenue outstanding was 59 days at March 31, 2009 and 70 days at December 31,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Net cash provided by operating activities was $24.7 million for the three months ended March 31, 2009, compared with cash used by operating activities of $12.3 million for the three months ended March 31, 2008. The increase in cash provided from operating activities arises primarily from a decrease in unbilled revenue during the period.</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investing activities was $9.0 million for the three months ended March 31, 2009, compared with $15.6 million for the three months ended March 31, 2008. Net cash used in the three months ended March 31, 2008 arises principally from capital expenditure, payments for prior period purchase of subsidiary undertakings offset by the sale of short term investments. Capital expenditure for the three months ended March 31, 2009, amounted to $8.1 million, and comprised mainly of expenditure on global infrastructure and information technology systems to support ongoing expansion. Cash paid on acquisitions during the three months ended March 31, 2009, amounted to $17.4 million, being cash paid for the acquisition of the remaining 30% of the common stock of Beacon Biosciences Inc. Cash inflows from the sale of short term investments during the period amounts to $16.5 million.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during the three months ended March 31, 2009, amounted to $2.5 million compared with cash provided by financing activities of $31.3 million for the three months ended December 31, 2008. During the three months ended March 31, 2009, $17.4 million in additional borrowings were drawn down. This was offset by repayments of $20.1 million during the period.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at March 31, 2009, was $70.8 million, an increase of $12.4 million during the three months ended March 31, 2009, compared to an increase of $4.3 million for three months ended March 31, 2008.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debt at March 31, 2009, amounted to $2.2 million, comprising cash and cash equivalents of $70.8 million, short term investments of $26.2 million, less bank credit lines and loan facilities of $99.2 million. Net debt at December 31, 2008, amounted to $4.3 million, comprising cash and cash equivalents of $58.4 million, short term investments of $42.7 million, less bank credit lines and facilities of $105.4 million.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($46.5 million) with The Governor and Company of the Bank of Ireland. Our obligations under the facility are secured by certain composite guarantees, indemnities and pledges in favor of the bank. The facility bears interest at an annual rate equal to the EURIBOR plus a margin. On July 10, 2007, the Company drew down €29.5 million ($39.2 million) of the facility to fund the acquisition of DOCS International. On October 15, 2007, the remaining €5.5 million ($7.3 million) of the facility was drawn down to fund expenditure on the expansion of the Company’s facility in Dublin, Republic of Ireland.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2009, an additional four year committed credit facility was negotiated with The Governor and Company of the Bank of Ireland for $25 million. The facility bears interest at LIBOR plus a margin and is secured by certain composite guarantees, indemnities and pledges in favour of the bank. At March 31, 2009, $17.4 million of this facility was drawn.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2008, committed credit facilities were negotiated with Allied Irish Bank plc for $75 million. The facilities comprise a one year Euro facility of approximately €20 million ($26.6 million), with the balance comprising a three year US dollar facility. The Euro facility bears interest at EURIBOR plus a margin and the US dollar facility bears interest at LIBOR plus a margin. Both facilities are secured by certain composite guarantees and pledges in favour of the bank. At March 31, 2009, $41.0 million of these facilities were drawn, $26.6 million (€20.0 million), to fund the refinancing of previous uncommitted facilities and $14.4 million to fund the acquisition of Prevalere.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4, 2008, an uncommitted credit facility was negotiated with Citibank N.A, for $30 million. Interest is calculated at the London Interbank Market rate plus a margin. At March 31, 2009, this facility was un-drawn and available to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on the above mentioned facilities is 1.70 per cent.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302" w:lineRule="auto"/>
        <w:rPr>
          <w:sz w:val="20"/>
          <w:szCs w:val="20"/>
          <w:color w:val="auto"/>
        </w:rPr>
      </w:pPr>
      <w:r>
        <w:rPr>
          <w:rFonts w:ascii="Arial" w:cs="Arial" w:eastAsia="Arial" w:hAnsi="Arial"/>
          <w:sz w:val="16"/>
          <w:szCs w:val="16"/>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amounts have been accrued as the milestones have not been achieved.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14, 2008, the Company acquired 100% of the common stock of Prevalere Life Sciences Inc. (“Prevalere”), for an initial cash consideration of $36.8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Additional consideration of $5.0 million has been accrued in respect of the milestones for the year ended December 31, 2008. No amounts have been accrued in respect of the milestones for the year ended December 31, 2009.</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$3.0 million if these milestones are achieved during the year ended December 31, 2009. No amounts have been accrued in respect of the potential additional consideration.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657"/>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Ciaran Murray</w:t>
            </w:r>
          </w:p>
        </w:tc>
      </w:tr>
      <w:tr>
        <w:trPr>
          <w:trHeight w:val="208"/>
        </w:trPr>
        <w:tc>
          <w:tcPr>
            <w:tcW w:w="5720" w:type="dxa"/>
            <w:vAlign w:val="bottom"/>
          </w:tcPr>
          <w:p>
            <w:pPr>
              <w:spacing w:after="0"/>
              <w:rPr>
                <w:sz w:val="20"/>
                <w:szCs w:val="20"/>
                <w:color w:val="auto"/>
              </w:rPr>
            </w:pPr>
            <w:r>
              <w:rPr>
                <w:rFonts w:ascii="Arial" w:cs="Arial" w:eastAsia="Arial" w:hAnsi="Arial"/>
                <w:sz w:val="18"/>
                <w:szCs w:val="18"/>
                <w:color w:val="auto"/>
              </w:rPr>
              <w:t>Date April 23, 2009</w:t>
            </w:r>
          </w:p>
        </w:tc>
        <w:tc>
          <w:tcPr>
            <w:tcW w:w="5700" w:type="dxa"/>
            <w:vAlign w:val="bottom"/>
          </w:tcPr>
          <w:p>
            <w:pPr>
              <w:spacing w:after="0"/>
              <w:rPr>
                <w:sz w:val="20"/>
                <w:szCs w:val="20"/>
                <w:color w:val="auto"/>
              </w:rPr>
            </w:pPr>
            <w:r>
              <w:rPr>
                <w:rFonts w:ascii="Arial" w:cs="Arial" w:eastAsia="Arial" w:hAnsi="Arial"/>
                <w:sz w:val="18"/>
                <w:szCs w:val="18"/>
                <w:color w:val="auto"/>
              </w:rPr>
              <w:t>Ciaran Murray</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53"/>
        </w:trPr>
        <w:tc>
          <w:tcPr>
            <w:tcW w:w="57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r>
        <w:trPr>
          <w:trHeight w:val="34"/>
        </w:trPr>
        <w:tc>
          <w:tcPr>
            <w:tcW w:w="5720" w:type="dxa"/>
            <w:vAlign w:val="bottom"/>
            <w:tcBorders>
              <w:bottom w:val="single" w:sz="8" w:color="EEEEEE"/>
            </w:tcBorders>
          </w:tcPr>
          <w:p>
            <w:pPr>
              <w:spacing w:after="0"/>
              <w:rPr>
                <w:sz w:val="2"/>
                <w:szCs w:val="2"/>
                <w:color w:val="auto"/>
              </w:rPr>
            </w:pPr>
          </w:p>
        </w:tc>
        <w:tc>
          <w:tcPr>
            <w:tcW w:w="5700" w:type="dxa"/>
            <w:vAlign w:val="bottom"/>
            <w:tcBorders>
              <w:bottom w:val="single" w:sz="8" w:color="EEEEE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-55245</wp:posOffset>
            </wp:positionV>
            <wp:extent cx="3429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3429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6858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2019-12-10T17:07:38Z</dcterms:created>
  <dcterms:modified xsi:type="dcterms:W3CDTF">2019-12-10T17:07:38Z</dcterms:modified>
</cp:coreProperties>
</file>