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 - 16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March 31, 2006</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name)</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79" w:lineRule="exact"/>
        <w:rPr>
          <w:sz w:val="24"/>
          <w:szCs w:val="24"/>
          <w:color w:val="auto"/>
        </w:rPr>
      </w:pPr>
    </w:p>
    <w:p>
      <w:pPr>
        <w:ind w:left="4000"/>
        <w:spacing w:after="0"/>
        <w:tabs>
          <w:tab w:leader="none" w:pos="4520" w:val="left"/>
          <w:tab w:leader="none" w:pos="63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-10160</wp:posOffset>
            </wp:positionV>
            <wp:extent cx="311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115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75" w:lineRule="exact"/>
        <w:rPr>
          <w:sz w:val="24"/>
          <w:szCs w:val="24"/>
          <w:color w:val="auto"/>
        </w:rPr>
      </w:pPr>
    </w:p>
    <w:p>
      <w:pPr>
        <w:ind w:left="4000"/>
        <w:spacing w:after="0"/>
        <w:tabs>
          <w:tab w:leader="none" w:pos="6040" w:val="left"/>
          <w:tab w:leader="none" w:pos="6440" w:val="left"/>
        </w:tabs>
        <w:rPr>
          <w:sz w:val="20"/>
          <w:szCs w:val="20"/>
          <w:color w:val="auto"/>
        </w:rPr>
      </w:pPr>
      <w:r>
        <w:rPr>
          <w:rFonts w:ascii="Arial" w:cs="Arial" w:eastAsia="Arial" w:hAnsi="Arial"/>
          <w:sz w:val="18"/>
          <w:szCs w:val="18"/>
          <w:color w:val="auto"/>
        </w:rPr>
        <w:t>Yes ____</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4015105</wp:posOffset>
            </wp:positionH>
            <wp:positionV relativeFrom="paragraph">
              <wp:posOffset>-7620</wp:posOffset>
            </wp:positionV>
            <wp:extent cx="2540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75" w:lineRule="exact"/>
        <w:rPr>
          <w:sz w:val="24"/>
          <w:szCs w:val="24"/>
          <w:color w:val="auto"/>
        </w:rPr>
      </w:pPr>
    </w:p>
    <w:p>
      <w:pPr>
        <w:ind w:left="4000"/>
        <w:spacing w:after="0"/>
        <w:tabs>
          <w:tab w:leader="none" w:pos="6040" w:val="left"/>
          <w:tab w:leader="none" w:pos="6440" w:val="left"/>
        </w:tabs>
        <w:rPr>
          <w:sz w:val="20"/>
          <w:szCs w:val="20"/>
          <w:color w:val="auto"/>
        </w:rPr>
      </w:pPr>
      <w:r>
        <w:rPr>
          <w:rFonts w:ascii="Arial" w:cs="Arial" w:eastAsia="Arial" w:hAnsi="Arial"/>
          <w:sz w:val="18"/>
          <w:szCs w:val="18"/>
          <w:color w:val="auto"/>
        </w:rPr>
        <w:t>Yes ____</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4015105</wp:posOffset>
            </wp:positionH>
            <wp:positionV relativeFrom="paragraph">
              <wp:posOffset>-7620</wp:posOffset>
            </wp:positionV>
            <wp:extent cx="254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20" w:lineRule="exact"/>
        <w:rPr>
          <w:sz w:val="24"/>
          <w:szCs w:val="24"/>
          <w:color w:val="auto"/>
        </w:rPr>
      </w:pPr>
    </w:p>
    <w:p>
      <w:pPr>
        <w:ind w:left="4000"/>
        <w:spacing w:after="0"/>
        <w:tabs>
          <w:tab w:leader="none" w:pos="6040" w:val="left"/>
          <w:tab w:leader="none" w:pos="6440" w:val="left"/>
        </w:tabs>
        <w:rPr>
          <w:sz w:val="20"/>
          <w:szCs w:val="20"/>
          <w:color w:val="auto"/>
        </w:rPr>
      </w:pPr>
      <w:r>
        <w:rPr>
          <w:rFonts w:ascii="Arial" w:cs="Arial" w:eastAsia="Arial" w:hAnsi="Arial"/>
          <w:sz w:val="18"/>
          <w:szCs w:val="18"/>
          <w:color w:val="auto"/>
        </w:rPr>
        <w:t>Yes ____</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4015105</wp:posOffset>
            </wp:positionH>
            <wp:positionV relativeFrom="paragraph">
              <wp:posOffset>-7620</wp:posOffset>
            </wp:positionV>
            <wp:extent cx="254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ind w:firstLine="810"/>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ICON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3,200 employees worldwide, with operations in 41 locations in 27 countries, including the United States and major markets in Europe and Rest of World. For the three months ended March 31, 2006, we derived approximately 61.8%, 31.3%, and 6.9% of our net revenue in the United States, Europe and Rest of World,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Headquartered in Dublin, Ireland, we began operations in 1990 and have expanded our business through internal growth and strategic acquisitions.</w:t>
      </w:r>
    </w:p>
    <w:p>
      <w:pPr>
        <w:spacing w:after="0" w:line="2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27, 2005 the Board of Directors of the Company approved a change of the Company’s fiscal year end from a twelve-month period ending on May 31 to a twelve-month period ending on December 31. The Company made this change in order to align its fiscal year end with the majority of other contract research organizations. As a requirement of this change, the Company reported results for the seven-month period from June 1, 2005 to December 31, 2005 as a separate transition period in a Transition Report filed on Form 20-F. From January 1, 2006, the Company’s fiscal quarters will end on the last day of March, June, September and December of each year. Information set out in this report for the current quarter is for the three months ending March 31, 2006. Comparative income statement and cash flow information, together with related notes, is for the three months ending February 28, 2005. Comparative balance sheet information and related notes are stated as at December 31, 2005.</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MARCH 31, 2006 AND DECEMBER 31, 2005</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(Unaudited)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(Audited)</w:t>
            </w:r>
          </w:p>
        </w:tc>
      </w:tr>
      <w:tr>
        <w:trPr>
          <w:trHeight w:val="243"/>
        </w:trPr>
        <w:tc>
          <w:tcPr>
            <w:tcW w:w="7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March 31,</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3"/>
              </w:rPr>
              <w:t>December 31,</w:t>
            </w:r>
          </w:p>
        </w:tc>
      </w:tr>
      <w:tr>
        <w:trPr>
          <w:trHeight w:val="243"/>
        </w:trPr>
        <w:tc>
          <w:tcPr>
            <w:tcW w:w="7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2005</w:t>
            </w:r>
          </w:p>
        </w:tc>
      </w:tr>
      <w:tr>
        <w:trPr>
          <w:trHeight w:val="243"/>
        </w:trPr>
        <w:tc>
          <w:tcPr>
            <w:tcW w:w="7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0" w:type="dxa"/>
            <w:vAlign w:val="bottom"/>
            <w:gridSpan w:val="3"/>
          </w:tcPr>
          <w:p>
            <w:pPr>
              <w:ind w:left="840"/>
              <w:spacing w:after="0"/>
              <w:rPr>
                <w:sz w:val="20"/>
                <w:szCs w:val="20"/>
                <w:color w:val="auto"/>
              </w:rPr>
            </w:pPr>
            <w:r>
              <w:rPr>
                <w:rFonts w:ascii="Arial" w:cs="Arial" w:eastAsia="Arial" w:hAnsi="Arial"/>
                <w:sz w:val="18"/>
                <w:szCs w:val="18"/>
                <w:b w:val="1"/>
                <w:bCs w:val="1"/>
                <w:color w:val="auto"/>
                <w:w w:val="91"/>
              </w:rPr>
              <w:t>(in thousands)</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560" w:type="dxa"/>
            <w:vAlign w:val="bottom"/>
            <w:shd w:val="clear" w:color="auto" w:fill="E2EEF6"/>
          </w:tcPr>
          <w:p>
            <w:pPr>
              <w:ind w:left="34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E2EEF6"/>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2EEF6"/>
          </w:tcPr>
          <w:p>
            <w:pPr>
              <w:jc w:val="right"/>
              <w:ind w:right="260"/>
              <w:spacing w:after="0"/>
              <w:rPr>
                <w:sz w:val="20"/>
                <w:szCs w:val="20"/>
                <w:color w:val="auto"/>
              </w:rPr>
            </w:pPr>
            <w:r>
              <w:rPr>
                <w:rFonts w:ascii="Arial" w:cs="Arial" w:eastAsia="Arial" w:hAnsi="Arial"/>
                <w:sz w:val="18"/>
                <w:szCs w:val="18"/>
                <w:color w:val="auto"/>
              </w:rPr>
              <w:t>62,469</w:t>
            </w:r>
          </w:p>
        </w:tc>
        <w:tc>
          <w:tcPr>
            <w:tcW w:w="54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$59,509</w:t>
            </w:r>
          </w:p>
        </w:tc>
      </w:tr>
      <w:tr>
        <w:trPr>
          <w:trHeight w:val="243"/>
        </w:trPr>
        <w:tc>
          <w:tcPr>
            <w:tcW w:w="7560" w:type="dxa"/>
            <w:vAlign w:val="bottom"/>
          </w:tcPr>
          <w:p>
            <w:pPr>
              <w:ind w:left="340"/>
              <w:spacing w:after="0"/>
              <w:rPr>
                <w:sz w:val="20"/>
                <w:szCs w:val="20"/>
                <w:color w:val="auto"/>
              </w:rPr>
            </w:pPr>
            <w:r>
              <w:rPr>
                <w:rFonts w:ascii="Arial" w:cs="Arial" w:eastAsia="Arial" w:hAnsi="Arial"/>
                <w:sz w:val="18"/>
                <w:szCs w:val="18"/>
                <w:color w:val="auto"/>
              </w:rPr>
              <w:t>Short term investments - available for sale</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22,809</w:t>
            </w:r>
          </w:p>
        </w:tc>
        <w:tc>
          <w:tcPr>
            <w:tcW w:w="5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22,809</w:t>
            </w:r>
          </w:p>
        </w:tc>
      </w:tr>
      <w:tr>
        <w:trPr>
          <w:trHeight w:val="243"/>
        </w:trPr>
        <w:tc>
          <w:tcPr>
            <w:tcW w:w="7560" w:type="dxa"/>
            <w:vAlign w:val="bottom"/>
            <w:shd w:val="clear" w:color="auto" w:fill="E2EEF6"/>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60"/>
              <w:spacing w:after="0"/>
              <w:rPr>
                <w:sz w:val="20"/>
                <w:szCs w:val="20"/>
                <w:color w:val="auto"/>
              </w:rPr>
            </w:pPr>
            <w:r>
              <w:rPr>
                <w:rFonts w:ascii="Arial" w:cs="Arial" w:eastAsia="Arial" w:hAnsi="Arial"/>
                <w:sz w:val="18"/>
                <w:szCs w:val="18"/>
                <w:color w:val="auto"/>
              </w:rPr>
              <w:t>78,648</w:t>
            </w:r>
          </w:p>
        </w:tc>
        <w:tc>
          <w:tcPr>
            <w:tcW w:w="54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71,450</w:t>
            </w:r>
          </w:p>
        </w:tc>
      </w:tr>
      <w:tr>
        <w:trPr>
          <w:trHeight w:val="243"/>
        </w:trPr>
        <w:tc>
          <w:tcPr>
            <w:tcW w:w="7560" w:type="dxa"/>
            <w:vAlign w:val="bottom"/>
          </w:tcPr>
          <w:p>
            <w:pPr>
              <w:ind w:left="340"/>
              <w:spacing w:after="0"/>
              <w:rPr>
                <w:sz w:val="20"/>
                <w:szCs w:val="20"/>
                <w:color w:val="auto"/>
              </w:rPr>
            </w:pPr>
            <w:r>
              <w:rPr>
                <w:rFonts w:ascii="Arial" w:cs="Arial" w:eastAsia="Arial" w:hAnsi="Arial"/>
                <w:sz w:val="18"/>
                <w:szCs w:val="18"/>
                <w:color w:val="auto"/>
              </w:rPr>
              <w:t>Unbilled revenue</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63,313</w:t>
            </w:r>
          </w:p>
        </w:tc>
        <w:tc>
          <w:tcPr>
            <w:tcW w:w="5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62,270</w:t>
            </w:r>
          </w:p>
        </w:tc>
      </w:tr>
      <w:tr>
        <w:trPr>
          <w:trHeight w:val="243"/>
        </w:trPr>
        <w:tc>
          <w:tcPr>
            <w:tcW w:w="7560" w:type="dxa"/>
            <w:vAlign w:val="bottom"/>
            <w:shd w:val="clear" w:color="auto" w:fill="E2EEF6"/>
          </w:tcPr>
          <w:p>
            <w:pPr>
              <w:ind w:left="34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6,559</w:t>
            </w:r>
          </w:p>
        </w:tc>
        <w:tc>
          <w:tcPr>
            <w:tcW w:w="26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6,435</w:t>
            </w:r>
          </w:p>
        </w:tc>
      </w:tr>
      <w:tr>
        <w:trPr>
          <w:trHeight w:val="243"/>
        </w:trPr>
        <w:tc>
          <w:tcPr>
            <w:tcW w:w="7560" w:type="dxa"/>
            <w:vAlign w:val="bottom"/>
          </w:tcPr>
          <w:p>
            <w:pPr>
              <w:ind w:left="34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1,919</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1,554</w:t>
            </w:r>
          </w:p>
        </w:tc>
      </w:tr>
      <w:tr>
        <w:trPr>
          <w:trHeight w:val="243"/>
        </w:trPr>
        <w:tc>
          <w:tcPr>
            <w:tcW w:w="7560" w:type="dxa"/>
            <w:vAlign w:val="bottom"/>
            <w:shd w:val="clear" w:color="auto" w:fill="E2EEF6"/>
          </w:tcPr>
          <w:p>
            <w:pPr>
              <w:ind w:left="340"/>
              <w:spacing w:after="0"/>
              <w:rPr>
                <w:sz w:val="20"/>
                <w:szCs w:val="20"/>
                <w:color w:val="auto"/>
              </w:rPr>
            </w:pPr>
            <w:r>
              <w:rPr>
                <w:rFonts w:ascii="Arial" w:cs="Arial" w:eastAsia="Arial" w:hAnsi="Arial"/>
                <w:sz w:val="18"/>
                <w:szCs w:val="18"/>
                <w:color w:val="auto"/>
              </w:rPr>
              <w:t>Prepayments and other current assets</w:t>
            </w: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60"/>
              <w:spacing w:after="0"/>
              <w:rPr>
                <w:sz w:val="20"/>
                <w:szCs w:val="20"/>
                <w:color w:val="auto"/>
              </w:rPr>
            </w:pPr>
            <w:r>
              <w:rPr>
                <w:rFonts w:ascii="Arial" w:cs="Arial" w:eastAsia="Arial" w:hAnsi="Arial"/>
                <w:sz w:val="18"/>
                <w:szCs w:val="18"/>
                <w:color w:val="auto"/>
              </w:rPr>
              <w:t>12,777</w:t>
            </w:r>
          </w:p>
        </w:tc>
        <w:tc>
          <w:tcPr>
            <w:tcW w:w="54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11,089</w:t>
            </w:r>
          </w:p>
        </w:tc>
      </w:tr>
      <w:tr>
        <w:trPr>
          <w:trHeight w:val="237"/>
        </w:trPr>
        <w:tc>
          <w:tcPr>
            <w:tcW w:w="7560" w:type="dxa"/>
            <w:vAlign w:val="bottom"/>
            <w:tcBorders>
              <w:top w:val="single" w:sz="8" w:color="E2EEF6"/>
            </w:tcBorders>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E2EEF6"/>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248,494</w:t>
            </w:r>
          </w:p>
        </w:tc>
        <w:tc>
          <w:tcPr>
            <w:tcW w:w="260" w:type="dxa"/>
            <w:vAlign w:val="bottom"/>
            <w:tcBorders>
              <w:top w:val="single" w:sz="8" w:color="E2EEF6"/>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235,116</w:t>
            </w:r>
          </w:p>
        </w:tc>
      </w:tr>
      <w:tr>
        <w:trPr>
          <w:trHeight w:val="243"/>
        </w:trPr>
        <w:tc>
          <w:tcPr>
            <w:tcW w:w="7560" w:type="dxa"/>
            <w:vAlign w:val="bottom"/>
            <w:shd w:val="clear" w:color="auto" w:fill="E2EEF6"/>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2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r>
      <w:tr>
        <w:trPr>
          <w:trHeight w:val="243"/>
        </w:trPr>
        <w:tc>
          <w:tcPr>
            <w:tcW w:w="7560" w:type="dxa"/>
            <w:vAlign w:val="bottom"/>
          </w:tcPr>
          <w:p>
            <w:pPr>
              <w:ind w:left="3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49,279</w:t>
            </w:r>
          </w:p>
        </w:tc>
        <w:tc>
          <w:tcPr>
            <w:tcW w:w="5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47,652</w:t>
            </w:r>
          </w:p>
        </w:tc>
      </w:tr>
      <w:tr>
        <w:trPr>
          <w:trHeight w:val="243"/>
        </w:trPr>
        <w:tc>
          <w:tcPr>
            <w:tcW w:w="7560" w:type="dxa"/>
            <w:vAlign w:val="bottom"/>
            <w:shd w:val="clear" w:color="auto" w:fill="E2EEF6"/>
          </w:tcPr>
          <w:p>
            <w:pPr>
              <w:ind w:left="3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60"/>
              <w:spacing w:after="0"/>
              <w:rPr>
                <w:sz w:val="20"/>
                <w:szCs w:val="20"/>
                <w:color w:val="auto"/>
              </w:rPr>
            </w:pPr>
            <w:r>
              <w:rPr>
                <w:rFonts w:ascii="Arial" w:cs="Arial" w:eastAsia="Arial" w:hAnsi="Arial"/>
                <w:sz w:val="18"/>
                <w:szCs w:val="18"/>
                <w:color w:val="auto"/>
              </w:rPr>
              <w:t>66,050</w:t>
            </w:r>
          </w:p>
        </w:tc>
        <w:tc>
          <w:tcPr>
            <w:tcW w:w="54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65,731</w:t>
            </w:r>
          </w:p>
        </w:tc>
      </w:tr>
      <w:tr>
        <w:trPr>
          <w:trHeight w:val="243"/>
        </w:trPr>
        <w:tc>
          <w:tcPr>
            <w:tcW w:w="7560" w:type="dxa"/>
            <w:vAlign w:val="bottom"/>
          </w:tcPr>
          <w:p>
            <w:pPr>
              <w:ind w:left="340"/>
              <w:spacing w:after="0"/>
              <w:rPr>
                <w:sz w:val="20"/>
                <w:szCs w:val="20"/>
                <w:color w:val="auto"/>
              </w:rPr>
            </w:pPr>
            <w:r>
              <w:rPr>
                <w:rFonts w:ascii="Arial" w:cs="Arial" w:eastAsia="Arial" w:hAnsi="Arial"/>
                <w:sz w:val="18"/>
                <w:szCs w:val="18"/>
                <w:color w:val="auto"/>
              </w:rPr>
              <w:t>Non-current deferred tax asset</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452</w:t>
            </w:r>
          </w:p>
        </w:tc>
      </w:tr>
      <w:tr>
        <w:trPr>
          <w:trHeight w:val="243"/>
        </w:trPr>
        <w:tc>
          <w:tcPr>
            <w:tcW w:w="7560" w:type="dxa"/>
            <w:vAlign w:val="bottom"/>
            <w:tcBorders>
              <w:bottom w:val="single" w:sz="8" w:color="E2EEF6"/>
            </w:tcBorders>
            <w:shd w:val="clear" w:color="auto" w:fill="E2EEF6"/>
          </w:tcPr>
          <w:p>
            <w:pPr>
              <w:ind w:left="340"/>
              <w:spacing w:after="0"/>
              <w:rPr>
                <w:sz w:val="20"/>
                <w:szCs w:val="20"/>
                <w:color w:val="auto"/>
              </w:rPr>
            </w:pPr>
            <w:r>
              <w:rPr>
                <w:rFonts w:ascii="Arial" w:cs="Arial" w:eastAsia="Arial" w:hAnsi="Arial"/>
                <w:sz w:val="18"/>
                <w:szCs w:val="18"/>
                <w:color w:val="auto"/>
              </w:rPr>
              <w:t>Intangible assets</w:t>
            </w:r>
          </w:p>
        </w:tc>
        <w:tc>
          <w:tcPr>
            <w:tcW w:w="240" w:type="dxa"/>
            <w:vAlign w:val="bottom"/>
            <w:tcBorders>
              <w:bottom w:val="single" w:sz="8" w:color="E2EEF6"/>
            </w:tcBorders>
            <w:shd w:val="clear" w:color="auto" w:fill="E2EEF6"/>
          </w:tcPr>
          <w:p>
            <w:pPr>
              <w:spacing w:after="0"/>
              <w:rPr>
                <w:sz w:val="21"/>
                <w:szCs w:val="21"/>
                <w:color w:val="auto"/>
              </w:rPr>
            </w:pPr>
          </w:p>
        </w:tc>
        <w:tc>
          <w:tcPr>
            <w:tcW w:w="360" w:type="dxa"/>
            <w:vAlign w:val="bottom"/>
            <w:tcBorders>
              <w:bottom w:val="single" w:sz="8" w:color="auto"/>
            </w:tcBorders>
            <w:shd w:val="clear" w:color="auto" w:fill="E2EEF6"/>
          </w:tcPr>
          <w:p>
            <w:pPr>
              <w:spacing w:after="0"/>
              <w:rPr>
                <w:sz w:val="21"/>
                <w:szCs w:val="21"/>
                <w:color w:val="auto"/>
              </w:rPr>
            </w:pPr>
          </w:p>
        </w:tc>
        <w:tc>
          <w:tcPr>
            <w:tcW w:w="12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85</w:t>
            </w:r>
          </w:p>
        </w:tc>
        <w:tc>
          <w:tcPr>
            <w:tcW w:w="260" w:type="dxa"/>
            <w:vAlign w:val="bottom"/>
            <w:tcBorders>
              <w:bottom w:val="single" w:sz="8" w:color="E2EEF6"/>
            </w:tcBorders>
            <w:shd w:val="clear" w:color="auto" w:fill="E2EEF6"/>
          </w:tcPr>
          <w:p>
            <w:pPr>
              <w:spacing w:after="0"/>
              <w:rPr>
                <w:sz w:val="21"/>
                <w:szCs w:val="21"/>
                <w:color w:val="auto"/>
              </w:rPr>
            </w:pPr>
          </w:p>
        </w:tc>
        <w:tc>
          <w:tcPr>
            <w:tcW w:w="54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gridSpan w:val="2"/>
            <w:shd w:val="clear" w:color="auto" w:fill="E2EEF6"/>
          </w:tcPr>
          <w:p>
            <w:pPr>
              <w:jc w:val="right"/>
              <w:spacing w:after="0"/>
              <w:rPr>
                <w:sz w:val="20"/>
                <w:szCs w:val="20"/>
                <w:color w:val="auto"/>
              </w:rPr>
            </w:pPr>
            <w:r>
              <w:rPr>
                <w:rFonts w:ascii="Arial" w:cs="Arial" w:eastAsia="Arial" w:hAnsi="Arial"/>
                <w:sz w:val="18"/>
                <w:szCs w:val="18"/>
                <w:color w:val="auto"/>
              </w:rPr>
              <w:t>116</w:t>
            </w:r>
          </w:p>
        </w:tc>
      </w:tr>
      <w:tr>
        <w:trPr>
          <w:trHeight w:val="237"/>
        </w:trPr>
        <w:tc>
          <w:tcPr>
            <w:tcW w:w="7560" w:type="dxa"/>
            <w:vAlign w:val="bottom"/>
          </w:tcPr>
          <w:p>
            <w:pPr>
              <w:spacing w:after="0"/>
              <w:rPr>
                <w:sz w:val="20"/>
                <w:szCs w:val="20"/>
                <w:color w:val="auto"/>
              </w:rPr>
            </w:pPr>
            <w:r>
              <w:rPr>
                <w:rFonts w:ascii="Arial" w:cs="Arial" w:eastAsia="Arial" w:hAnsi="Arial"/>
                <w:sz w:val="18"/>
                <w:szCs w:val="18"/>
                <w:color w:val="auto"/>
              </w:rPr>
              <w:t>Total Assets</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364,458</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$349,067</w:t>
            </w:r>
          </w:p>
        </w:tc>
      </w:tr>
      <w:tr>
        <w:trPr>
          <w:trHeight w:val="20"/>
        </w:trPr>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56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360" w:type="dxa"/>
            <w:vAlign w:val="bottom"/>
            <w:shd w:val="clear" w:color="auto" w:fill="E2EEF6"/>
          </w:tcPr>
          <w:p>
            <w:pPr>
              <w:spacing w:after="0"/>
              <w:rPr>
                <w:sz w:val="19"/>
                <w:szCs w:val="19"/>
                <w:color w:val="auto"/>
              </w:rPr>
            </w:pPr>
          </w:p>
        </w:tc>
        <w:tc>
          <w:tcPr>
            <w:tcW w:w="120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540" w:type="dxa"/>
            <w:vAlign w:val="bottom"/>
            <w:shd w:val="clear" w:color="auto" w:fill="E2EEF6"/>
          </w:tcPr>
          <w:p>
            <w:pPr>
              <w:spacing w:after="0"/>
              <w:rPr>
                <w:sz w:val="19"/>
                <w:szCs w:val="19"/>
                <w:color w:val="auto"/>
              </w:rPr>
            </w:pPr>
          </w:p>
        </w:tc>
        <w:tc>
          <w:tcPr>
            <w:tcW w:w="112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560" w:type="dxa"/>
            <w:vAlign w:val="bottom"/>
            <w:shd w:val="clear" w:color="auto" w:fill="E2EEF6"/>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2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r>
      <w:tr>
        <w:trPr>
          <w:trHeight w:val="243"/>
        </w:trPr>
        <w:tc>
          <w:tcPr>
            <w:tcW w:w="75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10,252</w:t>
            </w:r>
          </w:p>
        </w:tc>
        <w:tc>
          <w:tcPr>
            <w:tcW w:w="5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$7,575</w:t>
            </w:r>
          </w:p>
        </w:tc>
      </w:tr>
      <w:tr>
        <w:trPr>
          <w:trHeight w:val="243"/>
        </w:trPr>
        <w:tc>
          <w:tcPr>
            <w:tcW w:w="7560" w:type="dxa"/>
            <w:vAlign w:val="bottom"/>
            <w:shd w:val="clear" w:color="auto" w:fill="E2EEF6"/>
          </w:tcPr>
          <w:p>
            <w:pPr>
              <w:ind w:left="340"/>
              <w:spacing w:after="0"/>
              <w:rPr>
                <w:sz w:val="20"/>
                <w:szCs w:val="20"/>
                <w:color w:val="auto"/>
              </w:rPr>
            </w:pPr>
            <w:r>
              <w:rPr>
                <w:rFonts w:ascii="Arial" w:cs="Arial" w:eastAsia="Arial" w:hAnsi="Arial"/>
                <w:sz w:val="18"/>
                <w:szCs w:val="18"/>
                <w:color w:val="auto"/>
              </w:rPr>
              <w:t>Payments on account</w:t>
            </w: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460" w:type="dxa"/>
            <w:vAlign w:val="bottom"/>
            <w:gridSpan w:val="2"/>
            <w:shd w:val="clear" w:color="auto" w:fill="E2EEF6"/>
          </w:tcPr>
          <w:p>
            <w:pPr>
              <w:jc w:val="right"/>
              <w:ind w:right="260"/>
              <w:spacing w:after="0"/>
              <w:rPr>
                <w:sz w:val="20"/>
                <w:szCs w:val="20"/>
                <w:color w:val="auto"/>
              </w:rPr>
            </w:pPr>
            <w:r>
              <w:rPr>
                <w:rFonts w:ascii="Arial" w:cs="Arial" w:eastAsia="Arial" w:hAnsi="Arial"/>
                <w:sz w:val="18"/>
                <w:szCs w:val="18"/>
                <w:color w:val="auto"/>
              </w:rPr>
              <w:t>55,077</w:t>
            </w:r>
          </w:p>
        </w:tc>
        <w:tc>
          <w:tcPr>
            <w:tcW w:w="54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50,211</w:t>
            </w:r>
          </w:p>
        </w:tc>
      </w:tr>
      <w:tr>
        <w:trPr>
          <w:trHeight w:val="243"/>
        </w:trPr>
        <w:tc>
          <w:tcPr>
            <w:tcW w:w="756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31,327</w:t>
            </w:r>
          </w:p>
        </w:tc>
        <w:tc>
          <w:tcPr>
            <w:tcW w:w="5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33,184</w:t>
            </w:r>
          </w:p>
        </w:tc>
      </w:tr>
      <w:tr>
        <w:trPr>
          <w:trHeight w:val="243"/>
        </w:trPr>
        <w:tc>
          <w:tcPr>
            <w:tcW w:w="7560" w:type="dxa"/>
            <w:vAlign w:val="bottom"/>
            <w:shd w:val="clear" w:color="auto" w:fill="E2EEF6"/>
          </w:tcPr>
          <w:p>
            <w:pPr>
              <w:ind w:left="340"/>
              <w:spacing w:after="0"/>
              <w:rPr>
                <w:sz w:val="20"/>
                <w:szCs w:val="20"/>
                <w:color w:val="auto"/>
              </w:rPr>
            </w:pPr>
            <w:r>
              <w:rPr>
                <w:rFonts w:ascii="Arial" w:cs="Arial" w:eastAsia="Arial" w:hAnsi="Arial"/>
                <w:sz w:val="18"/>
                <w:szCs w:val="18"/>
                <w:color w:val="auto"/>
              </w:rPr>
              <w:t>Deferred tax liability</w:t>
            </w: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682</w:t>
            </w:r>
          </w:p>
        </w:tc>
        <w:tc>
          <w:tcPr>
            <w:tcW w:w="26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682</w:t>
            </w:r>
          </w:p>
        </w:tc>
      </w:tr>
      <w:tr>
        <w:trPr>
          <w:trHeight w:val="243"/>
        </w:trPr>
        <w:tc>
          <w:tcPr>
            <w:tcW w:w="7560" w:type="dxa"/>
            <w:vAlign w:val="bottom"/>
          </w:tcPr>
          <w:p>
            <w:pPr>
              <w:ind w:left="340"/>
              <w:spacing w:after="0"/>
              <w:rPr>
                <w:sz w:val="20"/>
                <w:szCs w:val="20"/>
                <w:color w:val="auto"/>
              </w:rPr>
            </w:pPr>
            <w:r>
              <w:rPr>
                <w:rFonts w:ascii="Arial" w:cs="Arial" w:eastAsia="Arial" w:hAnsi="Arial"/>
                <w:sz w:val="18"/>
                <w:szCs w:val="18"/>
                <w:color w:val="auto"/>
              </w:rPr>
              <w:t>Bank credit lines and loan facilities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4,856</w:t>
            </w:r>
          </w:p>
        </w:tc>
      </w:tr>
      <w:tr>
        <w:trPr>
          <w:trHeight w:val="243"/>
        </w:trPr>
        <w:tc>
          <w:tcPr>
            <w:tcW w:w="7560" w:type="dxa"/>
            <w:vAlign w:val="bottom"/>
            <w:tcBorders>
              <w:bottom w:val="single" w:sz="8" w:color="E2EEF6"/>
            </w:tcBorders>
            <w:shd w:val="clear" w:color="auto" w:fill="E2EEF6"/>
          </w:tcPr>
          <w:p>
            <w:pPr>
              <w:ind w:left="34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E2EEF6"/>
            </w:tcBorders>
            <w:shd w:val="clear" w:color="auto" w:fill="E2EEF6"/>
          </w:tcPr>
          <w:p>
            <w:pPr>
              <w:spacing w:after="0"/>
              <w:rPr>
                <w:sz w:val="21"/>
                <w:szCs w:val="21"/>
                <w:color w:val="auto"/>
              </w:rPr>
            </w:pPr>
          </w:p>
        </w:tc>
        <w:tc>
          <w:tcPr>
            <w:tcW w:w="360" w:type="dxa"/>
            <w:vAlign w:val="bottom"/>
            <w:tcBorders>
              <w:bottom w:val="single" w:sz="8" w:color="auto"/>
            </w:tcBorders>
            <w:shd w:val="clear" w:color="auto" w:fill="E2EEF6"/>
          </w:tcPr>
          <w:p>
            <w:pPr>
              <w:spacing w:after="0"/>
              <w:rPr>
                <w:sz w:val="21"/>
                <w:szCs w:val="21"/>
                <w:color w:val="auto"/>
              </w:rPr>
            </w:pPr>
          </w:p>
        </w:tc>
        <w:tc>
          <w:tcPr>
            <w:tcW w:w="12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8,757</w:t>
            </w:r>
          </w:p>
        </w:tc>
        <w:tc>
          <w:tcPr>
            <w:tcW w:w="260" w:type="dxa"/>
            <w:vAlign w:val="bottom"/>
            <w:tcBorders>
              <w:bottom w:val="single" w:sz="8" w:color="E2EEF6"/>
            </w:tcBorders>
            <w:shd w:val="clear" w:color="auto" w:fill="E2EEF6"/>
          </w:tcPr>
          <w:p>
            <w:pPr>
              <w:spacing w:after="0"/>
              <w:rPr>
                <w:sz w:val="21"/>
                <w:szCs w:val="21"/>
                <w:color w:val="auto"/>
              </w:rPr>
            </w:pPr>
          </w:p>
        </w:tc>
        <w:tc>
          <w:tcPr>
            <w:tcW w:w="54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gridSpan w:val="2"/>
            <w:shd w:val="clear" w:color="auto" w:fill="E2EEF6"/>
          </w:tcPr>
          <w:p>
            <w:pPr>
              <w:jc w:val="right"/>
              <w:spacing w:after="0"/>
              <w:rPr>
                <w:sz w:val="20"/>
                <w:szCs w:val="20"/>
                <w:color w:val="auto"/>
              </w:rPr>
            </w:pPr>
            <w:r>
              <w:rPr>
                <w:rFonts w:ascii="Arial" w:cs="Arial" w:eastAsia="Arial" w:hAnsi="Arial"/>
                <w:sz w:val="18"/>
                <w:szCs w:val="18"/>
                <w:color w:val="auto"/>
              </w:rPr>
              <w:t>6,296</w:t>
            </w:r>
          </w:p>
        </w:tc>
      </w:tr>
      <w:tr>
        <w:trPr>
          <w:trHeight w:val="237"/>
        </w:trPr>
        <w:tc>
          <w:tcPr>
            <w:tcW w:w="75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106,095</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102,804</w:t>
            </w:r>
          </w:p>
        </w:tc>
      </w:tr>
      <w:tr>
        <w:trPr>
          <w:trHeight w:val="243"/>
        </w:trPr>
        <w:tc>
          <w:tcPr>
            <w:tcW w:w="7560" w:type="dxa"/>
            <w:vAlign w:val="bottom"/>
            <w:shd w:val="clear" w:color="auto" w:fill="E2EEF6"/>
          </w:tcPr>
          <w:p>
            <w:pPr>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2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r>
      <w:tr>
        <w:trPr>
          <w:trHeight w:val="243"/>
        </w:trPr>
        <w:tc>
          <w:tcPr>
            <w:tcW w:w="7560" w:type="dxa"/>
            <w:vAlign w:val="bottom"/>
          </w:tcPr>
          <w:p>
            <w:pPr>
              <w:ind w:left="340"/>
              <w:spacing w:after="0"/>
              <w:rPr>
                <w:sz w:val="20"/>
                <w:szCs w:val="20"/>
                <w:color w:val="auto"/>
              </w:rPr>
            </w:pPr>
            <w:r>
              <w:rPr>
                <w:rFonts w:ascii="Arial" w:cs="Arial" w:eastAsia="Arial" w:hAnsi="Arial"/>
                <w:sz w:val="18"/>
                <w:szCs w:val="18"/>
                <w:color w:val="auto"/>
              </w:rPr>
              <w:t>Long term government grants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1,157</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1,160</w:t>
            </w:r>
          </w:p>
        </w:tc>
      </w:tr>
      <w:tr>
        <w:trPr>
          <w:trHeight w:val="243"/>
        </w:trPr>
        <w:tc>
          <w:tcPr>
            <w:tcW w:w="7560" w:type="dxa"/>
            <w:vAlign w:val="bottom"/>
            <w:shd w:val="clear" w:color="auto" w:fill="E2EEF6"/>
          </w:tcPr>
          <w:p>
            <w:pPr>
              <w:ind w:left="340"/>
              <w:spacing w:after="0"/>
              <w:rPr>
                <w:sz w:val="20"/>
                <w:szCs w:val="20"/>
                <w:color w:val="auto"/>
              </w:rPr>
            </w:pPr>
            <w:r>
              <w:rPr>
                <w:rFonts w:ascii="Arial" w:cs="Arial" w:eastAsia="Arial" w:hAnsi="Arial"/>
                <w:sz w:val="18"/>
                <w:szCs w:val="18"/>
                <w:color w:val="auto"/>
              </w:rPr>
              <w:t>Long term finance leases</w:t>
            </w: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7560" w:type="dxa"/>
            <w:vAlign w:val="bottom"/>
          </w:tcPr>
          <w:p>
            <w:pPr>
              <w:ind w:left="340"/>
              <w:spacing w:after="0"/>
              <w:rPr>
                <w:sz w:val="20"/>
                <w:szCs w:val="20"/>
                <w:color w:val="auto"/>
              </w:rPr>
            </w:pPr>
            <w:r>
              <w:rPr>
                <w:rFonts w:ascii="Arial" w:cs="Arial" w:eastAsia="Arial" w:hAnsi="Arial"/>
                <w:sz w:val="18"/>
                <w:szCs w:val="18"/>
                <w:color w:val="auto"/>
              </w:rPr>
              <w:t>Non-current deferred tax liability</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2,627</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2,499</w:t>
            </w:r>
          </w:p>
        </w:tc>
      </w:tr>
      <w:tr>
        <w:trPr>
          <w:trHeight w:val="243"/>
        </w:trPr>
        <w:tc>
          <w:tcPr>
            <w:tcW w:w="7560" w:type="dxa"/>
            <w:vAlign w:val="bottom"/>
            <w:tcBorders>
              <w:bottom w:val="single" w:sz="8" w:color="E2EEF6"/>
            </w:tcBorders>
            <w:shd w:val="clear" w:color="auto" w:fill="E2EEF6"/>
          </w:tcPr>
          <w:p>
            <w:pPr>
              <w:ind w:left="340"/>
              <w:spacing w:after="0"/>
              <w:rPr>
                <w:sz w:val="20"/>
                <w:szCs w:val="20"/>
                <w:color w:val="auto"/>
              </w:rPr>
            </w:pPr>
            <w:r>
              <w:rPr>
                <w:rFonts w:ascii="Arial" w:cs="Arial" w:eastAsia="Arial" w:hAnsi="Arial"/>
                <w:sz w:val="18"/>
                <w:szCs w:val="18"/>
                <w:color w:val="auto"/>
              </w:rPr>
              <w:t>Minority interest</w:t>
            </w:r>
          </w:p>
        </w:tc>
        <w:tc>
          <w:tcPr>
            <w:tcW w:w="240" w:type="dxa"/>
            <w:vAlign w:val="bottom"/>
            <w:tcBorders>
              <w:bottom w:val="single" w:sz="8" w:color="E2EEF6"/>
            </w:tcBorders>
            <w:shd w:val="clear" w:color="auto" w:fill="E2EEF6"/>
          </w:tcPr>
          <w:p>
            <w:pPr>
              <w:spacing w:after="0"/>
              <w:rPr>
                <w:sz w:val="21"/>
                <w:szCs w:val="21"/>
                <w:color w:val="auto"/>
              </w:rPr>
            </w:pPr>
          </w:p>
        </w:tc>
        <w:tc>
          <w:tcPr>
            <w:tcW w:w="360" w:type="dxa"/>
            <w:vAlign w:val="bottom"/>
            <w:tcBorders>
              <w:bottom w:val="single" w:sz="8" w:color="auto"/>
            </w:tcBorders>
            <w:shd w:val="clear" w:color="auto" w:fill="E2EEF6"/>
          </w:tcPr>
          <w:p>
            <w:pPr>
              <w:spacing w:after="0"/>
              <w:rPr>
                <w:sz w:val="21"/>
                <w:szCs w:val="21"/>
                <w:color w:val="auto"/>
              </w:rPr>
            </w:pPr>
          </w:p>
        </w:tc>
        <w:tc>
          <w:tcPr>
            <w:tcW w:w="12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936</w:t>
            </w:r>
          </w:p>
        </w:tc>
        <w:tc>
          <w:tcPr>
            <w:tcW w:w="260" w:type="dxa"/>
            <w:vAlign w:val="bottom"/>
            <w:tcBorders>
              <w:bottom w:val="single" w:sz="8" w:color="E2EEF6"/>
            </w:tcBorders>
            <w:shd w:val="clear" w:color="auto" w:fill="E2EEF6"/>
          </w:tcPr>
          <w:p>
            <w:pPr>
              <w:spacing w:after="0"/>
              <w:rPr>
                <w:sz w:val="21"/>
                <w:szCs w:val="21"/>
                <w:color w:val="auto"/>
              </w:rPr>
            </w:pPr>
          </w:p>
        </w:tc>
        <w:tc>
          <w:tcPr>
            <w:tcW w:w="540" w:type="dxa"/>
            <w:vAlign w:val="bottom"/>
            <w:tcBorders>
              <w:bottom w:val="single" w:sz="8" w:color="auto"/>
            </w:tcBorders>
            <w:shd w:val="clear" w:color="auto" w:fill="E2EEF6"/>
          </w:tcPr>
          <w:p>
            <w:pPr>
              <w:spacing w:after="0"/>
              <w:rPr>
                <w:sz w:val="21"/>
                <w:szCs w:val="21"/>
                <w:color w:val="auto"/>
              </w:rPr>
            </w:pPr>
          </w:p>
        </w:tc>
        <w:tc>
          <w:tcPr>
            <w:tcW w:w="1260" w:type="dxa"/>
            <w:vAlign w:val="bottom"/>
            <w:tcBorders>
              <w:bottom w:val="single" w:sz="8" w:color="auto"/>
            </w:tcBorders>
            <w:gridSpan w:val="2"/>
            <w:shd w:val="clear" w:color="auto" w:fill="E2EEF6"/>
          </w:tcPr>
          <w:p>
            <w:pPr>
              <w:jc w:val="right"/>
              <w:spacing w:after="0"/>
              <w:rPr>
                <w:sz w:val="20"/>
                <w:szCs w:val="20"/>
                <w:color w:val="auto"/>
              </w:rPr>
            </w:pPr>
            <w:r>
              <w:rPr>
                <w:rFonts w:ascii="Arial" w:cs="Arial" w:eastAsia="Arial" w:hAnsi="Arial"/>
                <w:sz w:val="18"/>
                <w:szCs w:val="18"/>
                <w:color w:val="auto"/>
              </w:rPr>
              <w:t>894</w:t>
            </w:r>
          </w:p>
        </w:tc>
      </w:tr>
      <w:tr>
        <w:trPr>
          <w:trHeight w:val="237"/>
        </w:trPr>
        <w:tc>
          <w:tcPr>
            <w:tcW w:w="756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110,938</w:t>
            </w:r>
          </w:p>
        </w:tc>
        <w:tc>
          <w:tcPr>
            <w:tcW w:w="5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107,509</w:t>
            </w:r>
          </w:p>
        </w:tc>
      </w:tr>
      <w:tr>
        <w:trPr>
          <w:trHeight w:val="243"/>
        </w:trPr>
        <w:tc>
          <w:tcPr>
            <w:tcW w:w="756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2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r>
      <w:tr>
        <w:trPr>
          <w:trHeight w:val="243"/>
        </w:trPr>
        <w:tc>
          <w:tcPr>
            <w:tcW w:w="756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560" w:type="dxa"/>
            <w:vAlign w:val="bottom"/>
            <w:shd w:val="clear" w:color="auto" w:fill="E2EEF6"/>
          </w:tcPr>
          <w:p>
            <w:pPr>
              <w:ind w:left="340"/>
              <w:spacing w:after="0"/>
              <w:rPr>
                <w:sz w:val="20"/>
                <w:szCs w:val="20"/>
                <w:color w:val="auto"/>
              </w:rPr>
            </w:pPr>
            <w:r>
              <w:rPr>
                <w:rFonts w:ascii="Arial" w:cs="Arial" w:eastAsia="Arial" w:hAnsi="Arial"/>
                <w:sz w:val="18"/>
                <w:szCs w:val="18"/>
                <w:color w:val="auto"/>
              </w:rPr>
              <w:t>Ordinary shares, par value 6 euro cents per share; 20,000,000 shares authorized,</w:t>
            </w: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200" w:type="dxa"/>
            <w:vAlign w:val="bottom"/>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112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r>
      <w:tr>
        <w:trPr>
          <w:trHeight w:val="256"/>
        </w:trPr>
        <w:tc>
          <w:tcPr>
            <w:tcW w:w="7560" w:type="dxa"/>
            <w:vAlign w:val="bottom"/>
          </w:tcPr>
          <w:p>
            <w:pPr>
              <w:ind w:left="340"/>
              <w:spacing w:after="0"/>
              <w:rPr>
                <w:sz w:val="20"/>
                <w:szCs w:val="20"/>
                <w:color w:val="auto"/>
              </w:rPr>
            </w:pPr>
            <w:r>
              <w:rPr>
                <w:rFonts w:ascii="Arial" w:cs="Arial" w:eastAsia="Arial" w:hAnsi="Arial"/>
                <w:sz w:val="18"/>
                <w:szCs w:val="18"/>
                <w:color w:val="auto"/>
              </w:rPr>
              <w:t>14,091,097 shares issued and outstanding at March 31, 2006 and</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30"/>
        </w:trPr>
        <w:tc>
          <w:tcPr>
            <w:tcW w:w="7560" w:type="dxa"/>
            <w:vAlign w:val="bottom"/>
          </w:tcPr>
          <w:p>
            <w:pPr>
              <w:ind w:left="340"/>
              <w:spacing w:after="0"/>
              <w:rPr>
                <w:sz w:val="20"/>
                <w:szCs w:val="20"/>
                <w:color w:val="auto"/>
              </w:rPr>
            </w:pPr>
            <w:r>
              <w:rPr>
                <w:rFonts w:ascii="Arial" w:cs="Arial" w:eastAsia="Arial" w:hAnsi="Arial"/>
                <w:sz w:val="18"/>
                <w:szCs w:val="18"/>
                <w:color w:val="auto"/>
              </w:rPr>
              <w:t>14,018,092 shares issued and outstanding at December 31, 2005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998</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993</w:t>
            </w:r>
          </w:p>
        </w:tc>
      </w:tr>
      <w:tr>
        <w:trPr>
          <w:trHeight w:val="243"/>
        </w:trPr>
        <w:tc>
          <w:tcPr>
            <w:tcW w:w="7560" w:type="dxa"/>
            <w:vAlign w:val="bottom"/>
            <w:shd w:val="clear" w:color="auto" w:fill="E2EEF6"/>
          </w:tcPr>
          <w:p>
            <w:pPr>
              <w:ind w:left="3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126,135</w:t>
            </w:r>
          </w:p>
        </w:tc>
        <w:tc>
          <w:tcPr>
            <w:tcW w:w="26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123,333</w:t>
            </w:r>
          </w:p>
        </w:tc>
      </w:tr>
      <w:tr>
        <w:trPr>
          <w:trHeight w:val="243"/>
        </w:trPr>
        <w:tc>
          <w:tcPr>
            <w:tcW w:w="756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5,023</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3,409</w:t>
            </w:r>
          </w:p>
        </w:tc>
      </w:tr>
      <w:tr>
        <w:trPr>
          <w:trHeight w:val="243"/>
        </w:trPr>
        <w:tc>
          <w:tcPr>
            <w:tcW w:w="7560" w:type="dxa"/>
            <w:vAlign w:val="bottom"/>
            <w:shd w:val="clear" w:color="auto" w:fill="E2EEF6"/>
          </w:tcPr>
          <w:p>
            <w:pPr>
              <w:ind w:left="340"/>
              <w:spacing w:after="0"/>
              <w:rPr>
                <w:sz w:val="20"/>
                <w:szCs w:val="20"/>
                <w:color w:val="auto"/>
              </w:rPr>
            </w:pPr>
            <w:r>
              <w:rPr>
                <w:rFonts w:ascii="Arial" w:cs="Arial" w:eastAsia="Arial" w:hAnsi="Arial"/>
                <w:sz w:val="18"/>
                <w:szCs w:val="18"/>
                <w:color w:val="auto"/>
              </w:rPr>
              <w:t>Merger reserve</w:t>
            </w:r>
          </w:p>
        </w:tc>
        <w:tc>
          <w:tcPr>
            <w:tcW w:w="240" w:type="dxa"/>
            <w:vAlign w:val="bottom"/>
            <w:shd w:val="clear" w:color="auto" w:fill="E2EEF6"/>
          </w:tcPr>
          <w:p>
            <w:pPr>
              <w:spacing w:after="0"/>
              <w:rPr>
                <w:sz w:val="21"/>
                <w:szCs w:val="21"/>
                <w:color w:val="auto"/>
              </w:rPr>
            </w:pPr>
          </w:p>
        </w:tc>
        <w:tc>
          <w:tcPr>
            <w:tcW w:w="360" w:type="dxa"/>
            <w:vAlign w:val="bottom"/>
            <w:shd w:val="clear" w:color="auto" w:fill="E2EEF6"/>
          </w:tcPr>
          <w:p>
            <w:pPr>
              <w:spacing w:after="0"/>
              <w:rPr>
                <w:sz w:val="21"/>
                <w:szCs w:val="21"/>
                <w:color w:val="auto"/>
              </w:rPr>
            </w:pP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E2EEF6"/>
          </w:tcPr>
          <w:p>
            <w:pPr>
              <w:spacing w:after="0"/>
              <w:rPr>
                <w:sz w:val="21"/>
                <w:szCs w:val="21"/>
                <w:color w:val="auto"/>
              </w:rPr>
            </w:pPr>
          </w:p>
        </w:tc>
        <w:tc>
          <w:tcPr>
            <w:tcW w:w="54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756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121,317</w:t>
            </w:r>
          </w:p>
        </w:tc>
        <w:tc>
          <w:tcPr>
            <w:tcW w:w="2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113,776</w:t>
            </w:r>
          </w:p>
        </w:tc>
      </w:tr>
      <w:tr>
        <w:trPr>
          <w:trHeight w:val="237"/>
        </w:trPr>
        <w:tc>
          <w:tcPr>
            <w:tcW w:w="75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E2EEF6"/>
            </w:tcBorders>
            <w:shd w:val="clear" w:color="auto" w:fill="E2EEF6"/>
          </w:tcPr>
          <w:p>
            <w:pPr>
              <w:spacing w:after="0"/>
              <w:rPr>
                <w:sz w:val="20"/>
                <w:szCs w:val="20"/>
                <w:color w:val="auto"/>
              </w:rPr>
            </w:pPr>
          </w:p>
        </w:tc>
        <w:tc>
          <w:tcPr>
            <w:tcW w:w="360" w:type="dxa"/>
            <w:vAlign w:val="bottom"/>
            <w:tcBorders>
              <w:bottom w:val="single" w:sz="8" w:color="auto"/>
            </w:tcBorders>
            <w:shd w:val="clear" w:color="auto" w:fill="E2EEF6"/>
          </w:tcPr>
          <w:p>
            <w:pPr>
              <w:spacing w:after="0"/>
              <w:rPr>
                <w:sz w:val="20"/>
                <w:szCs w:val="20"/>
                <w:color w:val="auto"/>
              </w:rPr>
            </w:pPr>
          </w:p>
        </w:tc>
        <w:tc>
          <w:tcPr>
            <w:tcW w:w="12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253,520</w:t>
            </w:r>
          </w:p>
        </w:tc>
        <w:tc>
          <w:tcPr>
            <w:tcW w:w="260" w:type="dxa"/>
            <w:vAlign w:val="bottom"/>
            <w:tcBorders>
              <w:bottom w:val="single" w:sz="8" w:color="E2EEF6"/>
            </w:tcBorders>
            <w:shd w:val="clear" w:color="auto" w:fill="E2EEF6"/>
          </w:tcPr>
          <w:p>
            <w:pPr>
              <w:spacing w:after="0"/>
              <w:rPr>
                <w:sz w:val="20"/>
                <w:szCs w:val="20"/>
                <w:color w:val="auto"/>
              </w:rPr>
            </w:pPr>
          </w:p>
        </w:tc>
        <w:tc>
          <w:tcPr>
            <w:tcW w:w="540" w:type="dxa"/>
            <w:vAlign w:val="bottom"/>
            <w:tcBorders>
              <w:bottom w:val="single" w:sz="8" w:color="auto"/>
            </w:tcBorders>
            <w:shd w:val="clear" w:color="auto" w:fill="E2EEF6"/>
          </w:tcPr>
          <w:p>
            <w:pPr>
              <w:spacing w:after="0"/>
              <w:rPr>
                <w:sz w:val="20"/>
                <w:szCs w:val="20"/>
                <w:color w:val="auto"/>
              </w:rPr>
            </w:pPr>
          </w:p>
        </w:tc>
        <w:tc>
          <w:tcPr>
            <w:tcW w:w="1260" w:type="dxa"/>
            <w:vAlign w:val="bottom"/>
            <w:tcBorders>
              <w:bottom w:val="single" w:sz="8" w:color="auto"/>
            </w:tcBorders>
            <w:gridSpan w:val="2"/>
            <w:shd w:val="clear" w:color="auto" w:fill="E2EEF6"/>
          </w:tcPr>
          <w:p>
            <w:pPr>
              <w:jc w:val="right"/>
              <w:spacing w:after="0"/>
              <w:rPr>
                <w:sz w:val="20"/>
                <w:szCs w:val="20"/>
                <w:color w:val="auto"/>
              </w:rPr>
            </w:pPr>
            <w:r>
              <w:rPr>
                <w:rFonts w:ascii="Arial" w:cs="Arial" w:eastAsia="Arial" w:hAnsi="Arial"/>
                <w:sz w:val="18"/>
                <w:szCs w:val="18"/>
                <w:color w:val="auto"/>
              </w:rPr>
              <w:t>241,558</w:t>
            </w:r>
          </w:p>
        </w:tc>
      </w:tr>
      <w:tr>
        <w:trPr>
          <w:trHeight w:val="237"/>
        </w:trPr>
        <w:tc>
          <w:tcPr>
            <w:tcW w:w="7560" w:type="dxa"/>
            <w:vAlign w:val="bottom"/>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364,458</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$349,067</w:t>
            </w:r>
          </w:p>
        </w:tc>
      </w:tr>
      <w:tr>
        <w:trPr>
          <w:trHeight w:val="20"/>
        </w:trPr>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560" w:type="dxa"/>
            <w:vAlign w:val="bottom"/>
            <w:shd w:val="clear" w:color="auto" w:fill="E2EEF6"/>
          </w:tcPr>
          <w:p>
            <w:pPr>
              <w:spacing w:after="0" w:line="196" w:lineRule="exact"/>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240" w:type="dxa"/>
            <w:vAlign w:val="bottom"/>
            <w:shd w:val="clear" w:color="auto" w:fill="E2EEF6"/>
          </w:tcPr>
          <w:p>
            <w:pPr>
              <w:spacing w:after="0"/>
              <w:rPr>
                <w:sz w:val="17"/>
                <w:szCs w:val="17"/>
                <w:color w:val="auto"/>
              </w:rPr>
            </w:pPr>
          </w:p>
        </w:tc>
        <w:tc>
          <w:tcPr>
            <w:tcW w:w="360" w:type="dxa"/>
            <w:vAlign w:val="bottom"/>
            <w:shd w:val="clear" w:color="auto" w:fill="E2EEF6"/>
          </w:tcPr>
          <w:p>
            <w:pPr>
              <w:spacing w:after="0"/>
              <w:rPr>
                <w:sz w:val="17"/>
                <w:szCs w:val="17"/>
                <w:color w:val="auto"/>
              </w:rPr>
            </w:pPr>
          </w:p>
        </w:tc>
        <w:tc>
          <w:tcPr>
            <w:tcW w:w="1200" w:type="dxa"/>
            <w:vAlign w:val="bottom"/>
            <w:shd w:val="clear" w:color="auto" w:fill="E2EEF6"/>
          </w:tcPr>
          <w:p>
            <w:pPr>
              <w:spacing w:after="0"/>
              <w:rPr>
                <w:sz w:val="17"/>
                <w:szCs w:val="17"/>
                <w:color w:val="auto"/>
              </w:rPr>
            </w:pPr>
          </w:p>
        </w:tc>
        <w:tc>
          <w:tcPr>
            <w:tcW w:w="260" w:type="dxa"/>
            <w:vAlign w:val="bottom"/>
            <w:shd w:val="clear" w:color="auto" w:fill="E2EEF6"/>
          </w:tcPr>
          <w:p>
            <w:pPr>
              <w:spacing w:after="0"/>
              <w:rPr>
                <w:sz w:val="17"/>
                <w:szCs w:val="17"/>
                <w:color w:val="auto"/>
              </w:rPr>
            </w:pPr>
          </w:p>
        </w:tc>
        <w:tc>
          <w:tcPr>
            <w:tcW w:w="540" w:type="dxa"/>
            <w:vAlign w:val="bottom"/>
            <w:shd w:val="clear" w:color="auto" w:fill="E2EEF6"/>
          </w:tcPr>
          <w:p>
            <w:pPr>
              <w:spacing w:after="0"/>
              <w:rPr>
                <w:sz w:val="17"/>
                <w:szCs w:val="17"/>
                <w:color w:val="auto"/>
              </w:rPr>
            </w:pPr>
          </w:p>
        </w:tc>
        <w:tc>
          <w:tcPr>
            <w:tcW w:w="1120" w:type="dxa"/>
            <w:vAlign w:val="bottom"/>
            <w:shd w:val="clear" w:color="auto" w:fill="E2EEF6"/>
          </w:tcPr>
          <w:p>
            <w:pPr>
              <w:spacing w:after="0"/>
              <w:rPr>
                <w:sz w:val="17"/>
                <w:szCs w:val="17"/>
                <w:color w:val="auto"/>
              </w:rPr>
            </w:pPr>
          </w:p>
        </w:tc>
        <w:tc>
          <w:tcPr>
            <w:tcW w:w="1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4" w:name="page5"/>
    <w:bookmarkEnd w:id="4"/>
    <w:p>
      <w:pPr>
        <w:ind w:left="454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FOR THE THREE MONTHS ENDED MARCH 31, 2006 AND FEBRUARY 28, 2005</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February 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Gross revenue</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140,644</w:t>
            </w:r>
          </w:p>
        </w:tc>
        <w:tc>
          <w:tcPr>
            <w:tcW w:w="140" w:type="dxa"/>
            <w:vAlign w:val="bottom"/>
            <w:shd w:val="clear" w:color="auto" w:fill="E2EEF6"/>
          </w:tcPr>
          <w:p>
            <w:pPr>
              <w:spacing w:after="0"/>
              <w:rPr>
                <w:sz w:val="21"/>
                <w:szCs w:val="21"/>
                <w:color w:val="auto"/>
              </w:rPr>
            </w:pPr>
          </w:p>
        </w:tc>
        <w:tc>
          <w:tcPr>
            <w:tcW w:w="2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113,341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Subcontractor costs</w:t>
            </w:r>
          </w:p>
        </w:tc>
        <w:tc>
          <w:tcPr>
            <w:tcW w:w="2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(42,149)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(30,486)</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83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E2EEF6"/>
          </w:tcPr>
          <w:p>
            <w:pPr>
              <w:spacing w:after="0"/>
              <w:rPr>
                <w:sz w:val="24"/>
                <w:szCs w:val="24"/>
                <w:color w:val="auto"/>
              </w:rPr>
            </w:pPr>
          </w:p>
        </w:tc>
        <w:tc>
          <w:tcPr>
            <w:tcW w:w="118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98,495</w:t>
            </w:r>
          </w:p>
        </w:tc>
        <w:tc>
          <w:tcPr>
            <w:tcW w:w="140" w:type="dxa"/>
            <w:vAlign w:val="bottom"/>
            <w:shd w:val="clear" w:color="auto" w:fill="E2EEF6"/>
          </w:tcPr>
          <w:p>
            <w:pPr>
              <w:spacing w:after="0"/>
              <w:rPr>
                <w:sz w:val="24"/>
                <w:szCs w:val="24"/>
                <w:color w:val="auto"/>
              </w:rPr>
            </w:pPr>
          </w:p>
        </w:tc>
        <w:tc>
          <w:tcPr>
            <w:tcW w:w="80" w:type="dxa"/>
            <w:vAlign w:val="bottom"/>
            <w:shd w:val="clear" w:color="auto" w:fill="E2EEF6"/>
          </w:tcPr>
          <w:p>
            <w:pPr>
              <w:spacing w:after="0"/>
              <w:rPr>
                <w:sz w:val="24"/>
                <w:szCs w:val="24"/>
                <w:color w:val="auto"/>
              </w:rPr>
            </w:pPr>
          </w:p>
        </w:tc>
        <w:tc>
          <w:tcPr>
            <w:tcW w:w="140" w:type="dxa"/>
            <w:vAlign w:val="bottom"/>
            <w:tcBorders>
              <w:top w:val="single" w:sz="8" w:color="auto"/>
            </w:tcBorders>
            <w:shd w:val="clear" w:color="auto" w:fill="E2EEF6"/>
          </w:tcPr>
          <w:p>
            <w:pPr>
              <w:spacing w:after="0"/>
              <w:rPr>
                <w:sz w:val="24"/>
                <w:szCs w:val="24"/>
                <w:color w:val="auto"/>
              </w:rPr>
            </w:pPr>
          </w:p>
        </w:tc>
        <w:tc>
          <w:tcPr>
            <w:tcW w:w="1240" w:type="dxa"/>
            <w:vAlign w:val="bottom"/>
            <w:tcBorders>
              <w:top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82,855</w:t>
            </w:r>
          </w:p>
        </w:tc>
        <w:tc>
          <w:tcPr>
            <w:tcW w:w="100" w:type="dxa"/>
            <w:vAlign w:val="bottom"/>
            <w:shd w:val="clear" w:color="auto" w:fill="E2EEF6"/>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3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Direct costs (note 4)</w:t>
            </w:r>
          </w:p>
        </w:tc>
        <w:tc>
          <w:tcPr>
            <w:tcW w:w="200" w:type="dxa"/>
            <w:vAlign w:val="bottom"/>
            <w:shd w:val="clear" w:color="auto" w:fill="E2EEF6"/>
          </w:tcPr>
          <w:p>
            <w:pPr>
              <w:spacing w:after="0"/>
              <w:rPr>
                <w:sz w:val="21"/>
                <w:szCs w:val="21"/>
                <w:color w:val="auto"/>
              </w:rPr>
            </w:pP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54,704</w:t>
            </w: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46,008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Selling, general and administrative (note 4)</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30,280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27,385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ind w:left="3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E2EEF6"/>
          </w:tcPr>
          <w:p>
            <w:pPr>
              <w:spacing w:after="0"/>
              <w:rPr>
                <w:sz w:val="21"/>
                <w:szCs w:val="21"/>
                <w:color w:val="auto"/>
              </w:rPr>
            </w:pP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3,445</w:t>
            </w: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Other charges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8320" w:type="dxa"/>
            <w:vAlign w:val="bottom"/>
            <w:shd w:val="clear" w:color="auto" w:fill="E2EEF6"/>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shd w:val="clear" w:color="auto" w:fill="E2EEF6"/>
          </w:tcPr>
          <w:p>
            <w:pPr>
              <w:spacing w:after="0"/>
              <w:rPr>
                <w:sz w:val="24"/>
                <w:szCs w:val="24"/>
                <w:color w:val="auto"/>
              </w:rPr>
            </w:pP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88,429</w:t>
            </w:r>
          </w:p>
        </w:tc>
        <w:tc>
          <w:tcPr>
            <w:tcW w:w="140" w:type="dxa"/>
            <w:vAlign w:val="bottom"/>
            <w:shd w:val="clear" w:color="auto" w:fill="E2EEF6"/>
          </w:tcPr>
          <w:p>
            <w:pPr>
              <w:spacing w:after="0"/>
              <w:rPr>
                <w:sz w:val="24"/>
                <w:szCs w:val="24"/>
                <w:color w:val="auto"/>
              </w:rPr>
            </w:pPr>
          </w:p>
        </w:tc>
        <w:tc>
          <w:tcPr>
            <w:tcW w:w="8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13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88,092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E2EEF6"/>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40" w:type="dxa"/>
            <w:vAlign w:val="bottom"/>
            <w:tcBorders>
              <w:top w:val="single" w:sz="8" w:color="E2EEF6"/>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spacing w:after="0"/>
              <w:rPr>
                <w:sz w:val="20"/>
                <w:szCs w:val="20"/>
                <w:color w:val="auto"/>
              </w:rPr>
            </w:pPr>
            <w:r>
              <w:rPr>
                <w:rFonts w:ascii="Arial" w:cs="Arial" w:eastAsia="Arial" w:hAnsi="Arial"/>
                <w:sz w:val="18"/>
                <w:szCs w:val="18"/>
                <w:color w:val="auto"/>
              </w:rPr>
              <w:t>Income/(loss) from operations</w:t>
            </w:r>
          </w:p>
        </w:tc>
        <w:tc>
          <w:tcPr>
            <w:tcW w:w="200" w:type="dxa"/>
            <w:vAlign w:val="bottom"/>
            <w:shd w:val="clear" w:color="auto" w:fill="E2EEF6"/>
          </w:tcPr>
          <w:p>
            <w:pPr>
              <w:spacing w:after="0"/>
              <w:rPr>
                <w:sz w:val="21"/>
                <w:szCs w:val="21"/>
                <w:color w:val="auto"/>
              </w:rPr>
            </w:pP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10,066</w:t>
            </w: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E2EEF6"/>
          </w:tcPr>
          <w:p>
            <w:pPr>
              <w:spacing w:after="0"/>
              <w:rPr>
                <w:sz w:val="21"/>
                <w:szCs w:val="21"/>
                <w:color w:val="auto"/>
              </w:rPr>
            </w:pPr>
          </w:p>
        </w:tc>
        <w:tc>
          <w:tcPr>
            <w:tcW w:w="13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E2EEF6"/>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40" w:type="dxa"/>
            <w:vAlign w:val="bottom"/>
            <w:tcBorders>
              <w:top w:val="single" w:sz="8" w:color="E2EEF6"/>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spacing w:after="0"/>
              <w:rPr>
                <w:sz w:val="20"/>
                <w:szCs w:val="20"/>
                <w:color w:val="auto"/>
              </w:rPr>
            </w:pPr>
            <w:r>
              <w:rPr>
                <w:rFonts w:ascii="Arial" w:cs="Arial" w:eastAsia="Arial" w:hAnsi="Arial"/>
                <w:sz w:val="18"/>
                <w:szCs w:val="18"/>
                <w:color w:val="auto"/>
              </w:rPr>
              <w:t>Income/(loss) before provision for income taxes</w:t>
            </w:r>
          </w:p>
        </w:tc>
        <w:tc>
          <w:tcPr>
            <w:tcW w:w="200" w:type="dxa"/>
            <w:vAlign w:val="bottom"/>
            <w:shd w:val="clear" w:color="auto" w:fill="E2EEF6"/>
          </w:tcPr>
          <w:p>
            <w:pPr>
              <w:spacing w:after="0"/>
              <w:rPr>
                <w:sz w:val="21"/>
                <w:szCs w:val="21"/>
                <w:color w:val="auto"/>
              </w:rPr>
            </w:pP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10,713</w:t>
            </w: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(3,130)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spacing w:after="0"/>
              <w:rPr>
                <w:sz w:val="20"/>
                <w:szCs w:val="20"/>
                <w:color w:val="auto"/>
              </w:rPr>
            </w:pPr>
            <w:r>
              <w:rPr>
                <w:rFonts w:ascii="Arial" w:cs="Arial" w:eastAsia="Arial" w:hAnsi="Arial"/>
                <w:sz w:val="18"/>
                <w:szCs w:val="18"/>
                <w:color w:val="auto"/>
              </w:rPr>
              <w:t>Minority interest</w:t>
            </w:r>
          </w:p>
        </w:tc>
        <w:tc>
          <w:tcPr>
            <w:tcW w:w="200" w:type="dxa"/>
            <w:vAlign w:val="bottom"/>
            <w:shd w:val="clear" w:color="auto" w:fill="E2EEF6"/>
          </w:tcPr>
          <w:p>
            <w:pPr>
              <w:spacing w:after="0"/>
              <w:rPr>
                <w:sz w:val="21"/>
                <w:szCs w:val="21"/>
                <w:color w:val="auto"/>
              </w:rPr>
            </w:pPr>
          </w:p>
        </w:tc>
        <w:tc>
          <w:tcPr>
            <w:tcW w:w="132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3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E2EEF6"/>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40" w:type="dxa"/>
            <w:vAlign w:val="bottom"/>
            <w:tcBorders>
              <w:top w:val="single" w:sz="8" w:color="E2EEF6"/>
            </w:tcBorders>
          </w:tcPr>
          <w:p>
            <w:pPr>
              <w:spacing w:after="0"/>
              <w:rPr>
                <w:sz w:val="20"/>
                <w:szCs w:val="20"/>
                <w:color w:val="auto"/>
              </w:rPr>
            </w:pPr>
          </w:p>
        </w:tc>
        <w:tc>
          <w:tcPr>
            <w:tcW w:w="80" w:type="dxa"/>
            <w:vAlign w:val="bottom"/>
            <w:tcBorders>
              <w:top w:val="single" w:sz="8" w:color="E2EEF6"/>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E2EEF6"/>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320" w:type="dxa"/>
            <w:vAlign w:val="bottom"/>
            <w:shd w:val="clear" w:color="auto" w:fill="E2EEF6"/>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7,541</w:t>
            </w:r>
          </w:p>
        </w:tc>
        <w:tc>
          <w:tcPr>
            <w:tcW w:w="140" w:type="dxa"/>
            <w:vAlign w:val="bottom"/>
            <w:shd w:val="clear" w:color="auto" w:fill="E2EEF6"/>
          </w:tcPr>
          <w:p>
            <w:pPr>
              <w:spacing w:after="0"/>
              <w:rPr>
                <w:sz w:val="24"/>
                <w:szCs w:val="24"/>
                <w:color w:val="auto"/>
              </w:rPr>
            </w:pPr>
          </w:p>
        </w:tc>
        <w:tc>
          <w:tcPr>
            <w:tcW w:w="2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tcBorders>
              <w:top w:val="single" w:sz="8" w:color="E2EEF6"/>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Borders>
              <w:top w:val="single" w:sz="8" w:color="E2EEF6"/>
            </w:tcBorders>
          </w:tcPr>
          <w:p>
            <w:pPr>
              <w:spacing w:after="0"/>
              <w:rPr>
                <w:sz w:val="19"/>
                <w:szCs w:val="19"/>
                <w:color w:val="auto"/>
              </w:rPr>
            </w:pPr>
          </w:p>
        </w:tc>
        <w:tc>
          <w:tcPr>
            <w:tcW w:w="80" w:type="dxa"/>
            <w:vAlign w:val="bottom"/>
            <w:tcBorders>
              <w:top w:val="single" w:sz="8" w:color="E2EEF6"/>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Borders>
              <w:top w:val="single" w:sz="8" w:color="E2EEF6"/>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spacing w:after="0"/>
              <w:rPr>
                <w:sz w:val="20"/>
                <w:szCs w:val="20"/>
                <w:color w:val="auto"/>
              </w:rPr>
            </w:pPr>
            <w:r>
              <w:rPr>
                <w:rFonts w:ascii="Arial" w:cs="Arial" w:eastAsia="Arial" w:hAnsi="Arial"/>
                <w:sz w:val="18"/>
                <w:szCs w:val="18"/>
                <w:color w:val="auto"/>
              </w:rPr>
              <w:t>Net income/(loss) per ordinary share:</w:t>
            </w:r>
          </w:p>
        </w:tc>
        <w:tc>
          <w:tcPr>
            <w:tcW w:w="200" w:type="dxa"/>
            <w:vAlign w:val="bottom"/>
            <w:shd w:val="clear" w:color="auto" w:fill="E2EEF6"/>
          </w:tcPr>
          <w:p>
            <w:pPr>
              <w:spacing w:after="0"/>
              <w:rPr>
                <w:sz w:val="21"/>
                <w:szCs w:val="21"/>
                <w:color w:val="auto"/>
              </w:rPr>
            </w:pPr>
          </w:p>
        </w:tc>
        <w:tc>
          <w:tcPr>
            <w:tcW w:w="11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83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shd w:val="clear" w:color="auto" w:fill="E2EEF6"/>
          </w:tcPr>
          <w:p>
            <w:pPr>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E2EEF6"/>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0.53</w:t>
            </w:r>
          </w:p>
        </w:tc>
        <w:tc>
          <w:tcPr>
            <w:tcW w:w="140" w:type="dxa"/>
            <w:vAlign w:val="bottom"/>
            <w:shd w:val="clear" w:color="auto" w:fill="E2EEF6"/>
          </w:tcPr>
          <w:p>
            <w:pPr>
              <w:spacing w:after="0"/>
              <w:rPr>
                <w:sz w:val="22"/>
                <w:szCs w:val="22"/>
                <w:color w:val="auto"/>
              </w:rPr>
            </w:pPr>
          </w:p>
        </w:tc>
        <w:tc>
          <w:tcPr>
            <w:tcW w:w="2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(0.40</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tcBorders>
              <w:top w:val="single" w:sz="8" w:color="E2EEF6"/>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Borders>
              <w:top w:val="single" w:sz="8" w:color="E2EEF6"/>
            </w:tcBorders>
          </w:tcPr>
          <w:p>
            <w:pPr>
              <w:spacing w:after="0"/>
              <w:rPr>
                <w:sz w:val="19"/>
                <w:szCs w:val="19"/>
                <w:color w:val="auto"/>
              </w:rPr>
            </w:pPr>
          </w:p>
        </w:tc>
        <w:tc>
          <w:tcPr>
            <w:tcW w:w="80" w:type="dxa"/>
            <w:vAlign w:val="bottom"/>
            <w:tcBorders>
              <w:top w:val="single" w:sz="8" w:color="E2EEF6"/>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Borders>
              <w:top w:val="single" w:sz="8" w:color="E2EEF6"/>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E2EEF6"/>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200" w:type="dxa"/>
            <w:vAlign w:val="bottom"/>
            <w:shd w:val="clear" w:color="auto" w:fill="E2EEF6"/>
          </w:tcPr>
          <w:p>
            <w:pPr>
              <w:spacing w:after="0"/>
              <w:rPr>
                <w:sz w:val="21"/>
                <w:szCs w:val="21"/>
                <w:color w:val="auto"/>
              </w:rPr>
            </w:pPr>
          </w:p>
        </w:tc>
        <w:tc>
          <w:tcPr>
            <w:tcW w:w="11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12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14,042,017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13,866,236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1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24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14,109,534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14,077,910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8320" w:type="dxa"/>
            <w:vAlign w:val="bottom"/>
            <w:shd w:val="clear" w:color="auto" w:fill="E2EEF6"/>
          </w:tcPr>
          <w:p>
            <w:pPr>
              <w:spacing w:after="0"/>
              <w:rPr>
                <w:sz w:val="19"/>
                <w:szCs w:val="19"/>
                <w:color w:val="auto"/>
              </w:rPr>
            </w:pPr>
          </w:p>
        </w:tc>
        <w:tc>
          <w:tcPr>
            <w:tcW w:w="200" w:type="dxa"/>
            <w:vAlign w:val="bottom"/>
            <w:shd w:val="clear" w:color="auto" w:fill="E2EEF6"/>
          </w:tcPr>
          <w:p>
            <w:pPr>
              <w:spacing w:after="0"/>
              <w:rPr>
                <w:sz w:val="19"/>
                <w:szCs w:val="19"/>
                <w:color w:val="auto"/>
              </w:rPr>
            </w:pPr>
          </w:p>
        </w:tc>
        <w:tc>
          <w:tcPr>
            <w:tcW w:w="11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1240" w:type="dxa"/>
            <w:vAlign w:val="bottom"/>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38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7"/>
              </w:rPr>
              <w:t>ICON plc</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680" w:type="dxa"/>
            <w:vAlign w:val="bottom"/>
            <w:gridSpan w:val="4"/>
          </w:tcPr>
          <w:p>
            <w:pPr>
              <w:jc w:val="center"/>
              <w:ind w:left="26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60" w:type="dxa"/>
            <w:vAlign w:val="bottom"/>
            <w:gridSpan w:val="6"/>
          </w:tcPr>
          <w:p>
            <w:pPr>
              <w:jc w:val="center"/>
              <w:ind w:left="1470"/>
              <w:spacing w:after="0"/>
              <w:rPr>
                <w:sz w:val="20"/>
                <w:szCs w:val="20"/>
                <w:color w:val="auto"/>
              </w:rPr>
            </w:pPr>
            <w:r>
              <w:rPr>
                <w:rFonts w:ascii="Arial" w:cs="Arial" w:eastAsia="Arial" w:hAnsi="Arial"/>
                <w:sz w:val="18"/>
                <w:szCs w:val="18"/>
                <w:b w:val="1"/>
                <w:bCs w:val="1"/>
                <w:color w:val="auto"/>
                <w:w w:val="98"/>
              </w:rPr>
              <w:t>FOR THE THREE MONTHS ENDED MARCH 31, 2006 AND FEBRUARY 28, 2005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388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rPr>
              <w:t>(UNAUDITED)</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February 28,</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spacing w:after="0"/>
              <w:rPr>
                <w:sz w:val="20"/>
                <w:szCs w:val="20"/>
                <w:color w:val="auto"/>
              </w:rPr>
            </w:pPr>
            <w:r>
              <w:rPr>
                <w:rFonts w:ascii="Arial" w:cs="Arial" w:eastAsia="Arial" w:hAnsi="Arial"/>
                <w:sz w:val="18"/>
                <w:szCs w:val="18"/>
                <w:color w:val="auto"/>
              </w:rPr>
              <w:t>Net income/(loss)</w:t>
            </w:r>
          </w:p>
        </w:tc>
        <w:tc>
          <w:tcPr>
            <w:tcW w:w="3880" w:type="dxa"/>
            <w:vAlign w:val="bottom"/>
            <w:gridSpan w:val="3"/>
            <w:shd w:val="clear" w:color="auto" w:fill="E2EEF6"/>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7,541</w:t>
            </w:r>
          </w:p>
        </w:tc>
        <w:tc>
          <w:tcPr>
            <w:tcW w:w="32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Adjustments to reconcile net income to net cash</w:t>
            </w: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spacing w:after="0"/>
              <w:rPr>
                <w:sz w:val="20"/>
                <w:szCs w:val="20"/>
                <w:color w:val="auto"/>
              </w:rPr>
            </w:pPr>
            <w:r>
              <w:rPr>
                <w:rFonts w:ascii="Arial" w:cs="Arial" w:eastAsia="Arial" w:hAnsi="Arial"/>
                <w:sz w:val="18"/>
                <w:szCs w:val="18"/>
                <w:color w:val="auto"/>
              </w:rPr>
              <w:t>provided by operating activities:</w:t>
            </w:r>
          </w:p>
        </w:tc>
        <w:tc>
          <w:tcPr>
            <w:tcW w:w="33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0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ind w:left="340"/>
              <w:spacing w:after="0"/>
              <w:rPr>
                <w:sz w:val="20"/>
                <w:szCs w:val="20"/>
                <w:color w:val="auto"/>
              </w:rPr>
            </w:pPr>
            <w:r>
              <w:rPr>
                <w:rFonts w:ascii="Arial" w:cs="Arial" w:eastAsia="Arial" w:hAnsi="Arial"/>
                <w:sz w:val="18"/>
                <w:szCs w:val="18"/>
                <w:color w:val="auto"/>
              </w:rPr>
              <w:t>Depreciation and amortization</w:t>
            </w:r>
          </w:p>
        </w:tc>
        <w:tc>
          <w:tcPr>
            <w:tcW w:w="33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3,445</w:t>
            </w: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Amortization of grants</w:t>
            </w: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ind w:left="340"/>
              <w:spacing w:after="0"/>
              <w:rPr>
                <w:sz w:val="20"/>
                <w:szCs w:val="20"/>
                <w:color w:val="auto"/>
              </w:rPr>
            </w:pPr>
            <w:r>
              <w:rPr>
                <w:rFonts w:ascii="Arial" w:cs="Arial" w:eastAsia="Arial" w:hAnsi="Arial"/>
                <w:sz w:val="18"/>
                <w:szCs w:val="18"/>
                <w:color w:val="auto"/>
              </w:rPr>
              <w:t>Non-cash stock compensation expense</w:t>
            </w:r>
          </w:p>
        </w:tc>
        <w:tc>
          <w:tcPr>
            <w:tcW w:w="33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Deferred taxes</w:t>
            </w: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ind w:left="340"/>
              <w:spacing w:after="0"/>
              <w:rPr>
                <w:sz w:val="20"/>
                <w:szCs w:val="20"/>
                <w:color w:val="auto"/>
              </w:rPr>
            </w:pPr>
            <w:r>
              <w:rPr>
                <w:rFonts w:ascii="Arial" w:cs="Arial" w:eastAsia="Arial" w:hAnsi="Arial"/>
                <w:sz w:val="18"/>
                <w:szCs w:val="18"/>
                <w:color w:val="auto"/>
              </w:rPr>
              <w:t>Minority interest</w:t>
            </w:r>
          </w:p>
        </w:tc>
        <w:tc>
          <w:tcPr>
            <w:tcW w:w="33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Other Charges</w:t>
            </w: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11,275</w:t>
            </w: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spacing w:after="0"/>
              <w:rPr>
                <w:sz w:val="20"/>
                <w:szCs w:val="20"/>
                <w:color w:val="auto"/>
              </w:rPr>
            </w:pPr>
            <w:r>
              <w:rPr>
                <w:rFonts w:ascii="Arial" w:cs="Arial" w:eastAsia="Arial" w:hAnsi="Arial"/>
                <w:sz w:val="18"/>
                <w:szCs w:val="18"/>
                <w:color w:val="auto"/>
              </w:rPr>
              <w:t>Changes in assets and liabilities:</w:t>
            </w:r>
          </w:p>
        </w:tc>
        <w:tc>
          <w:tcPr>
            <w:tcW w:w="33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0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(Increase)/decrease in accounts receivable</w:t>
            </w: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(6,737)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ind w:left="340"/>
              <w:spacing w:after="0"/>
              <w:rPr>
                <w:sz w:val="20"/>
                <w:szCs w:val="20"/>
                <w:color w:val="auto"/>
              </w:rPr>
            </w:pPr>
            <w:r>
              <w:rPr>
                <w:rFonts w:ascii="Arial" w:cs="Arial" w:eastAsia="Arial" w:hAnsi="Arial"/>
                <w:sz w:val="18"/>
                <w:szCs w:val="18"/>
                <w:color w:val="auto"/>
              </w:rPr>
              <w:t>Increase in unbilled revenue</w:t>
            </w:r>
          </w:p>
        </w:tc>
        <w:tc>
          <w:tcPr>
            <w:tcW w:w="33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(1,014)</w:t>
            </w: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(11,141)</w:t>
            </w: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Decrease/(increase) in other receivables</w:t>
            </w: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ind w:left="340"/>
              <w:spacing w:after="0"/>
              <w:rPr>
                <w:sz w:val="20"/>
                <w:szCs w:val="20"/>
                <w:color w:val="auto"/>
              </w:rPr>
            </w:pPr>
            <w:r>
              <w:rPr>
                <w:rFonts w:ascii="Arial" w:cs="Arial" w:eastAsia="Arial" w:hAnsi="Arial"/>
                <w:sz w:val="18"/>
                <w:szCs w:val="18"/>
                <w:color w:val="auto"/>
              </w:rPr>
              <w:t>Increase in prepayments and other current assets</w:t>
            </w:r>
          </w:p>
        </w:tc>
        <w:tc>
          <w:tcPr>
            <w:tcW w:w="33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(1,598)</w:t>
            </w: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Increase in payments on account</w:t>
            </w: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4,832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ind w:left="340"/>
              <w:spacing w:after="0"/>
              <w:rPr>
                <w:sz w:val="20"/>
                <w:szCs w:val="20"/>
                <w:color w:val="auto"/>
              </w:rPr>
            </w:pPr>
            <w:r>
              <w:rPr>
                <w:rFonts w:ascii="Arial" w:cs="Arial" w:eastAsia="Arial" w:hAnsi="Arial"/>
                <w:sz w:val="18"/>
                <w:szCs w:val="18"/>
                <w:color w:val="auto"/>
              </w:rPr>
              <w:t>(Decrease)/increase in other liabilities</w:t>
            </w:r>
          </w:p>
        </w:tc>
        <w:tc>
          <w:tcPr>
            <w:tcW w:w="33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(1,829)</w:t>
            </w: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Increase/(decrease) in income taxes payable</w:t>
            </w: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E2EEF6"/>
            </w:tcBorders>
            <w:shd w:val="clear" w:color="auto" w:fill="E2EEF6"/>
          </w:tcPr>
          <w:p>
            <w:pPr>
              <w:ind w:left="340"/>
              <w:spacing w:after="0"/>
              <w:rPr>
                <w:sz w:val="20"/>
                <w:szCs w:val="20"/>
                <w:color w:val="auto"/>
              </w:rPr>
            </w:pPr>
            <w:r>
              <w:rPr>
                <w:rFonts w:ascii="Arial" w:cs="Arial" w:eastAsia="Arial" w:hAnsi="Arial"/>
                <w:sz w:val="18"/>
                <w:szCs w:val="18"/>
                <w:color w:val="auto"/>
              </w:rPr>
              <w:t>Increase in accounts payable</w:t>
            </w:r>
          </w:p>
        </w:tc>
        <w:tc>
          <w:tcPr>
            <w:tcW w:w="3320" w:type="dxa"/>
            <w:vAlign w:val="bottom"/>
            <w:tcBorders>
              <w:bottom w:val="single" w:sz="8" w:color="E2EEF6"/>
            </w:tcBorders>
            <w:shd w:val="clear" w:color="auto" w:fill="E2EEF6"/>
          </w:tcPr>
          <w:p>
            <w:pPr>
              <w:spacing w:after="0"/>
              <w:rPr>
                <w:sz w:val="21"/>
                <w:szCs w:val="21"/>
                <w:color w:val="auto"/>
              </w:rPr>
            </w:pPr>
          </w:p>
        </w:tc>
        <w:tc>
          <w:tcPr>
            <w:tcW w:w="220" w:type="dxa"/>
            <w:vAlign w:val="bottom"/>
            <w:tcBorders>
              <w:bottom w:val="single" w:sz="8" w:color="E2EEF6"/>
            </w:tcBorders>
            <w:shd w:val="clear" w:color="auto" w:fill="E2EEF6"/>
          </w:tcPr>
          <w:p>
            <w:pPr>
              <w:spacing w:after="0"/>
              <w:rPr>
                <w:sz w:val="21"/>
                <w:szCs w:val="21"/>
                <w:color w:val="auto"/>
              </w:rPr>
            </w:pPr>
          </w:p>
        </w:tc>
        <w:tc>
          <w:tcPr>
            <w:tcW w:w="340" w:type="dxa"/>
            <w:vAlign w:val="bottom"/>
            <w:tcBorders>
              <w:bottom w:val="single" w:sz="8" w:color="auto"/>
            </w:tcBorders>
            <w:shd w:val="clear" w:color="auto" w:fill="E2EEF6"/>
          </w:tcPr>
          <w:p>
            <w:pPr>
              <w:spacing w:after="0"/>
              <w:rPr>
                <w:sz w:val="21"/>
                <w:szCs w:val="21"/>
                <w:color w:val="auto"/>
              </w:rPr>
            </w:pPr>
          </w:p>
        </w:tc>
        <w:tc>
          <w:tcPr>
            <w:tcW w:w="10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2,639</w:t>
            </w:r>
          </w:p>
        </w:tc>
        <w:tc>
          <w:tcPr>
            <w:tcW w:w="140" w:type="dxa"/>
            <w:vAlign w:val="bottom"/>
            <w:tcBorders>
              <w:bottom w:val="single" w:sz="8" w:color="E2EEF6"/>
            </w:tcBorders>
            <w:shd w:val="clear" w:color="auto" w:fill="E2EEF6"/>
          </w:tcPr>
          <w:p>
            <w:pPr>
              <w:spacing w:after="0"/>
              <w:rPr>
                <w:sz w:val="21"/>
                <w:szCs w:val="21"/>
                <w:color w:val="auto"/>
              </w:rPr>
            </w:pPr>
          </w:p>
        </w:tc>
        <w:tc>
          <w:tcPr>
            <w:tcW w:w="80" w:type="dxa"/>
            <w:vAlign w:val="bottom"/>
            <w:tcBorders>
              <w:bottom w:val="single" w:sz="8" w:color="E2EEF6"/>
            </w:tcBorders>
            <w:shd w:val="clear" w:color="auto" w:fill="E2EEF6"/>
          </w:tcPr>
          <w:p>
            <w:pPr>
              <w:spacing w:after="0"/>
              <w:rPr>
                <w:sz w:val="21"/>
                <w:szCs w:val="21"/>
                <w:color w:val="auto"/>
              </w:rPr>
            </w:pPr>
          </w:p>
        </w:tc>
        <w:tc>
          <w:tcPr>
            <w:tcW w:w="240" w:type="dxa"/>
            <w:vAlign w:val="bottom"/>
            <w:tcBorders>
              <w:bottom w:val="single" w:sz="8" w:color="auto"/>
            </w:tcBorders>
            <w:shd w:val="clear" w:color="auto" w:fill="E2EEF6"/>
          </w:tcPr>
          <w:p>
            <w:pPr>
              <w:spacing w:after="0"/>
              <w:rPr>
                <w:sz w:val="21"/>
                <w:szCs w:val="21"/>
                <w:color w:val="auto"/>
              </w:rPr>
            </w:pPr>
          </w:p>
        </w:tc>
        <w:tc>
          <w:tcPr>
            <w:tcW w:w="1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E2EEF6"/>
            </w:tcBorders>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10,544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12,610</w:t>
            </w: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3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0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Purchase of property, plant and equipment</w:t>
            </w: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(4,516)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ind w:left="340"/>
              <w:spacing w:after="0"/>
              <w:rPr>
                <w:sz w:val="20"/>
                <w:szCs w:val="20"/>
                <w:color w:val="auto"/>
              </w:rPr>
            </w:pPr>
            <w:r>
              <w:rPr>
                <w:rFonts w:ascii="Arial" w:cs="Arial" w:eastAsia="Arial" w:hAnsi="Arial"/>
                <w:sz w:val="18"/>
                <w:szCs w:val="18"/>
                <w:color w:val="auto"/>
              </w:rPr>
              <w:t>Purchase of intangible asset</w:t>
            </w:r>
          </w:p>
        </w:tc>
        <w:tc>
          <w:tcPr>
            <w:tcW w:w="33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w w:val="96"/>
              </w:rPr>
              <w:t>Purchase of subsidiary undertakings and acquisition costs</w:t>
            </w: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ind w:left="340"/>
              <w:spacing w:after="0"/>
              <w:rPr>
                <w:sz w:val="20"/>
                <w:szCs w:val="20"/>
                <w:color w:val="auto"/>
              </w:rPr>
            </w:pPr>
            <w:r>
              <w:rPr>
                <w:rFonts w:ascii="Arial" w:cs="Arial" w:eastAsia="Arial" w:hAnsi="Arial"/>
                <w:sz w:val="18"/>
                <w:szCs w:val="18"/>
                <w:color w:val="auto"/>
              </w:rPr>
              <w:t>Deferred payments in respect of historical acquisitions</w:t>
            </w:r>
          </w:p>
        </w:tc>
        <w:tc>
          <w:tcPr>
            <w:tcW w:w="33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(4,516)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3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04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140" w:type="dxa"/>
            <w:vAlign w:val="bottom"/>
            <w:shd w:val="clear" w:color="auto" w:fill="E2EEF6"/>
          </w:tcPr>
          <w:p>
            <w:pPr>
              <w:spacing w:after="0"/>
              <w:rPr>
                <w:sz w:val="21"/>
                <w:szCs w:val="21"/>
                <w:color w:val="auto"/>
              </w:rPr>
            </w:pPr>
          </w:p>
        </w:tc>
        <w:tc>
          <w:tcPr>
            <w:tcW w:w="10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Repayment of bank overdraft</w:t>
            </w: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(4,888)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ind w:left="340"/>
              <w:spacing w:after="0"/>
              <w:rPr>
                <w:sz w:val="20"/>
                <w:szCs w:val="20"/>
                <w:color w:val="auto"/>
              </w:rPr>
            </w:pPr>
            <w:r>
              <w:rPr>
                <w:rFonts w:ascii="Arial" w:cs="Arial" w:eastAsia="Arial" w:hAnsi="Arial"/>
                <w:sz w:val="18"/>
                <w:szCs w:val="18"/>
                <w:color w:val="auto"/>
              </w:rPr>
              <w:t>Proceeds from exercise of share options</w:t>
            </w:r>
          </w:p>
        </w:tc>
        <w:tc>
          <w:tcPr>
            <w:tcW w:w="33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1,882</w:t>
            </w: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Share issuance costs</w:t>
            </w:r>
          </w:p>
        </w:tc>
        <w:tc>
          <w:tcPr>
            <w:tcW w:w="3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ind w:left="340"/>
              <w:spacing w:after="0"/>
              <w:rPr>
                <w:sz w:val="20"/>
                <w:szCs w:val="20"/>
                <w:color w:val="auto"/>
              </w:rPr>
            </w:pPr>
            <w:r>
              <w:rPr>
                <w:rFonts w:ascii="Arial" w:cs="Arial" w:eastAsia="Arial" w:hAnsi="Arial"/>
                <w:sz w:val="18"/>
                <w:szCs w:val="18"/>
                <w:color w:val="auto"/>
              </w:rPr>
              <w:t>Repayment of other liabilities</w:t>
            </w:r>
          </w:p>
        </w:tc>
        <w:tc>
          <w:tcPr>
            <w:tcW w:w="33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800" w:type="dxa"/>
            <w:vAlign w:val="bottom"/>
            <w:shd w:val="clear" w:color="auto" w:fill="E2EEF6"/>
          </w:tcPr>
          <w:p>
            <w:pPr>
              <w:spacing w:after="0" w:line="20" w:lineRule="exact"/>
              <w:rPr>
                <w:sz w:val="1"/>
                <w:szCs w:val="1"/>
                <w:color w:val="auto"/>
              </w:rPr>
            </w:pPr>
          </w:p>
        </w:tc>
        <w:tc>
          <w:tcPr>
            <w:tcW w:w="3320" w:type="dxa"/>
            <w:vAlign w:val="bottom"/>
            <w:shd w:val="clear" w:color="auto" w:fill="E2EEF6"/>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(3,040)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(9,616)</w:t>
            </w:r>
          </w:p>
        </w:tc>
        <w:tc>
          <w:tcPr>
            <w:tcW w:w="0" w:type="dxa"/>
            <w:vAlign w:val="bottom"/>
          </w:tcPr>
          <w:p>
            <w:pPr>
              <w:spacing w:after="0"/>
              <w:rPr>
                <w:sz w:val="1"/>
                <w:szCs w:val="1"/>
                <w:color w:val="auto"/>
              </w:rPr>
            </w:pPr>
          </w:p>
        </w:tc>
      </w:tr>
      <w:tr>
        <w:trPr>
          <w:trHeight w:val="243"/>
        </w:trPr>
        <w:tc>
          <w:tcPr>
            <w:tcW w:w="4800" w:type="dxa"/>
            <w:vAlign w:val="bottom"/>
            <w:shd w:val="clear" w:color="auto" w:fill="E2EEF6"/>
          </w:tcPr>
          <w:p>
            <w:pPr>
              <w:spacing w:after="0"/>
              <w:rPr>
                <w:sz w:val="20"/>
                <w:szCs w:val="20"/>
                <w:color w:val="auto"/>
              </w:rPr>
            </w:pPr>
            <w:r>
              <w:rPr>
                <w:rFonts w:ascii="Arial" w:cs="Arial" w:eastAsia="Arial" w:hAnsi="Arial"/>
                <w:sz w:val="18"/>
                <w:szCs w:val="18"/>
                <w:color w:val="auto"/>
              </w:rPr>
              <w:t>Effect of exchange rate movements on cash</w:t>
            </w:r>
          </w:p>
        </w:tc>
        <w:tc>
          <w:tcPr>
            <w:tcW w:w="332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E2EEF6"/>
          </w:tcPr>
          <w:p>
            <w:pPr>
              <w:spacing w:after="0"/>
              <w:rPr>
                <w:sz w:val="21"/>
                <w:szCs w:val="21"/>
                <w:color w:val="auto"/>
              </w:rPr>
            </w:pPr>
          </w:p>
        </w:tc>
        <w:tc>
          <w:tcPr>
            <w:tcW w:w="240" w:type="dxa"/>
            <w:vAlign w:val="bottom"/>
            <w:shd w:val="clear" w:color="auto" w:fill="E2EEF6"/>
          </w:tcPr>
          <w:p>
            <w:pPr>
              <w:spacing w:after="0"/>
              <w:rPr>
                <w:sz w:val="21"/>
                <w:szCs w:val="21"/>
                <w:color w:val="auto"/>
              </w:rPr>
            </w:pP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4800" w:type="dxa"/>
            <w:vAlign w:val="bottom"/>
            <w:shd w:val="clear" w:color="auto" w:fill="E2EEF6"/>
          </w:tcPr>
          <w:p>
            <w:pPr>
              <w:spacing w:after="0" w:line="20" w:lineRule="exact"/>
              <w:rPr>
                <w:sz w:val="1"/>
                <w:szCs w:val="1"/>
                <w:color w:val="auto"/>
              </w:rPr>
            </w:pPr>
          </w:p>
        </w:tc>
        <w:tc>
          <w:tcPr>
            <w:tcW w:w="3320" w:type="dxa"/>
            <w:vAlign w:val="bottom"/>
            <w:shd w:val="clear" w:color="auto" w:fill="E2EEF6"/>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E2EEF6"/>
          </w:tcPr>
          <w:p>
            <w:pPr>
              <w:spacing w:after="0" w:line="20" w:lineRule="exact"/>
              <w:rPr>
                <w:sz w:val="1"/>
                <w:szCs w:val="1"/>
                <w:color w:val="auto"/>
              </w:rPr>
            </w:pPr>
          </w:p>
        </w:tc>
        <w:tc>
          <w:tcPr>
            <w:tcW w:w="80" w:type="dxa"/>
            <w:vAlign w:val="bottom"/>
            <w:shd w:val="clear" w:color="auto" w:fill="E2EEF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800" w:type="dxa"/>
            <w:vAlign w:val="bottom"/>
          </w:tcPr>
          <w:p>
            <w:pPr>
              <w:spacing w:after="0"/>
              <w:rPr>
                <w:sz w:val="20"/>
                <w:szCs w:val="20"/>
                <w:color w:val="auto"/>
              </w:rPr>
            </w:pPr>
            <w:r>
              <w:rPr>
                <w:rFonts w:ascii="Arial" w:cs="Arial" w:eastAsia="Arial" w:hAnsi="Arial"/>
                <w:sz w:val="18"/>
                <w:szCs w:val="18"/>
                <w:b w:val="1"/>
                <w:bCs w:val="1"/>
                <w:color w:val="auto"/>
              </w:rPr>
              <w:t>Net increase/(decrease)in cash and cash equivalents</w:t>
            </w: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Cash and cash equivalents at beginning of period</w:t>
            </w:r>
          </w:p>
        </w:tc>
        <w:tc>
          <w:tcPr>
            <w:tcW w:w="3320" w:type="dxa"/>
            <w:vAlign w:val="bottom"/>
            <w:tcBorders>
              <w:bottom w:val="single" w:sz="8" w:color="E2EEF6"/>
            </w:tcBorders>
            <w:shd w:val="clear" w:color="auto" w:fill="E2EEF6"/>
          </w:tcPr>
          <w:p>
            <w:pPr>
              <w:spacing w:after="0"/>
              <w:rPr>
                <w:sz w:val="21"/>
                <w:szCs w:val="21"/>
                <w:color w:val="auto"/>
              </w:rPr>
            </w:pPr>
          </w:p>
        </w:tc>
        <w:tc>
          <w:tcPr>
            <w:tcW w:w="220" w:type="dxa"/>
            <w:vAlign w:val="bottom"/>
            <w:tcBorders>
              <w:bottom w:val="single" w:sz="8" w:color="E2EEF6"/>
            </w:tcBorders>
            <w:shd w:val="clear" w:color="auto" w:fill="E2EEF6"/>
          </w:tcPr>
          <w:p>
            <w:pPr>
              <w:spacing w:after="0"/>
              <w:rPr>
                <w:sz w:val="21"/>
                <w:szCs w:val="21"/>
                <w:color w:val="auto"/>
              </w:rPr>
            </w:pPr>
          </w:p>
        </w:tc>
        <w:tc>
          <w:tcPr>
            <w:tcW w:w="340" w:type="dxa"/>
            <w:vAlign w:val="bottom"/>
            <w:tcBorders>
              <w:bottom w:val="single" w:sz="8" w:color="auto"/>
            </w:tcBorders>
            <w:shd w:val="clear" w:color="auto" w:fill="E2EEF6"/>
          </w:tcPr>
          <w:p>
            <w:pPr>
              <w:spacing w:after="0"/>
              <w:rPr>
                <w:sz w:val="21"/>
                <w:szCs w:val="21"/>
                <w:color w:val="auto"/>
              </w:rPr>
            </w:pPr>
          </w:p>
        </w:tc>
        <w:tc>
          <w:tcPr>
            <w:tcW w:w="10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59,509</w:t>
            </w:r>
          </w:p>
        </w:tc>
        <w:tc>
          <w:tcPr>
            <w:tcW w:w="140" w:type="dxa"/>
            <w:vAlign w:val="bottom"/>
            <w:tcBorders>
              <w:bottom w:val="single" w:sz="8" w:color="E2EEF6"/>
            </w:tcBorders>
            <w:shd w:val="clear" w:color="auto" w:fill="E2EEF6"/>
          </w:tcPr>
          <w:p>
            <w:pPr>
              <w:spacing w:after="0"/>
              <w:rPr>
                <w:sz w:val="21"/>
                <w:szCs w:val="21"/>
                <w:color w:val="auto"/>
              </w:rPr>
            </w:pPr>
          </w:p>
        </w:tc>
        <w:tc>
          <w:tcPr>
            <w:tcW w:w="80" w:type="dxa"/>
            <w:vAlign w:val="bottom"/>
            <w:tcBorders>
              <w:bottom w:val="single" w:sz="8" w:color="E2EEF6"/>
            </w:tcBorders>
            <w:shd w:val="clear" w:color="auto" w:fill="E2EEF6"/>
          </w:tcPr>
          <w:p>
            <w:pPr>
              <w:spacing w:after="0"/>
              <w:rPr>
                <w:sz w:val="21"/>
                <w:szCs w:val="21"/>
                <w:color w:val="auto"/>
              </w:rPr>
            </w:pPr>
          </w:p>
        </w:tc>
        <w:tc>
          <w:tcPr>
            <w:tcW w:w="240" w:type="dxa"/>
            <w:vAlign w:val="bottom"/>
            <w:tcBorders>
              <w:bottom w:val="single" w:sz="8" w:color="auto"/>
            </w:tcBorders>
            <w:shd w:val="clear" w:color="auto" w:fill="E2EEF6"/>
          </w:tcPr>
          <w:p>
            <w:pPr>
              <w:spacing w:after="0"/>
              <w:rPr>
                <w:sz w:val="21"/>
                <w:szCs w:val="21"/>
                <w:color w:val="auto"/>
              </w:rPr>
            </w:pPr>
          </w:p>
        </w:tc>
        <w:tc>
          <w:tcPr>
            <w:tcW w:w="1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41,975</w:t>
            </w:r>
          </w:p>
        </w:tc>
        <w:tc>
          <w:tcPr>
            <w:tcW w:w="100" w:type="dxa"/>
            <w:vAlign w:val="bottom"/>
            <w:tcBorders>
              <w:bottom w:val="single" w:sz="8" w:color="E2EEF6"/>
            </w:tcBorders>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48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62,469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41,897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320" w:type="dxa"/>
            <w:vAlign w:val="bottom"/>
            <w:vMerge w:val="restart"/>
          </w:tcPr>
          <w:p>
            <w:pPr>
              <w:jc w:val="center"/>
              <w:ind w:right="1414"/>
              <w:spacing w:after="0"/>
              <w:rPr>
                <w:sz w:val="20"/>
                <w:szCs w:val="20"/>
                <w:color w:val="auto"/>
              </w:rPr>
            </w:pPr>
            <w:r>
              <w:rPr>
                <w:rFonts w:ascii="Arial" w:cs="Arial" w:eastAsia="Arial" w:hAnsi="Arial"/>
                <w:sz w:val="14"/>
                <w:szCs w:val="14"/>
                <w:color w:val="auto"/>
                <w:w w:val="76"/>
              </w:rPr>
              <w:t>4</w:t>
            </w: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7"/>
        </w:trPr>
        <w:tc>
          <w:tcPr>
            <w:tcW w:w="48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800" w:type="dxa"/>
            <w:vAlign w:val="bottom"/>
            <w:tcBorders>
              <w:bottom w:val="single" w:sz="8" w:color="808080"/>
            </w:tcBorders>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7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Accumulated</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5"/>
              </w:rPr>
              <w:t>Additional</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Paid-in</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0"/>
              </w:rPr>
              <w:t>Comprehensive</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9"/>
              </w:rPr>
              <w:t>Retained</w:t>
            </w: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Merger</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4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Income</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8"/>
              </w:rPr>
              <w:t>Earnings</w:t>
            </w:r>
          </w:p>
        </w:tc>
        <w:tc>
          <w:tcPr>
            <w:tcW w:w="12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Reserve</w:t>
            </w:r>
          </w:p>
        </w:tc>
        <w:tc>
          <w:tcPr>
            <w:tcW w:w="14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Total</w:t>
            </w:r>
          </w:p>
        </w:tc>
      </w:tr>
      <w:tr>
        <w:trPr>
          <w:trHeight w:val="20"/>
        </w:trPr>
        <w:tc>
          <w:tcPr>
            <w:tcW w:w="4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4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80" w:type="dxa"/>
            <w:vAlign w:val="bottom"/>
            <w:gridSpan w:val="11"/>
          </w:tcPr>
          <w:p>
            <w:pPr>
              <w:ind w:left="360"/>
              <w:spacing w:after="0"/>
              <w:rPr>
                <w:sz w:val="20"/>
                <w:szCs w:val="20"/>
                <w:color w:val="auto"/>
              </w:rPr>
            </w:pPr>
            <w:r>
              <w:rPr>
                <w:rFonts w:ascii="Arial" w:cs="Arial" w:eastAsia="Arial" w:hAnsi="Arial"/>
                <w:sz w:val="18"/>
                <w:szCs w:val="18"/>
                <w:b w:val="1"/>
                <w:bCs w:val="1"/>
                <w:color w:val="auto"/>
                <w:w w:val="88"/>
              </w:rPr>
              <w:t>(dollars in thousands, except per share data)</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4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54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Balance at December 31, 2005</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14,018,092</w:t>
            </w:r>
          </w:p>
        </w:tc>
        <w:tc>
          <w:tcPr>
            <w:tcW w:w="360" w:type="dxa"/>
            <w:vAlign w:val="bottom"/>
            <w:tcBorders>
              <w:left w:val="single" w:sz="8" w:color="E2EEF6"/>
            </w:tcBorders>
            <w:gridSpan w:val="2"/>
            <w:shd w:val="clear" w:color="auto" w:fill="E2EEF6"/>
          </w:tcPr>
          <w:p>
            <w:pPr>
              <w:jc w:val="right"/>
              <w:ind w:right="90"/>
              <w:spacing w:after="0"/>
              <w:rPr>
                <w:sz w:val="20"/>
                <w:szCs w:val="20"/>
                <w:color w:val="auto"/>
              </w:rPr>
            </w:pPr>
            <w:r>
              <w:rPr>
                <w:rFonts w:ascii="Arial" w:cs="Arial" w:eastAsia="Arial" w:hAnsi="Arial"/>
                <w:sz w:val="18"/>
                <w:szCs w:val="18"/>
                <w:color w:val="auto"/>
              </w:rPr>
              <w:t>$</w:t>
            </w:r>
          </w:p>
        </w:tc>
        <w:tc>
          <w:tcPr>
            <w:tcW w:w="4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993</w:t>
            </w:r>
          </w:p>
        </w:tc>
        <w:tc>
          <w:tcPr>
            <w:tcW w:w="28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123,333</w:t>
            </w:r>
          </w:p>
        </w:tc>
        <w:tc>
          <w:tcPr>
            <w:tcW w:w="16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3,409</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w w:val="95"/>
              </w:rPr>
              <w:t>113,776</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95"/>
              </w:rPr>
              <w:t>241,558</w:t>
            </w:r>
          </w:p>
        </w:tc>
        <w:tc>
          <w:tcPr>
            <w:tcW w:w="120" w:type="dxa"/>
            <w:vAlign w:val="bottom"/>
            <w:shd w:val="clear" w:color="auto" w:fill="E2EEF6"/>
          </w:tcPr>
          <w:p>
            <w:pPr>
              <w:spacing w:after="0"/>
              <w:rPr>
                <w:sz w:val="21"/>
                <w:szCs w:val="21"/>
                <w:color w:val="auto"/>
              </w:rPr>
            </w:pPr>
          </w:p>
        </w:tc>
      </w:tr>
      <w:tr>
        <w:trPr>
          <w:trHeight w:val="486"/>
        </w:trPr>
        <w:tc>
          <w:tcPr>
            <w:tcW w:w="4540" w:type="dxa"/>
            <w:vAlign w:val="bottom"/>
          </w:tcPr>
          <w:p>
            <w:pPr>
              <w:spacing w:after="0"/>
              <w:rPr>
                <w:sz w:val="20"/>
                <w:szCs w:val="20"/>
                <w:color w:val="auto"/>
              </w:rPr>
            </w:pPr>
            <w:r>
              <w:rPr>
                <w:rFonts w:ascii="Arial" w:cs="Arial" w:eastAsia="Arial" w:hAnsi="Arial"/>
                <w:sz w:val="18"/>
                <w:szCs w:val="18"/>
                <w:color w:val="auto"/>
              </w:rPr>
              <w:t>Comprehensive Income: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4540" w:type="dxa"/>
            <w:vAlign w:val="bottom"/>
            <w:shd w:val="clear" w:color="auto" w:fill="E2EEF6"/>
          </w:tcPr>
          <w:p>
            <w:pPr>
              <w:ind w:left="6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tcBorders>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tcBorders>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760" w:type="dxa"/>
            <w:vAlign w:val="bottom"/>
            <w:tcBorders>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7,541</w:t>
            </w: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7,541</w:t>
            </w:r>
          </w:p>
        </w:tc>
        <w:tc>
          <w:tcPr>
            <w:tcW w:w="120" w:type="dxa"/>
            <w:vAlign w:val="bottom"/>
            <w:shd w:val="clear" w:color="auto" w:fill="E2EEF6"/>
          </w:tcPr>
          <w:p>
            <w:pPr>
              <w:spacing w:after="0"/>
              <w:rPr>
                <w:sz w:val="21"/>
                <w:szCs w:val="21"/>
                <w:color w:val="auto"/>
              </w:rPr>
            </w:pPr>
          </w:p>
        </w:tc>
      </w:tr>
      <w:tr>
        <w:trPr>
          <w:trHeight w:val="243"/>
        </w:trPr>
        <w:tc>
          <w:tcPr>
            <w:tcW w:w="4540" w:type="dxa"/>
            <w:vAlign w:val="bottom"/>
          </w:tcPr>
          <w:p>
            <w:pPr>
              <w:ind w:left="60"/>
              <w:spacing w:after="0"/>
              <w:rPr>
                <w:sz w:val="20"/>
                <w:szCs w:val="20"/>
                <w:color w:val="auto"/>
              </w:rPr>
            </w:pPr>
            <w:r>
              <w:rPr>
                <w:rFonts w:ascii="Arial" w:cs="Arial" w:eastAsia="Arial" w:hAnsi="Arial"/>
                <w:sz w:val="18"/>
                <w:szCs w:val="18"/>
                <w:color w:val="auto"/>
              </w:rPr>
              <w:t>Currency translation adjustment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1,614</w:t>
            </w:r>
          </w:p>
        </w:tc>
        <w:tc>
          <w:tcPr>
            <w:tcW w:w="14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21"/>
                <w:szCs w:val="21"/>
                <w:color w:val="auto"/>
              </w:rPr>
            </w:pPr>
          </w:p>
        </w:tc>
      </w:tr>
      <w:tr>
        <w:trPr>
          <w:trHeight w:val="237"/>
        </w:trPr>
        <w:tc>
          <w:tcPr>
            <w:tcW w:w="4540" w:type="dxa"/>
            <w:vAlign w:val="bottom"/>
            <w:shd w:val="clear" w:color="auto" w:fill="E2EEF6"/>
          </w:tcPr>
          <w:p>
            <w:pPr>
              <w:ind w:left="60"/>
              <w:spacing w:after="0"/>
              <w:rPr>
                <w:sz w:val="20"/>
                <w:szCs w:val="20"/>
                <w:color w:val="auto"/>
              </w:rPr>
            </w:pPr>
            <w:r>
              <w:rPr>
                <w:rFonts w:ascii="Arial" w:cs="Arial" w:eastAsia="Arial" w:hAnsi="Arial"/>
                <w:sz w:val="18"/>
                <w:szCs w:val="18"/>
                <w:color w:val="auto"/>
              </w:rPr>
              <w:t>Total comprehensive income</w:t>
            </w:r>
          </w:p>
        </w:tc>
        <w:tc>
          <w:tcPr>
            <w:tcW w:w="960" w:type="dxa"/>
            <w:vAlign w:val="bottom"/>
            <w:shd w:val="clear" w:color="auto" w:fill="E2EEF6"/>
          </w:tcPr>
          <w:p>
            <w:pPr>
              <w:spacing w:after="0"/>
              <w:rPr>
                <w:sz w:val="20"/>
                <w:szCs w:val="20"/>
                <w:color w:val="auto"/>
              </w:rPr>
            </w:pPr>
          </w:p>
        </w:tc>
        <w:tc>
          <w:tcPr>
            <w:tcW w:w="100" w:type="dxa"/>
            <w:vAlign w:val="bottom"/>
            <w:tcBorders>
              <w:left w:val="single" w:sz="8" w:color="E2EEF6"/>
            </w:tcBorders>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460" w:type="dxa"/>
            <w:vAlign w:val="bottom"/>
            <w:shd w:val="clear" w:color="auto" w:fill="E2EEF6"/>
          </w:tcPr>
          <w:p>
            <w:pPr>
              <w:spacing w:after="0"/>
              <w:rPr>
                <w:sz w:val="20"/>
                <w:szCs w:val="20"/>
                <w:color w:val="auto"/>
              </w:rPr>
            </w:pPr>
          </w:p>
        </w:tc>
        <w:tc>
          <w:tcPr>
            <w:tcW w:w="100" w:type="dxa"/>
            <w:vAlign w:val="bottom"/>
            <w:tcBorders>
              <w:left w:val="single" w:sz="8" w:color="E2EEF6"/>
            </w:tcBorders>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6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10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640" w:type="dxa"/>
            <w:vAlign w:val="bottom"/>
            <w:shd w:val="clear" w:color="auto" w:fill="E2EEF6"/>
          </w:tcPr>
          <w:p>
            <w:pPr>
              <w:spacing w:after="0"/>
              <w:rPr>
                <w:sz w:val="20"/>
                <w:szCs w:val="20"/>
                <w:color w:val="auto"/>
              </w:rPr>
            </w:pPr>
          </w:p>
        </w:tc>
        <w:tc>
          <w:tcPr>
            <w:tcW w:w="120" w:type="dxa"/>
            <w:vAlign w:val="bottom"/>
            <w:tcBorders>
              <w:right w:val="single" w:sz="8" w:color="E2EEF6"/>
            </w:tcBorders>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64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9,155</w:t>
            </w:r>
          </w:p>
        </w:tc>
        <w:tc>
          <w:tcPr>
            <w:tcW w:w="120" w:type="dxa"/>
            <w:vAlign w:val="bottom"/>
            <w:shd w:val="clear" w:color="auto" w:fill="E2EEF6"/>
          </w:tcPr>
          <w:p>
            <w:pPr>
              <w:spacing w:after="0"/>
              <w:rPr>
                <w:sz w:val="20"/>
                <w:szCs w:val="20"/>
                <w:color w:val="auto"/>
              </w:rPr>
            </w:pPr>
          </w:p>
        </w:tc>
      </w:tr>
      <w:tr>
        <w:trPr>
          <w:trHeight w:val="243"/>
        </w:trPr>
        <w:tc>
          <w:tcPr>
            <w:tcW w:w="4540" w:type="dxa"/>
            <w:vAlign w:val="bottom"/>
          </w:tcPr>
          <w:p>
            <w:pPr>
              <w:ind w:left="60"/>
              <w:spacing w:after="0"/>
              <w:rPr>
                <w:sz w:val="20"/>
                <w:szCs w:val="20"/>
                <w:color w:val="auto"/>
              </w:rPr>
            </w:pPr>
            <w:r>
              <w:rPr>
                <w:rFonts w:ascii="Arial" w:cs="Arial" w:eastAsia="Arial" w:hAnsi="Arial"/>
                <w:sz w:val="18"/>
                <w:szCs w:val="18"/>
                <w:color w:val="auto"/>
              </w:rPr>
              <w:t>Exercise of share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73,005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1,877</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21"/>
                <w:szCs w:val="21"/>
                <w:color w:val="auto"/>
              </w:rPr>
            </w:pPr>
          </w:p>
        </w:tc>
      </w:tr>
      <w:tr>
        <w:trPr>
          <w:trHeight w:val="243"/>
        </w:trPr>
        <w:tc>
          <w:tcPr>
            <w:tcW w:w="4540" w:type="dxa"/>
            <w:vAlign w:val="bottom"/>
            <w:shd w:val="clear" w:color="auto" w:fill="E2EEF6"/>
          </w:tcPr>
          <w:p>
            <w:pPr>
              <w:ind w:left="180"/>
              <w:spacing w:after="0"/>
              <w:rPr>
                <w:sz w:val="20"/>
                <w:szCs w:val="20"/>
                <w:color w:val="auto"/>
              </w:rPr>
            </w:pPr>
            <w:r>
              <w:rPr>
                <w:rFonts w:ascii="Arial" w:cs="Arial" w:eastAsia="Arial" w:hAnsi="Arial"/>
                <w:sz w:val="18"/>
                <w:szCs w:val="18"/>
                <w:color w:val="auto"/>
              </w:rPr>
              <w:t>Share issue costs</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tcBorders>
            <w:shd w:val="clear" w:color="auto" w:fill="E2EEF6"/>
          </w:tcPr>
          <w:p>
            <w:pPr>
              <w:spacing w:after="0"/>
              <w:rPr>
                <w:sz w:val="21"/>
                <w:szCs w:val="21"/>
                <w:color w:val="auto"/>
              </w:rPr>
            </w:pPr>
          </w:p>
        </w:tc>
        <w:tc>
          <w:tcPr>
            <w:tcW w:w="260" w:type="dxa"/>
            <w:vAlign w:val="bottom"/>
            <w:shd w:val="clear" w:color="auto" w:fill="E2EEF6"/>
          </w:tcPr>
          <w:p>
            <w:pPr>
              <w:spacing w:after="0"/>
              <w:rPr>
                <w:sz w:val="21"/>
                <w:szCs w:val="21"/>
                <w:color w:val="auto"/>
              </w:rPr>
            </w:pPr>
          </w:p>
        </w:tc>
        <w:tc>
          <w:tcPr>
            <w:tcW w:w="4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E2EEF6"/>
            </w:tcBorders>
            <w:shd w:val="clear" w:color="auto" w:fill="E2EEF6"/>
          </w:tcPr>
          <w:p>
            <w:pPr>
              <w:spacing w:after="0"/>
              <w:rPr>
                <w:sz w:val="21"/>
                <w:szCs w:val="21"/>
                <w:color w:val="auto"/>
              </w:rPr>
            </w:pPr>
          </w:p>
        </w:tc>
        <w:tc>
          <w:tcPr>
            <w:tcW w:w="180" w:type="dxa"/>
            <w:vAlign w:val="bottom"/>
            <w:shd w:val="clear" w:color="auto" w:fill="E2EEF6"/>
          </w:tcPr>
          <w:p>
            <w:pPr>
              <w:spacing w:after="0"/>
              <w:rPr>
                <w:sz w:val="21"/>
                <w:szCs w:val="21"/>
                <w:color w:val="auto"/>
              </w:rPr>
            </w:pPr>
          </w:p>
        </w:tc>
        <w:tc>
          <w:tcPr>
            <w:tcW w:w="80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E2EEF6"/>
          </w:tcPr>
          <w:p>
            <w:pPr>
              <w:spacing w:after="0"/>
              <w:rPr>
                <w:sz w:val="21"/>
                <w:szCs w:val="21"/>
                <w:color w:val="auto"/>
              </w:rPr>
            </w:pPr>
          </w:p>
        </w:tc>
        <w:tc>
          <w:tcPr>
            <w:tcW w:w="10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760" w:type="dxa"/>
            <w:vAlign w:val="bottom"/>
            <w:tcBorders>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2EEF6"/>
          </w:tcPr>
          <w:p>
            <w:pPr>
              <w:spacing w:after="0"/>
              <w:rPr>
                <w:sz w:val="21"/>
                <w:szCs w:val="21"/>
                <w:color w:val="auto"/>
              </w:rPr>
            </w:pPr>
          </w:p>
        </w:tc>
        <w:tc>
          <w:tcPr>
            <w:tcW w:w="760" w:type="dxa"/>
            <w:vAlign w:val="bottom"/>
            <w:gridSpan w:val="2"/>
            <w:shd w:val="clear" w:color="auto" w:fill="E2EEF6"/>
          </w:tcPr>
          <w:p>
            <w:pPr>
              <w:jc w:val="right"/>
              <w:ind w:right="60"/>
              <w:spacing w:after="0"/>
              <w:rPr>
                <w:sz w:val="20"/>
                <w:szCs w:val="20"/>
                <w:color w:val="auto"/>
              </w:rPr>
            </w:pPr>
            <w:r>
              <w:rPr>
                <w:rFonts w:ascii="Arial" w:cs="Arial" w:eastAsia="Arial" w:hAnsi="Arial"/>
                <w:sz w:val="18"/>
                <w:szCs w:val="18"/>
                <w:color w:val="auto"/>
              </w:rPr>
              <w:t>(5)</w:t>
            </w:r>
          </w:p>
        </w:tc>
      </w:tr>
      <w:tr>
        <w:trPr>
          <w:trHeight w:val="202"/>
        </w:trPr>
        <w:tc>
          <w:tcPr>
            <w:tcW w:w="4540" w:type="dxa"/>
            <w:vAlign w:val="bottom"/>
          </w:tcPr>
          <w:p>
            <w:pPr>
              <w:ind w:left="60"/>
              <w:spacing w:after="0" w:line="201" w:lineRule="exact"/>
              <w:rPr>
                <w:sz w:val="20"/>
                <w:szCs w:val="20"/>
                <w:color w:val="auto"/>
              </w:rPr>
            </w:pPr>
            <w:r>
              <w:rPr>
                <w:rFonts w:ascii="Arial" w:cs="Arial" w:eastAsia="Arial" w:hAnsi="Arial"/>
                <w:sz w:val="18"/>
                <w:szCs w:val="18"/>
                <w:color w:val="auto"/>
              </w:rPr>
              <w:t>Non-cash stock 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7"/>
        </w:trPr>
        <w:tc>
          <w:tcPr>
            <w:tcW w:w="4540" w:type="dxa"/>
            <w:vAlign w:val="bottom"/>
          </w:tcPr>
          <w:p>
            <w:pPr>
              <w:spacing w:after="0"/>
              <w:rPr>
                <w:sz w:val="20"/>
                <w:szCs w:val="20"/>
                <w:color w:val="auto"/>
              </w:rPr>
            </w:pPr>
            <w:r>
              <w:rPr>
                <w:rFonts w:ascii="Arial" w:cs="Arial" w:eastAsia="Arial" w:hAnsi="Arial"/>
                <w:sz w:val="18"/>
                <w:szCs w:val="18"/>
                <w:color w:val="auto"/>
              </w:rPr>
              <w:t>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r>
      <w:tr>
        <w:trPr>
          <w:trHeight w:val="20"/>
        </w:trPr>
        <w:tc>
          <w:tcPr>
            <w:tcW w:w="4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540" w:type="dxa"/>
            <w:vAlign w:val="bottom"/>
            <w:shd w:val="clear" w:color="auto" w:fill="E2EEF6"/>
          </w:tcPr>
          <w:p>
            <w:pPr>
              <w:spacing w:after="0"/>
              <w:rPr>
                <w:sz w:val="20"/>
                <w:szCs w:val="20"/>
                <w:color w:val="auto"/>
              </w:rPr>
            </w:pPr>
            <w:r>
              <w:rPr>
                <w:rFonts w:ascii="Arial" w:cs="Arial" w:eastAsia="Arial" w:hAnsi="Arial"/>
                <w:sz w:val="18"/>
                <w:szCs w:val="18"/>
                <w:b w:val="1"/>
                <w:bCs w:val="1"/>
                <w:color w:val="auto"/>
              </w:rPr>
              <w:t>Balance at March 31, 2006</w:t>
            </w:r>
          </w:p>
        </w:tc>
        <w:tc>
          <w:tcPr>
            <w:tcW w:w="9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14,091,097</w:t>
            </w:r>
          </w:p>
        </w:tc>
        <w:tc>
          <w:tcPr>
            <w:tcW w:w="360" w:type="dxa"/>
            <w:vAlign w:val="bottom"/>
            <w:tcBorders>
              <w:left w:val="single" w:sz="8" w:color="E2EEF6"/>
            </w:tcBorders>
            <w:gridSpan w:val="2"/>
            <w:shd w:val="clear" w:color="auto" w:fill="E2EEF6"/>
          </w:tcPr>
          <w:p>
            <w:pPr>
              <w:jc w:val="right"/>
              <w:ind w:right="90"/>
              <w:spacing w:after="0"/>
              <w:rPr>
                <w:sz w:val="20"/>
                <w:szCs w:val="20"/>
                <w:color w:val="auto"/>
              </w:rPr>
            </w:pPr>
            <w:r>
              <w:rPr>
                <w:rFonts w:ascii="Arial" w:cs="Arial" w:eastAsia="Arial" w:hAnsi="Arial"/>
                <w:sz w:val="18"/>
                <w:szCs w:val="18"/>
                <w:color w:val="auto"/>
              </w:rPr>
              <w:t>$</w:t>
            </w:r>
          </w:p>
        </w:tc>
        <w:tc>
          <w:tcPr>
            <w:tcW w:w="460" w:type="dxa"/>
            <w:vAlign w:val="bottom"/>
            <w:shd w:val="clear" w:color="auto" w:fill="E2EEF6"/>
          </w:tcPr>
          <w:p>
            <w:pPr>
              <w:jc w:val="right"/>
              <w:spacing w:after="0"/>
              <w:rPr>
                <w:sz w:val="20"/>
                <w:szCs w:val="20"/>
                <w:color w:val="auto"/>
              </w:rPr>
            </w:pPr>
            <w:r>
              <w:rPr>
                <w:rFonts w:ascii="Arial" w:cs="Arial" w:eastAsia="Arial" w:hAnsi="Arial"/>
                <w:sz w:val="18"/>
                <w:szCs w:val="18"/>
                <w:color w:val="auto"/>
              </w:rPr>
              <w:t>998</w:t>
            </w:r>
          </w:p>
        </w:tc>
        <w:tc>
          <w:tcPr>
            <w:tcW w:w="280" w:type="dxa"/>
            <w:vAlign w:val="bottom"/>
            <w:tcBorders>
              <w:left w:val="single" w:sz="8" w:color="E2EEF6"/>
            </w:tcBorders>
            <w:gridSpan w:val="2"/>
            <w:shd w:val="clear" w:color="auto" w:fill="E2EEF6"/>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126,135</w:t>
            </w:r>
          </w:p>
        </w:tc>
        <w:tc>
          <w:tcPr>
            <w:tcW w:w="16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5,023</w:t>
            </w:r>
          </w:p>
        </w:tc>
        <w:tc>
          <w:tcPr>
            <w:tcW w:w="1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E2EEF6"/>
            </w:tcBorders>
            <w:gridSpan w:val="2"/>
            <w:shd w:val="clear" w:color="auto" w:fill="E2EEF6"/>
          </w:tcPr>
          <w:p>
            <w:pPr>
              <w:jc w:val="right"/>
              <w:ind w:right="120"/>
              <w:spacing w:after="0"/>
              <w:rPr>
                <w:sz w:val="20"/>
                <w:szCs w:val="20"/>
                <w:color w:val="auto"/>
              </w:rPr>
            </w:pPr>
            <w:r>
              <w:rPr>
                <w:rFonts w:ascii="Arial" w:cs="Arial" w:eastAsia="Arial" w:hAnsi="Arial"/>
                <w:sz w:val="18"/>
                <w:szCs w:val="18"/>
                <w:color w:val="auto"/>
                <w:w w:val="95"/>
              </w:rPr>
              <w:t>121,317</w:t>
            </w:r>
          </w:p>
        </w:tc>
        <w:tc>
          <w:tcPr>
            <w:tcW w:w="12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E2EEF6"/>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E2EEF6"/>
          </w:tcPr>
          <w:p>
            <w:pPr>
              <w:jc w:val="right"/>
              <w:spacing w:after="0"/>
              <w:rPr>
                <w:sz w:val="20"/>
                <w:szCs w:val="20"/>
                <w:color w:val="auto"/>
              </w:rPr>
            </w:pPr>
            <w:r>
              <w:rPr>
                <w:rFonts w:ascii="Arial" w:cs="Arial" w:eastAsia="Arial" w:hAnsi="Arial"/>
                <w:sz w:val="18"/>
                <w:szCs w:val="18"/>
                <w:color w:val="auto"/>
                <w:w w:val="95"/>
              </w:rPr>
              <w:t>253,520</w:t>
            </w:r>
          </w:p>
        </w:tc>
        <w:tc>
          <w:tcPr>
            <w:tcW w:w="120" w:type="dxa"/>
            <w:vAlign w:val="bottom"/>
            <w:shd w:val="clear" w:color="auto" w:fill="E2EEF6"/>
          </w:tcPr>
          <w:p>
            <w:pPr>
              <w:spacing w:after="0"/>
              <w:rPr>
                <w:sz w:val="22"/>
                <w:szCs w:val="22"/>
                <w:color w:val="auto"/>
              </w:rPr>
            </w:pPr>
          </w:p>
        </w:tc>
      </w:tr>
      <w:tr>
        <w:trPr>
          <w:trHeight w:val="20"/>
        </w:trPr>
        <w:tc>
          <w:tcPr>
            <w:tcW w:w="4540" w:type="dxa"/>
            <w:vAlign w:val="bottom"/>
            <w:tcBorders>
              <w:top w:val="single" w:sz="8" w:color="E2EEF6"/>
            </w:tcBorders>
            <w:shd w:val="clear" w:color="auto" w:fill="E2EEF6"/>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tcBorders>
            <w:shd w:val="clear" w:color="auto" w:fill="E2EEF6"/>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right w:val="single" w:sz="8" w:color="E2EEF6"/>
            </w:tcBorders>
            <w:shd w:val="clear" w:color="auto" w:fill="E2EEF6"/>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tcBorders>
            <w:shd w:val="clear" w:color="auto" w:fill="E2EEF6"/>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tcBorders>
            <w:shd w:val="clear" w:color="auto" w:fill="E2EEF6"/>
          </w:tcPr>
          <w:p>
            <w:pPr>
              <w:spacing w:after="0" w:line="20" w:lineRule="exact"/>
              <w:rPr>
                <w:sz w:val="1"/>
                <w:szCs w:val="1"/>
                <w:color w:val="auto"/>
              </w:rPr>
            </w:pPr>
          </w:p>
        </w:tc>
      </w:tr>
    </w:tbl>
    <w:p>
      <w:pPr>
        <w:spacing w:after="0" w:line="2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2006</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 As discussed in note 4, the Company adopted Statement of Accounting Standard (“SFAS”) 123 (revised 2004) </w:t>
      </w:r>
      <w:r>
        <w:rPr>
          <w:rFonts w:ascii="Arial" w:cs="Arial" w:eastAsia="Arial" w:hAnsi="Arial"/>
          <w:sz w:val="18"/>
          <w:szCs w:val="18"/>
          <w:i w:val="1"/>
          <w:iCs w:val="1"/>
          <w:color w:val="auto"/>
        </w:rPr>
        <w:t>Share Based Payment</w:t>
      </w:r>
      <w:r>
        <w:rPr>
          <w:rFonts w:ascii="Arial" w:cs="Arial" w:eastAsia="Arial" w:hAnsi="Arial"/>
          <w:sz w:val="18"/>
          <w:szCs w:val="18"/>
          <w:color w:val="auto"/>
        </w:rPr>
        <w:t xml:space="preserve"> (“SFAS 123R”) effective from January 1, 2006. There were no other significant change in ICON plc’s accounting policies from those outlined in ICON’s Transition Report on Form 20-F for the seven month period ended December 31, 2005.</w:t>
      </w:r>
    </w:p>
    <w:p>
      <w:pPr>
        <w:spacing w:after="0" w:line="2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condensed consolidated financial statements should be read in conjunction with the accounting policies and notes to the consolidated financial statements included in ICON’s Transition Report on Form 20-F for the seven months ended December 31, 2005. Operating results for the three months ended March 31, 2006 are not necessarily indicative of the results that may be expected for the fiscal period ending December 31, 2006.</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2. Goodwill</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(in thousands)</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40" w:type="dxa"/>
            <w:vAlign w:val="bottom"/>
            <w:shd w:val="clear" w:color="auto" w:fill="E2EEF6"/>
          </w:tcPr>
          <w:p>
            <w:pPr>
              <w:spacing w:after="0"/>
              <w:rPr>
                <w:sz w:val="20"/>
                <w:szCs w:val="20"/>
                <w:color w:val="auto"/>
              </w:rPr>
            </w:pPr>
            <w:r>
              <w:rPr>
                <w:rFonts w:ascii="Arial" w:cs="Arial" w:eastAsia="Arial" w:hAnsi="Arial"/>
                <w:sz w:val="18"/>
                <w:szCs w:val="18"/>
                <w:color w:val="auto"/>
              </w:rPr>
              <w:t>Opening balance</w:t>
            </w:r>
          </w:p>
        </w:tc>
        <w:tc>
          <w:tcPr>
            <w:tcW w:w="180" w:type="dxa"/>
            <w:vAlign w:val="bottom"/>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65,731</w:t>
            </w:r>
          </w:p>
        </w:tc>
        <w:tc>
          <w:tcPr>
            <w:tcW w:w="44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67,440</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(1,709)</w:t>
            </w:r>
          </w:p>
        </w:tc>
      </w:tr>
      <w:tr>
        <w:trPr>
          <w:trHeight w:val="520"/>
        </w:trPr>
        <w:tc>
          <w:tcPr>
            <w:tcW w:w="83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Closing balance</w:t>
            </w:r>
          </w:p>
        </w:tc>
        <w:tc>
          <w:tcPr>
            <w:tcW w:w="18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66,050</w:t>
            </w:r>
          </w:p>
        </w:tc>
        <w:tc>
          <w:tcPr>
            <w:tcW w:w="220" w:type="dxa"/>
            <w:vAlign w:val="bottom"/>
            <w:tcBorders>
              <w:bottom w:val="single" w:sz="8" w:color="E2EEF6"/>
            </w:tcBorders>
            <w:shd w:val="clear" w:color="auto" w:fill="E2EEF6"/>
          </w:tcPr>
          <w:p>
            <w:pPr>
              <w:spacing w:after="0"/>
              <w:rPr>
                <w:sz w:val="24"/>
                <w:szCs w:val="24"/>
                <w:color w:val="auto"/>
              </w:rPr>
            </w:pPr>
          </w:p>
        </w:tc>
        <w:tc>
          <w:tcPr>
            <w:tcW w:w="220" w:type="dxa"/>
            <w:vAlign w:val="bottom"/>
            <w:tcBorders>
              <w:top w:val="single" w:sz="8" w:color="auto"/>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65,731</w:t>
            </w:r>
          </w:p>
        </w:tc>
        <w:tc>
          <w:tcPr>
            <w:tcW w:w="100" w:type="dxa"/>
            <w:vAlign w:val="bottom"/>
            <w:tcBorders>
              <w:bottom w:val="single" w:sz="8" w:color="E2EEF6"/>
            </w:tcBorders>
            <w:shd w:val="clear" w:color="auto" w:fill="E2EEF6"/>
          </w:tcPr>
          <w:p>
            <w:pPr>
              <w:spacing w:after="0"/>
              <w:rPr>
                <w:sz w:val="24"/>
                <w:szCs w:val="24"/>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goodwill balance relates entirely to the clinical research segment.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Net income per ordinary share</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r>
      <w:tr>
        <w:trPr>
          <w:trHeight w:val="264"/>
        </w:trPr>
        <w:tc>
          <w:tcPr>
            <w:tcW w:w="834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February 28,</w:t>
            </w:r>
          </w:p>
        </w:tc>
        <w:tc>
          <w:tcPr>
            <w:tcW w:w="100" w:type="dxa"/>
            <w:vAlign w:val="bottom"/>
          </w:tcPr>
          <w:p>
            <w:pPr>
              <w:spacing w:after="0"/>
              <w:rPr>
                <w:sz w:val="22"/>
                <w:szCs w:val="22"/>
                <w:color w:val="auto"/>
              </w:rPr>
            </w:pPr>
          </w:p>
        </w:tc>
      </w:tr>
      <w:tr>
        <w:trPr>
          <w:trHeight w:val="264"/>
        </w:trPr>
        <w:tc>
          <w:tcPr>
            <w:tcW w:w="834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8340" w:type="dxa"/>
            <w:vAlign w:val="bottom"/>
            <w:shd w:val="clear" w:color="auto" w:fill="E2EEF6"/>
          </w:tcPr>
          <w:p>
            <w:pPr>
              <w:spacing w:after="0"/>
              <w:rPr>
                <w:sz w:val="20"/>
                <w:szCs w:val="20"/>
                <w:color w:val="auto"/>
              </w:rPr>
            </w:pPr>
            <w:r>
              <w:rPr>
                <w:rFonts w:ascii="Arial" w:cs="Arial" w:eastAsia="Arial" w:hAnsi="Arial"/>
                <w:sz w:val="18"/>
                <w:szCs w:val="18"/>
                <w:color w:val="auto"/>
              </w:rPr>
              <w:t>Weighted average number of ordinary shares outstanding for basic net income per ordinary share</w:t>
            </w:r>
          </w:p>
        </w:tc>
        <w:tc>
          <w:tcPr>
            <w:tcW w:w="138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14,042,017</w:t>
            </w:r>
          </w:p>
        </w:tc>
        <w:tc>
          <w:tcPr>
            <w:tcW w:w="1700" w:type="dxa"/>
            <w:vAlign w:val="bottom"/>
            <w:gridSpan w:val="3"/>
            <w:shd w:val="clear" w:color="auto" w:fill="E2EEF6"/>
          </w:tcPr>
          <w:p>
            <w:pPr>
              <w:jc w:val="right"/>
              <w:ind w:right="100"/>
              <w:spacing w:after="0"/>
              <w:rPr>
                <w:sz w:val="20"/>
                <w:szCs w:val="20"/>
                <w:color w:val="auto"/>
              </w:rPr>
            </w:pPr>
            <w:r>
              <w:rPr>
                <w:rFonts w:ascii="Arial" w:cs="Arial" w:eastAsia="Arial" w:hAnsi="Arial"/>
                <w:sz w:val="18"/>
                <w:szCs w:val="18"/>
                <w:color w:val="auto"/>
              </w:rPr>
              <w:t>13,866,236</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Effect of dilutive share options outstanding</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67,517</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211,674</w:t>
            </w:r>
          </w:p>
        </w:tc>
        <w:tc>
          <w:tcPr>
            <w:tcW w:w="100" w:type="dxa"/>
            <w:vAlign w:val="bottom"/>
          </w:tcPr>
          <w:p>
            <w:pPr>
              <w:spacing w:after="0"/>
              <w:rPr>
                <w:sz w:val="21"/>
                <w:szCs w:val="21"/>
                <w:color w:val="auto"/>
              </w:rPr>
            </w:pPr>
          </w:p>
        </w:tc>
      </w:tr>
      <w:tr>
        <w:trPr>
          <w:trHeight w:val="277"/>
        </w:trPr>
        <w:tc>
          <w:tcPr>
            <w:tcW w:w="834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8"/>
                <w:szCs w:val="18"/>
                <w:color w:val="auto"/>
              </w:rPr>
              <w:t>Weighted average number of ordinary shares for diluted net income per ordinary share</w:t>
            </w:r>
          </w:p>
        </w:tc>
        <w:tc>
          <w:tcPr>
            <w:tcW w:w="13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14,109,534</w:t>
            </w:r>
          </w:p>
        </w:tc>
        <w:tc>
          <w:tcPr>
            <w:tcW w:w="220" w:type="dxa"/>
            <w:vAlign w:val="bottom"/>
            <w:tcBorders>
              <w:bottom w:val="single" w:sz="8" w:color="E2EEF6"/>
            </w:tcBorders>
            <w:shd w:val="clear" w:color="auto" w:fill="E2EEF6"/>
          </w:tcPr>
          <w:p>
            <w:pPr>
              <w:spacing w:after="0"/>
              <w:rPr>
                <w:sz w:val="24"/>
                <w:szCs w:val="24"/>
                <w:color w:val="auto"/>
              </w:rPr>
            </w:pPr>
          </w:p>
        </w:tc>
        <w:tc>
          <w:tcPr>
            <w:tcW w:w="13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14,077,910</w:t>
            </w:r>
          </w:p>
        </w:tc>
        <w:tc>
          <w:tcPr>
            <w:tcW w:w="100" w:type="dxa"/>
            <w:vAlign w:val="bottom"/>
            <w:tcBorders>
              <w:bottom w:val="single" w:sz="8" w:color="E2EEF6"/>
            </w:tcBorders>
            <w:shd w:val="clear" w:color="auto" w:fill="E2EEF6"/>
          </w:tcPr>
          <w:p>
            <w:pPr>
              <w:spacing w:after="0"/>
              <w:rPr>
                <w:sz w:val="24"/>
                <w:szCs w:val="24"/>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Options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Plan”) pursuant to which the Compensation Committee of the Board may grant options to officers and other employees of the Company or its subsidiaries for the purchase of ordinary shares. Each option will be either an incentive stock option, or ISO, as described in Section 422 of the Code or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 options can be granted after January 17, 2013.</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December 2004, the Financial Accounting Standards Board (“FASB”) issued Statement of Accounting Standards (“SFAS”) 123 (revised 2004), </w:t>
      </w:r>
      <w:r>
        <w:rPr>
          <w:rFonts w:ascii="Arial" w:cs="Arial" w:eastAsia="Arial" w:hAnsi="Arial"/>
          <w:sz w:val="16"/>
          <w:szCs w:val="16"/>
          <w:i w:val="1"/>
          <w:iCs w:val="1"/>
          <w:color w:val="auto"/>
        </w:rPr>
        <w:t>Share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Based Payment </w:t>
      </w:r>
      <w:r>
        <w:rPr>
          <w:rFonts w:ascii="Arial" w:cs="Arial" w:eastAsia="Arial" w:hAnsi="Arial"/>
          <w:sz w:val="16"/>
          <w:szCs w:val="16"/>
          <w:color w:val="auto"/>
        </w:rPr>
        <w:t>(“SFAS 123R”) which replaced SFAS 123</w:t>
      </w:r>
      <w:r>
        <w:rPr>
          <w:rFonts w:ascii="Arial" w:cs="Arial" w:eastAsia="Arial" w:hAnsi="Arial"/>
          <w:sz w:val="16"/>
          <w:szCs w:val="16"/>
          <w:i w:val="1"/>
          <w:iCs w:val="1"/>
          <w:color w:val="auto"/>
        </w:rPr>
        <w:t xml:space="preserve"> Accounting for Stock-Based Compensation </w:t>
      </w:r>
      <w:r>
        <w:rPr>
          <w:rFonts w:ascii="Arial" w:cs="Arial" w:eastAsia="Arial" w:hAnsi="Arial"/>
          <w:sz w:val="16"/>
          <w:szCs w:val="16"/>
          <w:color w:val="auto"/>
        </w:rPr>
        <w:t>and supersedes Accounting Principles Board (“APB”)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SFAS 123R requires, with effect from accounting periods beginning after June 15 2005, that all share based payments to employees, including stock options granted, be recognized in the financial statements based on their grant date fair values.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first quarter ended March 31, 2006,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prior periods have not been restated.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summarizes option activity for the three months ended March 31, 2006:</w:t>
      </w:r>
    </w:p>
    <w:p>
      <w:pPr>
        <w:spacing w:after="0" w:line="200" w:lineRule="exact"/>
        <w:rPr>
          <w:sz w:val="20"/>
          <w:szCs w:val="20"/>
          <w:color w:val="auto"/>
        </w:rPr>
      </w:pP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Options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4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Outstanding</w:t>
            </w: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Number of</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Average Exercise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Average Fair</w:t>
            </w: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Remaining</w:t>
            </w:r>
          </w:p>
        </w:tc>
      </w:tr>
      <w:tr>
        <w:trPr>
          <w:trHeight w:val="234"/>
        </w:trPr>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Shares</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Price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6"/>
              </w:rPr>
              <w:t>Contractual Life</w:t>
            </w:r>
          </w:p>
        </w:tc>
      </w:tr>
      <w:tr>
        <w:trPr>
          <w:trHeight w:val="284"/>
        </w:trPr>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4900" w:type="dxa"/>
            <w:vAlign w:val="bottom"/>
            <w:shd w:val="clear" w:color="auto" w:fill="E2EEF6"/>
          </w:tcPr>
          <w:p>
            <w:pPr>
              <w:ind w:left="20"/>
              <w:spacing w:after="0"/>
              <w:rPr>
                <w:sz w:val="20"/>
                <w:szCs w:val="20"/>
                <w:color w:val="auto"/>
              </w:rPr>
            </w:pPr>
            <w:r>
              <w:rPr>
                <w:rFonts w:ascii="Arial" w:cs="Arial" w:eastAsia="Arial" w:hAnsi="Arial"/>
                <w:sz w:val="18"/>
                <w:szCs w:val="18"/>
                <w:color w:val="auto"/>
              </w:rPr>
              <w:t>Outstanding at December 31, 2005</w:t>
            </w:r>
          </w:p>
        </w:tc>
        <w:tc>
          <w:tcPr>
            <w:tcW w:w="16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1,132,146</w:t>
            </w:r>
          </w:p>
        </w:tc>
        <w:tc>
          <w:tcPr>
            <w:tcW w:w="220" w:type="dxa"/>
            <w:vAlign w:val="bottom"/>
            <w:shd w:val="clear" w:color="auto" w:fill="E2EEF6"/>
          </w:tcPr>
          <w:p>
            <w:pPr>
              <w:spacing w:after="0"/>
              <w:rPr>
                <w:sz w:val="22"/>
                <w:szCs w:val="22"/>
                <w:color w:val="auto"/>
              </w:rPr>
            </w:pPr>
          </w:p>
        </w:tc>
        <w:tc>
          <w:tcPr>
            <w:tcW w:w="380" w:type="dxa"/>
            <w:vAlign w:val="bottom"/>
            <w:shd w:val="clear" w:color="auto" w:fill="E2EEF6"/>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31.50</w:t>
            </w:r>
          </w:p>
        </w:tc>
        <w:tc>
          <w:tcPr>
            <w:tcW w:w="44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14.60</w:t>
            </w:r>
          </w:p>
        </w:tc>
        <w:tc>
          <w:tcPr>
            <w:tcW w:w="200" w:type="dxa"/>
            <w:vAlign w:val="bottom"/>
            <w:shd w:val="clear" w:color="auto" w:fill="E2EEF6"/>
          </w:tcPr>
          <w:p>
            <w:pPr>
              <w:spacing w:after="0"/>
              <w:rPr>
                <w:sz w:val="22"/>
                <w:szCs w:val="22"/>
                <w:color w:val="auto"/>
              </w:rPr>
            </w:pPr>
          </w:p>
        </w:tc>
        <w:tc>
          <w:tcPr>
            <w:tcW w:w="1360" w:type="dxa"/>
            <w:vAlign w:val="bottom"/>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r>
      <w:tr>
        <w:trPr>
          <w:trHeight w:val="264"/>
        </w:trPr>
        <w:tc>
          <w:tcPr>
            <w:tcW w:w="4900" w:type="dxa"/>
            <w:vAlign w:val="bottom"/>
            <w:tcBorders>
              <w:top w:val="single" w:sz="8" w:color="E2EEF6"/>
            </w:tcBorders>
          </w:tcPr>
          <w:p>
            <w:pPr>
              <w:spacing w:after="0"/>
              <w:rPr>
                <w:sz w:val="22"/>
                <w:szCs w:val="22"/>
                <w:color w:val="auto"/>
              </w:rPr>
            </w:pPr>
          </w:p>
        </w:tc>
        <w:tc>
          <w:tcPr>
            <w:tcW w:w="240" w:type="dxa"/>
            <w:vAlign w:val="bottom"/>
            <w:tcBorders>
              <w:top w:val="single" w:sz="8" w:color="E2EEF6"/>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20" w:type="dxa"/>
            <w:vAlign w:val="bottom"/>
            <w:tcBorders>
              <w:top w:val="single" w:sz="8" w:color="E2EEF6"/>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0" w:type="dxa"/>
            <w:vAlign w:val="bottom"/>
            <w:tcBorders>
              <w:top w:val="single" w:sz="8" w:color="E2EEF6"/>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00" w:type="dxa"/>
            <w:vAlign w:val="bottom"/>
            <w:tcBorders>
              <w:top w:val="single" w:sz="8" w:color="E2EEF6"/>
            </w:tcBorders>
          </w:tcPr>
          <w:p>
            <w:pPr>
              <w:spacing w:after="0"/>
              <w:rPr>
                <w:sz w:val="22"/>
                <w:szCs w:val="22"/>
                <w:color w:val="auto"/>
              </w:rPr>
            </w:pPr>
          </w:p>
        </w:tc>
        <w:tc>
          <w:tcPr>
            <w:tcW w:w="1360" w:type="dxa"/>
            <w:vAlign w:val="bottom"/>
            <w:tcBorders>
              <w:top w:val="single" w:sz="8" w:color="E2EEF6"/>
            </w:tcBorders>
          </w:tcPr>
          <w:p>
            <w:pPr>
              <w:spacing w:after="0"/>
              <w:rPr>
                <w:sz w:val="22"/>
                <w:szCs w:val="22"/>
                <w:color w:val="auto"/>
              </w:rPr>
            </w:pPr>
          </w:p>
        </w:tc>
        <w:tc>
          <w:tcPr>
            <w:tcW w:w="100" w:type="dxa"/>
            <w:vAlign w:val="bottom"/>
            <w:tcBorders>
              <w:top w:val="single" w:sz="8" w:color="E2EEF6"/>
            </w:tcBorders>
          </w:tcPr>
          <w:p>
            <w:pPr>
              <w:spacing w:after="0"/>
              <w:rPr>
                <w:sz w:val="22"/>
                <w:szCs w:val="22"/>
                <w:color w:val="auto"/>
              </w:rPr>
            </w:pPr>
          </w:p>
        </w:tc>
      </w:tr>
      <w:tr>
        <w:trPr>
          <w:trHeight w:val="270"/>
        </w:trPr>
        <w:tc>
          <w:tcPr>
            <w:tcW w:w="4900" w:type="dxa"/>
            <w:vAlign w:val="bottom"/>
            <w:shd w:val="clear" w:color="auto" w:fill="E2EEF6"/>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372,611</w:t>
            </w:r>
          </w:p>
        </w:tc>
        <w:tc>
          <w:tcPr>
            <w:tcW w:w="220" w:type="dxa"/>
            <w:vAlign w:val="bottom"/>
            <w:shd w:val="clear" w:color="auto" w:fill="E2EEF6"/>
          </w:tcPr>
          <w:p>
            <w:pPr>
              <w:spacing w:after="0"/>
              <w:rPr>
                <w:sz w:val="23"/>
                <w:szCs w:val="23"/>
                <w:color w:val="auto"/>
              </w:rPr>
            </w:pPr>
          </w:p>
        </w:tc>
        <w:tc>
          <w:tcPr>
            <w:tcW w:w="380" w:type="dxa"/>
            <w:vAlign w:val="bottom"/>
            <w:shd w:val="clear" w:color="auto" w:fill="E2EEF6"/>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43.91</w:t>
            </w:r>
          </w:p>
        </w:tc>
        <w:tc>
          <w:tcPr>
            <w:tcW w:w="44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19.64</w:t>
            </w:r>
          </w:p>
        </w:tc>
        <w:tc>
          <w:tcPr>
            <w:tcW w:w="200" w:type="dxa"/>
            <w:vAlign w:val="bottom"/>
            <w:shd w:val="clear" w:color="auto" w:fill="E2EEF6"/>
          </w:tcPr>
          <w:p>
            <w:pPr>
              <w:spacing w:after="0"/>
              <w:rPr>
                <w:sz w:val="23"/>
                <w:szCs w:val="23"/>
                <w:color w:val="auto"/>
              </w:rPr>
            </w:pPr>
          </w:p>
        </w:tc>
        <w:tc>
          <w:tcPr>
            <w:tcW w:w="1360" w:type="dxa"/>
            <w:vAlign w:val="bottom"/>
            <w:shd w:val="clear" w:color="auto" w:fill="E2EEF6"/>
          </w:tcPr>
          <w:p>
            <w:pPr>
              <w:spacing w:after="0"/>
              <w:rPr>
                <w:sz w:val="23"/>
                <w:szCs w:val="23"/>
                <w:color w:val="auto"/>
              </w:rPr>
            </w:pPr>
          </w:p>
        </w:tc>
        <w:tc>
          <w:tcPr>
            <w:tcW w:w="100" w:type="dxa"/>
            <w:vAlign w:val="bottom"/>
            <w:shd w:val="clear" w:color="auto" w:fill="E2EEF6"/>
          </w:tcPr>
          <w:p>
            <w:pPr>
              <w:spacing w:after="0"/>
              <w:rPr>
                <w:sz w:val="23"/>
                <w:szCs w:val="23"/>
                <w:color w:val="auto"/>
              </w:rPr>
            </w:pPr>
          </w:p>
        </w:tc>
      </w:tr>
      <w:tr>
        <w:trPr>
          <w:trHeight w:val="263"/>
        </w:trPr>
        <w:tc>
          <w:tcPr>
            <w:tcW w:w="49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840" w:type="dxa"/>
            <w:vAlign w:val="bottom"/>
            <w:gridSpan w:val="3"/>
          </w:tcPr>
          <w:p>
            <w:pPr>
              <w:jc w:val="right"/>
              <w:ind w:right="160"/>
              <w:spacing w:after="0"/>
              <w:rPr>
                <w:sz w:val="20"/>
                <w:szCs w:val="20"/>
                <w:color w:val="auto"/>
              </w:rPr>
            </w:pPr>
            <w:r>
              <w:rPr>
                <w:rFonts w:ascii="Arial" w:cs="Arial" w:eastAsia="Arial" w:hAnsi="Arial"/>
                <w:sz w:val="18"/>
                <w:szCs w:val="18"/>
                <w:color w:val="auto"/>
              </w:rPr>
              <w:t>(73,005 )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25.60</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13.89</w:t>
            </w: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4900" w:type="dxa"/>
            <w:vAlign w:val="bottom"/>
            <w:shd w:val="clear" w:color="auto" w:fill="E2EEF6"/>
          </w:tcPr>
          <w:p>
            <w:pPr>
              <w:ind w:left="20"/>
              <w:spacing w:after="0"/>
              <w:rPr>
                <w:sz w:val="20"/>
                <w:szCs w:val="20"/>
                <w:color w:val="auto"/>
              </w:rPr>
            </w:pPr>
            <w:r>
              <w:rPr>
                <w:rFonts w:ascii="Arial" w:cs="Arial" w:eastAsia="Arial" w:hAnsi="Arial"/>
                <w:sz w:val="18"/>
                <w:szCs w:val="18"/>
                <w:color w:val="auto"/>
              </w:rPr>
              <w:t>Forfeited</w:t>
            </w:r>
          </w:p>
        </w:tc>
        <w:tc>
          <w:tcPr>
            <w:tcW w:w="1840" w:type="dxa"/>
            <w:vAlign w:val="bottom"/>
            <w:gridSpan w:val="3"/>
            <w:shd w:val="clear" w:color="auto" w:fill="E2EEF6"/>
          </w:tcPr>
          <w:p>
            <w:pPr>
              <w:jc w:val="right"/>
              <w:ind w:right="160"/>
              <w:spacing w:after="0"/>
              <w:rPr>
                <w:sz w:val="20"/>
                <w:szCs w:val="20"/>
                <w:color w:val="auto"/>
              </w:rPr>
            </w:pPr>
            <w:r>
              <w:rPr>
                <w:rFonts w:ascii="Arial" w:cs="Arial" w:eastAsia="Arial" w:hAnsi="Arial"/>
                <w:sz w:val="18"/>
                <w:szCs w:val="18"/>
                <w:color w:val="auto"/>
              </w:rPr>
              <w:t>(71,860 )</w:t>
            </w:r>
          </w:p>
        </w:tc>
        <w:tc>
          <w:tcPr>
            <w:tcW w:w="380" w:type="dxa"/>
            <w:vAlign w:val="bottom"/>
            <w:shd w:val="clear" w:color="auto" w:fill="E2EEF6"/>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30.24</w:t>
            </w:r>
          </w:p>
        </w:tc>
        <w:tc>
          <w:tcPr>
            <w:tcW w:w="44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14.10</w:t>
            </w:r>
          </w:p>
        </w:tc>
        <w:tc>
          <w:tcPr>
            <w:tcW w:w="200" w:type="dxa"/>
            <w:vAlign w:val="bottom"/>
            <w:shd w:val="clear" w:color="auto" w:fill="E2EEF6"/>
          </w:tcPr>
          <w:p>
            <w:pPr>
              <w:spacing w:after="0"/>
              <w:rPr>
                <w:sz w:val="22"/>
                <w:szCs w:val="22"/>
                <w:color w:val="auto"/>
              </w:rPr>
            </w:pPr>
          </w:p>
        </w:tc>
        <w:tc>
          <w:tcPr>
            <w:tcW w:w="1360" w:type="dxa"/>
            <w:vAlign w:val="bottom"/>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r>
      <w:tr>
        <w:trPr>
          <w:trHeight w:val="264"/>
        </w:trPr>
        <w:tc>
          <w:tcPr>
            <w:tcW w:w="4900" w:type="dxa"/>
            <w:vAlign w:val="bottom"/>
            <w:tcBorders>
              <w:top w:val="single" w:sz="8" w:color="E2EEF6"/>
            </w:tcBorders>
          </w:tcPr>
          <w:p>
            <w:pPr>
              <w:spacing w:after="0"/>
              <w:rPr>
                <w:sz w:val="22"/>
                <w:szCs w:val="22"/>
                <w:color w:val="auto"/>
              </w:rPr>
            </w:pPr>
          </w:p>
        </w:tc>
        <w:tc>
          <w:tcPr>
            <w:tcW w:w="240" w:type="dxa"/>
            <w:vAlign w:val="bottom"/>
            <w:tcBorders>
              <w:top w:val="single" w:sz="8" w:color="E2EEF6"/>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20" w:type="dxa"/>
            <w:vAlign w:val="bottom"/>
            <w:tcBorders>
              <w:top w:val="single" w:sz="8" w:color="E2EEF6"/>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0" w:type="dxa"/>
            <w:vAlign w:val="bottom"/>
            <w:tcBorders>
              <w:top w:val="single" w:sz="8" w:color="E2EEF6"/>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00" w:type="dxa"/>
            <w:vAlign w:val="bottom"/>
            <w:tcBorders>
              <w:top w:val="single" w:sz="8" w:color="E2EEF6"/>
            </w:tcBorders>
          </w:tcPr>
          <w:p>
            <w:pPr>
              <w:spacing w:after="0"/>
              <w:rPr>
                <w:sz w:val="22"/>
                <w:szCs w:val="22"/>
                <w:color w:val="auto"/>
              </w:rPr>
            </w:pPr>
          </w:p>
        </w:tc>
        <w:tc>
          <w:tcPr>
            <w:tcW w:w="1360" w:type="dxa"/>
            <w:vAlign w:val="bottom"/>
            <w:tcBorders>
              <w:top w:val="single" w:sz="8" w:color="E2EEF6"/>
            </w:tcBorders>
          </w:tcPr>
          <w:p>
            <w:pPr>
              <w:spacing w:after="0"/>
              <w:rPr>
                <w:sz w:val="22"/>
                <w:szCs w:val="22"/>
                <w:color w:val="auto"/>
              </w:rPr>
            </w:pPr>
          </w:p>
        </w:tc>
        <w:tc>
          <w:tcPr>
            <w:tcW w:w="100" w:type="dxa"/>
            <w:vAlign w:val="bottom"/>
            <w:tcBorders>
              <w:top w:val="single" w:sz="8" w:color="E2EEF6"/>
            </w:tcBorders>
          </w:tcPr>
          <w:p>
            <w:pPr>
              <w:spacing w:after="0"/>
              <w:rPr>
                <w:sz w:val="22"/>
                <w:szCs w:val="22"/>
                <w:color w:val="auto"/>
              </w:rPr>
            </w:pPr>
          </w:p>
        </w:tc>
      </w:tr>
      <w:tr>
        <w:trPr>
          <w:trHeight w:val="297"/>
        </w:trPr>
        <w:tc>
          <w:tcPr>
            <w:tcW w:w="4900" w:type="dxa"/>
            <w:vAlign w:val="bottom"/>
            <w:shd w:val="clear" w:color="auto" w:fill="E2EEF6"/>
          </w:tcPr>
          <w:p>
            <w:pPr>
              <w:ind w:left="20"/>
              <w:spacing w:after="0"/>
              <w:rPr>
                <w:sz w:val="20"/>
                <w:szCs w:val="20"/>
                <w:color w:val="auto"/>
              </w:rPr>
            </w:pPr>
            <w:r>
              <w:rPr>
                <w:rFonts w:ascii="Arial" w:cs="Arial" w:eastAsia="Arial" w:hAnsi="Arial"/>
                <w:sz w:val="18"/>
                <w:szCs w:val="18"/>
                <w:color w:val="auto"/>
              </w:rPr>
              <w:t>Outstanding at March 31, 2006</w:t>
            </w:r>
          </w:p>
        </w:tc>
        <w:tc>
          <w:tcPr>
            <w:tcW w:w="162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1,359,892</w:t>
            </w:r>
          </w:p>
        </w:tc>
        <w:tc>
          <w:tcPr>
            <w:tcW w:w="220" w:type="dxa"/>
            <w:vAlign w:val="bottom"/>
            <w:shd w:val="clear" w:color="auto" w:fill="E2EEF6"/>
          </w:tcPr>
          <w:p>
            <w:pPr>
              <w:spacing w:after="0"/>
              <w:rPr>
                <w:sz w:val="24"/>
                <w:szCs w:val="24"/>
                <w:color w:val="auto"/>
              </w:rPr>
            </w:pPr>
          </w:p>
        </w:tc>
        <w:tc>
          <w:tcPr>
            <w:tcW w:w="380" w:type="dxa"/>
            <w:vAlign w:val="bottom"/>
            <w:shd w:val="clear" w:color="auto" w:fill="E2EEF6"/>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35.98</w:t>
            </w:r>
          </w:p>
        </w:tc>
        <w:tc>
          <w:tcPr>
            <w:tcW w:w="44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16.06</w:t>
            </w:r>
          </w:p>
        </w:tc>
        <w:tc>
          <w:tcPr>
            <w:tcW w:w="156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E2EEF6"/>
          </w:tcPr>
          <w:p>
            <w:pPr>
              <w:spacing w:after="0"/>
              <w:rPr>
                <w:sz w:val="24"/>
                <w:szCs w:val="24"/>
                <w:color w:val="auto"/>
              </w:rPr>
            </w:pPr>
          </w:p>
        </w:tc>
      </w:tr>
      <w:tr>
        <w:trPr>
          <w:trHeight w:val="251"/>
        </w:trPr>
        <w:tc>
          <w:tcPr>
            <w:tcW w:w="4900" w:type="dxa"/>
            <w:vAlign w:val="bottom"/>
            <w:tcBorders>
              <w:top w:val="single" w:sz="8" w:color="E2EEF6"/>
            </w:tcBorders>
          </w:tcPr>
          <w:p>
            <w:pPr>
              <w:spacing w:after="0"/>
              <w:rPr>
                <w:sz w:val="21"/>
                <w:szCs w:val="21"/>
                <w:color w:val="auto"/>
              </w:rPr>
            </w:pPr>
          </w:p>
        </w:tc>
        <w:tc>
          <w:tcPr>
            <w:tcW w:w="240" w:type="dxa"/>
            <w:vAlign w:val="bottom"/>
            <w:tcBorders>
              <w:top w:val="single" w:sz="8" w:color="E2EEF6"/>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220" w:type="dxa"/>
            <w:vAlign w:val="bottom"/>
            <w:tcBorders>
              <w:top w:val="single" w:sz="8" w:color="E2EEF6"/>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0" w:type="dxa"/>
            <w:vAlign w:val="bottom"/>
            <w:tcBorders>
              <w:top w:val="single" w:sz="8" w:color="E2EEF6"/>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0" w:type="dxa"/>
            <w:vAlign w:val="bottom"/>
            <w:tcBorders>
              <w:top w:val="single" w:sz="8" w:color="E2EEF6"/>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Borders>
              <w:top w:val="single" w:sz="8" w:color="E2EEF6"/>
            </w:tcBorders>
          </w:tcPr>
          <w:p>
            <w:pPr>
              <w:spacing w:after="0"/>
              <w:rPr>
                <w:sz w:val="21"/>
                <w:szCs w:val="21"/>
                <w:color w:val="auto"/>
              </w:rPr>
            </w:pPr>
          </w:p>
        </w:tc>
      </w:tr>
      <w:tr>
        <w:trPr>
          <w:trHeight w:val="297"/>
        </w:trPr>
        <w:tc>
          <w:tcPr>
            <w:tcW w:w="4900" w:type="dxa"/>
            <w:vAlign w:val="bottom"/>
            <w:tcBorders>
              <w:bottom w:val="single" w:sz="8" w:color="E2EEF6"/>
            </w:tcBorders>
            <w:shd w:val="clear" w:color="auto" w:fill="E2EEF6"/>
          </w:tcPr>
          <w:p>
            <w:pPr>
              <w:ind w:left="20"/>
              <w:spacing w:after="0"/>
              <w:rPr>
                <w:sz w:val="20"/>
                <w:szCs w:val="20"/>
                <w:color w:val="auto"/>
              </w:rPr>
            </w:pPr>
            <w:r>
              <w:rPr>
                <w:rFonts w:ascii="Arial" w:cs="Arial" w:eastAsia="Arial" w:hAnsi="Arial"/>
                <w:sz w:val="18"/>
                <w:szCs w:val="18"/>
                <w:color w:val="auto"/>
              </w:rPr>
              <w:t>Exercisable at March 31, 2006</w:t>
            </w:r>
          </w:p>
        </w:tc>
        <w:tc>
          <w:tcPr>
            <w:tcW w:w="240" w:type="dxa"/>
            <w:vAlign w:val="bottom"/>
            <w:tcBorders>
              <w:bottom w:val="single" w:sz="8" w:color="E2EEF6"/>
            </w:tcBorders>
            <w:shd w:val="clear" w:color="auto" w:fill="E2EEF6"/>
          </w:tcPr>
          <w:p>
            <w:pPr>
              <w:spacing w:after="0"/>
              <w:rPr>
                <w:sz w:val="24"/>
                <w:szCs w:val="24"/>
                <w:color w:val="auto"/>
              </w:rPr>
            </w:pPr>
          </w:p>
        </w:tc>
        <w:tc>
          <w:tcPr>
            <w:tcW w:w="13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399,856</w:t>
            </w:r>
          </w:p>
        </w:tc>
        <w:tc>
          <w:tcPr>
            <w:tcW w:w="220" w:type="dxa"/>
            <w:vAlign w:val="bottom"/>
            <w:tcBorders>
              <w:bottom w:val="single" w:sz="8" w:color="E2EEF6"/>
            </w:tcBorders>
            <w:shd w:val="clear" w:color="auto" w:fill="E2EEF6"/>
          </w:tcPr>
          <w:p>
            <w:pPr>
              <w:spacing w:after="0"/>
              <w:rPr>
                <w:sz w:val="24"/>
                <w:szCs w:val="24"/>
                <w:color w:val="auto"/>
              </w:rPr>
            </w:pPr>
          </w:p>
        </w:tc>
        <w:tc>
          <w:tcPr>
            <w:tcW w:w="380" w:type="dxa"/>
            <w:vAlign w:val="bottom"/>
            <w:tcBorders>
              <w:bottom w:val="single" w:sz="8" w:color="auto"/>
            </w:tcBorders>
            <w:shd w:val="clear" w:color="auto" w:fill="E2EEF6"/>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29.44</w:t>
            </w:r>
          </w:p>
        </w:tc>
        <w:tc>
          <w:tcPr>
            <w:tcW w:w="200" w:type="dxa"/>
            <w:vAlign w:val="bottom"/>
            <w:tcBorders>
              <w:bottom w:val="single" w:sz="8" w:color="E2EEF6"/>
            </w:tcBorders>
            <w:shd w:val="clear" w:color="auto" w:fill="E2EEF6"/>
          </w:tcPr>
          <w:p>
            <w:pPr>
              <w:spacing w:after="0"/>
              <w:rPr>
                <w:sz w:val="24"/>
                <w:szCs w:val="24"/>
                <w:color w:val="auto"/>
              </w:rPr>
            </w:pPr>
          </w:p>
        </w:tc>
        <w:tc>
          <w:tcPr>
            <w:tcW w:w="24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14.03</w:t>
            </w:r>
          </w:p>
        </w:tc>
        <w:tc>
          <w:tcPr>
            <w:tcW w:w="200" w:type="dxa"/>
            <w:vAlign w:val="bottom"/>
            <w:tcBorders>
              <w:bottom w:val="single" w:sz="8" w:color="E2EEF6"/>
            </w:tcBorders>
            <w:shd w:val="clear" w:color="auto" w:fill="E2EEF6"/>
          </w:tcPr>
          <w:p>
            <w:pPr>
              <w:spacing w:after="0"/>
              <w:rPr>
                <w:sz w:val="24"/>
                <w:szCs w:val="24"/>
                <w:color w:val="auto"/>
              </w:rPr>
            </w:pPr>
          </w:p>
        </w:tc>
        <w:tc>
          <w:tcPr>
            <w:tcW w:w="13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E2EEF6"/>
            </w:tcBorders>
            <w:shd w:val="clear" w:color="auto" w:fill="E2EEF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-1750695</wp:posOffset>
            </wp:positionV>
            <wp:extent cx="7244080" cy="1925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080" cy="1925320"/>
                    </a:xfrm>
                    <a:prstGeom prst="rect">
                      <a:avLst/>
                    </a:prstGeom>
                    <a:noFill/>
                  </pic:spPr>
                </pic:pic>
              </a:graphicData>
            </a:graphic>
          </wp:anchor>
        </w:drawing>
      </w:r>
    </w:p>
    <w:p>
      <w:pPr>
        <w:spacing w:after="0" w:line="24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2006 is eight years.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fair value of stock options granted during the three months ended March 31, 2006, calculated using the Black-Scholes option pricing model, was $19.64 based on the following assumptions; dividend yield - 0%, risk free interest rate - 4.6%, expected volatility - 45% and weighted average expected life - 4.81 years.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17, 2006, 15,000 share options, with an exercise price of $41.68, were granted to certain key employee of the Company. These options will vest between 2009 and 2014 subject to the Company’s diluted earnings achieving $4.20 per share. If the Company does not achieve diluted earnings of $4.20 per share before January 16, 2014, the option grant expires.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part vesting and termination patterns. The risk-free rate is based on the U.S. gilts zero-coupon yield curve in effect at time of grant for periods corresponding with the expected life of the option.</w:t>
      </w:r>
    </w:p>
    <w:p>
      <w:pPr>
        <w:spacing w:after="0" w:line="2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from operations for the three months ended March 31, 2006, is stated after charging $0.9 million in respect of non-cash stock compensation expense. Basic and diluted earnings per share for the three months ended March 31, 2006, had SFAS 123R not been introduced would have been $0.60 and $0.59 respectively. Non-cash stock compensation expense for the three months ended March 31, 2006, has been allocated to direct costs and selling, general and administrative expenses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February 28,</w:t>
            </w:r>
          </w:p>
        </w:tc>
        <w:tc>
          <w:tcPr>
            <w:tcW w:w="100" w:type="dxa"/>
            <w:vAlign w:val="bottom"/>
          </w:tcPr>
          <w:p>
            <w:pPr>
              <w:spacing w:after="0"/>
              <w:rPr>
                <w:sz w:val="22"/>
                <w:szCs w:val="22"/>
                <w:color w:val="auto"/>
              </w:rPr>
            </w:pPr>
          </w:p>
        </w:tc>
      </w:tr>
      <w:tr>
        <w:trPr>
          <w:trHeight w:val="264"/>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40" w:type="dxa"/>
            <w:vAlign w:val="bottom"/>
            <w:shd w:val="clear" w:color="auto" w:fill="E2EEF6"/>
          </w:tcPr>
          <w:p>
            <w:pPr>
              <w:spacing w:after="0"/>
              <w:rPr>
                <w:sz w:val="20"/>
                <w:szCs w:val="20"/>
                <w:color w:val="auto"/>
              </w:rPr>
            </w:pPr>
            <w:r>
              <w:rPr>
                <w:rFonts w:ascii="Arial" w:cs="Arial" w:eastAsia="Arial" w:hAnsi="Arial"/>
                <w:sz w:val="18"/>
                <w:szCs w:val="18"/>
                <w:color w:val="auto"/>
              </w:rPr>
              <w:t>Direct costs</w:t>
            </w:r>
          </w:p>
        </w:tc>
        <w:tc>
          <w:tcPr>
            <w:tcW w:w="34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512</w:t>
            </w:r>
          </w:p>
        </w:tc>
        <w:tc>
          <w:tcPr>
            <w:tcW w:w="46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shd w:val="clear" w:color="auto" w:fill="E2EEF6"/>
          </w:tcPr>
          <w:p>
            <w:pPr>
              <w:spacing w:after="0"/>
              <w:rPr>
                <w:sz w:val="20"/>
                <w:szCs w:val="20"/>
                <w:color w:val="auto"/>
              </w:rPr>
            </w:pPr>
          </w:p>
        </w:tc>
        <w:tc>
          <w:tcPr>
            <w:tcW w:w="340" w:type="dxa"/>
            <w:vAlign w:val="bottom"/>
            <w:tcBorders>
              <w:top w:val="single" w:sz="8" w:color="auto"/>
            </w:tcBorders>
            <w:shd w:val="clear" w:color="auto" w:fill="E2EEF6"/>
          </w:tcPr>
          <w:p>
            <w:pPr>
              <w:spacing w:after="0"/>
              <w:rPr>
                <w:sz w:val="20"/>
                <w:szCs w:val="20"/>
                <w:color w:val="auto"/>
              </w:rPr>
            </w:pPr>
          </w:p>
        </w:tc>
        <w:tc>
          <w:tcPr>
            <w:tcW w:w="104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240" w:type="dxa"/>
            <w:vAlign w:val="bottom"/>
            <w:tcBorders>
              <w:top w:val="single" w:sz="8" w:color="auto"/>
            </w:tcBorders>
            <w:shd w:val="clear" w:color="auto" w:fill="E2EEF6"/>
          </w:tcPr>
          <w:p>
            <w:pPr>
              <w:spacing w:after="0"/>
              <w:rPr>
                <w:sz w:val="20"/>
                <w:szCs w:val="20"/>
                <w:color w:val="auto"/>
              </w:rPr>
            </w:pPr>
          </w:p>
        </w:tc>
        <w:tc>
          <w:tcPr>
            <w:tcW w:w="114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43"/>
        </w:trPr>
        <w:tc>
          <w:tcPr>
            <w:tcW w:w="83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930</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Non vested shares outstanding as March 31, 2006, is as follows: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65"/>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Average Exercise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Average Fair</w:t>
            </w: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Price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Value</w:t>
            </w:r>
          </w:p>
        </w:tc>
      </w:tr>
      <w:tr>
        <w:trPr>
          <w:trHeight w:val="284"/>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6500" w:type="dxa"/>
            <w:vAlign w:val="bottom"/>
            <w:shd w:val="clear" w:color="auto" w:fill="E2EEF6"/>
          </w:tcPr>
          <w:p>
            <w:pPr>
              <w:ind w:left="20"/>
              <w:spacing w:after="0"/>
              <w:rPr>
                <w:sz w:val="20"/>
                <w:szCs w:val="20"/>
                <w:color w:val="auto"/>
              </w:rPr>
            </w:pPr>
            <w:r>
              <w:rPr>
                <w:rFonts w:ascii="Arial" w:cs="Arial" w:eastAsia="Arial" w:hAnsi="Arial"/>
                <w:sz w:val="18"/>
                <w:szCs w:val="18"/>
                <w:color w:val="auto"/>
              </w:rPr>
              <w:t>Non vested outstanding at December 31, 2005</w:t>
            </w:r>
          </w:p>
        </w:tc>
        <w:tc>
          <w:tcPr>
            <w:tcW w:w="160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803,389</w:t>
            </w:r>
          </w:p>
        </w:tc>
        <w:tc>
          <w:tcPr>
            <w:tcW w:w="240" w:type="dxa"/>
            <w:vAlign w:val="bottom"/>
            <w:shd w:val="clear" w:color="auto" w:fill="E2EEF6"/>
          </w:tcPr>
          <w:p>
            <w:pPr>
              <w:spacing w:after="0"/>
              <w:rPr>
                <w:sz w:val="22"/>
                <w:szCs w:val="22"/>
                <w:color w:val="auto"/>
              </w:rPr>
            </w:pPr>
          </w:p>
        </w:tc>
        <w:tc>
          <w:tcPr>
            <w:tcW w:w="36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33.20</w:t>
            </w:r>
          </w:p>
        </w:tc>
        <w:tc>
          <w:tcPr>
            <w:tcW w:w="44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E2EEF6"/>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6500" w:type="dxa"/>
            <w:vAlign w:val="bottom"/>
            <w:tcBorders>
              <w:top w:val="single" w:sz="8" w:color="E2EEF6"/>
            </w:tcBorders>
          </w:tcPr>
          <w:p>
            <w:pPr>
              <w:spacing w:after="0"/>
              <w:rPr>
                <w:sz w:val="22"/>
                <w:szCs w:val="22"/>
                <w:color w:val="auto"/>
              </w:rPr>
            </w:pPr>
          </w:p>
        </w:tc>
        <w:tc>
          <w:tcPr>
            <w:tcW w:w="220" w:type="dxa"/>
            <w:vAlign w:val="bottom"/>
            <w:tcBorders>
              <w:top w:val="single" w:sz="8" w:color="E2EEF6"/>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40" w:type="dxa"/>
            <w:vAlign w:val="bottom"/>
            <w:tcBorders>
              <w:top w:val="single" w:sz="8" w:color="E2EEF6"/>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20" w:type="dxa"/>
            <w:vAlign w:val="bottom"/>
            <w:tcBorders>
              <w:top w:val="single" w:sz="8" w:color="E2EEF6"/>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E2EEF6"/>
            </w:tcBorders>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6500" w:type="dxa"/>
            <w:vAlign w:val="bottom"/>
            <w:shd w:val="clear" w:color="auto" w:fill="E2EEF6"/>
          </w:tcPr>
          <w:p>
            <w:pPr>
              <w:ind w:left="20"/>
              <w:spacing w:after="0"/>
              <w:rPr>
                <w:sz w:val="20"/>
                <w:szCs w:val="20"/>
                <w:color w:val="auto"/>
              </w:rPr>
            </w:pPr>
            <w:r>
              <w:rPr>
                <w:rFonts w:ascii="Arial" w:cs="Arial" w:eastAsia="Arial" w:hAnsi="Arial"/>
                <w:sz w:val="18"/>
                <w:szCs w:val="18"/>
                <w:color w:val="auto"/>
              </w:rPr>
              <w:t>Granted</w:t>
            </w:r>
          </w:p>
        </w:tc>
        <w:tc>
          <w:tcPr>
            <w:tcW w:w="1600" w:type="dxa"/>
            <w:vAlign w:val="bottom"/>
            <w:gridSpan w:val="2"/>
            <w:shd w:val="clear" w:color="auto" w:fill="E2EEF6"/>
          </w:tcPr>
          <w:p>
            <w:pPr>
              <w:jc w:val="right"/>
              <w:spacing w:after="0"/>
              <w:rPr>
                <w:sz w:val="20"/>
                <w:szCs w:val="20"/>
                <w:color w:val="auto"/>
              </w:rPr>
            </w:pPr>
            <w:r>
              <w:rPr>
                <w:rFonts w:ascii="Arial" w:cs="Arial" w:eastAsia="Arial" w:hAnsi="Arial"/>
                <w:sz w:val="18"/>
                <w:szCs w:val="18"/>
                <w:color w:val="auto"/>
              </w:rPr>
              <w:t>372,611</w:t>
            </w:r>
          </w:p>
        </w:tc>
        <w:tc>
          <w:tcPr>
            <w:tcW w:w="240" w:type="dxa"/>
            <w:vAlign w:val="bottom"/>
            <w:shd w:val="clear" w:color="auto" w:fill="E2EEF6"/>
          </w:tcPr>
          <w:p>
            <w:pPr>
              <w:spacing w:after="0"/>
              <w:rPr>
                <w:sz w:val="23"/>
                <w:szCs w:val="23"/>
                <w:color w:val="auto"/>
              </w:rPr>
            </w:pPr>
          </w:p>
        </w:tc>
        <w:tc>
          <w:tcPr>
            <w:tcW w:w="36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43.91</w:t>
            </w:r>
          </w:p>
        </w:tc>
        <w:tc>
          <w:tcPr>
            <w:tcW w:w="44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E2EEF6"/>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Vested</w:t>
            </w:r>
          </w:p>
        </w:tc>
        <w:tc>
          <w:tcPr>
            <w:tcW w:w="1840" w:type="dxa"/>
            <w:vAlign w:val="bottom"/>
            <w:gridSpan w:val="3"/>
          </w:tcPr>
          <w:p>
            <w:pPr>
              <w:jc w:val="right"/>
              <w:ind w:right="160"/>
              <w:spacing w:after="0"/>
              <w:rPr>
                <w:sz w:val="20"/>
                <w:szCs w:val="20"/>
                <w:color w:val="auto"/>
              </w:rPr>
            </w:pPr>
            <w:r>
              <w:rPr>
                <w:rFonts w:ascii="Arial" w:cs="Arial" w:eastAsia="Arial" w:hAnsi="Arial"/>
                <w:sz w:val="18"/>
                <w:szCs w:val="18"/>
                <w:color w:val="auto"/>
              </w:rPr>
              <w:t>(144,104 )</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32.05</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6500" w:type="dxa"/>
            <w:vAlign w:val="bottom"/>
            <w:shd w:val="clear" w:color="auto" w:fill="E2EEF6"/>
          </w:tcPr>
          <w:p>
            <w:pPr>
              <w:ind w:left="20"/>
              <w:spacing w:after="0"/>
              <w:rPr>
                <w:sz w:val="20"/>
                <w:szCs w:val="20"/>
                <w:color w:val="auto"/>
              </w:rPr>
            </w:pPr>
            <w:r>
              <w:rPr>
                <w:rFonts w:ascii="Arial" w:cs="Arial" w:eastAsia="Arial" w:hAnsi="Arial"/>
                <w:sz w:val="18"/>
                <w:szCs w:val="18"/>
                <w:color w:val="auto"/>
              </w:rPr>
              <w:t>Forfeited</w:t>
            </w:r>
          </w:p>
        </w:tc>
        <w:tc>
          <w:tcPr>
            <w:tcW w:w="1840" w:type="dxa"/>
            <w:vAlign w:val="bottom"/>
            <w:gridSpan w:val="3"/>
            <w:shd w:val="clear" w:color="auto" w:fill="E2EEF6"/>
          </w:tcPr>
          <w:p>
            <w:pPr>
              <w:jc w:val="right"/>
              <w:ind w:right="160"/>
              <w:spacing w:after="0"/>
              <w:rPr>
                <w:sz w:val="20"/>
                <w:szCs w:val="20"/>
                <w:color w:val="auto"/>
              </w:rPr>
            </w:pPr>
            <w:r>
              <w:rPr>
                <w:rFonts w:ascii="Arial" w:cs="Arial" w:eastAsia="Arial" w:hAnsi="Arial"/>
                <w:sz w:val="18"/>
                <w:szCs w:val="18"/>
                <w:color w:val="auto"/>
              </w:rPr>
              <w:t>(71,860 )</w:t>
            </w:r>
          </w:p>
        </w:tc>
        <w:tc>
          <w:tcPr>
            <w:tcW w:w="360" w:type="dxa"/>
            <w:vAlign w:val="bottom"/>
            <w:shd w:val="clear" w:color="auto" w:fill="E2EEF6"/>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E2EEF6"/>
          </w:tcPr>
          <w:p>
            <w:pPr>
              <w:jc w:val="right"/>
              <w:spacing w:after="0"/>
              <w:rPr>
                <w:sz w:val="20"/>
                <w:szCs w:val="20"/>
                <w:color w:val="auto"/>
              </w:rPr>
            </w:pPr>
            <w:r>
              <w:rPr>
                <w:rFonts w:ascii="Arial" w:cs="Arial" w:eastAsia="Arial" w:hAnsi="Arial"/>
                <w:sz w:val="18"/>
                <w:szCs w:val="18"/>
                <w:color w:val="auto"/>
              </w:rPr>
              <w:t>30.24</w:t>
            </w:r>
          </w:p>
        </w:tc>
        <w:tc>
          <w:tcPr>
            <w:tcW w:w="44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14.10</w:t>
            </w:r>
          </w:p>
        </w:tc>
        <w:tc>
          <w:tcPr>
            <w:tcW w:w="100" w:type="dxa"/>
            <w:vAlign w:val="bottom"/>
            <w:shd w:val="clear" w:color="auto" w:fill="E2EEF6"/>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6500" w:type="dxa"/>
            <w:vAlign w:val="bottom"/>
            <w:tcBorders>
              <w:top w:val="single" w:sz="8" w:color="E2EEF6"/>
            </w:tcBorders>
          </w:tcPr>
          <w:p>
            <w:pPr>
              <w:spacing w:after="0"/>
              <w:rPr>
                <w:sz w:val="22"/>
                <w:szCs w:val="22"/>
                <w:color w:val="auto"/>
              </w:rPr>
            </w:pPr>
          </w:p>
        </w:tc>
        <w:tc>
          <w:tcPr>
            <w:tcW w:w="220" w:type="dxa"/>
            <w:vAlign w:val="bottom"/>
            <w:tcBorders>
              <w:top w:val="single" w:sz="8" w:color="E2EEF6"/>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40" w:type="dxa"/>
            <w:vAlign w:val="bottom"/>
            <w:tcBorders>
              <w:top w:val="single" w:sz="8" w:color="E2EEF6"/>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20" w:type="dxa"/>
            <w:vAlign w:val="bottom"/>
            <w:tcBorders>
              <w:top w:val="single" w:sz="8" w:color="E2EEF6"/>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E2EEF6"/>
            </w:tcBorders>
          </w:tcPr>
          <w:p>
            <w:pPr>
              <w:spacing w:after="0"/>
              <w:rPr>
                <w:sz w:val="22"/>
                <w:szCs w:val="22"/>
                <w:color w:val="auto"/>
              </w:rPr>
            </w:pPr>
          </w:p>
        </w:tc>
      </w:tr>
      <w:tr>
        <w:trPr>
          <w:trHeight w:val="297"/>
        </w:trPr>
        <w:tc>
          <w:tcPr>
            <w:tcW w:w="20" w:type="dxa"/>
            <w:vAlign w:val="bottom"/>
          </w:tcPr>
          <w:p>
            <w:pPr>
              <w:spacing w:after="0"/>
              <w:rPr>
                <w:sz w:val="24"/>
                <w:szCs w:val="24"/>
                <w:color w:val="auto"/>
              </w:rPr>
            </w:pPr>
          </w:p>
        </w:tc>
        <w:tc>
          <w:tcPr>
            <w:tcW w:w="6500" w:type="dxa"/>
            <w:vAlign w:val="bottom"/>
            <w:tcBorders>
              <w:bottom w:val="single" w:sz="8" w:color="E2EEF6"/>
            </w:tcBorders>
            <w:shd w:val="clear" w:color="auto" w:fill="E2EEF6"/>
          </w:tcPr>
          <w:p>
            <w:pPr>
              <w:ind w:left="20"/>
              <w:spacing w:after="0"/>
              <w:rPr>
                <w:sz w:val="20"/>
                <w:szCs w:val="20"/>
                <w:color w:val="auto"/>
              </w:rPr>
            </w:pPr>
            <w:r>
              <w:rPr>
                <w:rFonts w:ascii="Arial" w:cs="Arial" w:eastAsia="Arial" w:hAnsi="Arial"/>
                <w:sz w:val="18"/>
                <w:szCs w:val="18"/>
                <w:color w:val="auto"/>
              </w:rPr>
              <w:t>Non vested outstanding at March 31, 2006</w:t>
            </w:r>
          </w:p>
        </w:tc>
        <w:tc>
          <w:tcPr>
            <w:tcW w:w="220" w:type="dxa"/>
            <w:vAlign w:val="bottom"/>
            <w:tcBorders>
              <w:bottom w:val="single" w:sz="8" w:color="E2EEF6"/>
            </w:tcBorders>
            <w:shd w:val="clear" w:color="auto" w:fill="E2EEF6"/>
          </w:tcPr>
          <w:p>
            <w:pPr>
              <w:spacing w:after="0"/>
              <w:rPr>
                <w:sz w:val="24"/>
                <w:szCs w:val="24"/>
                <w:color w:val="auto"/>
              </w:rPr>
            </w:pPr>
          </w:p>
        </w:tc>
        <w:tc>
          <w:tcPr>
            <w:tcW w:w="138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960,036</w:t>
            </w:r>
          </w:p>
        </w:tc>
        <w:tc>
          <w:tcPr>
            <w:tcW w:w="240" w:type="dxa"/>
            <w:vAlign w:val="bottom"/>
            <w:tcBorders>
              <w:bottom w:val="single" w:sz="8" w:color="E2EEF6"/>
            </w:tcBorders>
            <w:shd w:val="clear" w:color="auto" w:fill="E2EEF6"/>
          </w:tcPr>
          <w:p>
            <w:pPr>
              <w:spacing w:after="0"/>
              <w:rPr>
                <w:sz w:val="24"/>
                <w:szCs w:val="24"/>
                <w:color w:val="auto"/>
              </w:rPr>
            </w:pPr>
          </w:p>
        </w:tc>
        <w:tc>
          <w:tcPr>
            <w:tcW w:w="36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37.62</w:t>
            </w:r>
          </w:p>
        </w:tc>
        <w:tc>
          <w:tcPr>
            <w:tcW w:w="220" w:type="dxa"/>
            <w:vAlign w:val="bottom"/>
            <w:tcBorders>
              <w:bottom w:val="single" w:sz="8" w:color="E2EEF6"/>
            </w:tcBorders>
            <w:shd w:val="clear" w:color="auto" w:fill="E2EEF6"/>
          </w:tcPr>
          <w:p>
            <w:pPr>
              <w:spacing w:after="0"/>
              <w:rPr>
                <w:sz w:val="24"/>
                <w:szCs w:val="24"/>
                <w:color w:val="auto"/>
              </w:rPr>
            </w:pPr>
          </w:p>
        </w:tc>
        <w:tc>
          <w:tcPr>
            <w:tcW w:w="22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E2EEF6"/>
            </w:tcBorders>
            <w:shd w:val="clear" w:color="auto" w:fill="E2EEF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-1390650</wp:posOffset>
            </wp:positionV>
            <wp:extent cx="7244080" cy="1719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080" cy="17195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As at March 31, 2006, total unrecognized compensation cost related to unvested options, which the Company expects to recognize over a weighted average period of 3.6 years, amounted to $12.0 million. The Company has granted options with fair values ranging from $11.55 to $19.64 per option or a weighted average fair value of $15.86 per option. The Company issues new ordinary shares for all options exercised. The total amount of fully vested share options which remained outstanding at March 31, 2006 was 72,588. The options have an average remaining contractual term of 2.1 years and average exercise price of $18.17. The total intrinsic value of options exercised during this period was $1.02 million.</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adoption of SFAS 123R, the Company accounted for its share options in accordance with the provisions of SFAS No. 123 which allowed entities to continue to apply the provisions of APB 25 and provide pro forma net income and pro forma earnings per share disclosures for employee stock option grants as if the fair-value-based method defined in SFAS No. 123 had been applied. The impact on net loss and earnings per share, had SFAS 123R been applied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Three Months</w:t>
            </w:r>
          </w:p>
        </w:tc>
      </w:tr>
      <w:tr>
        <w:trPr>
          <w:trHeight w:val="216"/>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Ended</w:t>
            </w:r>
          </w:p>
        </w:tc>
      </w:tr>
      <w:tr>
        <w:trPr>
          <w:trHeight w:val="216"/>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February 28,</w:t>
            </w:r>
          </w:p>
        </w:tc>
      </w:tr>
      <w:tr>
        <w:trPr>
          <w:trHeight w:val="234"/>
        </w:trPr>
        <w:tc>
          <w:tcPr>
            <w:tcW w:w="9720" w:type="dxa"/>
            <w:vAlign w:val="bottom"/>
          </w:tcPr>
          <w:p>
            <w:pPr>
              <w:spacing w:after="0"/>
              <w:rPr>
                <w:sz w:val="20"/>
                <w:szCs w:val="20"/>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E2EEF6"/>
          </w:tcPr>
          <w:p>
            <w:pPr>
              <w:spacing w:after="0"/>
              <w:rPr>
                <w:sz w:val="20"/>
                <w:szCs w:val="20"/>
                <w:color w:val="auto"/>
              </w:rPr>
            </w:pPr>
            <w:r>
              <w:rPr>
                <w:rFonts w:ascii="Arial" w:cs="Arial" w:eastAsia="Arial" w:hAnsi="Arial"/>
                <w:sz w:val="18"/>
                <w:szCs w:val="18"/>
                <w:color w:val="auto"/>
              </w:rPr>
              <w:t>Net loss as reported</w:t>
            </w:r>
          </w:p>
        </w:tc>
        <w:tc>
          <w:tcPr>
            <w:tcW w:w="1700" w:type="dxa"/>
            <w:vAlign w:val="bottom"/>
            <w:gridSpan w:val="3"/>
            <w:shd w:val="clear" w:color="auto" w:fill="E2EEF6"/>
          </w:tcPr>
          <w:p>
            <w:pPr>
              <w:jc w:val="right"/>
              <w:ind w:right="40"/>
              <w:spacing w:after="0"/>
              <w:rPr>
                <w:sz w:val="20"/>
                <w:szCs w:val="20"/>
                <w:color w:val="auto"/>
              </w:rPr>
            </w:pPr>
            <w:r>
              <w:rPr>
                <w:rFonts w:ascii="Arial" w:cs="Arial" w:eastAsia="Arial" w:hAnsi="Arial"/>
                <w:sz w:val="18"/>
                <w:szCs w:val="18"/>
                <w:color w:val="auto"/>
              </w:rPr>
              <w:t>($5,528)</w:t>
            </w: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E2EEF6"/>
          </w:tcPr>
          <w:p>
            <w:pPr>
              <w:spacing w:after="0"/>
              <w:rPr>
                <w:sz w:val="20"/>
                <w:szCs w:val="20"/>
                <w:color w:val="auto"/>
              </w:rPr>
            </w:pPr>
            <w:r>
              <w:rPr>
                <w:rFonts w:ascii="Arial" w:cs="Arial" w:eastAsia="Arial" w:hAnsi="Arial"/>
                <w:sz w:val="18"/>
                <w:szCs w:val="18"/>
                <w:color w:val="auto"/>
                <w:w w:val="89"/>
              </w:rPr>
              <w:t>Deduct: Total non-cash stock compensation expense determined under fair value based method for all awards, net of related tax effects</w:t>
            </w:r>
          </w:p>
        </w:tc>
        <w:tc>
          <w:tcPr>
            <w:tcW w:w="220" w:type="dxa"/>
            <w:vAlign w:val="bottom"/>
            <w:shd w:val="clear" w:color="auto" w:fill="E2EEF6"/>
          </w:tcPr>
          <w:p>
            <w:pPr>
              <w:spacing w:after="0"/>
              <w:rPr>
                <w:sz w:val="21"/>
                <w:szCs w:val="21"/>
                <w:color w:val="auto"/>
              </w:rPr>
            </w:pPr>
          </w:p>
        </w:tc>
        <w:tc>
          <w:tcPr>
            <w:tcW w:w="148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($804)</w:t>
            </w:r>
          </w:p>
        </w:tc>
      </w:tr>
      <w:tr>
        <w:trPr>
          <w:trHeight w:val="20"/>
        </w:trPr>
        <w:tc>
          <w:tcPr>
            <w:tcW w:w="9720" w:type="dxa"/>
            <w:vAlign w:val="bottom"/>
            <w:shd w:val="clear" w:color="auto" w:fill="000000"/>
          </w:tcPr>
          <w:p>
            <w:pPr>
              <w:spacing w:after="0" w:line="20" w:lineRule="exact"/>
              <w:rPr>
                <w:sz w:val="1"/>
                <w:szCs w:val="1"/>
                <w:color w:val="auto"/>
              </w:rPr>
            </w:pPr>
          </w:p>
        </w:tc>
        <w:tc>
          <w:tcPr>
            <w:tcW w:w="220" w:type="dxa"/>
            <w:vAlign w:val="bottom"/>
            <w:shd w:val="clear" w:color="auto" w:fill="E2EEF6"/>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E2EEF6"/>
          </w:tcPr>
          <w:p>
            <w:pPr>
              <w:spacing w:after="0" w:line="20" w:lineRule="exact"/>
              <w:rPr>
                <w:sz w:val="1"/>
                <w:szCs w:val="1"/>
                <w:color w:val="auto"/>
              </w:rPr>
            </w:pPr>
          </w:p>
        </w:tc>
      </w:tr>
      <w:tr>
        <w:trPr>
          <w:trHeight w:val="264"/>
        </w:trPr>
        <w:tc>
          <w:tcPr>
            <w:tcW w:w="9720" w:type="dxa"/>
            <w:vAlign w:val="bottom"/>
          </w:tcPr>
          <w:p>
            <w:pPr>
              <w:spacing w:after="0"/>
              <w:rPr>
                <w:sz w:val="20"/>
                <w:szCs w:val="20"/>
                <w:color w:val="auto"/>
              </w:rPr>
            </w:pPr>
            <w:r>
              <w:rPr>
                <w:rFonts w:ascii="Arial" w:cs="Arial" w:eastAsia="Arial" w:hAnsi="Arial"/>
                <w:sz w:val="18"/>
                <w:szCs w:val="18"/>
                <w:color w:val="auto"/>
              </w:rPr>
              <w:t>Pro forma net loss</w:t>
            </w:r>
          </w:p>
        </w:tc>
        <w:tc>
          <w:tcPr>
            <w:tcW w:w="220" w:type="dxa"/>
            <w:vAlign w:val="bottom"/>
          </w:tcPr>
          <w:p>
            <w:pPr>
              <w:spacing w:after="0"/>
              <w:rPr>
                <w:sz w:val="22"/>
                <w:szCs w:val="22"/>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($6,332)</w:t>
            </w:r>
          </w:p>
        </w:tc>
      </w:tr>
      <w:tr>
        <w:trPr>
          <w:trHeight w:val="237"/>
        </w:trPr>
        <w:tc>
          <w:tcPr>
            <w:tcW w:w="9720" w:type="dxa"/>
            <w:vAlign w:val="bottom"/>
            <w:tcBorders>
              <w:top w:val="single" w:sz="8" w:color="auto"/>
            </w:tcBorders>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380" w:type="dxa"/>
            <w:vAlign w:val="bottom"/>
            <w:tcBorders>
              <w:top w:val="single" w:sz="8" w:color="auto"/>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43"/>
        </w:trPr>
        <w:tc>
          <w:tcPr>
            <w:tcW w:w="9720" w:type="dxa"/>
            <w:vAlign w:val="bottom"/>
          </w:tcPr>
          <w:p>
            <w:pPr>
              <w:spacing w:after="0"/>
              <w:rPr>
                <w:sz w:val="20"/>
                <w:szCs w:val="20"/>
                <w:color w:val="auto"/>
              </w:rPr>
            </w:pPr>
            <w:r>
              <w:rPr>
                <w:rFonts w:ascii="Arial" w:cs="Arial" w:eastAsia="Arial" w:hAnsi="Arial"/>
                <w:sz w:val="18"/>
                <w:szCs w:val="18"/>
                <w:color w:val="auto"/>
              </w:rPr>
              <w:t>Earnings per share (in $):</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E2EEF6"/>
          </w:tcPr>
          <w:p>
            <w:pPr>
              <w:spacing w:after="0"/>
              <w:rPr>
                <w:sz w:val="20"/>
                <w:szCs w:val="20"/>
                <w:color w:val="auto"/>
              </w:rPr>
            </w:pPr>
            <w:r>
              <w:rPr>
                <w:rFonts w:ascii="Arial" w:cs="Arial" w:eastAsia="Arial" w:hAnsi="Arial"/>
                <w:sz w:val="18"/>
                <w:szCs w:val="18"/>
                <w:color w:val="auto"/>
              </w:rPr>
              <w:t>Basic - as reported</w:t>
            </w:r>
          </w:p>
        </w:tc>
        <w:tc>
          <w:tcPr>
            <w:tcW w:w="1700" w:type="dxa"/>
            <w:vAlign w:val="bottom"/>
            <w:gridSpan w:val="3"/>
            <w:shd w:val="clear" w:color="auto" w:fill="E2EEF6"/>
          </w:tcPr>
          <w:p>
            <w:pPr>
              <w:jc w:val="right"/>
              <w:ind w:right="40"/>
              <w:spacing w:after="0"/>
              <w:rPr>
                <w:sz w:val="20"/>
                <w:szCs w:val="20"/>
                <w:color w:val="auto"/>
              </w:rPr>
            </w:pPr>
            <w:r>
              <w:rPr>
                <w:rFonts w:ascii="Arial" w:cs="Arial" w:eastAsia="Arial" w:hAnsi="Arial"/>
                <w:sz w:val="18"/>
                <w:szCs w:val="18"/>
                <w:color w:val="auto"/>
              </w:rPr>
              <w:t>(0.40)</w:t>
            </w:r>
          </w:p>
        </w:tc>
      </w:tr>
      <w:tr>
        <w:trPr>
          <w:trHeight w:val="243"/>
        </w:trPr>
        <w:tc>
          <w:tcPr>
            <w:tcW w:w="9720" w:type="dxa"/>
            <w:vAlign w:val="bottom"/>
          </w:tcPr>
          <w:p>
            <w:pPr>
              <w:spacing w:after="0"/>
              <w:rPr>
                <w:sz w:val="20"/>
                <w:szCs w:val="20"/>
                <w:color w:val="auto"/>
              </w:rPr>
            </w:pPr>
            <w:r>
              <w:rPr>
                <w:rFonts w:ascii="Arial" w:cs="Arial" w:eastAsia="Arial" w:hAnsi="Arial"/>
                <w:sz w:val="18"/>
                <w:szCs w:val="18"/>
                <w:color w:val="auto"/>
              </w:rPr>
              <w:t>Basic - pro forma</w:t>
            </w: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(0.45)</w:t>
            </w:r>
          </w:p>
        </w:tc>
      </w:tr>
      <w:tr>
        <w:trPr>
          <w:trHeight w:val="243"/>
        </w:trPr>
        <w:tc>
          <w:tcPr>
            <w:tcW w:w="9720" w:type="dxa"/>
            <w:vAlign w:val="bottom"/>
            <w:shd w:val="clear" w:color="auto" w:fill="E2EEF6"/>
          </w:tcPr>
          <w:p>
            <w:pPr>
              <w:spacing w:after="0"/>
              <w:rPr>
                <w:sz w:val="20"/>
                <w:szCs w:val="20"/>
                <w:color w:val="auto"/>
              </w:rPr>
            </w:pPr>
            <w:r>
              <w:rPr>
                <w:rFonts w:ascii="Arial" w:cs="Arial" w:eastAsia="Arial" w:hAnsi="Arial"/>
                <w:sz w:val="18"/>
                <w:szCs w:val="18"/>
                <w:color w:val="auto"/>
              </w:rPr>
              <w:t>Diluted - as reported</w:t>
            </w:r>
          </w:p>
        </w:tc>
        <w:tc>
          <w:tcPr>
            <w:tcW w:w="1700" w:type="dxa"/>
            <w:vAlign w:val="bottom"/>
            <w:gridSpan w:val="3"/>
            <w:shd w:val="clear" w:color="auto" w:fill="E2EEF6"/>
          </w:tcPr>
          <w:p>
            <w:pPr>
              <w:jc w:val="right"/>
              <w:ind w:right="40"/>
              <w:spacing w:after="0"/>
              <w:rPr>
                <w:sz w:val="20"/>
                <w:szCs w:val="20"/>
                <w:color w:val="auto"/>
              </w:rPr>
            </w:pPr>
            <w:r>
              <w:rPr>
                <w:rFonts w:ascii="Arial" w:cs="Arial" w:eastAsia="Arial" w:hAnsi="Arial"/>
                <w:sz w:val="18"/>
                <w:szCs w:val="18"/>
                <w:color w:val="auto"/>
              </w:rPr>
              <w:t>(0.40)</w:t>
            </w:r>
          </w:p>
        </w:tc>
      </w:tr>
      <w:tr>
        <w:trPr>
          <w:trHeight w:val="270"/>
        </w:trPr>
        <w:tc>
          <w:tcPr>
            <w:tcW w:w="9720" w:type="dxa"/>
            <w:vAlign w:val="bottom"/>
          </w:tcPr>
          <w:p>
            <w:pPr>
              <w:spacing w:after="0"/>
              <w:rPr>
                <w:sz w:val="20"/>
                <w:szCs w:val="20"/>
                <w:color w:val="auto"/>
              </w:rPr>
            </w:pPr>
            <w:r>
              <w:rPr>
                <w:rFonts w:ascii="Arial" w:cs="Arial" w:eastAsia="Arial" w:hAnsi="Arial"/>
                <w:sz w:val="18"/>
                <w:szCs w:val="18"/>
                <w:color w:val="auto"/>
              </w:rPr>
              <w:t>Diluted - proforma</w:t>
            </w:r>
          </w:p>
        </w:tc>
        <w:tc>
          <w:tcPr>
            <w:tcW w:w="220" w:type="dxa"/>
            <w:vAlign w:val="bottom"/>
          </w:tcPr>
          <w:p>
            <w:pPr>
              <w:spacing w:after="0"/>
              <w:rPr>
                <w:sz w:val="23"/>
                <w:szCs w:val="23"/>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(0.45)</w:t>
            </w:r>
          </w:p>
        </w:tc>
      </w:tr>
      <w:tr>
        <w:trPr>
          <w:trHeight w:val="20"/>
        </w:trPr>
        <w:tc>
          <w:tcPr>
            <w:tcW w:w="9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fair value of stock options granted during the three months ended February 28, 2005, calculated using the Black-Scholes option pricing model, was $15.07 based on the following assumptions; dividend yield - 0%, risk free interest rate - 3.9/4.1%, expected volatility - 45% and weighted average expected life - 4.81 years.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exercise and termination patterns; and the risk-free rate is based on the U.S. gilts zero-coupon yield curve in effect at time of grant for periods corresponding with the expected life of the option.</w:t>
      </w:r>
    </w:p>
    <w:p>
      <w:pPr>
        <w:sectPr>
          <w:pgSz w:w="11900" w:h="16838" w:orient="portrait"/>
          <w:cols w:equalWidth="0" w:num="1">
            <w:col w:w="11420"/>
          </w:cols>
          <w:pgMar w:left="240" w:top="908"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On February 7, 2005, 120,000 share options, with an exercise price of $34.40, were granted to certain key employees of the Company. These options will vest between 2008 and 2013 subject to the Company’s diluted earnings achieving $4.00 per share. If the Company does not achieve diluted earnings of $4.00 per share before February 6, 2013, the option grant expires.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Segment Information</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areas of operation outside of Ireland principally include the United Kingdom, United States, Germany, Australia, Argentina, France, Japan, Israel, Singapore, Canada, Sweden, The Netherlands, Latvia, South Africa, India, Hong Kong, Taiwan, Mexico, Brazil, Russia, Hungary, Spain, Thailand, South Korea, Chile and Italy. Segment information for the three month periods ended March 31, 2006 and February 28, 2005 are as follows:</w:t>
      </w:r>
    </w:p>
    <w:p>
      <w:pPr>
        <w:sectPr>
          <w:pgSz w:w="11900" w:h="16838" w:orient="portrait"/>
          <w:cols w:equalWidth="0" w:num="1">
            <w:col w:w="11420"/>
          </w:cols>
          <w:pgMar w:left="240" w:top="638" w:right="239" w:bottom="1440" w:gutter="0" w:footer="0" w:header="0"/>
        </w:sect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distribution of net revenue by geographical area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829310</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Rest of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77" w:lineRule="exact"/>
        <w:rPr>
          <w:sz w:val="20"/>
          <w:szCs w:val="20"/>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80" w:hanging="240"/>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distribution of net revenue by business segment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829310</wp:posOffset>
            </wp:positionV>
            <wp:extent cx="72466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Central laboratory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Clinical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90"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c) The distribution of income/(loss) from operations by geographical area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1001395</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Rest of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8865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February 28,</w:t>
            </w:r>
          </w:p>
        </w:tc>
      </w:tr>
      <w:tr>
        <w:trPr>
          <w:trHeight w:val="243"/>
        </w:trPr>
        <w:tc>
          <w:tcPr>
            <w:tcW w:w="34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340" w:type="dxa"/>
            <w:vAlign w:val="bottom"/>
          </w:tcPr>
          <w:p>
            <w:pPr>
              <w:spacing w:after="0"/>
              <w:rPr>
                <w:sz w:val="21"/>
                <w:szCs w:val="21"/>
                <w:color w:val="auto"/>
              </w:rPr>
            </w:pPr>
          </w:p>
        </w:tc>
        <w:tc>
          <w:tcPr>
            <w:tcW w:w="2740" w:type="dxa"/>
            <w:vAlign w:val="bottom"/>
            <w:gridSpan w:val="6"/>
          </w:tcPr>
          <w:p>
            <w:pPr>
              <w:ind w:left="60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7,888</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10,402</w:t>
            </w:r>
          </w:p>
        </w:tc>
      </w:tr>
      <w:tr>
        <w:trPr>
          <w:trHeight w:val="243"/>
        </w:trPr>
        <w:tc>
          <w:tcPr>
            <w:tcW w:w="34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22,951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19,631</w:t>
            </w:r>
          </w:p>
        </w:tc>
      </w:tr>
      <w:tr>
        <w:trPr>
          <w:trHeight w:val="243"/>
        </w:trPr>
        <w:tc>
          <w:tcPr>
            <w:tcW w:w="34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60,850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48,399</w:t>
            </w:r>
          </w:p>
        </w:tc>
      </w:tr>
      <w:tr>
        <w:trPr>
          <w:trHeight w:val="243"/>
        </w:trPr>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6,806</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21"/>
                <w:szCs w:val="21"/>
                <w:color w:val="auto"/>
              </w:rPr>
            </w:pPr>
          </w:p>
        </w:tc>
      </w:tr>
      <w:tr>
        <w:trPr>
          <w:trHeight w:val="520"/>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98,495</w:t>
            </w:r>
          </w:p>
        </w:tc>
        <w:tc>
          <w:tcPr>
            <w:tcW w:w="20" w:type="dxa"/>
            <w:vAlign w:val="bottom"/>
            <w:tcBorders>
              <w:bottom w:val="single" w:sz="8" w:color="E2EEF6"/>
            </w:tcBorders>
          </w:tcPr>
          <w:p>
            <w:pPr>
              <w:spacing w:after="0"/>
              <w:rPr>
                <w:sz w:val="24"/>
                <w:szCs w:val="24"/>
                <w:color w:val="auto"/>
              </w:rPr>
            </w:pPr>
          </w:p>
        </w:tc>
        <w:tc>
          <w:tcPr>
            <w:tcW w:w="200" w:type="dxa"/>
            <w:vAlign w:val="bottom"/>
            <w:tcBorders>
              <w:bottom w:val="single" w:sz="8" w:color="E2EEF6"/>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82,855</w:t>
            </w:r>
          </w:p>
        </w:tc>
        <w:tc>
          <w:tcPr>
            <w:tcW w:w="100" w:type="dxa"/>
            <w:vAlign w:val="bottom"/>
            <w:tcBorders>
              <w:bottom w:val="single" w:sz="8" w:color="E2EEF6"/>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8865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February 28,</w:t>
            </w:r>
          </w:p>
        </w:tc>
      </w:tr>
      <w:tr>
        <w:trPr>
          <w:trHeight w:val="243"/>
        </w:trPr>
        <w:tc>
          <w:tcPr>
            <w:tcW w:w="34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340" w:type="dxa"/>
            <w:vAlign w:val="bottom"/>
          </w:tcPr>
          <w:p>
            <w:pPr>
              <w:spacing w:after="0"/>
              <w:rPr>
                <w:sz w:val="21"/>
                <w:szCs w:val="21"/>
                <w:color w:val="auto"/>
              </w:rPr>
            </w:pPr>
          </w:p>
        </w:tc>
        <w:tc>
          <w:tcPr>
            <w:tcW w:w="2740" w:type="dxa"/>
            <w:vAlign w:val="bottom"/>
            <w:gridSpan w:val="6"/>
          </w:tcPr>
          <w:p>
            <w:pPr>
              <w:ind w:left="60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9,289</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6,371</w:t>
            </w:r>
          </w:p>
        </w:tc>
      </w:tr>
      <w:tr>
        <w:trPr>
          <w:trHeight w:val="243"/>
        </w:trPr>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89,206</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76,484</w:t>
            </w:r>
          </w:p>
        </w:tc>
        <w:tc>
          <w:tcPr>
            <w:tcW w:w="100" w:type="dxa"/>
            <w:vAlign w:val="bottom"/>
          </w:tcPr>
          <w:p>
            <w:pPr>
              <w:spacing w:after="0"/>
              <w:rPr>
                <w:sz w:val="21"/>
                <w:szCs w:val="21"/>
                <w:color w:val="auto"/>
              </w:rPr>
            </w:pPr>
          </w:p>
        </w:tc>
      </w:tr>
      <w:tr>
        <w:trPr>
          <w:trHeight w:val="520"/>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98,495</w:t>
            </w:r>
          </w:p>
        </w:tc>
        <w:tc>
          <w:tcPr>
            <w:tcW w:w="20" w:type="dxa"/>
            <w:vAlign w:val="bottom"/>
            <w:tcBorders>
              <w:bottom w:val="single" w:sz="8" w:color="E2EEF6"/>
            </w:tcBorders>
          </w:tcPr>
          <w:p>
            <w:pPr>
              <w:spacing w:after="0"/>
              <w:rPr>
                <w:sz w:val="24"/>
                <w:szCs w:val="24"/>
                <w:color w:val="auto"/>
              </w:rPr>
            </w:pPr>
          </w:p>
        </w:tc>
        <w:tc>
          <w:tcPr>
            <w:tcW w:w="200" w:type="dxa"/>
            <w:vAlign w:val="bottom"/>
            <w:tcBorders>
              <w:bottom w:val="single" w:sz="8" w:color="E2EEF6"/>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82,855</w:t>
            </w:r>
          </w:p>
        </w:tc>
        <w:tc>
          <w:tcPr>
            <w:tcW w:w="100" w:type="dxa"/>
            <w:vAlign w:val="bottom"/>
            <w:tcBorders>
              <w:bottom w:val="single" w:sz="8" w:color="E2EEF6"/>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8865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February 28,</w:t>
            </w:r>
          </w:p>
        </w:tc>
      </w:tr>
      <w:tr>
        <w:trPr>
          <w:trHeight w:val="243"/>
        </w:trPr>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2005</w:t>
            </w:r>
          </w:p>
        </w:tc>
      </w:tr>
      <w:tr>
        <w:trPr>
          <w:trHeight w:val="243"/>
        </w:trPr>
        <w:tc>
          <w:tcPr>
            <w:tcW w:w="340" w:type="dxa"/>
            <w:vAlign w:val="bottom"/>
          </w:tcPr>
          <w:p>
            <w:pPr>
              <w:spacing w:after="0"/>
              <w:rPr>
                <w:sz w:val="21"/>
                <w:szCs w:val="21"/>
                <w:color w:val="auto"/>
              </w:rPr>
            </w:pPr>
          </w:p>
        </w:tc>
        <w:tc>
          <w:tcPr>
            <w:tcW w:w="270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(1,034)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584</w:t>
            </w:r>
          </w:p>
        </w:tc>
      </w:tr>
      <w:tr>
        <w:trPr>
          <w:trHeight w:val="243"/>
        </w:trPr>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2,380</w:t>
            </w:r>
          </w:p>
        </w:tc>
      </w:tr>
      <w:tr>
        <w:trPr>
          <w:trHeight w:val="243"/>
        </w:trPr>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(8,592)</w:t>
            </w:r>
          </w:p>
        </w:tc>
      </w:tr>
      <w:tr>
        <w:trPr>
          <w:trHeight w:val="243"/>
        </w:trPr>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638" w:right="239" w:bottom="1440" w:gutter="0" w:footer="0" w:header="0"/>
          <w:type w:val="continuous"/>
        </w:sectPr>
      </w:pPr>
    </w:p>
    <w:p>
      <w:pPr>
        <w:spacing w:after="0" w:line="56" w:lineRule="exact"/>
        <w:rPr>
          <w:sz w:val="20"/>
          <w:szCs w:val="20"/>
          <w:color w:val="auto"/>
        </w:rPr>
      </w:pPr>
    </w:p>
    <w:p>
      <w:pPr>
        <w:spacing w:after="0"/>
        <w:tabs>
          <w:tab w:leader="none" w:pos="8320" w:val="left"/>
          <w:tab w:leader="none" w:pos="9200" w:val="left"/>
          <w:tab w:leader="none" w:pos="9920" w:val="left"/>
          <w:tab w:leader="none" w:pos="1082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10,066</w:t>
        <w:tab/>
        <w:t>$</w:t>
      </w:r>
      <w:r>
        <w:rPr>
          <w:sz w:val="20"/>
          <w:szCs w:val="20"/>
          <w:color w:val="auto"/>
        </w:rPr>
        <w:tab/>
      </w:r>
      <w:r>
        <w:rPr>
          <w:rFonts w:ascii="Arial" w:cs="Arial" w:eastAsia="Arial" w:hAnsi="Arial"/>
          <w:sz w:val="17"/>
          <w:szCs w:val="17"/>
          <w:color w:val="auto"/>
        </w:rPr>
        <w:t>(5,237)</w:t>
      </w:r>
    </w:p>
    <w:p>
      <w:pPr>
        <w:sectPr>
          <w:pgSz w:w="11900" w:h="16838" w:orient="portrait"/>
          <w:cols w:equalWidth="0" w:num="1">
            <w:col w:w="11420"/>
          </w:cols>
          <w:pgMar w:left="240" w:top="638" w:right="2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8340" w:type="dxa"/>
            <w:vAlign w:val="bottom"/>
            <w:gridSpan w:val="2"/>
          </w:tcPr>
          <w:p>
            <w:pPr>
              <w:ind w:left="740"/>
              <w:spacing w:after="0"/>
              <w:rPr>
                <w:sz w:val="20"/>
                <w:szCs w:val="20"/>
                <w:color w:val="auto"/>
              </w:rPr>
            </w:pPr>
            <w:r>
              <w:rPr>
                <w:rFonts w:ascii="Arial" w:cs="Arial" w:eastAsia="Arial" w:hAnsi="Arial"/>
                <w:sz w:val="18"/>
                <w:szCs w:val="18"/>
                <w:color w:val="auto"/>
              </w:rPr>
              <w:t>d) The distribution of income/(loss) from operations by business segment was as follows: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27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February 28,</w:t>
            </w: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83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Central laboratory</w:t>
            </w:r>
          </w:p>
        </w:tc>
        <w:tc>
          <w:tcPr>
            <w:tcW w:w="34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2EEF6"/>
          </w:tcPr>
          <w:p>
            <w:pPr>
              <w:jc w:val="right"/>
              <w:ind w:right="80"/>
              <w:spacing w:after="0"/>
              <w:rPr>
                <w:sz w:val="20"/>
                <w:szCs w:val="20"/>
                <w:color w:val="auto"/>
              </w:rPr>
            </w:pPr>
            <w:r>
              <w:rPr>
                <w:rFonts w:ascii="Arial" w:cs="Arial" w:eastAsia="Arial" w:hAnsi="Arial"/>
                <w:sz w:val="18"/>
                <w:szCs w:val="18"/>
                <w:color w:val="auto"/>
              </w:rPr>
              <w:t>(586)</w:t>
            </w:r>
          </w:p>
        </w:tc>
        <w:tc>
          <w:tcPr>
            <w:tcW w:w="30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(10,533)</w:t>
            </w:r>
          </w:p>
        </w:tc>
      </w:tr>
      <w:tr>
        <w:trPr>
          <w:trHeight w:val="243"/>
        </w:trPr>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100" w:type="dxa"/>
            <w:vAlign w:val="bottom"/>
          </w:tcPr>
          <w:p>
            <w:pPr>
              <w:spacing w:after="0"/>
              <w:rPr>
                <w:sz w:val="21"/>
                <w:szCs w:val="21"/>
                <w:color w:val="auto"/>
              </w:rPr>
            </w:pPr>
          </w:p>
        </w:tc>
      </w:tr>
      <w:tr>
        <w:trPr>
          <w:trHeight w:val="520"/>
        </w:trPr>
        <w:tc>
          <w:tcPr>
            <w:tcW w:w="8120" w:type="dxa"/>
            <w:vAlign w:val="bottom"/>
            <w:shd w:val="clear" w:color="auto" w:fill="E2EEF6"/>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E2EEF6"/>
          </w:tcPr>
          <w:p>
            <w:pPr>
              <w:spacing w:after="0"/>
              <w:rPr>
                <w:sz w:val="24"/>
                <w:szCs w:val="24"/>
                <w:color w:val="auto"/>
              </w:rPr>
            </w:pPr>
          </w:p>
        </w:tc>
        <w:tc>
          <w:tcPr>
            <w:tcW w:w="34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10,066</w:t>
            </w:r>
          </w:p>
        </w:tc>
        <w:tc>
          <w:tcPr>
            <w:tcW w:w="140" w:type="dxa"/>
            <w:vAlign w:val="bottom"/>
            <w:shd w:val="clear" w:color="auto" w:fill="E2EEF6"/>
          </w:tcPr>
          <w:p>
            <w:pPr>
              <w:spacing w:after="0"/>
              <w:rPr>
                <w:sz w:val="24"/>
                <w:szCs w:val="24"/>
                <w:color w:val="auto"/>
              </w:rPr>
            </w:pPr>
          </w:p>
        </w:tc>
        <w:tc>
          <w:tcPr>
            <w:tcW w:w="80" w:type="dxa"/>
            <w:vAlign w:val="bottom"/>
            <w:shd w:val="clear" w:color="auto" w:fill="E2EEF6"/>
          </w:tcPr>
          <w:p>
            <w:pPr>
              <w:spacing w:after="0"/>
              <w:rPr>
                <w:sz w:val="24"/>
                <w:szCs w:val="24"/>
                <w:color w:val="auto"/>
              </w:rPr>
            </w:pPr>
          </w:p>
        </w:tc>
        <w:tc>
          <w:tcPr>
            <w:tcW w:w="220" w:type="dxa"/>
            <w:vAlign w:val="bottom"/>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2EEF6"/>
          </w:tcPr>
          <w:p>
            <w:pPr>
              <w:jc w:val="right"/>
              <w:ind w:right="40"/>
              <w:spacing w:after="0"/>
              <w:rPr>
                <w:sz w:val="20"/>
                <w:szCs w:val="20"/>
                <w:color w:val="auto"/>
              </w:rPr>
            </w:pPr>
            <w:r>
              <w:rPr>
                <w:rFonts w:ascii="Arial" w:cs="Arial" w:eastAsia="Arial" w:hAnsi="Arial"/>
                <w:sz w:val="18"/>
                <w:szCs w:val="18"/>
                <w:color w:val="auto"/>
              </w:rPr>
              <w:t>(5,237)</w:t>
            </w:r>
          </w:p>
        </w:tc>
      </w:tr>
      <w:tr>
        <w:trPr>
          <w:trHeight w:val="737"/>
        </w:trPr>
        <w:tc>
          <w:tcPr>
            <w:tcW w:w="812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99"/>
              </w:rPr>
              <w:t>e) The distribution of property, plant and equipment, net, by geographical area was as follows:</w:t>
            </w:r>
          </w:p>
        </w:tc>
        <w:tc>
          <w:tcPr>
            <w:tcW w:w="220" w:type="dxa"/>
            <w:vAlign w:val="bottom"/>
            <w:tcBorders>
              <w:top w:val="single" w:sz="8" w:color="E2EEF6"/>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E2EEF6"/>
            </w:tcBorders>
          </w:tcPr>
          <w:p>
            <w:pPr>
              <w:spacing w:after="0"/>
              <w:rPr>
                <w:sz w:val="24"/>
                <w:szCs w:val="24"/>
                <w:color w:val="auto"/>
              </w:rPr>
            </w:pPr>
          </w:p>
        </w:tc>
        <w:tc>
          <w:tcPr>
            <w:tcW w:w="80" w:type="dxa"/>
            <w:vAlign w:val="bottom"/>
            <w:tcBorders>
              <w:top w:val="single" w:sz="8" w:color="E2EEF6"/>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r>
        <w:trPr>
          <w:trHeight w:val="513"/>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December 31,</w:t>
            </w: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83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Ireland</w:t>
            </w:r>
          </w:p>
        </w:tc>
        <w:tc>
          <w:tcPr>
            <w:tcW w:w="34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23,192</w:t>
            </w:r>
          </w:p>
        </w:tc>
        <w:tc>
          <w:tcPr>
            <w:tcW w:w="30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22,538</w:t>
            </w: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Rest of Europe</w:t>
            </w: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7,021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6,669</w:t>
            </w:r>
          </w:p>
        </w:tc>
      </w:tr>
      <w:tr>
        <w:trPr>
          <w:trHeight w:val="243"/>
        </w:trPr>
        <w:tc>
          <w:tcPr>
            <w:tcW w:w="83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U.S.</w:t>
            </w: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17,189</w:t>
            </w:r>
          </w:p>
        </w:tc>
        <w:tc>
          <w:tcPr>
            <w:tcW w:w="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16,720</w:t>
            </w:r>
          </w:p>
        </w:tc>
      </w:tr>
      <w:tr>
        <w:trPr>
          <w:trHeight w:val="243"/>
        </w:trPr>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r>
      <w:tr>
        <w:trPr>
          <w:trHeight w:val="520"/>
        </w:trPr>
        <w:tc>
          <w:tcPr>
            <w:tcW w:w="812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E2EEF6"/>
            </w:tcBorders>
            <w:shd w:val="clear" w:color="auto" w:fill="E2EEF6"/>
          </w:tcPr>
          <w:p>
            <w:pPr>
              <w:spacing w:after="0"/>
              <w:rPr>
                <w:sz w:val="24"/>
                <w:szCs w:val="24"/>
                <w:color w:val="auto"/>
              </w:rPr>
            </w:pPr>
          </w:p>
        </w:tc>
        <w:tc>
          <w:tcPr>
            <w:tcW w:w="340" w:type="dxa"/>
            <w:vAlign w:val="bottom"/>
            <w:tcBorders>
              <w:bottom w:val="single" w:sz="8" w:color="auto"/>
            </w:tcBorders>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49,279</w:t>
            </w:r>
          </w:p>
        </w:tc>
        <w:tc>
          <w:tcPr>
            <w:tcW w:w="140" w:type="dxa"/>
            <w:vAlign w:val="bottom"/>
            <w:tcBorders>
              <w:bottom w:val="single" w:sz="8" w:color="E2EEF6"/>
            </w:tcBorders>
            <w:shd w:val="clear" w:color="auto" w:fill="E2EEF6"/>
          </w:tcPr>
          <w:p>
            <w:pPr>
              <w:spacing w:after="0"/>
              <w:rPr>
                <w:sz w:val="24"/>
                <w:szCs w:val="24"/>
                <w:color w:val="auto"/>
              </w:rPr>
            </w:pPr>
          </w:p>
        </w:tc>
        <w:tc>
          <w:tcPr>
            <w:tcW w:w="80" w:type="dxa"/>
            <w:vAlign w:val="bottom"/>
            <w:tcBorders>
              <w:bottom w:val="single" w:sz="8" w:color="E2EEF6"/>
            </w:tcBorders>
            <w:shd w:val="clear" w:color="auto" w:fill="E2EEF6"/>
          </w:tcPr>
          <w:p>
            <w:pPr>
              <w:spacing w:after="0"/>
              <w:rPr>
                <w:sz w:val="24"/>
                <w:szCs w:val="24"/>
                <w:color w:val="auto"/>
              </w:rPr>
            </w:pPr>
          </w:p>
        </w:tc>
        <w:tc>
          <w:tcPr>
            <w:tcW w:w="22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47,652</w:t>
            </w:r>
          </w:p>
        </w:tc>
        <w:tc>
          <w:tcPr>
            <w:tcW w:w="100" w:type="dxa"/>
            <w:vAlign w:val="bottom"/>
            <w:tcBorders>
              <w:bottom w:val="single" w:sz="8" w:color="E2EEF6"/>
            </w:tcBorders>
            <w:shd w:val="clear" w:color="auto" w:fill="E2EEF6"/>
          </w:tcPr>
          <w:p>
            <w:pPr>
              <w:spacing w:after="0"/>
              <w:rPr>
                <w:sz w:val="24"/>
                <w:szCs w:val="24"/>
                <w:color w:val="auto"/>
              </w:rPr>
            </w:pPr>
          </w:p>
        </w:tc>
      </w:tr>
      <w:tr>
        <w:trPr>
          <w:trHeight w:val="737"/>
        </w:trPr>
        <w:tc>
          <w:tcPr>
            <w:tcW w:w="8340" w:type="dxa"/>
            <w:vAlign w:val="bottom"/>
            <w:gridSpan w:val="2"/>
          </w:tcPr>
          <w:p>
            <w:pPr>
              <w:ind w:left="660"/>
              <w:spacing w:after="0"/>
              <w:rPr>
                <w:sz w:val="20"/>
                <w:szCs w:val="20"/>
                <w:color w:val="auto"/>
              </w:rPr>
            </w:pPr>
            <w:r>
              <w:rPr>
                <w:rFonts w:ascii="Arial" w:cs="Arial" w:eastAsia="Arial" w:hAnsi="Arial"/>
                <w:sz w:val="18"/>
                <w:szCs w:val="18"/>
                <w:color w:val="auto"/>
              </w:rPr>
              <w:t>f) The distribution of property, plant and equipment, net, by business segment was as follows: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December 31,</w:t>
            </w: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83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Central laboratory</w:t>
            </w:r>
          </w:p>
        </w:tc>
        <w:tc>
          <w:tcPr>
            <w:tcW w:w="34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3,322</w:t>
            </w:r>
          </w:p>
        </w:tc>
        <w:tc>
          <w:tcPr>
            <w:tcW w:w="30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3,380</w:t>
            </w:r>
          </w:p>
        </w:tc>
      </w:tr>
      <w:tr>
        <w:trPr>
          <w:trHeight w:val="243"/>
        </w:trPr>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44,272</w:t>
            </w:r>
          </w:p>
        </w:tc>
        <w:tc>
          <w:tcPr>
            <w:tcW w:w="100" w:type="dxa"/>
            <w:vAlign w:val="bottom"/>
          </w:tcPr>
          <w:p>
            <w:pPr>
              <w:spacing w:after="0"/>
              <w:rPr>
                <w:sz w:val="21"/>
                <w:szCs w:val="21"/>
                <w:color w:val="auto"/>
              </w:rPr>
            </w:pPr>
          </w:p>
        </w:tc>
      </w:tr>
      <w:tr>
        <w:trPr>
          <w:trHeight w:val="520"/>
        </w:trPr>
        <w:tc>
          <w:tcPr>
            <w:tcW w:w="812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E2EEF6"/>
            </w:tcBorders>
            <w:shd w:val="clear" w:color="auto" w:fill="E2EEF6"/>
          </w:tcPr>
          <w:p>
            <w:pPr>
              <w:spacing w:after="0"/>
              <w:rPr>
                <w:sz w:val="24"/>
                <w:szCs w:val="24"/>
                <w:color w:val="auto"/>
              </w:rPr>
            </w:pPr>
          </w:p>
        </w:tc>
        <w:tc>
          <w:tcPr>
            <w:tcW w:w="340" w:type="dxa"/>
            <w:vAlign w:val="bottom"/>
            <w:tcBorders>
              <w:bottom w:val="single" w:sz="8" w:color="auto"/>
            </w:tcBorders>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49,279</w:t>
            </w:r>
          </w:p>
        </w:tc>
        <w:tc>
          <w:tcPr>
            <w:tcW w:w="140" w:type="dxa"/>
            <w:vAlign w:val="bottom"/>
            <w:tcBorders>
              <w:bottom w:val="single" w:sz="8" w:color="E2EEF6"/>
            </w:tcBorders>
            <w:shd w:val="clear" w:color="auto" w:fill="E2EEF6"/>
          </w:tcPr>
          <w:p>
            <w:pPr>
              <w:spacing w:after="0"/>
              <w:rPr>
                <w:sz w:val="24"/>
                <w:szCs w:val="24"/>
                <w:color w:val="auto"/>
              </w:rPr>
            </w:pPr>
          </w:p>
        </w:tc>
        <w:tc>
          <w:tcPr>
            <w:tcW w:w="80" w:type="dxa"/>
            <w:vAlign w:val="bottom"/>
            <w:tcBorders>
              <w:bottom w:val="single" w:sz="8" w:color="E2EEF6"/>
            </w:tcBorders>
            <w:shd w:val="clear" w:color="auto" w:fill="E2EEF6"/>
          </w:tcPr>
          <w:p>
            <w:pPr>
              <w:spacing w:after="0"/>
              <w:rPr>
                <w:sz w:val="24"/>
                <w:szCs w:val="24"/>
                <w:color w:val="auto"/>
              </w:rPr>
            </w:pPr>
          </w:p>
        </w:tc>
        <w:tc>
          <w:tcPr>
            <w:tcW w:w="22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47,652</w:t>
            </w:r>
          </w:p>
        </w:tc>
        <w:tc>
          <w:tcPr>
            <w:tcW w:w="100" w:type="dxa"/>
            <w:vAlign w:val="bottom"/>
            <w:tcBorders>
              <w:bottom w:val="single" w:sz="8" w:color="E2EEF6"/>
            </w:tcBorders>
            <w:shd w:val="clear" w:color="auto" w:fill="E2EEF6"/>
          </w:tcPr>
          <w:p>
            <w:pPr>
              <w:spacing w:after="0"/>
              <w:rPr>
                <w:sz w:val="24"/>
                <w:szCs w:val="24"/>
                <w:color w:val="auto"/>
              </w:rPr>
            </w:pPr>
          </w:p>
        </w:tc>
      </w:tr>
      <w:tr>
        <w:trPr>
          <w:trHeight w:val="1007"/>
        </w:trPr>
        <w:tc>
          <w:tcPr>
            <w:tcW w:w="8340" w:type="dxa"/>
            <w:vAlign w:val="bottom"/>
            <w:gridSpan w:val="2"/>
          </w:tcPr>
          <w:p>
            <w:pPr>
              <w:ind w:left="740"/>
              <w:spacing w:after="0"/>
              <w:rPr>
                <w:sz w:val="20"/>
                <w:szCs w:val="20"/>
                <w:color w:val="auto"/>
              </w:rPr>
            </w:pPr>
            <w:r>
              <w:rPr>
                <w:rFonts w:ascii="Arial" w:cs="Arial" w:eastAsia="Arial" w:hAnsi="Arial"/>
                <w:sz w:val="18"/>
                <w:szCs w:val="18"/>
                <w:color w:val="auto"/>
              </w:rPr>
              <w:t>g) The distribution of depreciation and amortization by geographical area was as follows: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27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February 28,</w:t>
            </w: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83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Ireland</w:t>
            </w:r>
          </w:p>
        </w:tc>
        <w:tc>
          <w:tcPr>
            <w:tcW w:w="34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1,218</w:t>
            </w:r>
          </w:p>
        </w:tc>
        <w:tc>
          <w:tcPr>
            <w:tcW w:w="30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1,378</w:t>
            </w: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Rest of Europe</w:t>
            </w: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r>
      <w:tr>
        <w:trPr>
          <w:trHeight w:val="243"/>
        </w:trPr>
        <w:tc>
          <w:tcPr>
            <w:tcW w:w="83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U.S.</w:t>
            </w:r>
          </w:p>
        </w:tc>
        <w:tc>
          <w:tcPr>
            <w:tcW w:w="340" w:type="dxa"/>
            <w:vAlign w:val="bottom"/>
            <w:shd w:val="clear" w:color="auto" w:fill="E2EEF6"/>
          </w:tcPr>
          <w:p>
            <w:pPr>
              <w:spacing w:after="0"/>
              <w:rPr>
                <w:sz w:val="21"/>
                <w:szCs w:val="21"/>
                <w:color w:val="auto"/>
              </w:rPr>
            </w:pPr>
          </w:p>
        </w:tc>
        <w:tc>
          <w:tcPr>
            <w:tcW w:w="1180" w:type="dxa"/>
            <w:vAlign w:val="bottom"/>
            <w:gridSpan w:val="2"/>
            <w:shd w:val="clear" w:color="auto" w:fill="E2EEF6"/>
          </w:tcPr>
          <w:p>
            <w:pPr>
              <w:jc w:val="right"/>
              <w:ind w:right="140"/>
              <w:spacing w:after="0"/>
              <w:rPr>
                <w:sz w:val="20"/>
                <w:szCs w:val="20"/>
                <w:color w:val="auto"/>
              </w:rPr>
            </w:pPr>
            <w:r>
              <w:rPr>
                <w:rFonts w:ascii="Arial" w:cs="Arial" w:eastAsia="Arial" w:hAnsi="Arial"/>
                <w:sz w:val="18"/>
                <w:szCs w:val="18"/>
                <w:color w:val="auto"/>
              </w:rPr>
              <w:t>1,505</w:t>
            </w:r>
          </w:p>
        </w:tc>
        <w:tc>
          <w:tcPr>
            <w:tcW w:w="8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1,382</w:t>
            </w:r>
          </w:p>
        </w:tc>
      </w:tr>
      <w:tr>
        <w:trPr>
          <w:trHeight w:val="243"/>
        </w:trPr>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r>
      <w:tr>
        <w:trPr>
          <w:trHeight w:val="520"/>
        </w:trPr>
        <w:tc>
          <w:tcPr>
            <w:tcW w:w="812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E2EEF6"/>
            </w:tcBorders>
            <w:shd w:val="clear" w:color="auto" w:fill="E2EEF6"/>
          </w:tcPr>
          <w:p>
            <w:pPr>
              <w:spacing w:after="0"/>
              <w:rPr>
                <w:sz w:val="24"/>
                <w:szCs w:val="24"/>
                <w:color w:val="auto"/>
              </w:rPr>
            </w:pPr>
          </w:p>
        </w:tc>
        <w:tc>
          <w:tcPr>
            <w:tcW w:w="340" w:type="dxa"/>
            <w:vAlign w:val="bottom"/>
            <w:tcBorders>
              <w:bottom w:val="single" w:sz="8" w:color="auto"/>
            </w:tcBorders>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3,445</w:t>
            </w:r>
          </w:p>
        </w:tc>
        <w:tc>
          <w:tcPr>
            <w:tcW w:w="140" w:type="dxa"/>
            <w:vAlign w:val="bottom"/>
            <w:tcBorders>
              <w:bottom w:val="single" w:sz="8" w:color="E2EEF6"/>
            </w:tcBorders>
            <w:shd w:val="clear" w:color="auto" w:fill="E2EEF6"/>
          </w:tcPr>
          <w:p>
            <w:pPr>
              <w:spacing w:after="0"/>
              <w:rPr>
                <w:sz w:val="24"/>
                <w:szCs w:val="24"/>
                <w:color w:val="auto"/>
              </w:rPr>
            </w:pPr>
          </w:p>
        </w:tc>
        <w:tc>
          <w:tcPr>
            <w:tcW w:w="80" w:type="dxa"/>
            <w:vAlign w:val="bottom"/>
            <w:tcBorders>
              <w:bottom w:val="single" w:sz="8" w:color="E2EEF6"/>
            </w:tcBorders>
            <w:shd w:val="clear" w:color="auto" w:fill="E2EEF6"/>
          </w:tcPr>
          <w:p>
            <w:pPr>
              <w:spacing w:after="0"/>
              <w:rPr>
                <w:sz w:val="24"/>
                <w:szCs w:val="24"/>
                <w:color w:val="auto"/>
              </w:rPr>
            </w:pPr>
          </w:p>
        </w:tc>
        <w:tc>
          <w:tcPr>
            <w:tcW w:w="22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E2EEF6"/>
            </w:tcBorders>
            <w:shd w:val="clear" w:color="auto" w:fill="E2EEF6"/>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638" w:right="2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8340" w:type="dxa"/>
            <w:vAlign w:val="bottom"/>
            <w:gridSpan w:val="2"/>
          </w:tcPr>
          <w:p>
            <w:pPr>
              <w:ind w:left="740"/>
              <w:spacing w:after="0"/>
              <w:rPr>
                <w:sz w:val="20"/>
                <w:szCs w:val="20"/>
                <w:color w:val="auto"/>
              </w:rPr>
            </w:pPr>
            <w:r>
              <w:rPr>
                <w:rFonts w:ascii="Arial" w:cs="Arial" w:eastAsia="Arial" w:hAnsi="Arial"/>
                <w:sz w:val="18"/>
                <w:szCs w:val="18"/>
                <w:color w:val="auto"/>
              </w:rPr>
              <w:t>h) The distribution of depreciation and amortization by business segment was as follows: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27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February 28,</w:t>
            </w: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83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Central laboratory</w:t>
            </w:r>
          </w:p>
        </w:tc>
        <w:tc>
          <w:tcPr>
            <w:tcW w:w="34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306</w:t>
            </w:r>
          </w:p>
        </w:tc>
        <w:tc>
          <w:tcPr>
            <w:tcW w:w="32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255</w:t>
            </w:r>
          </w:p>
        </w:tc>
      </w:tr>
      <w:tr>
        <w:trPr>
          <w:trHeight w:val="243"/>
        </w:trPr>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Clinical research</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1"/>
                <w:szCs w:val="21"/>
                <w:color w:val="auto"/>
              </w:rPr>
            </w:pPr>
          </w:p>
        </w:tc>
      </w:tr>
      <w:tr>
        <w:trPr>
          <w:trHeight w:val="520"/>
        </w:trPr>
        <w:tc>
          <w:tcPr>
            <w:tcW w:w="812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E2EEF6"/>
            </w:tcBorders>
            <w:shd w:val="clear" w:color="auto" w:fill="E2EEF6"/>
          </w:tcPr>
          <w:p>
            <w:pPr>
              <w:spacing w:after="0"/>
              <w:rPr>
                <w:sz w:val="24"/>
                <w:szCs w:val="24"/>
                <w:color w:val="auto"/>
              </w:rPr>
            </w:pPr>
          </w:p>
        </w:tc>
        <w:tc>
          <w:tcPr>
            <w:tcW w:w="340" w:type="dxa"/>
            <w:vAlign w:val="bottom"/>
            <w:tcBorders>
              <w:bottom w:val="single" w:sz="8" w:color="auto"/>
            </w:tcBorders>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3,445</w:t>
            </w:r>
          </w:p>
        </w:tc>
        <w:tc>
          <w:tcPr>
            <w:tcW w:w="120" w:type="dxa"/>
            <w:vAlign w:val="bottom"/>
            <w:tcBorders>
              <w:bottom w:val="single" w:sz="8" w:color="E2EEF6"/>
            </w:tcBorders>
            <w:shd w:val="clear" w:color="auto" w:fill="E2EEF6"/>
          </w:tcPr>
          <w:p>
            <w:pPr>
              <w:spacing w:after="0"/>
              <w:rPr>
                <w:sz w:val="24"/>
                <w:szCs w:val="24"/>
                <w:color w:val="auto"/>
              </w:rPr>
            </w:pPr>
          </w:p>
        </w:tc>
        <w:tc>
          <w:tcPr>
            <w:tcW w:w="100" w:type="dxa"/>
            <w:vAlign w:val="bottom"/>
            <w:tcBorders>
              <w:bottom w:val="single" w:sz="8" w:color="E2EEF6"/>
            </w:tcBorders>
            <w:shd w:val="clear" w:color="auto" w:fill="E2EEF6"/>
          </w:tcPr>
          <w:p>
            <w:pPr>
              <w:spacing w:after="0"/>
              <w:rPr>
                <w:sz w:val="24"/>
                <w:szCs w:val="24"/>
                <w:color w:val="auto"/>
              </w:rPr>
            </w:pPr>
          </w:p>
        </w:tc>
        <w:tc>
          <w:tcPr>
            <w:tcW w:w="22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E2EEF6"/>
            </w:tcBorders>
            <w:shd w:val="clear" w:color="auto" w:fill="E2EEF6"/>
          </w:tcPr>
          <w:p>
            <w:pPr>
              <w:spacing w:after="0"/>
              <w:rPr>
                <w:sz w:val="24"/>
                <w:szCs w:val="24"/>
                <w:color w:val="auto"/>
              </w:rPr>
            </w:pPr>
          </w:p>
        </w:tc>
      </w:tr>
      <w:tr>
        <w:trPr>
          <w:trHeight w:val="737"/>
        </w:trPr>
        <w:tc>
          <w:tcPr>
            <w:tcW w:w="8340" w:type="dxa"/>
            <w:vAlign w:val="bottom"/>
            <w:gridSpan w:val="2"/>
          </w:tcPr>
          <w:p>
            <w:pPr>
              <w:ind w:left="660"/>
              <w:spacing w:after="0"/>
              <w:rPr>
                <w:sz w:val="20"/>
                <w:szCs w:val="20"/>
                <w:color w:val="auto"/>
              </w:rPr>
            </w:pPr>
            <w:r>
              <w:rPr>
                <w:rFonts w:ascii="Arial" w:cs="Arial" w:eastAsia="Arial" w:hAnsi="Arial"/>
                <w:sz w:val="18"/>
                <w:szCs w:val="18"/>
                <w:color w:val="auto"/>
              </w:rPr>
              <w:t>i) The distribution of total assets by geographical area was as follows: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December 31,</w:t>
            </w: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83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Ireland</w:t>
            </w:r>
          </w:p>
        </w:tc>
        <w:tc>
          <w:tcPr>
            <w:tcW w:w="34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102,770</w:t>
            </w:r>
          </w:p>
        </w:tc>
        <w:tc>
          <w:tcPr>
            <w:tcW w:w="32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91,826</w:t>
            </w: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Rest of Europe</w:t>
            </w:r>
          </w:p>
        </w:tc>
        <w:tc>
          <w:tcPr>
            <w:tcW w:w="34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63,515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80,700</w:t>
            </w:r>
          </w:p>
        </w:tc>
      </w:tr>
      <w:tr>
        <w:trPr>
          <w:trHeight w:val="243"/>
        </w:trPr>
        <w:tc>
          <w:tcPr>
            <w:tcW w:w="8340" w:type="dxa"/>
            <w:vAlign w:val="bottom"/>
            <w:gridSpan w:val="2"/>
            <w:shd w:val="clear" w:color="auto" w:fill="E2EEF6"/>
          </w:tcPr>
          <w:p>
            <w:pPr>
              <w:spacing w:after="0"/>
              <w:rPr>
                <w:sz w:val="20"/>
                <w:szCs w:val="20"/>
                <w:color w:val="auto"/>
              </w:rPr>
            </w:pPr>
            <w:r>
              <w:rPr>
                <w:rFonts w:ascii="Arial" w:cs="Arial" w:eastAsia="Arial" w:hAnsi="Arial"/>
                <w:sz w:val="18"/>
                <w:szCs w:val="18"/>
                <w:color w:val="auto"/>
              </w:rPr>
              <w:t>U.S.</w:t>
            </w:r>
          </w:p>
        </w:tc>
        <w:tc>
          <w:tcPr>
            <w:tcW w:w="340" w:type="dxa"/>
            <w:vAlign w:val="bottom"/>
            <w:shd w:val="clear" w:color="auto" w:fill="E2EEF6"/>
          </w:tcPr>
          <w:p>
            <w:pPr>
              <w:spacing w:after="0"/>
              <w:rPr>
                <w:sz w:val="21"/>
                <w:szCs w:val="21"/>
                <w:color w:val="auto"/>
              </w:rPr>
            </w:pPr>
          </w:p>
        </w:tc>
        <w:tc>
          <w:tcPr>
            <w:tcW w:w="11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189,985</w:t>
            </w:r>
          </w:p>
        </w:tc>
        <w:tc>
          <w:tcPr>
            <w:tcW w:w="100" w:type="dxa"/>
            <w:vAlign w:val="bottom"/>
            <w:shd w:val="clear" w:color="auto" w:fill="E2EEF6"/>
          </w:tcPr>
          <w:p>
            <w:pPr>
              <w:spacing w:after="0"/>
              <w:rPr>
                <w:sz w:val="21"/>
                <w:szCs w:val="21"/>
                <w:color w:val="auto"/>
              </w:rPr>
            </w:pPr>
          </w:p>
        </w:tc>
        <w:tc>
          <w:tcPr>
            <w:tcW w:w="220" w:type="dxa"/>
            <w:vAlign w:val="bottom"/>
            <w:shd w:val="clear" w:color="auto" w:fill="E2EEF6"/>
          </w:tcPr>
          <w:p>
            <w:pPr>
              <w:spacing w:after="0"/>
              <w:rPr>
                <w:sz w:val="21"/>
                <w:szCs w:val="21"/>
                <w:color w:val="auto"/>
              </w:rPr>
            </w:pPr>
          </w:p>
        </w:tc>
        <w:tc>
          <w:tcPr>
            <w:tcW w:w="12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169,799</w:t>
            </w:r>
          </w:p>
        </w:tc>
      </w:tr>
      <w:tr>
        <w:trPr>
          <w:trHeight w:val="243"/>
        </w:trPr>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6,742</w:t>
            </w:r>
          </w:p>
        </w:tc>
        <w:tc>
          <w:tcPr>
            <w:tcW w:w="100" w:type="dxa"/>
            <w:vAlign w:val="bottom"/>
          </w:tcPr>
          <w:p>
            <w:pPr>
              <w:spacing w:after="0"/>
              <w:rPr>
                <w:sz w:val="21"/>
                <w:szCs w:val="21"/>
                <w:color w:val="auto"/>
              </w:rPr>
            </w:pPr>
          </w:p>
        </w:tc>
      </w:tr>
      <w:tr>
        <w:trPr>
          <w:trHeight w:val="520"/>
        </w:trPr>
        <w:tc>
          <w:tcPr>
            <w:tcW w:w="812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E2EEF6"/>
            </w:tcBorders>
            <w:shd w:val="clear" w:color="auto" w:fill="E2EEF6"/>
          </w:tcPr>
          <w:p>
            <w:pPr>
              <w:spacing w:after="0"/>
              <w:rPr>
                <w:sz w:val="24"/>
                <w:szCs w:val="24"/>
                <w:color w:val="auto"/>
              </w:rPr>
            </w:pPr>
          </w:p>
        </w:tc>
        <w:tc>
          <w:tcPr>
            <w:tcW w:w="340" w:type="dxa"/>
            <w:vAlign w:val="bottom"/>
            <w:tcBorders>
              <w:bottom w:val="single" w:sz="8" w:color="auto"/>
            </w:tcBorders>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364,458</w:t>
            </w:r>
          </w:p>
        </w:tc>
        <w:tc>
          <w:tcPr>
            <w:tcW w:w="120" w:type="dxa"/>
            <w:vAlign w:val="bottom"/>
            <w:tcBorders>
              <w:bottom w:val="single" w:sz="8" w:color="E2EEF6"/>
            </w:tcBorders>
            <w:shd w:val="clear" w:color="auto" w:fill="E2EEF6"/>
          </w:tcPr>
          <w:p>
            <w:pPr>
              <w:spacing w:after="0"/>
              <w:rPr>
                <w:sz w:val="24"/>
                <w:szCs w:val="24"/>
                <w:color w:val="auto"/>
              </w:rPr>
            </w:pPr>
          </w:p>
        </w:tc>
        <w:tc>
          <w:tcPr>
            <w:tcW w:w="100" w:type="dxa"/>
            <w:vAlign w:val="bottom"/>
            <w:tcBorders>
              <w:bottom w:val="single" w:sz="8" w:color="E2EEF6"/>
            </w:tcBorders>
            <w:shd w:val="clear" w:color="auto" w:fill="E2EEF6"/>
          </w:tcPr>
          <w:p>
            <w:pPr>
              <w:spacing w:after="0"/>
              <w:rPr>
                <w:sz w:val="24"/>
                <w:szCs w:val="24"/>
                <w:color w:val="auto"/>
              </w:rPr>
            </w:pPr>
          </w:p>
        </w:tc>
        <w:tc>
          <w:tcPr>
            <w:tcW w:w="22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tcBorders>
              <w:bottom w:val="single" w:sz="8" w:color="E2EEF6"/>
            </w:tcBorders>
            <w:shd w:val="clear" w:color="auto" w:fill="E2EEF6"/>
          </w:tcPr>
          <w:p>
            <w:pPr>
              <w:spacing w:after="0"/>
              <w:rPr>
                <w:sz w:val="24"/>
                <w:szCs w:val="24"/>
                <w:color w:val="auto"/>
              </w:rPr>
            </w:pPr>
          </w:p>
        </w:tc>
      </w:tr>
      <w:tr>
        <w:trPr>
          <w:trHeight w:val="1007"/>
        </w:trPr>
        <w:tc>
          <w:tcPr>
            <w:tcW w:w="8340" w:type="dxa"/>
            <w:vAlign w:val="bottom"/>
            <w:gridSpan w:val="2"/>
          </w:tcPr>
          <w:p>
            <w:pPr>
              <w:ind w:left="660"/>
              <w:spacing w:after="0"/>
              <w:rPr>
                <w:sz w:val="20"/>
                <w:szCs w:val="20"/>
                <w:color w:val="auto"/>
              </w:rPr>
            </w:pPr>
            <w:r>
              <w:rPr>
                <w:rFonts w:ascii="Arial" w:cs="Arial" w:eastAsia="Arial" w:hAnsi="Arial"/>
                <w:sz w:val="18"/>
                <w:szCs w:val="18"/>
                <w:color w:val="auto"/>
              </w:rPr>
              <w:t>j) The distribution of total assets by business segment was as follows: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December 31,</w:t>
            </w: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2005</w:t>
            </w: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8340" w:type="dxa"/>
            <w:vAlign w:val="bottom"/>
            <w:gridSpan w:val="2"/>
            <w:shd w:val="clear" w:color="auto" w:fill="E2EEF6"/>
          </w:tcPr>
          <w:p>
            <w:pPr>
              <w:ind w:left="340"/>
              <w:spacing w:after="0"/>
              <w:rPr>
                <w:sz w:val="20"/>
                <w:szCs w:val="20"/>
                <w:color w:val="auto"/>
              </w:rPr>
            </w:pPr>
            <w:r>
              <w:rPr>
                <w:rFonts w:ascii="Arial" w:cs="Arial" w:eastAsia="Arial" w:hAnsi="Arial"/>
                <w:sz w:val="18"/>
                <w:szCs w:val="18"/>
                <w:color w:val="auto"/>
              </w:rPr>
              <w:t>Central laboratory</w:t>
            </w:r>
          </w:p>
        </w:tc>
        <w:tc>
          <w:tcPr>
            <w:tcW w:w="340" w:type="dxa"/>
            <w:vAlign w:val="bottom"/>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2EEF6"/>
          </w:tcPr>
          <w:p>
            <w:pPr>
              <w:jc w:val="right"/>
              <w:ind w:right="120"/>
              <w:spacing w:after="0"/>
              <w:rPr>
                <w:sz w:val="20"/>
                <w:szCs w:val="20"/>
                <w:color w:val="auto"/>
              </w:rPr>
            </w:pPr>
            <w:r>
              <w:rPr>
                <w:rFonts w:ascii="Arial" w:cs="Arial" w:eastAsia="Arial" w:hAnsi="Arial"/>
                <w:sz w:val="18"/>
                <w:szCs w:val="18"/>
                <w:color w:val="auto"/>
              </w:rPr>
              <w:t>20,058</w:t>
            </w:r>
          </w:p>
        </w:tc>
        <w:tc>
          <w:tcPr>
            <w:tcW w:w="320" w:type="dxa"/>
            <w:vAlign w:val="bottom"/>
            <w:gridSpan w:val="2"/>
            <w:shd w:val="clear" w:color="auto" w:fill="E2EEF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2EEF6"/>
          </w:tcPr>
          <w:p>
            <w:pPr>
              <w:jc w:val="right"/>
              <w:ind w:right="100"/>
              <w:spacing w:after="0"/>
              <w:rPr>
                <w:sz w:val="20"/>
                <w:szCs w:val="20"/>
                <w:color w:val="auto"/>
              </w:rPr>
            </w:pPr>
            <w:r>
              <w:rPr>
                <w:rFonts w:ascii="Arial" w:cs="Arial" w:eastAsia="Arial" w:hAnsi="Arial"/>
                <w:sz w:val="18"/>
                <w:szCs w:val="18"/>
                <w:color w:val="auto"/>
              </w:rPr>
              <w:t>17,150</w:t>
            </w:r>
          </w:p>
        </w:tc>
      </w:tr>
      <w:tr>
        <w:trPr>
          <w:trHeight w:val="243"/>
        </w:trPr>
        <w:tc>
          <w:tcPr>
            <w:tcW w:w="81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Clinical research</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331,917</w:t>
            </w:r>
          </w:p>
        </w:tc>
        <w:tc>
          <w:tcPr>
            <w:tcW w:w="100" w:type="dxa"/>
            <w:vAlign w:val="bottom"/>
          </w:tcPr>
          <w:p>
            <w:pPr>
              <w:spacing w:after="0"/>
              <w:rPr>
                <w:sz w:val="21"/>
                <w:szCs w:val="21"/>
                <w:color w:val="auto"/>
              </w:rPr>
            </w:pPr>
          </w:p>
        </w:tc>
      </w:tr>
      <w:tr>
        <w:trPr>
          <w:trHeight w:val="520"/>
        </w:trPr>
        <w:tc>
          <w:tcPr>
            <w:tcW w:w="8120" w:type="dxa"/>
            <w:vAlign w:val="bottom"/>
            <w:tcBorders>
              <w:bottom w:val="single" w:sz="8" w:color="auto"/>
            </w:tcBorders>
            <w:shd w:val="clear" w:color="auto" w:fill="E2EEF6"/>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E2EEF6"/>
            </w:tcBorders>
            <w:shd w:val="clear" w:color="auto" w:fill="E2EEF6"/>
          </w:tcPr>
          <w:p>
            <w:pPr>
              <w:spacing w:after="0"/>
              <w:rPr>
                <w:sz w:val="24"/>
                <w:szCs w:val="24"/>
                <w:color w:val="auto"/>
              </w:rPr>
            </w:pPr>
          </w:p>
        </w:tc>
        <w:tc>
          <w:tcPr>
            <w:tcW w:w="340" w:type="dxa"/>
            <w:vAlign w:val="bottom"/>
            <w:tcBorders>
              <w:bottom w:val="single" w:sz="8" w:color="auto"/>
            </w:tcBorders>
            <w:shd w:val="clear" w:color="auto" w:fill="E2EEF6"/>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364,458</w:t>
            </w:r>
          </w:p>
        </w:tc>
        <w:tc>
          <w:tcPr>
            <w:tcW w:w="120" w:type="dxa"/>
            <w:vAlign w:val="bottom"/>
            <w:tcBorders>
              <w:bottom w:val="single" w:sz="8" w:color="E2EEF6"/>
            </w:tcBorders>
            <w:shd w:val="clear" w:color="auto" w:fill="E2EEF6"/>
          </w:tcPr>
          <w:p>
            <w:pPr>
              <w:spacing w:after="0"/>
              <w:rPr>
                <w:sz w:val="24"/>
                <w:szCs w:val="24"/>
                <w:color w:val="auto"/>
              </w:rPr>
            </w:pPr>
          </w:p>
        </w:tc>
        <w:tc>
          <w:tcPr>
            <w:tcW w:w="100" w:type="dxa"/>
            <w:vAlign w:val="bottom"/>
            <w:tcBorders>
              <w:bottom w:val="single" w:sz="8" w:color="E2EEF6"/>
            </w:tcBorders>
            <w:shd w:val="clear" w:color="auto" w:fill="E2EEF6"/>
          </w:tcPr>
          <w:p>
            <w:pPr>
              <w:spacing w:after="0"/>
              <w:rPr>
                <w:sz w:val="24"/>
                <w:szCs w:val="24"/>
                <w:color w:val="auto"/>
              </w:rPr>
            </w:pPr>
          </w:p>
        </w:tc>
        <w:tc>
          <w:tcPr>
            <w:tcW w:w="220" w:type="dxa"/>
            <w:vAlign w:val="bottom"/>
            <w:tcBorders>
              <w:bottom w:val="single" w:sz="8" w:color="auto"/>
            </w:tcBorders>
            <w:shd w:val="clear" w:color="auto" w:fill="E2EEF6"/>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8"/>
                <w:szCs w:val="18"/>
                <w:color w:val="auto"/>
              </w:rPr>
              <w:t>349,067</w:t>
            </w:r>
          </w:p>
        </w:tc>
        <w:tc>
          <w:tcPr>
            <w:tcW w:w="100" w:type="dxa"/>
            <w:vAlign w:val="bottom"/>
            <w:tcBorders>
              <w:bottom w:val="single" w:sz="8" w:color="E2EEF6"/>
            </w:tcBorders>
            <w:shd w:val="clear" w:color="auto" w:fill="E2EEF6"/>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ICON plc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Transition Report on Form 20-F for the seven months ended December 31, 2005. The Consolidated Financial Statements have been prepared in accordance with accounting principles generally accepted in the United States.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3,200 employees worldwide, with operations in 41 locations in 27 countries including the United States and major markets in Europe and Rest of World. For the three months ended March 31, 2006, we derived approximately 61.8%, 31.3%, and 6.9% of our net revenue in the United States, Europe and Rest of World, respectively.</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2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jc w:val="both"/>
        <w:spacing w:after="0" w:line="287"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13 operations operating in U.S. dollars, 6 trading in Euros, 3 in pounds Sterling, and 1 each in Australian dollars, Singapore dollars, Yen, Israeli New Shekels, Latvian Lats, Swedish Krona, Argentine Peso, South African Rand, Indian Rupee, Russian Rouble, Canadian dollar, Hungarian Forint, Hong Kong dollar, Taiwan dollar, Mexican Peso, Brazilian Real, Chiliean Peso, South Korean Won and Thai Baht.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March 31, 2006, we have received $2,447,579 and $1,841,504 under the capital grants and operating grants, respectively. Pursuant to the terms of the grant agreements, we are restricted from distributing some of these amounts by way of dividend or otherwise.</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2006 compared with Three Months Ended February 28, 2005</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180" w:type="dxa"/>
            <w:vAlign w:val="bottom"/>
            <w:gridSpan w:val="3"/>
          </w:tcPr>
          <w:p>
            <w:pPr>
              <w:jc w:val="center"/>
              <w:ind w:left="1292"/>
              <w:spacing w:after="0"/>
              <w:rPr>
                <w:sz w:val="20"/>
                <w:szCs w:val="20"/>
                <w:color w:val="auto"/>
              </w:rPr>
            </w:pPr>
            <w:r>
              <w:rPr>
                <w:rFonts w:ascii="Arial" w:cs="Arial" w:eastAsia="Arial" w:hAnsi="Arial"/>
                <w:sz w:val="18"/>
                <w:szCs w:val="18"/>
                <w:b w:val="1"/>
                <w:bCs w:val="1"/>
                <w:color w:val="auto"/>
                <w:w w:val="92"/>
              </w:rPr>
              <w:t>Three Months Ended</w:t>
            </w: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180" w:type="dxa"/>
            <w:vAlign w:val="bottom"/>
            <w:gridSpan w:val="3"/>
          </w:tcPr>
          <w:p>
            <w:pPr>
              <w:ind w:left="960"/>
              <w:spacing w:after="0"/>
              <w:rPr>
                <w:sz w:val="20"/>
                <w:szCs w:val="20"/>
                <w:color w:val="auto"/>
              </w:rPr>
            </w:pPr>
            <w:r>
              <w:rPr>
                <w:rFonts w:ascii="Arial" w:cs="Arial" w:eastAsia="Arial" w:hAnsi="Arial"/>
                <w:sz w:val="18"/>
                <w:szCs w:val="18"/>
                <w:b w:val="1"/>
                <w:bCs w:val="1"/>
                <w:color w:val="auto"/>
              </w:rPr>
              <w:t>March 31,</w:t>
            </w: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28,</w:t>
            </w:r>
          </w:p>
        </w:tc>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720" w:type="dxa"/>
            <w:vAlign w:val="bottom"/>
            <w:tcBorders>
              <w:bottom w:val="single" w:sz="8" w:color="auto"/>
            </w:tcBorders>
          </w:tcPr>
          <w:p>
            <w:pPr>
              <w:jc w:val="right"/>
              <w:ind w:right="1092"/>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2005</w:t>
            </w:r>
          </w:p>
        </w:tc>
        <w:tc>
          <w:tcPr>
            <w:tcW w:w="560" w:type="dxa"/>
            <w:vAlign w:val="bottom"/>
          </w:tcPr>
          <w:p>
            <w:pPr>
              <w:spacing w:after="0"/>
              <w:rPr>
                <w:sz w:val="19"/>
                <w:szCs w:val="19"/>
                <w:color w:val="auto"/>
              </w:rPr>
            </w:pPr>
          </w:p>
        </w:tc>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to 2006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510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88"/>
              </w:rPr>
              <w:t>Percentage of Net Revenue</w:t>
            </w:r>
          </w:p>
        </w:tc>
        <w:tc>
          <w:tcPr>
            <w:tcW w:w="2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Increase/(decrease)</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3840" w:type="dxa"/>
            <w:vAlign w:val="bottom"/>
          </w:tcPr>
          <w:p>
            <w:pPr>
              <w:spacing w:after="0"/>
              <w:rPr>
                <w:sz w:val="23"/>
                <w:szCs w:val="23"/>
                <w:color w:val="auto"/>
              </w:rPr>
            </w:pPr>
          </w:p>
        </w:tc>
        <w:tc>
          <w:tcPr>
            <w:tcW w:w="27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40" w:type="dxa"/>
            <w:vAlign w:val="bottom"/>
            <w:shd w:val="clear" w:color="auto" w:fill="E2EEF6"/>
          </w:tcPr>
          <w:p>
            <w:pPr>
              <w:spacing w:after="0"/>
              <w:rPr>
                <w:sz w:val="20"/>
                <w:szCs w:val="20"/>
                <w:color w:val="auto"/>
              </w:rPr>
            </w:pPr>
            <w:r>
              <w:rPr>
                <w:rFonts w:ascii="Arial" w:cs="Arial" w:eastAsia="Arial" w:hAnsi="Arial"/>
                <w:sz w:val="18"/>
                <w:szCs w:val="18"/>
                <w:color w:val="auto"/>
              </w:rPr>
              <w:t>Net revenue</w:t>
            </w:r>
          </w:p>
        </w:tc>
        <w:tc>
          <w:tcPr>
            <w:tcW w:w="2720" w:type="dxa"/>
            <w:vAlign w:val="bottom"/>
            <w:shd w:val="clear" w:color="auto" w:fill="E2EEF6"/>
          </w:tcPr>
          <w:p>
            <w:pPr>
              <w:jc w:val="right"/>
              <w:ind w:right="612"/>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E2EEF6"/>
          </w:tcPr>
          <w:p>
            <w:pPr>
              <w:spacing w:after="0"/>
              <w:rPr>
                <w:sz w:val="21"/>
                <w:szCs w:val="21"/>
                <w:color w:val="auto"/>
              </w:rPr>
            </w:pPr>
          </w:p>
        </w:tc>
        <w:tc>
          <w:tcPr>
            <w:tcW w:w="200" w:type="dxa"/>
            <w:vAlign w:val="bottom"/>
            <w:shd w:val="clear" w:color="auto" w:fill="E2EEF6"/>
          </w:tcPr>
          <w:p>
            <w:pPr>
              <w:spacing w:after="0"/>
              <w:rPr>
                <w:sz w:val="21"/>
                <w:szCs w:val="21"/>
                <w:color w:val="auto"/>
              </w:rPr>
            </w:pPr>
          </w:p>
        </w:tc>
        <w:tc>
          <w:tcPr>
            <w:tcW w:w="1360" w:type="dxa"/>
            <w:vAlign w:val="bottom"/>
            <w:shd w:val="clear" w:color="auto" w:fill="E2EEF6"/>
          </w:tcPr>
          <w:p>
            <w:pPr>
              <w:jc w:val="right"/>
              <w:ind w:right="370"/>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E2EEF6"/>
          </w:tcPr>
          <w:p>
            <w:pPr>
              <w:spacing w:after="0"/>
              <w:rPr>
                <w:sz w:val="21"/>
                <w:szCs w:val="21"/>
                <w:color w:val="auto"/>
              </w:rPr>
            </w:pPr>
          </w:p>
        </w:tc>
        <w:tc>
          <w:tcPr>
            <w:tcW w:w="13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18.9%</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Costs and expenses:</w:t>
            </w:r>
          </w:p>
        </w:tc>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40" w:type="dxa"/>
            <w:vAlign w:val="bottom"/>
            <w:shd w:val="clear" w:color="auto" w:fill="E2EEF6"/>
          </w:tcPr>
          <w:p>
            <w:pPr>
              <w:spacing w:after="0"/>
              <w:rPr>
                <w:sz w:val="20"/>
                <w:szCs w:val="20"/>
                <w:color w:val="auto"/>
              </w:rPr>
            </w:pPr>
            <w:r>
              <w:rPr>
                <w:rFonts w:ascii="Arial" w:cs="Arial" w:eastAsia="Arial" w:hAnsi="Arial"/>
                <w:sz w:val="18"/>
                <w:szCs w:val="18"/>
                <w:color w:val="auto"/>
              </w:rPr>
              <w:t>Direct costs</w:t>
            </w:r>
          </w:p>
        </w:tc>
        <w:tc>
          <w:tcPr>
            <w:tcW w:w="2720" w:type="dxa"/>
            <w:vAlign w:val="bottom"/>
            <w:shd w:val="clear" w:color="auto" w:fill="E2EEF6"/>
          </w:tcPr>
          <w:p>
            <w:pPr>
              <w:jc w:val="right"/>
              <w:ind w:right="612"/>
              <w:spacing w:after="0"/>
              <w:rPr>
                <w:sz w:val="20"/>
                <w:szCs w:val="20"/>
                <w:color w:val="auto"/>
              </w:rPr>
            </w:pPr>
            <w:r>
              <w:rPr>
                <w:rFonts w:ascii="Arial" w:cs="Arial" w:eastAsia="Arial" w:hAnsi="Arial"/>
                <w:sz w:val="18"/>
                <w:szCs w:val="18"/>
                <w:color w:val="auto"/>
              </w:rPr>
              <w:t>55.6%</w:t>
            </w:r>
          </w:p>
        </w:tc>
        <w:tc>
          <w:tcPr>
            <w:tcW w:w="260" w:type="dxa"/>
            <w:vAlign w:val="bottom"/>
            <w:shd w:val="clear" w:color="auto" w:fill="E2EEF6"/>
          </w:tcPr>
          <w:p>
            <w:pPr>
              <w:spacing w:after="0"/>
              <w:rPr>
                <w:sz w:val="22"/>
                <w:szCs w:val="22"/>
                <w:color w:val="auto"/>
              </w:rPr>
            </w:pPr>
          </w:p>
        </w:tc>
        <w:tc>
          <w:tcPr>
            <w:tcW w:w="200" w:type="dxa"/>
            <w:vAlign w:val="bottom"/>
            <w:shd w:val="clear" w:color="auto" w:fill="E2EEF6"/>
          </w:tcPr>
          <w:p>
            <w:pPr>
              <w:spacing w:after="0"/>
              <w:rPr>
                <w:sz w:val="22"/>
                <w:szCs w:val="22"/>
                <w:color w:val="auto"/>
              </w:rPr>
            </w:pPr>
          </w:p>
        </w:tc>
        <w:tc>
          <w:tcPr>
            <w:tcW w:w="1360" w:type="dxa"/>
            <w:vAlign w:val="bottom"/>
            <w:shd w:val="clear" w:color="auto" w:fill="E2EEF6"/>
          </w:tcPr>
          <w:p>
            <w:pPr>
              <w:jc w:val="right"/>
              <w:ind w:right="370"/>
              <w:spacing w:after="0"/>
              <w:rPr>
                <w:sz w:val="20"/>
                <w:szCs w:val="20"/>
                <w:color w:val="auto"/>
              </w:rPr>
            </w:pPr>
            <w:r>
              <w:rPr>
                <w:rFonts w:ascii="Arial" w:cs="Arial" w:eastAsia="Arial" w:hAnsi="Arial"/>
                <w:sz w:val="18"/>
                <w:szCs w:val="18"/>
                <w:color w:val="auto"/>
              </w:rPr>
              <w:t>55.5%</w:t>
            </w:r>
          </w:p>
        </w:tc>
        <w:tc>
          <w:tcPr>
            <w:tcW w:w="560" w:type="dxa"/>
            <w:vAlign w:val="bottom"/>
            <w:shd w:val="clear" w:color="auto" w:fill="E2EEF6"/>
          </w:tcPr>
          <w:p>
            <w:pPr>
              <w:spacing w:after="0"/>
              <w:rPr>
                <w:sz w:val="22"/>
                <w:szCs w:val="22"/>
                <w:color w:val="auto"/>
              </w:rPr>
            </w:pPr>
          </w:p>
        </w:tc>
        <w:tc>
          <w:tcPr>
            <w:tcW w:w="13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18.9%</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720" w:type="dxa"/>
            <w:vAlign w:val="bottom"/>
          </w:tcPr>
          <w:p>
            <w:pPr>
              <w:jc w:val="right"/>
              <w:ind w:right="612"/>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33.1%</w:t>
            </w:r>
          </w:p>
        </w:tc>
        <w:tc>
          <w:tcPr>
            <w:tcW w:w="5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40" w:type="dxa"/>
            <w:vAlign w:val="bottom"/>
            <w:shd w:val="clear" w:color="auto" w:fill="E2EEF6"/>
          </w:tcPr>
          <w:p>
            <w:pPr>
              <w:spacing w:after="0"/>
              <w:rPr>
                <w:sz w:val="20"/>
                <w:szCs w:val="20"/>
                <w:color w:val="auto"/>
              </w:rPr>
            </w:pPr>
            <w:r>
              <w:rPr>
                <w:rFonts w:ascii="Arial" w:cs="Arial" w:eastAsia="Arial" w:hAnsi="Arial"/>
                <w:sz w:val="18"/>
                <w:szCs w:val="18"/>
                <w:color w:val="auto"/>
              </w:rPr>
              <w:t>Depreciation and amortization</w:t>
            </w:r>
          </w:p>
        </w:tc>
        <w:tc>
          <w:tcPr>
            <w:tcW w:w="2720" w:type="dxa"/>
            <w:vAlign w:val="bottom"/>
            <w:shd w:val="clear" w:color="auto" w:fill="E2EEF6"/>
          </w:tcPr>
          <w:p>
            <w:pPr>
              <w:jc w:val="right"/>
              <w:ind w:right="612"/>
              <w:spacing w:after="0"/>
              <w:rPr>
                <w:sz w:val="20"/>
                <w:szCs w:val="20"/>
                <w:color w:val="auto"/>
              </w:rPr>
            </w:pPr>
            <w:r>
              <w:rPr>
                <w:rFonts w:ascii="Arial" w:cs="Arial" w:eastAsia="Arial" w:hAnsi="Arial"/>
                <w:sz w:val="18"/>
                <w:szCs w:val="18"/>
                <w:color w:val="auto"/>
              </w:rPr>
              <w:t>3.5%</w:t>
            </w:r>
          </w:p>
        </w:tc>
        <w:tc>
          <w:tcPr>
            <w:tcW w:w="260" w:type="dxa"/>
            <w:vAlign w:val="bottom"/>
            <w:shd w:val="clear" w:color="auto" w:fill="E2EEF6"/>
          </w:tcPr>
          <w:p>
            <w:pPr>
              <w:spacing w:after="0"/>
              <w:rPr>
                <w:sz w:val="22"/>
                <w:szCs w:val="22"/>
                <w:color w:val="auto"/>
              </w:rPr>
            </w:pPr>
          </w:p>
        </w:tc>
        <w:tc>
          <w:tcPr>
            <w:tcW w:w="200" w:type="dxa"/>
            <w:vAlign w:val="bottom"/>
            <w:shd w:val="clear" w:color="auto" w:fill="E2EEF6"/>
          </w:tcPr>
          <w:p>
            <w:pPr>
              <w:spacing w:after="0"/>
              <w:rPr>
                <w:sz w:val="22"/>
                <w:szCs w:val="22"/>
                <w:color w:val="auto"/>
              </w:rPr>
            </w:pPr>
          </w:p>
        </w:tc>
        <w:tc>
          <w:tcPr>
            <w:tcW w:w="1360" w:type="dxa"/>
            <w:vAlign w:val="bottom"/>
            <w:shd w:val="clear" w:color="auto" w:fill="E2EEF6"/>
          </w:tcPr>
          <w:p>
            <w:pPr>
              <w:jc w:val="right"/>
              <w:ind w:right="370"/>
              <w:spacing w:after="0"/>
              <w:rPr>
                <w:sz w:val="20"/>
                <w:szCs w:val="20"/>
                <w:color w:val="auto"/>
              </w:rPr>
            </w:pPr>
            <w:r>
              <w:rPr>
                <w:rFonts w:ascii="Arial" w:cs="Arial" w:eastAsia="Arial" w:hAnsi="Arial"/>
                <w:sz w:val="18"/>
                <w:szCs w:val="18"/>
                <w:color w:val="auto"/>
              </w:rPr>
              <w:t>4.1%</w:t>
            </w:r>
          </w:p>
        </w:tc>
        <w:tc>
          <w:tcPr>
            <w:tcW w:w="560" w:type="dxa"/>
            <w:vAlign w:val="bottom"/>
            <w:shd w:val="clear" w:color="auto" w:fill="E2EEF6"/>
          </w:tcPr>
          <w:p>
            <w:pPr>
              <w:spacing w:after="0"/>
              <w:rPr>
                <w:sz w:val="22"/>
                <w:szCs w:val="22"/>
                <w:color w:val="auto"/>
              </w:rPr>
            </w:pPr>
          </w:p>
        </w:tc>
        <w:tc>
          <w:tcPr>
            <w:tcW w:w="13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0.6%</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charges</w:t>
            </w:r>
          </w:p>
        </w:tc>
        <w:tc>
          <w:tcPr>
            <w:tcW w:w="272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13.6%</w:t>
            </w:r>
          </w:p>
        </w:tc>
        <w:tc>
          <w:tcPr>
            <w:tcW w:w="5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40" w:type="dxa"/>
            <w:vAlign w:val="bottom"/>
            <w:shd w:val="clear" w:color="auto" w:fill="E2EEF6"/>
          </w:tcPr>
          <w:p>
            <w:pPr>
              <w:spacing w:after="0"/>
              <w:rPr>
                <w:sz w:val="20"/>
                <w:szCs w:val="20"/>
                <w:color w:val="auto"/>
              </w:rPr>
            </w:pPr>
            <w:r>
              <w:rPr>
                <w:rFonts w:ascii="Arial" w:cs="Arial" w:eastAsia="Arial" w:hAnsi="Arial"/>
                <w:sz w:val="18"/>
                <w:szCs w:val="18"/>
                <w:color w:val="auto"/>
              </w:rPr>
              <w:t>Income from operations</w:t>
            </w:r>
          </w:p>
        </w:tc>
        <w:tc>
          <w:tcPr>
            <w:tcW w:w="2720" w:type="dxa"/>
            <w:vAlign w:val="bottom"/>
            <w:shd w:val="clear" w:color="auto" w:fill="E2EEF6"/>
          </w:tcPr>
          <w:p>
            <w:pPr>
              <w:jc w:val="right"/>
              <w:ind w:right="612"/>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E2EEF6"/>
          </w:tcPr>
          <w:p>
            <w:pPr>
              <w:spacing w:after="0"/>
              <w:rPr>
                <w:sz w:val="22"/>
                <w:szCs w:val="22"/>
                <w:color w:val="auto"/>
              </w:rPr>
            </w:pPr>
          </w:p>
        </w:tc>
        <w:tc>
          <w:tcPr>
            <w:tcW w:w="200" w:type="dxa"/>
            <w:vAlign w:val="bottom"/>
            <w:shd w:val="clear" w:color="auto" w:fill="E2EEF6"/>
          </w:tcPr>
          <w:p>
            <w:pPr>
              <w:spacing w:after="0"/>
              <w:rPr>
                <w:sz w:val="22"/>
                <w:szCs w:val="22"/>
                <w:color w:val="auto"/>
              </w:rPr>
            </w:pPr>
          </w:p>
        </w:tc>
        <w:tc>
          <w:tcPr>
            <w:tcW w:w="1360" w:type="dxa"/>
            <w:vAlign w:val="bottom"/>
            <w:shd w:val="clear" w:color="auto" w:fill="E2EEF6"/>
          </w:tcPr>
          <w:p>
            <w:pPr>
              <w:jc w:val="right"/>
              <w:ind w:right="370"/>
              <w:spacing w:after="0"/>
              <w:rPr>
                <w:sz w:val="20"/>
                <w:szCs w:val="20"/>
                <w:color w:val="auto"/>
              </w:rPr>
            </w:pPr>
            <w:r>
              <w:rPr>
                <w:rFonts w:ascii="Arial" w:cs="Arial" w:eastAsia="Arial" w:hAnsi="Arial"/>
                <w:sz w:val="18"/>
                <w:szCs w:val="18"/>
                <w:color w:val="auto"/>
              </w:rPr>
              <w:t>(6.3)%</w:t>
            </w:r>
          </w:p>
        </w:tc>
        <w:tc>
          <w:tcPr>
            <w:tcW w:w="560" w:type="dxa"/>
            <w:vAlign w:val="bottom"/>
            <w:shd w:val="clear" w:color="auto" w:fill="E2EEF6"/>
          </w:tcPr>
          <w:p>
            <w:pPr>
              <w:spacing w:after="0"/>
              <w:rPr>
                <w:sz w:val="22"/>
                <w:szCs w:val="22"/>
                <w:color w:val="auto"/>
              </w:rPr>
            </w:pPr>
          </w:p>
        </w:tc>
        <w:tc>
          <w:tcPr>
            <w:tcW w:w="1320" w:type="dxa"/>
            <w:vAlign w:val="bottom"/>
            <w:shd w:val="clear" w:color="auto" w:fill="E2EEF6"/>
          </w:tcPr>
          <w:p>
            <w:pPr>
              <w:jc w:val="right"/>
              <w:spacing w:after="0"/>
              <w:rPr>
                <w:sz w:val="20"/>
                <w:szCs w:val="20"/>
                <w:color w:val="auto"/>
              </w:rPr>
            </w:pPr>
            <w:r>
              <w:rPr>
                <w:rFonts w:ascii="Arial" w:cs="Arial" w:eastAsia="Arial" w:hAnsi="Arial"/>
                <w:sz w:val="18"/>
                <w:szCs w:val="18"/>
                <w:color w:val="auto"/>
              </w:rPr>
              <w:t>292.2%</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720" w:type="dxa"/>
            <w:vAlign w:val="bottom"/>
          </w:tcPr>
          <w:p>
            <w:pPr>
              <w:jc w:val="right"/>
              <w:ind w:right="712"/>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840" w:type="dxa"/>
            <w:vAlign w:val="bottom"/>
            <w:tcBorders>
              <w:bottom w:val="single" w:sz="8" w:color="808080"/>
            </w:tcBorders>
          </w:tcPr>
          <w:p>
            <w:pPr>
              <w:spacing w:after="0"/>
              <w:rPr>
                <w:sz w:val="8"/>
                <w:szCs w:val="8"/>
                <w:color w:val="auto"/>
              </w:rPr>
            </w:pPr>
          </w:p>
        </w:tc>
        <w:tc>
          <w:tcPr>
            <w:tcW w:w="27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6" w:name="page17"/>
    <w:bookmarkEnd w:id="16"/>
    <w:p>
      <w:pPr>
        <w:jc w:val="both"/>
        <w:spacing w:after="0" w:line="291" w:lineRule="auto"/>
        <w:rPr>
          <w:sz w:val="20"/>
          <w:szCs w:val="20"/>
          <w:color w:val="auto"/>
        </w:rPr>
      </w:pPr>
      <w:r>
        <w:rPr>
          <w:rFonts w:ascii="Arial" w:cs="Arial" w:eastAsia="Arial" w:hAnsi="Arial"/>
          <w:sz w:val="16"/>
          <w:szCs w:val="16"/>
          <w:color w:val="auto"/>
        </w:rPr>
        <w:t>Net revenue increased by $15.6 million, or 18.9%, from $82.8 million to $98.4 million. This improvement arose through a combination of increased business from existing clients and business won from new clients. Revenues in the United States, Europe and the Rest of World grew by 25.7%, 2.7% and 53.9% respectively. In the three months ended March 31, 2006, net revenue from our central laboratory business increased by 45.8% from $6.4 million to $9.3 million, while our clinical research segment grew by 16.6% from $76.5 million to $89.2 million over the period ended February 28, 2005. The increase in net revenue in our central laboratory segment is primarily due to higher testing volumes in the first quarter of fiscal 2006.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22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Direct costs increased by $8.7 million, or 18.9%, from $46.0 million to $54.7 million, primarily due to increased staff numbers needed to support increased project related activity and the inclusion of $0.5 million non-cash stock compensation expense for the quarter ended March 31, 2006. Direct costs as a percentage of net revenue increased from 55.5% for the three months to February 28, 2005 to 55.6% for the three months to March 31, 2006.</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by $2.9 million, or 10.6%, from $27.4 million to $30.3 million. This increase is due to the continued expansion of our operations and the inclusion of $0.4 million non-cash stock compensation expense for the quarter ended March 31, 2006. As a percentage of net revenue, selling, general and administrative expenses, decreased from 33.1% in the three months ended February 28, 2005 to 30.7% in the three months ended March 31, 2006.</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and amortization expense increased by $0.02 million, or 0.6%, from $3.42 million to $3.44 million. This increase is due to the continued investment in facilities and information technology to support the growth in activity and in providing for future capacity. As a percentage of net revenue, depreciation and amortization decreased from 4.1% in the three months ended February 28, 2005 to 3.5% in the three months ended March 31, 2006.</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charges of $11.3 million were recognised in the three months ended February 28, 2005. These charges related to the recognition of an impairment in the carrying value of our investment in the central laboratory, a write down of certain fixed assets and the lease termination and exit costs associated with the consolidation of some of our office facilities in the US.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increased by $15.3 million, or 292.2%, from a loss of $5.2 million for the three months ended February 28, 2005, to a profit of $10.1 million for the three months ended March 31, 2006. As a percentage of net revenue, income from operations increased from (6.3)% for the three months to February 28, 2005, to 10.2% of net revenues for the three months ended March 31, 2006.</w:t>
      </w:r>
    </w:p>
    <w:p>
      <w:pPr>
        <w:spacing w:after="0" w:line="2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three months ended March 31, 2006, losses from operations, as a percentage of net revenue for the central laboratory decreased from 165.3% for the three months ended February 28, 2005, to 6.3% for the three months ended March 31, 2006. The loss for the three months ended February 28, 2005, included the effects of other charges. The central laboratory constitutes approximately 9.4% of our business revenues in the period under review. Operating margins for our clinical research segment increased from 6.9% for the three months ended February 28, 2005, to 11.9% for the three months ended March 31, 2006. Income from operations for the clinical research segment is stated after the inclusion of a non-cash stock compensation expense of US$0.9 million for the three months ended March 31, 2006. No non-cash stock compensation expense was recorded in the three months ended February 28, 2005.</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income for the three months ended March 31, 2006 was $0.6 million, an increase of $0.4 million over the amount of net interest income for the three months ended February 28, 2005. Higher average level of funds invested and higher interest rates over the prior period contributed to the increased interest income.</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ICON's effective tax rate for the three months ended March 31, 2006 was 29.2% compared with (10.5)% for the three months ended February 28, 2005. The increase is due mainly to the impact of non-cash stock compensation expense recorded in the current quarter and other charges recorded in the comparative quarter.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subcontractors. The aggregate amount of employee compensation paid in the three months ended March 31, 2006 amounted to $59.2 million and $50.6 million for the three months ended February 28, 2005. Investing activities primarily reflect capital expenditures for facilities and for information systems enhancements, the sale and purchase of short-term investments and acquisitions.</w:t>
      </w:r>
    </w:p>
    <w:p>
      <w:pPr>
        <w:spacing w:after="0" w:line="2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2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March 31, 2006, our working capital amounted to $142.4 million, compared to $132.3 million at December 31, 2005.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56 days at March 31, 2006, compared to 65 days at December 31, 2005.</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operating activities was $10.5 million in the three months ended March 31, 2006, compared to $12.6 million in the three months ended February 28, 2005.</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was $4.5 million in the three months ended March 31, 2006, compared to $3.2 million in the three months ended February 28, 2005, due to additional capital expenditure on property, plant and equipment during the period.</w:t>
      </w:r>
    </w:p>
    <w:p>
      <w:pPr>
        <w:spacing w:after="0" w:line="22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Net cash used in financing activities was $3.0 million in the three months ended March 31, 2006, compared to $9.6 million in the three months ended February 28, 2005, primarily due to reduced bank overdraft repayments.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these cash flows, cash and cash equivalents increased by $3.0 million in the three months ended March 31, 2006, compared to a decrease of $0.08 million in the three months ended February 28, 2005.</w:t>
      </w:r>
    </w:p>
    <w:p>
      <w:pPr>
        <w:spacing w:after="0" w:line="2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the term loan facility of $40 million and the multi currency overdraft facility of $5 million. As at March 31, 2006, the full amounts of the term loan facility and the multi currency overdraft were available to be drawn down. As at March 31, 2006, the full amount of the $15 million revolving credit facility was available to be drawn down.</w:t>
      </w:r>
    </w:p>
    <w:p>
      <w:pPr>
        <w:spacing w:after="0" w:line="23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 also entered into an overdraft agreement with Allied Irish Banks, plc (“AIB”) whereby the company guarantees any overdraft of its subsidiary ICON Clinical Research GmbH up to an amount €120,000 (U.S.$144,912). As of March 31, 2006, the full facility was available to be drawn down.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Legal Proceedings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6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634" w:right="4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April 27, 2006</w:t>
      </w:r>
    </w:p>
    <w:p>
      <w:pPr>
        <w:spacing w:after="0" w:line="319" w:lineRule="exact"/>
        <w:rPr>
          <w:sz w:val="20"/>
          <w:szCs w:val="20"/>
          <w:color w:val="auto"/>
        </w:rPr>
      </w:pPr>
    </w:p>
    <w:p>
      <w:pPr>
        <w:spacing w:after="0"/>
        <w:tabs>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0497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-130175</wp:posOffset>
            </wp:positionV>
            <wp:extent cx="2058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2019-12-14T20:46:51Z</dcterms:created>
  <dcterms:modified xsi:type="dcterms:W3CDTF">2019-12-14T20:46:51Z</dcterms:modified>
</cp:coreProperties>
</file>