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of June 2009</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140"/>
        <w:spacing w:after="0"/>
        <w:tabs>
          <w:tab w:leader="none" w:pos="656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EXHIBIT LIST</w:t>
            </w:r>
          </w:p>
        </w:tc>
      </w:tr>
      <w:tr>
        <w:trPr>
          <w:trHeight w:val="61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Exhibit</w:t>
            </w:r>
          </w:p>
        </w:tc>
        <w:tc>
          <w:tcPr>
            <w:tcW w:w="6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306"/>
        </w:trPr>
        <w:tc>
          <w:tcPr>
            <w:tcW w:w="440" w:type="dxa"/>
            <w:vAlign w:val="bottom"/>
          </w:tcPr>
          <w:p>
            <w:pPr>
              <w:spacing w:after="0"/>
              <w:rPr>
                <w:sz w:val="20"/>
                <w:szCs w:val="20"/>
                <w:color w:val="auto"/>
              </w:rPr>
            </w:pPr>
            <w:r>
              <w:rPr>
                <w:rFonts w:ascii="Arial" w:cs="Arial" w:eastAsia="Arial" w:hAnsi="Arial"/>
                <w:sz w:val="14"/>
                <w:szCs w:val="14"/>
                <w:color w:val="auto"/>
              </w:rPr>
              <w:t>99.1</w:t>
            </w:r>
          </w:p>
        </w:tc>
        <w:tc>
          <w:tcPr>
            <w:tcW w:w="600" w:type="dxa"/>
            <w:vAlign w:val="bottom"/>
          </w:tcPr>
          <w:p>
            <w:pPr>
              <w:spacing w:after="0"/>
              <w:rPr>
                <w:sz w:val="24"/>
                <w:szCs w:val="24"/>
                <w:color w:val="auto"/>
              </w:rPr>
            </w:pPr>
          </w:p>
        </w:tc>
        <w:tc>
          <w:tcPr>
            <w:tcW w:w="10380" w:type="dxa"/>
            <w:vAlign w:val="bottom"/>
            <w:gridSpan w:val="4"/>
          </w:tcPr>
          <w:p>
            <w:pPr>
              <w:spacing w:after="0"/>
              <w:rPr>
                <w:sz w:val="20"/>
                <w:szCs w:val="20"/>
                <w:color w:val="auto"/>
              </w:rPr>
            </w:pPr>
            <w:r>
              <w:rPr>
                <w:rFonts w:ascii="Arial" w:cs="Arial" w:eastAsia="Arial" w:hAnsi="Arial"/>
                <w:sz w:val="14"/>
                <w:szCs w:val="14"/>
                <w:color w:val="auto"/>
              </w:rPr>
              <w:t>Notice of Annual General Meeting of ICON plc dated June 10, 2009 with Form of Proxy and Attendance Card</w:t>
            </w:r>
          </w:p>
        </w:tc>
      </w:tr>
      <w:tr>
        <w:trPr>
          <w:trHeight w:val="297"/>
        </w:trPr>
        <w:tc>
          <w:tcPr>
            <w:tcW w:w="440" w:type="dxa"/>
            <w:vAlign w:val="bottom"/>
          </w:tcPr>
          <w:p>
            <w:pPr>
              <w:spacing w:after="0"/>
              <w:rPr>
                <w:sz w:val="20"/>
                <w:szCs w:val="20"/>
                <w:color w:val="auto"/>
              </w:rPr>
            </w:pPr>
            <w:r>
              <w:rPr>
                <w:rFonts w:ascii="Arial" w:cs="Arial" w:eastAsia="Arial" w:hAnsi="Arial"/>
                <w:sz w:val="14"/>
                <w:szCs w:val="14"/>
                <w:color w:val="auto"/>
              </w:rPr>
              <w:t>99.2</w:t>
            </w:r>
          </w:p>
        </w:tc>
        <w:tc>
          <w:tcPr>
            <w:tcW w:w="600" w:type="dxa"/>
            <w:vAlign w:val="bottom"/>
          </w:tcPr>
          <w:p>
            <w:pPr>
              <w:spacing w:after="0"/>
              <w:rPr>
                <w:sz w:val="24"/>
                <w:szCs w:val="24"/>
                <w:color w:val="auto"/>
              </w:rPr>
            </w:pPr>
          </w:p>
        </w:tc>
        <w:tc>
          <w:tcPr>
            <w:tcW w:w="10380" w:type="dxa"/>
            <w:vAlign w:val="bottom"/>
            <w:gridSpan w:val="4"/>
          </w:tcPr>
          <w:p>
            <w:pPr>
              <w:spacing w:after="0"/>
              <w:rPr>
                <w:sz w:val="20"/>
                <w:szCs w:val="20"/>
                <w:color w:val="auto"/>
              </w:rPr>
            </w:pPr>
            <w:r>
              <w:rPr>
                <w:rFonts w:ascii="Arial" w:cs="Arial" w:eastAsia="Arial" w:hAnsi="Arial"/>
                <w:sz w:val="14"/>
                <w:szCs w:val="14"/>
                <w:color w:val="auto"/>
              </w:rPr>
              <w:t>Proxy Card</w:t>
            </w:r>
          </w:p>
        </w:tc>
      </w:tr>
      <w:tr>
        <w:trPr>
          <w:trHeight w:val="589"/>
        </w:trPr>
        <w:tc>
          <w:tcPr>
            <w:tcW w:w="4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SIGNATURES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ICON plc</w:t>
      </w:r>
    </w:p>
    <w:p>
      <w:pPr>
        <w:spacing w:after="0" w:line="285" w:lineRule="exact"/>
        <w:rPr>
          <w:sz w:val="20"/>
          <w:szCs w:val="20"/>
          <w:color w:val="auto"/>
        </w:rPr>
      </w:pPr>
    </w:p>
    <w:p>
      <w:pPr>
        <w:spacing w:after="0"/>
        <w:tabs>
          <w:tab w:leader="none" w:pos="6840" w:val="left"/>
        </w:tabs>
        <w:rPr>
          <w:sz w:val="20"/>
          <w:szCs w:val="20"/>
          <w:color w:val="auto"/>
        </w:rPr>
      </w:pPr>
      <w:r>
        <w:rPr>
          <w:rFonts w:ascii="Arial" w:cs="Arial" w:eastAsia="Arial" w:hAnsi="Arial"/>
          <w:sz w:val="14"/>
          <w:szCs w:val="14"/>
          <w:color w:val="auto"/>
        </w:rPr>
        <w:t>Date 17 June 2009</w:t>
      </w:r>
      <w:r>
        <w:rPr>
          <w:sz w:val="20"/>
          <w:szCs w:val="20"/>
          <w:color w:val="auto"/>
        </w:rPr>
        <w:tab/>
      </w:r>
      <w:r>
        <w:rPr>
          <w:rFonts w:ascii="Arial" w:cs="Arial" w:eastAsia="Arial" w:hAnsi="Arial"/>
          <w:sz w:val="12"/>
          <w:szCs w:val="12"/>
          <w:color w:val="auto"/>
        </w:rPr>
        <w:t>/s/ Peter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3810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Peter Gray</w:t>
      </w:r>
    </w:p>
    <w:p>
      <w:pPr>
        <w:ind w:left="68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0600"/>
          </w:cols>
          <w:pgMar w:left="240" w:top="607"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DOCUMENT IS IMPORTANT AND REQUIRES YOUR IMMEDIATE ATTENTION.</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b w:val="1"/>
          <w:bCs w:val="1"/>
          <w:color w:val="auto"/>
        </w:rPr>
        <w:t>If you are in any doubt as to the action to be taken, you should consult with your independent financial adviser who, if you are taking advice in Ireland, is authorised or exempted under the European Communities (Markets in Financial Instruments) Regulations 2007 or the Investment Intermediaries Act, 1995.</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color w:val="auto"/>
        </w:rPr>
        <w:t>If you have sold or transferred your entire holding of ordinary shares in ICON plc (“ICON” or “the Company”), please pass this document, together with the attached proxy form, to the purchaser or transferee, or to the stockbroker, bank or other agent through whom the sale was effected, for transmission to the purchaser or transferee as soon as possible.</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4"/>
          <w:szCs w:val="14"/>
          <w:b w:val="1"/>
          <w:bCs w:val="1"/>
          <w:color w:val="auto"/>
        </w:rPr>
        <w:t>ICON has a secondary listing on The Irish Stock Exchange. For this reason, ICON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ICON PLC</w:t>
      </w:r>
    </w:p>
    <w:p>
      <w:pPr>
        <w:jc w:val="center"/>
        <w:spacing w:after="0"/>
        <w:rPr>
          <w:sz w:val="20"/>
          <w:szCs w:val="20"/>
          <w:color w:val="auto"/>
        </w:rPr>
      </w:pPr>
      <w:r>
        <w:rPr>
          <w:rFonts w:ascii="Arial" w:cs="Arial" w:eastAsia="Arial" w:hAnsi="Arial"/>
          <w:sz w:val="14"/>
          <w:szCs w:val="14"/>
          <w:i w:val="1"/>
          <w:iCs w:val="1"/>
          <w:color w:val="auto"/>
        </w:rPr>
        <w:t>(Incorporated in Ireland with limited liability under the Companies Acts, 1963 to 1986. Registered No. 145835)</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226" w:lineRule="auto"/>
        <w:rPr>
          <w:sz w:val="20"/>
          <w:szCs w:val="20"/>
          <w:color w:val="auto"/>
        </w:rPr>
      </w:pPr>
      <w:r>
        <w:rPr>
          <w:rFonts w:ascii="Arial" w:cs="Arial" w:eastAsia="Arial" w:hAnsi="Arial"/>
          <w:sz w:val="14"/>
          <w:szCs w:val="14"/>
          <w:color w:val="auto"/>
        </w:rPr>
        <w:t>Dr. John Climax (Chairman),</w:t>
      </w:r>
    </w:p>
    <w:p>
      <w:pPr>
        <w:spacing w:after="0" w:line="222" w:lineRule="auto"/>
        <w:rPr>
          <w:sz w:val="20"/>
          <w:szCs w:val="20"/>
          <w:color w:val="auto"/>
        </w:rPr>
      </w:pPr>
      <w:r>
        <w:rPr>
          <w:rFonts w:ascii="Arial" w:cs="Arial" w:eastAsia="Arial" w:hAnsi="Arial"/>
          <w:sz w:val="14"/>
          <w:szCs w:val="14"/>
          <w:color w:val="auto"/>
        </w:rPr>
        <w:t>Peter Gray (Chief Executive Officer),</w:t>
      </w:r>
    </w:p>
    <w:p>
      <w:pPr>
        <w:spacing w:after="0" w:line="221" w:lineRule="auto"/>
        <w:rPr>
          <w:sz w:val="20"/>
          <w:szCs w:val="20"/>
          <w:color w:val="auto"/>
        </w:rPr>
      </w:pPr>
      <w:r>
        <w:rPr>
          <w:rFonts w:ascii="Arial" w:cs="Arial" w:eastAsia="Arial" w:hAnsi="Arial"/>
          <w:sz w:val="14"/>
          <w:szCs w:val="14"/>
          <w:color w:val="auto"/>
        </w:rPr>
        <w:t>Dr. Ronan Lambe*,</w:t>
      </w:r>
    </w:p>
    <w:p>
      <w:pPr>
        <w:spacing w:after="0" w:line="222" w:lineRule="auto"/>
        <w:rPr>
          <w:sz w:val="20"/>
          <w:szCs w:val="20"/>
          <w:color w:val="auto"/>
        </w:rPr>
      </w:pPr>
      <w:r>
        <w:rPr>
          <w:rFonts w:ascii="Arial" w:cs="Arial" w:eastAsia="Arial" w:hAnsi="Arial"/>
          <w:sz w:val="14"/>
          <w:szCs w:val="14"/>
          <w:color w:val="auto"/>
        </w:rPr>
        <w:t>Thomas Lynch *,</w:t>
      </w:r>
    </w:p>
    <w:p>
      <w:pPr>
        <w:spacing w:after="0" w:line="221" w:lineRule="auto"/>
        <w:rPr>
          <w:sz w:val="20"/>
          <w:szCs w:val="20"/>
          <w:color w:val="auto"/>
        </w:rPr>
      </w:pPr>
      <w:r>
        <w:rPr>
          <w:rFonts w:ascii="Arial" w:cs="Arial" w:eastAsia="Arial" w:hAnsi="Arial"/>
          <w:sz w:val="14"/>
          <w:szCs w:val="14"/>
          <w:color w:val="auto"/>
        </w:rPr>
        <w:t>Edward Roberts *,</w:t>
      </w:r>
    </w:p>
    <w:p>
      <w:pPr>
        <w:spacing w:after="0" w:line="222" w:lineRule="auto"/>
        <w:rPr>
          <w:sz w:val="20"/>
          <w:szCs w:val="20"/>
          <w:color w:val="auto"/>
        </w:rPr>
      </w:pPr>
      <w:r>
        <w:rPr>
          <w:rFonts w:ascii="Arial" w:cs="Arial" w:eastAsia="Arial" w:hAnsi="Arial"/>
          <w:sz w:val="14"/>
          <w:szCs w:val="14"/>
          <w:color w:val="auto"/>
        </w:rPr>
        <w:t>Dr. Bruce Given *,</w:t>
      </w:r>
    </w:p>
    <w:p>
      <w:pPr>
        <w:spacing w:after="0" w:line="221" w:lineRule="auto"/>
        <w:rPr>
          <w:sz w:val="20"/>
          <w:szCs w:val="20"/>
          <w:color w:val="auto"/>
        </w:rPr>
      </w:pPr>
      <w:r>
        <w:rPr>
          <w:rFonts w:ascii="Arial" w:cs="Arial" w:eastAsia="Arial" w:hAnsi="Arial"/>
          <w:sz w:val="14"/>
          <w:szCs w:val="14"/>
          <w:color w:val="auto"/>
        </w:rPr>
        <w:t>Professor Dermot Kelleher *,</w:t>
      </w:r>
    </w:p>
    <w:p>
      <w:pPr>
        <w:spacing w:after="0" w:line="221" w:lineRule="auto"/>
        <w:rPr>
          <w:sz w:val="20"/>
          <w:szCs w:val="20"/>
          <w:color w:val="auto"/>
        </w:rPr>
      </w:pPr>
      <w:r>
        <w:rPr>
          <w:rFonts w:ascii="Arial" w:cs="Arial" w:eastAsia="Arial" w:hAnsi="Arial"/>
          <w:sz w:val="14"/>
          <w:szCs w:val="14"/>
          <w:color w:val="auto"/>
        </w:rPr>
        <w:t>Dr. Anthony Murphy *</w:t>
      </w:r>
    </w:p>
    <w:p>
      <w:pPr>
        <w:spacing w:after="0" w:line="1"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Non-Executive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County Business Park,</w:t>
      </w:r>
    </w:p>
    <w:p>
      <w:pPr>
        <w:jc w:val="right"/>
        <w:spacing w:after="0" w:line="221" w:lineRule="auto"/>
        <w:rPr>
          <w:sz w:val="20"/>
          <w:szCs w:val="20"/>
          <w:color w:val="auto"/>
        </w:rPr>
      </w:pPr>
      <w:r>
        <w:rPr>
          <w:rFonts w:ascii="Arial" w:cs="Arial" w:eastAsia="Arial" w:hAnsi="Arial"/>
          <w:sz w:val="14"/>
          <w:szCs w:val="14"/>
          <w:color w:val="auto"/>
        </w:rPr>
        <w:t>Leopardstown,</w:t>
      </w:r>
    </w:p>
    <w:p>
      <w:pPr>
        <w:jc w:val="right"/>
        <w:spacing w:after="0" w:line="221" w:lineRule="auto"/>
        <w:rPr>
          <w:sz w:val="20"/>
          <w:szCs w:val="20"/>
          <w:color w:val="auto"/>
        </w:rPr>
      </w:pPr>
      <w:r>
        <w:rPr>
          <w:rFonts w:ascii="Arial" w:cs="Arial" w:eastAsia="Arial" w:hAnsi="Arial"/>
          <w:sz w:val="14"/>
          <w:szCs w:val="14"/>
          <w:color w:val="auto"/>
        </w:rPr>
        <w:t>Dublin 18,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Ireland.</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10th June, 2009</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To all ICON Shareholders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ANNUAL GENERAL MEETING</w:t>
      </w:r>
    </w:p>
    <w:p>
      <w:pPr>
        <w:jc w:val="center"/>
        <w:spacing w:after="0" w:line="226" w:lineRule="auto"/>
        <w:rPr>
          <w:sz w:val="20"/>
          <w:szCs w:val="20"/>
          <w:color w:val="auto"/>
        </w:rPr>
      </w:pPr>
      <w:r>
        <w:rPr>
          <w:rFonts w:ascii="Arial" w:cs="Arial" w:eastAsia="Arial" w:hAnsi="Arial"/>
          <w:sz w:val="14"/>
          <w:szCs w:val="14"/>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ICON PLC</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I am writing to you to outline the background to the Resolutions to be proposed at the forthcoming Annual General Meeting of ICON plc (“AGM”), each of which the Board of Directors (“Board” or the “Directors”) is recommending you approve.</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Your attention is drawn to the notice of AGM set out on page 5 of this document, which will be held at ICON plc Headquarters, South County Business Park, Leopardstown, Dublin 18, Ireland on the 20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of July, 2009 at 8.30 a.m.</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Resolutions 1-5 in the enclosed notice set out the usual business to be transacted at the AGM. Resolution 4 pertains to the proposed re-election of Dr. Anthony Murphy to the Board and I include some background information regarding Dr. Murphy’s appointment in the following paragraph. In addition, your Board proposes, as special business, Resolutions 6-8, which are summarised below.</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4 – Background information regarding proposed re-election of Dr. Anthony Murphy</w:t>
      </w:r>
    </w:p>
    <w:p>
      <w:pPr>
        <w:spacing w:after="0" w:line="15" w:lineRule="exact"/>
        <w:rPr>
          <w:sz w:val="20"/>
          <w:szCs w:val="20"/>
          <w:color w:val="auto"/>
        </w:rPr>
      </w:pPr>
    </w:p>
    <w:p>
      <w:pPr>
        <w:jc w:val="both"/>
        <w:spacing w:after="0" w:line="214" w:lineRule="auto"/>
        <w:rPr>
          <w:sz w:val="20"/>
          <w:szCs w:val="20"/>
          <w:color w:val="auto"/>
        </w:rPr>
      </w:pPr>
      <w:r>
        <w:rPr>
          <w:rFonts w:ascii="Arial" w:cs="Arial" w:eastAsia="Arial" w:hAnsi="Arial"/>
          <w:sz w:val="14"/>
          <w:szCs w:val="14"/>
          <w:color w:val="auto"/>
        </w:rPr>
        <w:t>On 24</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April 2009, Dr. Anthony Murphy was appointed to the Board of ICON plc as a non-executive director. Dr. Murphy was appointed unanimously by ICON’s Board of Directors and, in accordance with the Company’s Articles of Association, stands for re-election by ICON’s shareholders at the AGM. Dr. Murphy recently retired his position as Senior Vice President, Human Resources, at Eli Lilly and Company, where he had a distinguished career which spanned almost thirty years. He previously held a variety of senior personnel positions for the sales and marketing, administration and manufacturing operations of Eli Lilly Europe, North America and Japan. Prior to joining Eli Lilly, he lectured in industrial relations and worked as a consultant and researcher at the University of Bath, England. He is a fellow of the Institute of Personnel and Development (U.K.) and a Chartered Psychologist.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Resolution 6 – General authority to allot shares</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Resolution 6 proposes to give the Directors a general authority under Section 20 of the Companies (Amendment) Act, 1983 for a period of 1 year to allot shares up to an amount equal to the present authorised but unissued share capital of the Company. The Company requests this authority annually.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7 - The dis-application of statutory pre-emption rights</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Resolution 7 will give the Directors power under Section 24 of the Companies (Amendment) Act, 1983 to allot shares for cash without first offering them to holders of Ordinary Shares pro-rata to their respective shareholdings. Resolution 7 is conditional upon the passing of Resolution 6 and follows the established best practice of renewing such authority on an annual basis. The Company requests this authority annually.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Resolution 8 – Authorisation of Market Purchases of the Company’s Shares and Re-issue of Treasury Shares</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Resolution 8 proposes to authorise the Company or any of its subsidiaries to purchase up to 10% of the Company’s shares on the market. This authority will expire on the earlier of the date of the Annual General Meeting for 2009 or 18 months from the date of the passing of the Resolution. The Directors do not have any current intention of exercising the Company’s authority to purchase its own shares and would only do so following careful consideration and at price levels which the Directors consider to be in the best interests of Shareholders generally.</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Under the terms of Resolution 8, the minimum price which may be paid for any of the Company’s own shares is an amount equal to the nominal value of the shares and the maximum price which may be paid is up to an amount equal to 105% of the then average market price of the shares.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Resolution 8 also provides that where the Company shares have been purchased or redeemed and are held as Treasury Shares these shares may be re-issued off market at a maximum price of 120% of the Market Price (as defined in the Resolution) and the minimum price of 95% of the Market Price. The determination of the re-issued price range will expire on the earlier of the date of the Annual General Meeting 2009 or 18 months from the date of the passing of the Resolution. Again this resolution is proposed annually.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ACTION</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 xml:space="preserve">A Form of Proxy for use at the AGM is attached. You are requested to complete, sign and return the Form of Proxy as soon as possible whether or not you propose to attend the meeting in person. To be effective, the Form of Proxy duly completed and signed together with any authority under which it is executed must be deposited with the Company’s Depositary </w:t>
      </w:r>
      <w:r>
        <w:rPr>
          <w:rFonts w:ascii="Arial" w:cs="Arial" w:eastAsia="Arial" w:hAnsi="Arial"/>
          <w:sz w:val="13"/>
          <w:szCs w:val="13"/>
          <w:b w:val="1"/>
          <w:bCs w:val="1"/>
          <w:color w:val="auto"/>
        </w:rPr>
        <w:t>BNYM</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4"/>
          <w:szCs w:val="14"/>
          <w:b w:val="1"/>
          <w:bCs w:val="1"/>
          <w:color w:val="auto"/>
        </w:rPr>
        <w:t>Shareholder Services, PO box 3549, S Hackensack NJ 07606-9249 as of 5.00 pm on 10</w:t>
      </w:r>
      <w:r>
        <w:rPr>
          <w:rFonts w:ascii="Arial" w:cs="Arial" w:eastAsia="Arial" w:hAnsi="Arial"/>
          <w:sz w:val="20"/>
          <w:szCs w:val="20"/>
          <w:b w:val="1"/>
          <w:bCs w:val="1"/>
          <w:color w:val="auto"/>
          <w:vertAlign w:val="superscript"/>
        </w:rPr>
        <w:t>th</w:t>
      </w:r>
      <w:r>
        <w:rPr>
          <w:rFonts w:ascii="Arial" w:cs="Arial" w:eastAsia="Arial" w:hAnsi="Arial"/>
          <w:sz w:val="14"/>
          <w:szCs w:val="14"/>
          <w:b w:val="1"/>
          <w:bCs w:val="1"/>
          <w:color w:val="auto"/>
        </w:rPr>
        <w:t xml:space="preserve"> July, 2009. </w:t>
      </w:r>
      <w:r>
        <w:rPr>
          <w:rFonts w:ascii="Arial" w:cs="Arial" w:eastAsia="Arial" w:hAnsi="Arial"/>
          <w:sz w:val="14"/>
          <w:szCs w:val="14"/>
          <w:color w:val="auto"/>
        </w:rPr>
        <w:t>The completion and lodging of the Form of Proxy will not prevent you from attending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should you so wish.</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RECOMMENDATION</w:t>
      </w:r>
    </w:p>
    <w:p>
      <w:pPr>
        <w:spacing w:after="0" w:line="4"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Your Board believes that the Resolutions to be proposed at the AGM are in the best interests of the Company and its Shareholders as a whole. Accordingly, your Directors unanimously recommend that you vote in favour of the Resolutions as they intend to do so themselves in respect of all the Ordinary Shares held or beneficially owned by them amounting in total to 4,293,244 Ordinary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Shares on 31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May 2009, representing approximately 7.3% of the issued ordinary share capital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158115</wp:posOffset>
            </wp:positionV>
            <wp:extent cx="1792605" cy="934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26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Dr. John Climax,</w:t>
      </w:r>
    </w:p>
    <w:p>
      <w:pPr>
        <w:jc w:val="center"/>
        <w:spacing w:after="0"/>
        <w:rPr>
          <w:sz w:val="20"/>
          <w:szCs w:val="20"/>
          <w:color w:val="auto"/>
        </w:rPr>
      </w:pPr>
      <w:r>
        <w:rPr>
          <w:rFonts w:ascii="Arial" w:cs="Arial" w:eastAsia="Arial" w:hAnsi="Arial"/>
          <w:sz w:val="14"/>
          <w:szCs w:val="14"/>
          <w:color w:val="auto"/>
        </w:rPr>
        <w:t>Chairman</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u w:val="single" w:color="auto"/>
          <w:color w:val="auto"/>
        </w:rPr>
        <w:t>NOTICE OF ANNUAL GENERAL MEETING</w:t>
      </w:r>
    </w:p>
    <w:p>
      <w:pPr>
        <w:spacing w:after="0" w:line="250" w:lineRule="exact"/>
        <w:rPr>
          <w:sz w:val="20"/>
          <w:szCs w:val="20"/>
          <w:color w:val="auto"/>
        </w:rPr>
      </w:pPr>
    </w:p>
    <w:p>
      <w:pPr>
        <w:spacing w:after="0" w:line="210" w:lineRule="auto"/>
        <w:rPr>
          <w:sz w:val="20"/>
          <w:szCs w:val="20"/>
          <w:color w:val="auto"/>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is hereby given that the Annual General Meeting of the Company will be held at ICON plc Headquarters, South County Business Park, Leopardstown, Dublin 18, Ireland on 20</w:t>
      </w:r>
      <w:r>
        <w:rPr>
          <w:rFonts w:ascii="Arial" w:cs="Arial" w:eastAsia="Arial" w:hAnsi="Arial"/>
          <w:sz w:val="20"/>
          <w:szCs w:val="20"/>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w:t>
      </w:r>
      <w:r>
        <w:rPr>
          <w:rFonts w:ascii="Arial" w:cs="Arial" w:eastAsia="Arial" w:hAnsi="Arial"/>
          <w:sz w:val="14"/>
          <w:szCs w:val="14"/>
          <w:b w:val="1"/>
          <w:bCs w:val="1"/>
          <w:color w:val="auto"/>
        </w:rPr>
        <w:t xml:space="preserve"> </w:t>
      </w:r>
      <w:r>
        <w:rPr>
          <w:rFonts w:ascii="Arial" w:cs="Arial" w:eastAsia="Arial" w:hAnsi="Arial"/>
          <w:sz w:val="14"/>
          <w:szCs w:val="14"/>
          <w:color w:val="auto"/>
        </w:rPr>
        <w:t>July, 2009 at 8.30 a.m.</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BUSINESS</w:t>
      </w:r>
    </w:p>
    <w:p>
      <w:pPr>
        <w:spacing w:after="0" w:line="17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9"/>
          <w:szCs w:val="29"/>
          <w:color w:val="auto"/>
          <w:vertAlign w:val="superscript"/>
        </w:rPr>
      </w:pPr>
      <w:r>
        <w:rPr>
          <w:rFonts w:ascii="Arial" w:cs="Arial" w:eastAsia="Arial" w:hAnsi="Arial"/>
          <w:sz w:val="14"/>
          <w:szCs w:val="14"/>
          <w:color w:val="auto"/>
        </w:rPr>
        <w:t>To receive and consider the accounts for the year ended 31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December, 2008 and the reports of the Directors and auditors thereon.</w:t>
      </w:r>
    </w:p>
    <w:p>
      <w:pPr>
        <w:spacing w:after="0" w:line="140" w:lineRule="exact"/>
        <w:rPr>
          <w:rFonts w:ascii="Arial" w:cs="Arial" w:eastAsia="Arial" w:hAnsi="Arial"/>
          <w:sz w:val="29"/>
          <w:szCs w:val="29"/>
          <w:color w:val="auto"/>
          <w:vertAlign w:val="superscript"/>
        </w:rPr>
      </w:pPr>
    </w:p>
    <w:p>
      <w:pPr>
        <w:ind w:left="660" w:hanging="652"/>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re-elect Dr. Ronan Lambe who retires as a Director in accordance with the Articles of Association of the Company and, being eligible, offers himself for re-election.</w:t>
      </w:r>
    </w:p>
    <w:p>
      <w:pPr>
        <w:spacing w:after="0" w:line="230" w:lineRule="exact"/>
        <w:rPr>
          <w:rFonts w:ascii="Arial" w:cs="Arial" w:eastAsia="Arial" w:hAnsi="Arial"/>
          <w:sz w:val="14"/>
          <w:szCs w:val="14"/>
          <w:color w:val="auto"/>
        </w:rPr>
      </w:pPr>
    </w:p>
    <w:p>
      <w:pPr>
        <w:ind w:left="660" w:hanging="652"/>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re-elect Mr. Peter Gray who retires as a Director in accordance with the Articles of Association of the Company and, being eligible, offers himself for re-election.</w:t>
      </w:r>
    </w:p>
    <w:p>
      <w:pPr>
        <w:spacing w:after="0" w:line="230" w:lineRule="exact"/>
        <w:rPr>
          <w:rFonts w:ascii="Arial" w:cs="Arial" w:eastAsia="Arial" w:hAnsi="Arial"/>
          <w:sz w:val="14"/>
          <w:szCs w:val="14"/>
          <w:color w:val="auto"/>
        </w:rPr>
      </w:pPr>
    </w:p>
    <w:p>
      <w:pPr>
        <w:ind w:left="660" w:hanging="652"/>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re-elect Dr. Anthony Murphy who, having been appointed as a director, retires in accordance with the Articles of Association of the Company and, being eligible, offers himself for re-election to a full term on the board.</w:t>
      </w:r>
    </w:p>
    <w:p>
      <w:pPr>
        <w:spacing w:after="0" w:line="200" w:lineRule="exact"/>
        <w:rPr>
          <w:rFonts w:ascii="Arial" w:cs="Arial" w:eastAsia="Arial" w:hAnsi="Arial"/>
          <w:sz w:val="14"/>
          <w:szCs w:val="14"/>
          <w:color w:val="auto"/>
        </w:rPr>
      </w:pPr>
    </w:p>
    <w:p>
      <w:pPr>
        <w:ind w:left="660" w:hanging="652"/>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authorise the Directors to fix the remuneration of the auditors.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BUSINESS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To consider and, if thought fit, pass the following Resolutions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As an ordinary resolution:</w:t>
      </w:r>
    </w:p>
    <w:p>
      <w:pPr>
        <w:spacing w:after="0" w:line="231" w:lineRule="exact"/>
        <w:rPr>
          <w:sz w:val="20"/>
          <w:szCs w:val="20"/>
          <w:color w:val="auto"/>
        </w:rPr>
      </w:pPr>
    </w:p>
    <w:p>
      <w:pPr>
        <w:jc w:val="both"/>
        <w:ind w:left="660" w:hanging="183"/>
        <w:spacing w:after="0" w:line="256"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“That the Directors be and are hereby generally and unconditionally authorised to exercise all the powers of the Company to allot relevant securities (within the meaning of Section 20 of the Companies (Amendment) Act, 1983) up to an aggregate nominal amount not exceeding the present authorised unissued capital of the Company; provided that this authority shall expire at the conclusion of the next annual general meeting of the Company,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As special resolutions:</w:t>
      </w:r>
    </w:p>
    <w:p>
      <w:pPr>
        <w:spacing w:after="0" w:line="231" w:lineRule="exact"/>
        <w:rPr>
          <w:sz w:val="20"/>
          <w:szCs w:val="20"/>
          <w:color w:val="auto"/>
        </w:rPr>
      </w:pPr>
    </w:p>
    <w:p>
      <w:pPr>
        <w:jc w:val="both"/>
        <w:ind w:left="660" w:hanging="183"/>
        <w:spacing w:after="0" w:line="256"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“That, subject to the passing of Resolution 6, the Directors be and are hereby empowered pursuant to Section 24 of the Companies (Amendment) Act, 1983 to allot equity securities (as defined in Section 23 of that Act) as if the provisions of sub-section (1) of the said Section 23 did not apply to any such allotment; provided that this exclusion of the applicability of section 23(1) of the Companies (Amendment) Act, 1983 shall expire at the conclusion of the next annual general meeting of the Company save that if before such expiry the Company has offered or agreed to allot equity securities, those equity securities may be allotted pursuant to such offer or agreement as if the exclusion contained herein had not expired.”</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ind w:left="183" w:right="20" w:hanging="183"/>
        <w:spacing w:after="0" w:line="253" w:lineRule="auto"/>
        <w:tabs>
          <w:tab w:leader="none" w:pos="183" w:val="left"/>
        </w:tabs>
        <w:numPr>
          <w:ilvl w:val="0"/>
          <w:numId w:val="5"/>
        </w:numPr>
        <w:rPr>
          <w:rFonts w:ascii="Arial" w:cs="Arial" w:eastAsia="Arial" w:hAnsi="Arial"/>
          <w:sz w:val="14"/>
          <w:szCs w:val="14"/>
          <w:color w:val="auto"/>
        </w:rPr>
      </w:pPr>
      <w:r>
        <w:rPr>
          <w:rFonts w:ascii="Arial" w:cs="Arial" w:eastAsia="Arial" w:hAnsi="Arial"/>
          <w:sz w:val="14"/>
          <w:szCs w:val="14"/>
          <w:color w:val="auto"/>
        </w:rPr>
        <w:t>“That subject to and for the purposes of the Companies Act, 1990, the Company and/or any of its subsidiaries be and are hereby generally authorised to make market purchase of Shares of any class of the Company on such terms and conditions and in such manner as the Directors may from time to time determine, but so that:</w:t>
      </w:r>
    </w:p>
    <w:p>
      <w:pPr>
        <w:spacing w:after="0" w:line="200" w:lineRule="exact"/>
        <w:rPr>
          <w:rFonts w:ascii="Arial" w:cs="Arial" w:eastAsia="Arial" w:hAnsi="Arial"/>
          <w:sz w:val="14"/>
          <w:szCs w:val="14"/>
          <w:color w:val="auto"/>
        </w:rPr>
      </w:pPr>
    </w:p>
    <w:p>
      <w:pPr>
        <w:ind w:left="823" w:hanging="657"/>
        <w:spacing w:after="0" w:line="291" w:lineRule="auto"/>
        <w:tabs>
          <w:tab w:leader="none" w:pos="823"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 maximum number of shares authorised to be purchased under this resolution shall be such number of shares whose aggregate nominal value shall not exceed 10 per cent of the aggregate nominal value of the issued share capital of the Company as at the commencement of business on the day of the passing of this resolution;</w:t>
      </w:r>
    </w:p>
    <w:p>
      <w:pPr>
        <w:spacing w:after="0" w:line="177" w:lineRule="exact"/>
        <w:rPr>
          <w:rFonts w:ascii="Arial" w:cs="Arial" w:eastAsia="Arial" w:hAnsi="Arial"/>
          <w:sz w:val="13"/>
          <w:szCs w:val="13"/>
          <w:color w:val="auto"/>
        </w:rPr>
      </w:pPr>
    </w:p>
    <w:p>
      <w:pPr>
        <w:ind w:left="823" w:hanging="657"/>
        <w:spacing w:after="0"/>
        <w:tabs>
          <w:tab w:leader="none" w:pos="823"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minimum price which may be paid for any share is an amount equal to its nominal value; and</w:t>
      </w:r>
    </w:p>
    <w:p>
      <w:pPr>
        <w:spacing w:after="0" w:line="230" w:lineRule="exact"/>
        <w:rPr>
          <w:rFonts w:ascii="Arial" w:cs="Arial" w:eastAsia="Arial" w:hAnsi="Arial"/>
          <w:sz w:val="14"/>
          <w:szCs w:val="14"/>
          <w:color w:val="auto"/>
        </w:rPr>
      </w:pPr>
    </w:p>
    <w:p>
      <w:pPr>
        <w:ind w:left="823" w:hanging="657"/>
        <w:spacing w:after="0"/>
        <w:tabs>
          <w:tab w:leader="none" w:pos="823"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maximum price which may be paid for any share is an amount equal to 105 per cent of the Market Price (as hereafter defined) on the day of purchase</w:t>
      </w:r>
    </w:p>
    <w:p>
      <w:pPr>
        <w:spacing w:after="0" w:line="231" w:lineRule="exact"/>
        <w:rPr>
          <w:sz w:val="20"/>
          <w:szCs w:val="20"/>
          <w:color w:val="auto"/>
        </w:rPr>
      </w:pPr>
    </w:p>
    <w:p>
      <w:pPr>
        <w:jc w:val="both"/>
        <w:ind w:left="183"/>
        <w:spacing w:after="0" w:line="253" w:lineRule="auto"/>
        <w:rPr>
          <w:sz w:val="20"/>
          <w:szCs w:val="20"/>
          <w:color w:val="auto"/>
        </w:rPr>
      </w:pPr>
      <w:r>
        <w:rPr>
          <w:rFonts w:ascii="Arial" w:cs="Arial" w:eastAsia="Arial" w:hAnsi="Arial"/>
          <w:sz w:val="14"/>
          <w:szCs w:val="14"/>
          <w:color w:val="auto"/>
        </w:rPr>
        <w:t>and the price range within which any shares purchased or redeemed and held as treasury shares, within the meaning of Section 209 of the Companies Act, 1990, may be re-issued off-market is from 95 to 120 per cent of the Market Price on the day of re-issue.</w:t>
      </w:r>
    </w:p>
    <w:p>
      <w:pPr>
        <w:spacing w:after="0" w:line="201" w:lineRule="exact"/>
        <w:rPr>
          <w:sz w:val="20"/>
          <w:szCs w:val="20"/>
          <w:color w:val="auto"/>
        </w:rPr>
      </w:pPr>
    </w:p>
    <w:p>
      <w:pPr>
        <w:ind w:left="183"/>
        <w:spacing w:after="0"/>
        <w:rPr>
          <w:sz w:val="20"/>
          <w:szCs w:val="20"/>
          <w:color w:val="auto"/>
        </w:rPr>
      </w:pPr>
      <w:r>
        <w:rPr>
          <w:rFonts w:ascii="Arial" w:cs="Arial" w:eastAsia="Arial" w:hAnsi="Arial"/>
          <w:sz w:val="14"/>
          <w:szCs w:val="14"/>
          <w:color w:val="auto"/>
        </w:rPr>
        <w:t>For the purpose of this resolution:</w:t>
      </w:r>
    </w:p>
    <w:p>
      <w:pPr>
        <w:spacing w:after="0" w:line="231" w:lineRule="exact"/>
        <w:rPr>
          <w:sz w:val="20"/>
          <w:szCs w:val="20"/>
          <w:color w:val="auto"/>
        </w:rPr>
      </w:pPr>
    </w:p>
    <w:p>
      <w:pPr>
        <w:ind w:left="183"/>
        <w:spacing w:after="0"/>
        <w:rPr>
          <w:sz w:val="20"/>
          <w:szCs w:val="20"/>
          <w:color w:val="auto"/>
        </w:rPr>
      </w:pPr>
      <w:r>
        <w:rPr>
          <w:rFonts w:ascii="Arial" w:cs="Arial" w:eastAsia="Arial" w:hAnsi="Arial"/>
          <w:sz w:val="14"/>
          <w:szCs w:val="14"/>
          <w:color w:val="auto"/>
        </w:rPr>
        <w:t>the Market Price of any shares on a particular day means the higher of:</w:t>
      </w:r>
    </w:p>
    <w:p>
      <w:pPr>
        <w:spacing w:after="0" w:line="231" w:lineRule="exact"/>
        <w:rPr>
          <w:sz w:val="20"/>
          <w:szCs w:val="20"/>
          <w:color w:val="auto"/>
        </w:rPr>
      </w:pPr>
    </w:p>
    <w:p>
      <w:pPr>
        <w:ind w:left="823"/>
        <w:spacing w:after="0"/>
        <w:rPr>
          <w:sz w:val="20"/>
          <w:szCs w:val="20"/>
          <w:color w:val="auto"/>
        </w:rPr>
      </w:pPr>
      <w:r>
        <w:rPr>
          <w:rFonts w:ascii="Arial" w:cs="Arial" w:eastAsia="Arial" w:hAnsi="Arial"/>
          <w:sz w:val="14"/>
          <w:szCs w:val="14"/>
          <w:color w:val="auto"/>
        </w:rPr>
        <w:t>the average middle market price (if there is one) derived from the List (as hereafter defined); and</w:t>
      </w:r>
    </w:p>
    <w:p>
      <w:pPr>
        <w:spacing w:after="0" w:line="231" w:lineRule="exact"/>
        <w:rPr>
          <w:sz w:val="20"/>
          <w:szCs w:val="20"/>
          <w:color w:val="auto"/>
        </w:rPr>
      </w:pPr>
    </w:p>
    <w:p>
      <w:pPr>
        <w:ind w:left="823"/>
        <w:spacing w:after="0"/>
        <w:rPr>
          <w:sz w:val="20"/>
          <w:szCs w:val="20"/>
          <w:color w:val="auto"/>
        </w:rPr>
      </w:pPr>
      <w:r>
        <w:rPr>
          <w:rFonts w:ascii="Arial" w:cs="Arial" w:eastAsia="Arial" w:hAnsi="Arial"/>
          <w:sz w:val="14"/>
          <w:szCs w:val="14"/>
          <w:color w:val="auto"/>
        </w:rPr>
        <w:t>the average Current Price (as hereafter defined) on the immediately preceding five business days;</w:t>
      </w:r>
    </w:p>
    <w:p>
      <w:pPr>
        <w:spacing w:after="0" w:line="231" w:lineRule="exact"/>
        <w:rPr>
          <w:sz w:val="20"/>
          <w:szCs w:val="20"/>
          <w:color w:val="auto"/>
        </w:rPr>
      </w:pPr>
    </w:p>
    <w:p>
      <w:pPr>
        <w:jc w:val="both"/>
        <w:ind w:left="183"/>
        <w:spacing w:after="0" w:line="238" w:lineRule="auto"/>
        <w:rPr>
          <w:sz w:val="20"/>
          <w:szCs w:val="20"/>
          <w:color w:val="auto"/>
        </w:rPr>
      </w:pPr>
      <w:r>
        <w:rPr>
          <w:rFonts w:ascii="Arial" w:cs="Arial" w:eastAsia="Arial" w:hAnsi="Arial"/>
          <w:sz w:val="14"/>
          <w:szCs w:val="14"/>
          <w:color w:val="auto"/>
        </w:rPr>
        <w:t>the Current Price on a particular day means the closing quotation price as published in the List or (for a day on which there was no dealing in such shares on the Stock Exchange) the mid-point between the high and low market guide prices as published in the List or (if there is only one such market guide price published) the market guide price so published whether it is the high or the low market guide price;</w:t>
      </w:r>
    </w:p>
    <w:p>
      <w:pPr>
        <w:spacing w:after="0" w:line="210" w:lineRule="exact"/>
        <w:rPr>
          <w:sz w:val="20"/>
          <w:szCs w:val="20"/>
          <w:color w:val="auto"/>
        </w:rPr>
      </w:pPr>
    </w:p>
    <w:p>
      <w:pPr>
        <w:ind w:left="183"/>
        <w:spacing w:after="0"/>
        <w:rPr>
          <w:sz w:val="20"/>
          <w:szCs w:val="20"/>
          <w:color w:val="auto"/>
        </w:rPr>
      </w:pPr>
      <w:r>
        <w:rPr>
          <w:rFonts w:ascii="Arial" w:cs="Arial" w:eastAsia="Arial" w:hAnsi="Arial"/>
          <w:sz w:val="14"/>
          <w:szCs w:val="14"/>
          <w:color w:val="auto"/>
        </w:rPr>
        <w:t>the List means the Irish Stock Exchange Daily Official List; and</w:t>
      </w:r>
    </w:p>
    <w:p>
      <w:pPr>
        <w:spacing w:after="0" w:line="231" w:lineRule="exact"/>
        <w:rPr>
          <w:sz w:val="20"/>
          <w:szCs w:val="20"/>
          <w:color w:val="auto"/>
        </w:rPr>
      </w:pPr>
    </w:p>
    <w:p>
      <w:pPr>
        <w:ind w:left="183"/>
        <w:spacing w:after="0"/>
        <w:rPr>
          <w:sz w:val="20"/>
          <w:szCs w:val="20"/>
          <w:color w:val="auto"/>
        </w:rPr>
      </w:pPr>
      <w:r>
        <w:rPr>
          <w:rFonts w:ascii="Arial" w:cs="Arial" w:eastAsia="Arial" w:hAnsi="Arial"/>
          <w:sz w:val="14"/>
          <w:szCs w:val="14"/>
          <w:color w:val="auto"/>
        </w:rPr>
        <w:t>the Stock Exchange means The Irish Stock Exchange Limited.</w:t>
      </w:r>
    </w:p>
    <w:p>
      <w:pPr>
        <w:spacing w:after="0" w:line="246" w:lineRule="exact"/>
        <w:rPr>
          <w:sz w:val="20"/>
          <w:szCs w:val="20"/>
          <w:color w:val="auto"/>
        </w:rPr>
      </w:pPr>
    </w:p>
    <w:p>
      <w:pPr>
        <w:jc w:val="both"/>
        <w:ind w:left="183"/>
        <w:spacing w:after="0" w:line="204" w:lineRule="auto"/>
        <w:rPr>
          <w:sz w:val="20"/>
          <w:szCs w:val="20"/>
          <w:color w:val="auto"/>
        </w:rPr>
      </w:pPr>
      <w:r>
        <w:rPr>
          <w:rFonts w:ascii="Arial" w:cs="Arial" w:eastAsia="Arial" w:hAnsi="Arial"/>
          <w:sz w:val="14"/>
          <w:szCs w:val="14"/>
          <w:color w:val="auto"/>
        </w:rPr>
        <w:t>The authority hereby conferred shall expire at the conclusion of the next Annual General Meeting of the Company or (if earlier) on the 20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January, 2011</w:t>
      </w:r>
      <w:r>
        <w:rPr>
          <w:rFonts w:ascii="Arial" w:cs="Arial" w:eastAsia="Arial" w:hAnsi="Arial"/>
          <w:sz w:val="14"/>
          <w:szCs w:val="14"/>
          <w:b w:val="1"/>
          <w:bCs w:val="1"/>
          <w:color w:val="auto"/>
        </w:rPr>
        <w:t>,</w:t>
      </w:r>
      <w:r>
        <w:rPr>
          <w:rFonts w:ascii="Arial" w:cs="Arial" w:eastAsia="Arial" w:hAnsi="Arial"/>
          <w:sz w:val="14"/>
          <w:szCs w:val="14"/>
          <w:color w:val="auto"/>
        </w:rPr>
        <w:t xml:space="preserve"> unless previously varied, revoked or renewed.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62865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3"/>
          </w:cols>
          <w:pgMar w:left="717" w:top="607"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By the Order of the Board.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221" w:lineRule="auto"/>
        <w:rPr>
          <w:sz w:val="20"/>
          <w:szCs w:val="20"/>
          <w:color w:val="auto"/>
        </w:rPr>
      </w:pPr>
      <w:r>
        <w:rPr>
          <w:rFonts w:ascii="Arial" w:cs="Arial" w:eastAsia="Arial" w:hAnsi="Arial"/>
          <w:sz w:val="14"/>
          <w:szCs w:val="14"/>
          <w:color w:val="auto"/>
        </w:rPr>
        <w:t>Secretary</w:t>
      </w:r>
    </w:p>
    <w:p>
      <w:pPr>
        <w:spacing w:after="0" w:line="221" w:lineRule="auto"/>
        <w:rPr>
          <w:sz w:val="20"/>
          <w:szCs w:val="20"/>
          <w:color w:val="auto"/>
        </w:rPr>
      </w:pPr>
      <w:r>
        <w:rPr>
          <w:rFonts w:ascii="Arial" w:cs="Arial" w:eastAsia="Arial" w:hAnsi="Arial"/>
          <w:sz w:val="14"/>
          <w:szCs w:val="14"/>
          <w:color w:val="auto"/>
        </w:rPr>
        <w:t>Registered Office:</w:t>
      </w:r>
    </w:p>
    <w:p>
      <w:pPr>
        <w:spacing w:after="0" w:line="222" w:lineRule="auto"/>
        <w:rPr>
          <w:sz w:val="20"/>
          <w:szCs w:val="20"/>
          <w:color w:val="auto"/>
        </w:rPr>
      </w:pPr>
      <w:r>
        <w:rPr>
          <w:rFonts w:ascii="Arial" w:cs="Arial" w:eastAsia="Arial" w:hAnsi="Arial"/>
          <w:sz w:val="14"/>
          <w:szCs w:val="14"/>
          <w:color w:val="auto"/>
        </w:rPr>
        <w:t>South County Business Park,</w:t>
      </w:r>
    </w:p>
    <w:p>
      <w:pPr>
        <w:spacing w:after="0" w:line="221" w:lineRule="auto"/>
        <w:rPr>
          <w:sz w:val="20"/>
          <w:szCs w:val="20"/>
          <w:color w:val="auto"/>
        </w:rPr>
      </w:pPr>
      <w:r>
        <w:rPr>
          <w:rFonts w:ascii="Arial" w:cs="Arial" w:eastAsia="Arial" w:hAnsi="Arial"/>
          <w:sz w:val="14"/>
          <w:szCs w:val="14"/>
          <w:color w:val="auto"/>
        </w:rPr>
        <w:t>Leopardstown,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10th June, 2009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Notes to the Proxy Card</w:t>
      </w:r>
    </w:p>
    <w:p>
      <w:pPr>
        <w:spacing w:after="0" w:line="235" w:lineRule="exact"/>
        <w:rPr>
          <w:sz w:val="20"/>
          <w:szCs w:val="20"/>
          <w:color w:val="auto"/>
        </w:rPr>
      </w:pPr>
    </w:p>
    <w:p>
      <w:pPr>
        <w:ind w:left="660" w:hanging="652"/>
        <w:spacing w:after="0" w:line="25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member entitled to attend and vote at the Annual General Meeting is entitled to appoint a proxy as an alternative to attend, speak and vote instead of him/her. A proxy need not be a member of the Company. The deposit of an instrument of proxy will not preclude a member from attending the meeting should they so wish.</w:t>
      </w:r>
    </w:p>
    <w:p>
      <w:pPr>
        <w:spacing w:after="0" w:line="201"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A Form of Proxy is enclosed with this notice. To be effective, the Form of Proxy duly completed and signed together with any authority under which it is executed must be deposited with the Company’s Depositary </w:t>
      </w:r>
      <w:r>
        <w:rPr>
          <w:rFonts w:ascii="Arial" w:cs="Arial" w:eastAsia="Arial" w:hAnsi="Arial"/>
          <w:sz w:val="14"/>
          <w:szCs w:val="14"/>
          <w:b w:val="1"/>
          <w:bCs w:val="1"/>
          <w:color w:val="auto"/>
        </w:rPr>
        <w:t>BNYM Shareholder Services, PO box 3549, S Hackensack NJ 07606-9249 as of 5.00 pm on 10</w:t>
      </w:r>
      <w:r>
        <w:rPr>
          <w:rFonts w:ascii="Arial" w:cs="Arial" w:eastAsia="Arial" w:hAnsi="Arial"/>
          <w:sz w:val="20"/>
          <w:szCs w:val="20"/>
          <w:b w:val="1"/>
          <w:bCs w:val="1"/>
          <w:color w:val="auto"/>
          <w:vertAlign w:val="superscript"/>
        </w:rPr>
        <w:t>th</w:t>
      </w:r>
      <w:r>
        <w:rPr>
          <w:rFonts w:ascii="Arial" w:cs="Arial" w:eastAsia="Arial" w:hAnsi="Arial"/>
          <w:sz w:val="14"/>
          <w:szCs w:val="14"/>
          <w:color w:val="auto"/>
        </w:rPr>
        <w:t xml:space="preserve"> </w:t>
      </w:r>
      <w:r>
        <w:rPr>
          <w:rFonts w:ascii="Arial" w:cs="Arial" w:eastAsia="Arial" w:hAnsi="Arial"/>
          <w:sz w:val="14"/>
          <w:szCs w:val="14"/>
          <w:b w:val="1"/>
          <w:bCs w:val="1"/>
          <w:color w:val="auto"/>
        </w:rPr>
        <w:t>July, 2009</w:t>
      </w:r>
    </w:p>
    <w:p>
      <w:pPr>
        <w:spacing w:after="0" w:line="11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case of a corporation, the form of proxy must be either executed under seal or signed on its behalf by an officer or attorney duly authorised.</w:t>
      </w:r>
    </w:p>
    <w:p>
      <w:pPr>
        <w:spacing w:after="0" w:line="231" w:lineRule="exact"/>
        <w:rPr>
          <w:sz w:val="20"/>
          <w:szCs w:val="20"/>
          <w:color w:val="auto"/>
        </w:rPr>
      </w:pPr>
    </w:p>
    <w:p>
      <w:pPr>
        <w:ind w:left="660" w:hanging="652"/>
        <w:spacing w:after="0" w:line="25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case of joint holders, the vote of the senior who tenders a vote, whether in person or by proxy, will be accepted to the exclusion of the votes of the other registered holder(s) and, for this purpose, seniority will be determined by the order in which the names stand in the register of members of the Company.</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ind w:left="10700"/>
        <w:spacing w:after="0"/>
        <w:rPr>
          <w:sz w:val="20"/>
          <w:szCs w:val="20"/>
          <w:color w:val="auto"/>
        </w:rPr>
      </w:pPr>
      <w:r>
        <w:rPr>
          <w:rFonts w:ascii="Arial" w:cs="Arial" w:eastAsia="Arial" w:hAnsi="Arial"/>
          <w:sz w:val="13"/>
          <w:szCs w:val="13"/>
          <w:color w:val="auto"/>
        </w:rPr>
        <w:t>Exhibit 99.2</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600"/>
        <w:spacing w:after="0"/>
        <w:rPr>
          <w:sz w:val="20"/>
          <w:szCs w:val="20"/>
          <w:color w:val="auto"/>
        </w:rPr>
      </w:pPr>
      <w:r>
        <w:rPr>
          <w:rFonts w:ascii="Arial" w:cs="Arial" w:eastAsia="Arial" w:hAnsi="Arial"/>
          <w:sz w:val="25"/>
          <w:szCs w:val="25"/>
          <w:b w:val="1"/>
          <w:bCs w:val="1"/>
          <w:color w:val="auto"/>
        </w:rPr>
        <w:t>RESTRICTED SCAN LINE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5810250" cy="210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025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Please mark</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20"/>
                <w:szCs w:val="20"/>
                <w:color w:val="auto"/>
              </w:rPr>
            </w:pPr>
            <w:r>
              <w:rPr>
                <w:rFonts w:ascii="Arial" w:cs="Arial" w:eastAsia="Arial" w:hAnsi="Arial"/>
                <w:sz w:val="14"/>
                <w:szCs w:val="14"/>
                <w:color w:val="auto"/>
              </w:rPr>
              <w:t>your votes as</w:t>
            </w:r>
          </w:p>
        </w:tc>
        <w:tc>
          <w:tcPr>
            <w:tcW w:w="220" w:type="dxa"/>
            <w:vAlign w:val="bottom"/>
            <w:vMerge w:val="restart"/>
          </w:tcPr>
          <w:p>
            <w:pPr>
              <w:ind w:left="100"/>
              <w:spacing w:after="0"/>
              <w:rPr>
                <w:sz w:val="20"/>
                <w:szCs w:val="20"/>
                <w:color w:val="auto"/>
              </w:rPr>
            </w:pPr>
            <w:r>
              <w:rPr>
                <w:rFonts w:ascii="Arial" w:cs="Arial" w:eastAsia="Arial" w:hAnsi="Arial"/>
                <w:sz w:val="22"/>
                <w:szCs w:val="22"/>
                <w:color w:val="auto"/>
                <w:w w:val="90"/>
              </w:rPr>
              <w:t>x</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20"/>
                <w:szCs w:val="20"/>
                <w:color w:val="auto"/>
              </w:rPr>
            </w:pPr>
            <w:r>
              <w:rPr>
                <w:rFonts w:ascii="Arial" w:cs="Arial" w:eastAsia="Arial" w:hAnsi="Arial"/>
                <w:sz w:val="14"/>
                <w:szCs w:val="14"/>
                <w:color w:val="auto"/>
              </w:rPr>
              <w:t>indicated in</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20"/>
                <w:szCs w:val="20"/>
                <w:color w:val="auto"/>
              </w:rPr>
            </w:pPr>
            <w:r>
              <w:rPr>
                <w:rFonts w:ascii="Arial" w:cs="Arial" w:eastAsia="Arial" w:hAnsi="Arial"/>
                <w:sz w:val="14"/>
                <w:szCs w:val="14"/>
                <w:color w:val="auto"/>
              </w:rPr>
              <w:t>this example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600" w:space="720"/>
            <w:col w:w="2100"/>
          </w:cols>
          <w:pgMar w:left="240" w:top="122" w:right="239" w:bottom="1440" w:gutter="0" w:footer="0" w:header="0"/>
          <w:type w:val="continuous"/>
        </w:sectPr>
      </w:pP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ORDINARY BUSINESS</w:t>
      </w:r>
    </w:p>
    <w:p>
      <w:pPr>
        <w:spacing w:after="0" w:line="86" w:lineRule="exact"/>
        <w:rPr>
          <w:sz w:val="20"/>
          <w:szCs w:val="20"/>
          <w:color w:val="auto"/>
        </w:rPr>
      </w:pPr>
    </w:p>
    <w:p>
      <w:pPr>
        <w:ind w:left="1000" w:hanging="141"/>
        <w:spacing w:after="0"/>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receive the Accounts and Reports</w:t>
      </w:r>
    </w:p>
    <w:p>
      <w:pPr>
        <w:spacing w:after="0" w:line="307" w:lineRule="exact"/>
        <w:rPr>
          <w:rFonts w:ascii="Arial" w:cs="Arial" w:eastAsia="Arial" w:hAnsi="Arial"/>
          <w:sz w:val="12"/>
          <w:szCs w:val="12"/>
          <w:color w:val="auto"/>
        </w:rPr>
      </w:pPr>
    </w:p>
    <w:p>
      <w:pPr>
        <w:ind w:left="1000" w:hanging="14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re-elect Dr. Ronan Lambe</w:t>
      </w:r>
    </w:p>
    <w:p>
      <w:pPr>
        <w:spacing w:after="0" w:line="284" w:lineRule="exact"/>
        <w:rPr>
          <w:rFonts w:ascii="Arial" w:cs="Arial" w:eastAsia="Arial" w:hAnsi="Arial"/>
          <w:sz w:val="14"/>
          <w:szCs w:val="14"/>
          <w:color w:val="auto"/>
        </w:rPr>
      </w:pPr>
    </w:p>
    <w:p>
      <w:pPr>
        <w:ind w:left="1000" w:hanging="14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re-elect Mr. Peter Gray</w:t>
      </w:r>
    </w:p>
    <w:p>
      <w:pPr>
        <w:spacing w:after="0" w:line="284" w:lineRule="exact"/>
        <w:rPr>
          <w:rFonts w:ascii="Arial" w:cs="Arial" w:eastAsia="Arial" w:hAnsi="Arial"/>
          <w:sz w:val="14"/>
          <w:szCs w:val="14"/>
          <w:color w:val="auto"/>
        </w:rPr>
      </w:pPr>
    </w:p>
    <w:p>
      <w:pPr>
        <w:ind w:left="1000" w:hanging="14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re-elect Dr. Anthony Murphy</w:t>
      </w:r>
    </w:p>
    <w:p>
      <w:pPr>
        <w:spacing w:after="0" w:line="230" w:lineRule="exact"/>
        <w:rPr>
          <w:rFonts w:ascii="Arial" w:cs="Arial" w:eastAsia="Arial" w:hAnsi="Arial"/>
          <w:sz w:val="14"/>
          <w:szCs w:val="14"/>
          <w:color w:val="auto"/>
        </w:rPr>
      </w:pPr>
    </w:p>
    <w:p>
      <w:pPr>
        <w:ind w:left="860" w:right="440" w:hanging="1"/>
        <w:spacing w:after="0" w:line="253" w:lineRule="auto"/>
        <w:tabs>
          <w:tab w:leader="none" w:pos="10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authorise the fixing of the Auditors’ Remuneration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jc w:val="center"/>
              <w:ind w:right="58"/>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ind w:left="38"/>
              <w:spacing w:after="0"/>
              <w:rPr>
                <w:sz w:val="20"/>
                <w:szCs w:val="20"/>
                <w:color w:val="auto"/>
              </w:rPr>
            </w:pPr>
            <w:r>
              <w:rPr>
                <w:rFonts w:ascii="Arial" w:cs="Arial" w:eastAsia="Arial" w:hAnsi="Arial"/>
                <w:sz w:val="14"/>
                <w:szCs w:val="14"/>
                <w:b w:val="1"/>
                <w:bCs w:val="1"/>
                <w:color w:val="auto"/>
              </w:rPr>
              <w:t>AGAINST</w:t>
            </w:r>
          </w:p>
        </w:tc>
      </w:tr>
      <w:tr>
        <w:trPr>
          <w:trHeight w:val="481"/>
        </w:trPr>
        <w:tc>
          <w:tcPr>
            <w:tcW w:w="460" w:type="dxa"/>
            <w:vAlign w:val="bottom"/>
          </w:tcPr>
          <w:p>
            <w:pPr>
              <w:jc w:val="center"/>
              <w:ind w:right="58"/>
              <w:spacing w:after="0"/>
              <w:rPr>
                <w:sz w:val="20"/>
                <w:szCs w:val="20"/>
                <w:color w:val="auto"/>
              </w:rPr>
            </w:pPr>
            <w:r>
              <w:rPr>
                <w:rFonts w:ascii="Arial" w:cs="Arial" w:eastAsia="Arial" w:hAnsi="Arial"/>
                <w:sz w:val="22"/>
                <w:szCs w:val="22"/>
                <w:color w:val="auto"/>
                <w:w w:val="81"/>
              </w:rPr>
              <w:t>o</w:t>
            </w:r>
          </w:p>
        </w:tc>
        <w:tc>
          <w:tcPr>
            <w:tcW w:w="800" w:type="dxa"/>
            <w:vAlign w:val="bottom"/>
          </w:tcPr>
          <w:p>
            <w:pPr>
              <w:jc w:val="center"/>
              <w:ind w:left="38"/>
              <w:spacing w:after="0"/>
              <w:rPr>
                <w:sz w:val="20"/>
                <w:szCs w:val="20"/>
                <w:color w:val="auto"/>
              </w:rPr>
            </w:pPr>
            <w:r>
              <w:rPr>
                <w:rFonts w:ascii="Arial" w:cs="Arial" w:eastAsia="Arial" w:hAnsi="Arial"/>
                <w:sz w:val="22"/>
                <w:szCs w:val="22"/>
                <w:color w:val="auto"/>
                <w:w w:val="81"/>
              </w:rPr>
              <w:t>o</w:t>
            </w:r>
          </w:p>
        </w:tc>
      </w:tr>
      <w:tr>
        <w:trPr>
          <w:trHeight w:val="446"/>
        </w:trPr>
        <w:tc>
          <w:tcPr>
            <w:tcW w:w="460" w:type="dxa"/>
            <w:vAlign w:val="bottom"/>
          </w:tcPr>
          <w:p>
            <w:pPr>
              <w:jc w:val="center"/>
              <w:ind w:right="58"/>
              <w:spacing w:after="0"/>
              <w:rPr>
                <w:sz w:val="20"/>
                <w:szCs w:val="20"/>
                <w:color w:val="auto"/>
              </w:rPr>
            </w:pPr>
            <w:r>
              <w:rPr>
                <w:rFonts w:ascii="Arial" w:cs="Arial" w:eastAsia="Arial" w:hAnsi="Arial"/>
                <w:sz w:val="22"/>
                <w:szCs w:val="22"/>
                <w:color w:val="auto"/>
                <w:w w:val="81"/>
              </w:rPr>
              <w:t>o</w:t>
            </w:r>
          </w:p>
        </w:tc>
        <w:tc>
          <w:tcPr>
            <w:tcW w:w="800" w:type="dxa"/>
            <w:vAlign w:val="bottom"/>
          </w:tcPr>
          <w:p>
            <w:pPr>
              <w:jc w:val="center"/>
              <w:ind w:left="38"/>
              <w:spacing w:after="0"/>
              <w:rPr>
                <w:sz w:val="20"/>
                <w:szCs w:val="20"/>
                <w:color w:val="auto"/>
              </w:rPr>
            </w:pPr>
            <w:r>
              <w:rPr>
                <w:rFonts w:ascii="Arial" w:cs="Arial" w:eastAsia="Arial" w:hAnsi="Arial"/>
                <w:sz w:val="22"/>
                <w:szCs w:val="22"/>
                <w:color w:val="auto"/>
                <w:w w:val="81"/>
              </w:rPr>
              <w:t>o</w:t>
            </w:r>
          </w:p>
        </w:tc>
      </w:tr>
      <w:tr>
        <w:trPr>
          <w:trHeight w:val="446"/>
        </w:trPr>
        <w:tc>
          <w:tcPr>
            <w:tcW w:w="460" w:type="dxa"/>
            <w:vAlign w:val="bottom"/>
          </w:tcPr>
          <w:p>
            <w:pPr>
              <w:jc w:val="center"/>
              <w:ind w:right="58"/>
              <w:spacing w:after="0"/>
              <w:rPr>
                <w:sz w:val="20"/>
                <w:szCs w:val="20"/>
                <w:color w:val="auto"/>
              </w:rPr>
            </w:pPr>
            <w:r>
              <w:rPr>
                <w:rFonts w:ascii="Arial" w:cs="Arial" w:eastAsia="Arial" w:hAnsi="Arial"/>
                <w:sz w:val="22"/>
                <w:szCs w:val="22"/>
                <w:color w:val="auto"/>
                <w:w w:val="81"/>
              </w:rPr>
              <w:t>o</w:t>
            </w:r>
          </w:p>
        </w:tc>
        <w:tc>
          <w:tcPr>
            <w:tcW w:w="800" w:type="dxa"/>
            <w:vAlign w:val="bottom"/>
          </w:tcPr>
          <w:p>
            <w:pPr>
              <w:jc w:val="center"/>
              <w:ind w:left="38"/>
              <w:spacing w:after="0"/>
              <w:rPr>
                <w:sz w:val="20"/>
                <w:szCs w:val="20"/>
                <w:color w:val="auto"/>
              </w:rPr>
            </w:pPr>
            <w:r>
              <w:rPr>
                <w:rFonts w:ascii="Arial" w:cs="Arial" w:eastAsia="Arial" w:hAnsi="Arial"/>
                <w:sz w:val="22"/>
                <w:szCs w:val="22"/>
                <w:color w:val="auto"/>
                <w:w w:val="81"/>
              </w:rPr>
              <w:t>o</w:t>
            </w:r>
          </w:p>
        </w:tc>
      </w:tr>
      <w:tr>
        <w:trPr>
          <w:trHeight w:val="446"/>
        </w:trPr>
        <w:tc>
          <w:tcPr>
            <w:tcW w:w="460" w:type="dxa"/>
            <w:vAlign w:val="bottom"/>
          </w:tcPr>
          <w:p>
            <w:pPr>
              <w:jc w:val="center"/>
              <w:ind w:right="58"/>
              <w:spacing w:after="0"/>
              <w:rPr>
                <w:sz w:val="20"/>
                <w:szCs w:val="20"/>
                <w:color w:val="auto"/>
              </w:rPr>
            </w:pPr>
            <w:r>
              <w:rPr>
                <w:rFonts w:ascii="Arial" w:cs="Arial" w:eastAsia="Arial" w:hAnsi="Arial"/>
                <w:sz w:val="22"/>
                <w:szCs w:val="22"/>
                <w:color w:val="auto"/>
                <w:w w:val="81"/>
              </w:rPr>
              <w:t>o</w:t>
            </w:r>
          </w:p>
        </w:tc>
        <w:tc>
          <w:tcPr>
            <w:tcW w:w="800" w:type="dxa"/>
            <w:vAlign w:val="bottom"/>
          </w:tcPr>
          <w:p>
            <w:pPr>
              <w:jc w:val="center"/>
              <w:ind w:left="38"/>
              <w:spacing w:after="0"/>
              <w:rPr>
                <w:sz w:val="20"/>
                <w:szCs w:val="20"/>
                <w:color w:val="auto"/>
              </w:rPr>
            </w:pPr>
            <w:r>
              <w:rPr>
                <w:rFonts w:ascii="Arial" w:cs="Arial" w:eastAsia="Arial" w:hAnsi="Arial"/>
                <w:sz w:val="22"/>
                <w:szCs w:val="22"/>
                <w:color w:val="auto"/>
                <w:w w:val="81"/>
              </w:rPr>
              <w:t>o</w:t>
            </w:r>
          </w:p>
        </w:tc>
      </w:tr>
      <w:tr>
        <w:trPr>
          <w:trHeight w:val="392"/>
        </w:trPr>
        <w:tc>
          <w:tcPr>
            <w:tcW w:w="460" w:type="dxa"/>
            <w:vAlign w:val="bottom"/>
          </w:tcPr>
          <w:p>
            <w:pPr>
              <w:jc w:val="center"/>
              <w:ind w:right="58"/>
              <w:spacing w:after="0"/>
              <w:rPr>
                <w:sz w:val="20"/>
                <w:szCs w:val="20"/>
                <w:color w:val="auto"/>
              </w:rPr>
            </w:pPr>
            <w:r>
              <w:rPr>
                <w:rFonts w:ascii="Arial" w:cs="Arial" w:eastAsia="Arial" w:hAnsi="Arial"/>
                <w:sz w:val="22"/>
                <w:szCs w:val="22"/>
                <w:color w:val="auto"/>
                <w:w w:val="81"/>
              </w:rPr>
              <w:t>o</w:t>
            </w:r>
          </w:p>
        </w:tc>
        <w:tc>
          <w:tcPr>
            <w:tcW w:w="800" w:type="dxa"/>
            <w:vAlign w:val="bottom"/>
          </w:tcPr>
          <w:p>
            <w:pPr>
              <w:jc w:val="center"/>
              <w:ind w:left="38"/>
              <w:spacing w:after="0"/>
              <w:rPr>
                <w:sz w:val="20"/>
                <w:szCs w:val="20"/>
                <w:color w:val="auto"/>
              </w:rPr>
            </w:pPr>
            <w:r>
              <w:rPr>
                <w:rFonts w:ascii="Arial" w:cs="Arial" w:eastAsia="Arial" w:hAnsi="Arial"/>
                <w:sz w:val="22"/>
                <w:szCs w:val="22"/>
                <w:color w:val="auto"/>
                <w:w w:val="81"/>
              </w:rPr>
              <w:t>o</w:t>
            </w: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SPECIAL BUSINESS</w:t>
      </w:r>
    </w:p>
    <w:p>
      <w:pPr>
        <w:spacing w:after="0" w:line="86" w:lineRule="exact"/>
        <w:rPr>
          <w:sz w:val="20"/>
          <w:szCs w:val="20"/>
          <w:color w:val="auto"/>
        </w:rPr>
      </w:pPr>
    </w:p>
    <w:p>
      <w:pPr>
        <w:ind w:left="4" w:right="500" w:hanging="4"/>
        <w:spacing w:after="0" w:line="253" w:lineRule="auto"/>
        <w:tabs>
          <w:tab w:leader="none" w:pos="14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authorise the Company to allot shares</w:t>
      </w:r>
    </w:p>
    <w:p>
      <w:pPr>
        <w:spacing w:after="0" w:line="106" w:lineRule="exact"/>
        <w:rPr>
          <w:rFonts w:ascii="Arial" w:cs="Arial" w:eastAsia="Arial" w:hAnsi="Arial"/>
          <w:sz w:val="14"/>
          <w:szCs w:val="14"/>
          <w:color w:val="auto"/>
        </w:rPr>
      </w:pPr>
    </w:p>
    <w:p>
      <w:pPr>
        <w:ind w:left="4" w:hanging="4"/>
        <w:spacing w:after="0" w:line="253" w:lineRule="auto"/>
        <w:tabs>
          <w:tab w:leader="none" w:pos="14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disapply the statutory pre-emption rights</w:t>
      </w:r>
    </w:p>
    <w:p>
      <w:pPr>
        <w:spacing w:after="0" w:line="105" w:lineRule="exact"/>
        <w:rPr>
          <w:rFonts w:ascii="Arial" w:cs="Arial" w:eastAsia="Arial" w:hAnsi="Arial"/>
          <w:sz w:val="14"/>
          <w:szCs w:val="14"/>
          <w:color w:val="auto"/>
        </w:rPr>
      </w:pPr>
    </w:p>
    <w:p>
      <w:pPr>
        <w:ind w:left="144" w:hanging="144"/>
        <w:spacing w:after="0"/>
        <w:tabs>
          <w:tab w:leader="none" w:pos="14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authorise the Company to</w:t>
      </w:r>
    </w:p>
    <w:p>
      <w:pPr>
        <w:ind w:left="4"/>
        <w:spacing w:after="0"/>
        <w:rPr>
          <w:sz w:val="20"/>
          <w:szCs w:val="20"/>
          <w:color w:val="auto"/>
        </w:rPr>
      </w:pPr>
      <w:r>
        <w:rPr>
          <w:rFonts w:ascii="Arial" w:cs="Arial" w:eastAsia="Arial" w:hAnsi="Arial"/>
          <w:sz w:val="14"/>
          <w:szCs w:val="14"/>
          <w:color w:val="auto"/>
        </w:rPr>
        <w:t>make market purchases of shares</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p>
    <w:p>
      <w:pPr>
        <w:spacing w:after="0" w:line="232"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p>
    <w:p>
      <w:pPr>
        <w:spacing w:after="0" w:line="193"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p>
    <w:p>
      <w:pPr>
        <w:spacing w:after="0" w:line="193"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p>
    <w:p>
      <w:pPr>
        <w:spacing w:after="0" w:line="1126" w:lineRule="exact"/>
        <w:rPr>
          <w:sz w:val="20"/>
          <w:szCs w:val="20"/>
          <w:color w:val="auto"/>
        </w:rPr>
      </w:pPr>
    </w:p>
    <w:p>
      <w:pPr>
        <w:sectPr>
          <w:pgSz w:w="11900" w:h="16838" w:orient="portrait"/>
          <w:cols w:equalWidth="0" w:num="4">
            <w:col w:w="3120" w:space="260"/>
            <w:col w:w="1260" w:space="716"/>
            <w:col w:w="2304" w:space="220"/>
            <w:col w:w="3540"/>
          </w:cols>
          <w:pgMar w:left="240" w:top="122" w:right="239" w:bottom="1440" w:gutter="0" w:footer="0" w:header="0"/>
          <w:type w:val="continuous"/>
        </w:sectPr>
      </w:pPr>
    </w:p>
    <w:p>
      <w:pPr>
        <w:spacing w:after="0" w:line="351"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Mark Here for Address</w:t>
      </w:r>
    </w:p>
    <w:p>
      <w:pPr>
        <w:ind w:left="5360"/>
        <w:spacing w:after="0" w:line="185" w:lineRule="auto"/>
        <w:tabs>
          <w:tab w:leader="none" w:pos="6860" w:val="left"/>
        </w:tabs>
        <w:rPr>
          <w:sz w:val="20"/>
          <w:szCs w:val="20"/>
          <w:color w:val="auto"/>
        </w:rPr>
      </w:pPr>
      <w:r>
        <w:rPr>
          <w:rFonts w:ascii="Arial" w:cs="Arial" w:eastAsia="Arial" w:hAnsi="Arial"/>
          <w:sz w:val="14"/>
          <w:szCs w:val="14"/>
          <w:color w:val="auto"/>
        </w:rPr>
        <w:t>Change or</w:t>
      </w:r>
      <w:r>
        <w:rPr>
          <w:sz w:val="20"/>
          <w:szCs w:val="20"/>
          <w:color w:val="auto"/>
        </w:rPr>
        <w:tab/>
      </w:r>
      <w:r>
        <w:rPr>
          <w:rFonts w:ascii="Arial" w:cs="Arial" w:eastAsia="Arial" w:hAnsi="Arial"/>
          <w:sz w:val="16"/>
          <w:szCs w:val="16"/>
          <w:b w:val="1"/>
          <w:bCs w:val="1"/>
          <w:color w:val="auto"/>
        </w:rPr>
        <w:t>o</w:t>
      </w:r>
    </w:p>
    <w:p>
      <w:pPr>
        <w:ind w:left="5360"/>
        <w:spacing w:after="0" w:line="221" w:lineRule="auto"/>
        <w:rPr>
          <w:sz w:val="20"/>
          <w:szCs w:val="20"/>
          <w:color w:val="auto"/>
        </w:rPr>
      </w:pPr>
      <w:r>
        <w:rPr>
          <w:rFonts w:ascii="Arial" w:cs="Arial" w:eastAsia="Arial" w:hAnsi="Arial"/>
          <w:sz w:val="14"/>
          <w:szCs w:val="14"/>
          <w:color w:val="auto"/>
        </w:rPr>
        <w:t>Comments</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SEE REVERSE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Signature____________________________________________ Signature____________________________________________ Date________________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57"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-95885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-95885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-95885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-95885</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-95885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-95885</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-95885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-95885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-95885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-95885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-95885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-95885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-95885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-95885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-95885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-95885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-95885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-95885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-95885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-95885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-95885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-95885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-95885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-95885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-95885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-95885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-95885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-95885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-95885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-95885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-95885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-95885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-95885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-95885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-95885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-95885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-95885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-95885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-95885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-95885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-95885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-95885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-95885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-95885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-95885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-95885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-95885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-95885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-95885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-95885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-95885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-95885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-95885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-95885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-95885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-95885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-95885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-95885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-95885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-95885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-95885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-95885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-95885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-95885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-95885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-95885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-95885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-95885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-95885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-95885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-95885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-95885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-95885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-95885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-95885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-95885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-95885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-95885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-95885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-95885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-95885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-95885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-95885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-95885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-95885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-95885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-95885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-95885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-95885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-95885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-95885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-95885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-95885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-95885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-95885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-95885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-95885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-95885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-95885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-95885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-95885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-95885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-95885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-95885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-95885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-95885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-95885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-95885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-95885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-95885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-95885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-95885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-95885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-95885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-95885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-95885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-95885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-95885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-95885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-95885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-95885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-95885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-95885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-95885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-95885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-95885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-95885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-95885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-95885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-95885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-95885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-95885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-95885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-95885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-95885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-95885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-95885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-95885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-95885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-95885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-95885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-95885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-95885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-95885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-95885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-95885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-95885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-95885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-95885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-95885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-95885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-95885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-95885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-95885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-95885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-95885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-95885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-95885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-95885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-95885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-95885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-95885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-95885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-95885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-95885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-95885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-95885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-95885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-95885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-95885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-95885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-95885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-95885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-95885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-95885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-95885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-95885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-95885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-95885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-95885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-95885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-95885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-95885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-95885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-95885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-95885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-95885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-95885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-95885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-95885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-95885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-95885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-95885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-95885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-95885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-95885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-95885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-95885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-95885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-95885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-95885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-95885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-95885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-95885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-95885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-95885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-95885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-95885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-95885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-95885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-95885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-95885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-95885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-95885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-95885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-95885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-95885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-95885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-95885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-95885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-95885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-95885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-95885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-95885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-95885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-95885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-95885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-95885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-95885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-95885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-95885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-95885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-95885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-95885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-95885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-95885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-95885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-95885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-95885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-95885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-95885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-95885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-95885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-95885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-95885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-95885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-95885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-95885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-95885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-95885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-95885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-95885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-95885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-95885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-95885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-95885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-95885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-95885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-95885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-95885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-95885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-95885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-95885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-95885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-95885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-95885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-95885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-95885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-95885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-95885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-95885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-95885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-95885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-95885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-95885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-95885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-95885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-95885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-95885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-95885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-95885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-95885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-95885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-95885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-95885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-95885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-95885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-95885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-95885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-95885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-95885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-95885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-95885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-95885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-95885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-95885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-95885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-95885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-95885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-95885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-95885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-95885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-95885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-95885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-95885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-95885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-95885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-95885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-95885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-95885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-95885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-95885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-95885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-95885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-95885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-95885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-95885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-95885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-95885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-95885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-95885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-95885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-95885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-95885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-95885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-95885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-95885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-95885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-95885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-95885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-95885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-95885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-95885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-95885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-95885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-95885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-95885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-95885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-95885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-95885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-95885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-95885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-95885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-95885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-95885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-95885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-95885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-95885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-95885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-95885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-95885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-95885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-95885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-95885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-95885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-95885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-95885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-95885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-95885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-95885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-95885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-95885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-95885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-95885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-95885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-95885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-95885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-95885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-95885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-95885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-95885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-95885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-95885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-95885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-95885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-95885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-95885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-95885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-95885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-95885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-95885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-95885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-95885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-95885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-95885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-95885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-95885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-95885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-95885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-95885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-95885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-95885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-95885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-95885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-95885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-95885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-95885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-95885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-95885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-95885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-95885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-95885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-95885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-95885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-95885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-95885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-95885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-95885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-95885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-95885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-95885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-95885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-95885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-95885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-95885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-95885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-95885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-95885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-95885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-95885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3618865" cy="15093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1886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WO 53426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Instructions to The Bank of New York Mellon, as Depositary</w:t>
      </w:r>
    </w:p>
    <w:p>
      <w:pPr>
        <w:jc w:val="center"/>
        <w:ind w:right="-19"/>
        <w:spacing w:after="0"/>
        <w:rPr>
          <w:sz w:val="20"/>
          <w:szCs w:val="20"/>
          <w:color w:val="auto"/>
        </w:rPr>
      </w:pPr>
      <w:r>
        <w:rPr>
          <w:rFonts w:ascii="Arial" w:cs="Arial" w:eastAsia="Arial" w:hAnsi="Arial"/>
          <w:sz w:val="14"/>
          <w:szCs w:val="14"/>
          <w:b w:val="1"/>
          <w:bCs w:val="1"/>
          <w:color w:val="auto"/>
        </w:rPr>
        <w:t>(Must be received prior to 5:00 pm on July 10, 2009)</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The undersigned registered holder of American Depositary Receipts hereby requests and instructs The Bank of New York Mellon, as Depositary, to endeavor, in so far as practicable, to vote or cause to be voted the amount of shares or other Deposited Securities represented by such Receipt of Icon plc registered in the name of the undersigned on the books of the Depositary as of the close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business on June 10, 2009 at the Annual General ShareholdersʼE Meeting of ICON plc to be held on July 20, 2009, in respect of the resolutions specified on the reverse hereof.</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Instructions as to voting on the specified resolutions should be indicated by an “X” In the appropriate box.</w:t>
      </w:r>
    </w:p>
    <w:p>
      <w:pPr>
        <w:spacing w:after="0" w:line="214" w:lineRule="exact"/>
        <w:rPr>
          <w:rFonts w:ascii="Arial" w:cs="Arial" w:eastAsia="Arial" w:hAnsi="Arial"/>
          <w:sz w:val="14"/>
          <w:szCs w:val="14"/>
          <w:b w:val="1"/>
          <w:bCs w:val="1"/>
          <w:color w:val="auto"/>
        </w:rPr>
      </w:pPr>
    </w:p>
    <w:p>
      <w:pPr>
        <w:ind w:left="3680" w:right="1340" w:hanging="3672"/>
        <w:spacing w:after="0" w:line="621" w:lineRule="auto"/>
        <w:tabs>
          <w:tab w:leader="none" w:pos="151"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If a Holder so elects, the Holder is entitled to instruct The Bank of New York, as Depositary, to give a discretionary proxy to a person designated by the Company. (Continued and to be marked, dated and signed, on the other side)</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8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0"/>
              </w:rPr>
              <w:t>Address Change/Comments</w:t>
            </w:r>
          </w:p>
        </w:tc>
        <w:tc>
          <w:tcPr>
            <w:tcW w:w="2980" w:type="dxa"/>
            <w:vAlign w:val="bottom"/>
          </w:tcPr>
          <w:p>
            <w:pPr>
              <w:ind w:left="640"/>
              <w:spacing w:after="0" w:line="153" w:lineRule="exact"/>
              <w:rPr>
                <w:sz w:val="20"/>
                <w:szCs w:val="20"/>
                <w:color w:val="auto"/>
              </w:rPr>
            </w:pPr>
            <w:r>
              <w:rPr>
                <w:rFonts w:ascii="Arial" w:cs="Arial" w:eastAsia="Arial" w:hAnsi="Arial"/>
                <w:sz w:val="14"/>
                <w:szCs w:val="14"/>
                <w:b w:val="1"/>
                <w:bCs w:val="1"/>
                <w:color w:val="auto"/>
              </w:rPr>
              <w:t>BNYM SHAREHOLDER SERVICES</w:t>
            </w:r>
          </w:p>
        </w:tc>
        <w:tc>
          <w:tcPr>
            <w:tcW w:w="0" w:type="dxa"/>
            <w:vAlign w:val="bottom"/>
          </w:tcPr>
          <w:p>
            <w:pPr>
              <w:spacing w:after="0"/>
              <w:rPr>
                <w:sz w:val="1"/>
                <w:szCs w:val="1"/>
                <w:color w:val="auto"/>
              </w:rPr>
            </w:pPr>
          </w:p>
        </w:tc>
      </w:tr>
      <w:tr>
        <w:trPr>
          <w:trHeight w:val="186"/>
        </w:trPr>
        <w:tc>
          <w:tcPr>
            <w:tcW w:w="4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(Mark the corresponding box on the reverse side)</w:t>
            </w:r>
          </w:p>
        </w:tc>
        <w:tc>
          <w:tcPr>
            <w:tcW w:w="29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PO BOX 3549</w:t>
            </w:r>
          </w:p>
        </w:tc>
        <w:tc>
          <w:tcPr>
            <w:tcW w:w="0" w:type="dxa"/>
            <w:vAlign w:val="bottom"/>
          </w:tcPr>
          <w:p>
            <w:pPr>
              <w:spacing w:after="0"/>
              <w:rPr>
                <w:sz w:val="1"/>
                <w:szCs w:val="1"/>
                <w:color w:val="auto"/>
              </w:rPr>
            </w:pPr>
          </w:p>
        </w:tc>
      </w:tr>
      <w:tr>
        <w:trPr>
          <w:trHeight w:val="68"/>
        </w:trPr>
        <w:tc>
          <w:tcPr>
            <w:tcW w:w="4580" w:type="dxa"/>
            <w:vAlign w:val="bottom"/>
            <w:tcBorders>
              <w:left w:val="single" w:sz="8" w:color="auto"/>
              <w:right w:val="single" w:sz="8" w:color="auto"/>
            </w:tcBorders>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58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Pr>
          <w:p>
            <w:pPr>
              <w:ind w:left="640"/>
              <w:spacing w:after="0"/>
              <w:rPr>
                <w:sz w:val="20"/>
                <w:szCs w:val="20"/>
                <w:color w:val="auto"/>
              </w:rPr>
            </w:pPr>
            <w:r>
              <w:rPr>
                <w:rFonts w:ascii="Arial" w:cs="Arial" w:eastAsia="Arial" w:hAnsi="Arial"/>
                <w:sz w:val="14"/>
                <w:szCs w:val="14"/>
                <w:b w:val="1"/>
                <w:bCs w:val="1"/>
                <w:color w:val="auto"/>
              </w:rPr>
              <w:t>S HACKENSACK NJ 07606-9249</w:t>
            </w:r>
          </w:p>
        </w:tc>
        <w:tc>
          <w:tcPr>
            <w:tcW w:w="0" w:type="dxa"/>
            <w:vAlign w:val="bottom"/>
          </w:tcPr>
          <w:p>
            <w:pPr>
              <w:spacing w:after="0"/>
              <w:rPr>
                <w:sz w:val="1"/>
                <w:szCs w:val="1"/>
                <w:color w:val="auto"/>
              </w:rPr>
            </w:pPr>
          </w:p>
        </w:tc>
      </w:tr>
      <w:tr>
        <w:trPr>
          <w:trHeight w:val="1520"/>
        </w:trPr>
        <w:tc>
          <w:tcPr>
            <w:tcW w:w="4580" w:type="dxa"/>
            <w:vAlign w:val="bottom"/>
            <w:tcBorders>
              <w:left w:val="single" w:sz="8" w:color="auto"/>
              <w:bottom w:val="single" w:sz="8" w:color="auto"/>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FOLD AND DETACH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-95885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-95885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-95885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-95885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-95885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-95885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-95885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-95885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-95885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-95885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-95885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-95885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-95885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-95885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-95885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-95885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-95885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-95885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-95885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-95885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-95885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-95885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-95885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-95885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-95885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-95885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-95885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-95885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-95885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-95885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-95885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-95885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-95885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-95885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-95885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-95885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-95885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-95885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-95885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-95885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-95885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-95885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-95885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-95885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-95885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-95885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-95885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-95885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-95885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-95885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-95885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-95885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-95885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-95885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-95885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-95885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-95885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-95885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-95885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-95885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-95885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-95885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-95885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-95885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-95885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-95885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-95885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-95885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-95885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-95885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-95885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-95885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-95885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-95885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-95885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-95885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-95885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-95885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-95885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-95885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-95885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-95885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-95885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-95885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-95885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-95885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-95885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-95885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-95885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-95885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-95885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-95885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-95885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-95885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-95885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-95885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-95885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-95885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-95885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-95885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-95885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-95885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-95885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-95885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-95885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-95885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-95885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-95885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-95885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-95885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-95885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-95885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-95885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-95885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-95885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-95885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-95885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-95885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-95885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-95885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-95885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-95885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-95885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-95885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-95885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-95885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-95885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-95885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-95885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-95885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-95885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-95885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-95885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-95885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-95885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-95885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-95885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-95885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-95885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-95885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-95885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-95885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-95885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-95885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-95885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-95885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-95885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-95885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-95885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-95885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-95885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-95885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-95885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-95885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-95885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-95885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-95885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-95885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-95885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-95885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-95885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-95885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-95885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-95885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-95885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-95885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-95885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-95885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-95885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-95885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-95885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-95885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-95885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-95885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-95885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-95885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-95885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-95885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-95885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-95885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-95885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-95885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-95885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-95885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-95885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-95885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-95885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-95885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-95885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-95885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-95885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-95885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-95885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-95885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-95885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-95885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-95885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-95885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-95885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-95885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-95885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-95885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-95885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-95885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-95885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-95885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-95885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-95885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-95885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-95885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-95885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-95885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-95885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-95885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-95885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-95885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-95885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-95885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-95885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-95885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-95885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-95885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-95885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-95885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-95885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-95885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-95885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-95885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-95885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-95885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-95885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-95885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-95885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-95885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-95885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-95885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-95885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-95885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-95885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-95885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-95885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-95885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-95885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-95885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-95885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-95885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-95885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-95885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-95885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-95885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-95885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-95885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-95885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-95885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-95885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-95885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-95885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-95885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-95885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-95885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-95885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-95885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-95885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-95885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-95885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-95885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-95885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-95885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-95885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-95885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-95885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-95885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-95885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-95885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-95885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-95885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-95885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-95885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-95885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-95885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-95885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-95885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-95885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-95885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-95885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-95885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-95885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-95885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-95885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-95885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-95885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-95885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-95885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-95885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-95885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-95885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-95885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-95885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-95885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-95885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-95885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-95885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-95885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-95885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-95885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-95885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-95885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-95885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-95885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-95885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-95885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-95885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-95885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-95885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-95885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-95885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-95885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-95885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-95885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-95885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-95885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-95885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-95885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-95885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-95885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-95885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-95885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-95885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-95885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-95885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-95885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-95885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-95885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-95885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-95885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-95885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-95885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-95885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-95885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-95885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-95885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-95885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-95885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-95885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-95885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-95885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-95885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-95885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-95885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-95885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-95885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-95885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-95885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-95885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-95885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-95885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-95885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-95885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-95885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-95885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-95885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-95885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-95885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-95885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-95885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-95885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-95885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-95885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-95885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-95885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-95885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-95885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-95885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-95885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-95885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-95885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-95885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-95885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-95885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-95885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-95885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-95885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-95885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-95885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-95885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-95885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-95885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-95885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-95885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-95885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-95885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-95885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-95885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-95885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-95885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-95885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-95885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-95885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-95885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-95885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-95885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-95885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-95885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-95885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-95885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-95885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-95885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-95885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-95885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-95885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-95885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-95885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-95885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-95885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-95885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-95885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-95885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-95885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-95885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-95885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-95885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-95885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WO 53426</w:t>
      </w:r>
    </w:p>
    <w:sectPr>
      <w:pgSz w:w="11900" w:h="16838" w:orient="portrait"/>
      <w:cols w:equalWidth="0" w:num="1">
        <w:col w:w="11400"/>
      </w:cols>
      <w:pgMar w:left="240" w:top="60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6"/>
    </w:lvl>
  </w:abstractNum>
  <w:abstractNum w:abstractNumId="3">
    <w:nsid w:val="7545E146"/>
    <w:multiLevelType w:val="hybridMultilevel"/>
    <w:lvl w:ilvl="0">
      <w:lvlJc w:val="left"/>
      <w:lvlText w:val="%1."/>
      <w:numFmt w:val="decimal"/>
      <w:start w:val="7"/>
    </w:lvl>
  </w:abstractNum>
  <w:abstractNum w:abstractNumId="4">
    <w:nsid w:val="515F007C"/>
    <w:multiLevelType w:val="hybridMultilevel"/>
    <w:lvl w:ilvl="0">
      <w:lvlJc w:val="left"/>
      <w:lvlText w:val="%1."/>
      <w:numFmt w:val="decimal"/>
      <w:start w:val="8"/>
    </w:lvl>
    <w:lvl w:ilvl="1">
      <w:lvlJc w:val="left"/>
      <w:lvlText w:val="(%2)"/>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2019-12-10T17:30:28Z</dcterms:created>
  <dcterms:modified xsi:type="dcterms:W3CDTF">2019-12-10T17:30:28Z</dcterms:modified>
</cp:coreProperties>
</file>