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6"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the month ended May, 2018</w:t>
      </w:r>
    </w:p>
    <w:p>
      <w:pPr>
        <w:spacing w:after="0" w:line="193" w:lineRule="exact"/>
        <w:rPr>
          <w:sz w:val="24"/>
          <w:szCs w:val="24"/>
          <w:color w:val="auto"/>
        </w:rPr>
      </w:pPr>
    </w:p>
    <w:p>
      <w:pPr>
        <w:ind w:left="50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4"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620"/>
          </w:cols>
          <w:pgMar w:left="280" w:top="67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2018 we had approximately 13,380 employees, in 98 locations in 38 countries. During the three months ended March 31, 2018, we derived approximately 36.4%, 53.2% and 10.4% of our revenue in the United States, Europe and Rest of World respectively.</w:t>
      </w:r>
    </w:p>
    <w:p>
      <w:pPr>
        <w:spacing w:after="0" w:line="2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011-353-1-291-2000.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 and executive leadership transition</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February 2018, the Board approved the appointment of Mr. Ciaran Murray (Executive Chairman) as non-Executive Chairman of ICON plc with effect from May 12,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27, 2017, a subsidiary of the Company, ICON Clinical Research Limited acquired Mapi Development SAS ('Mapi') and its subsidiaries ("Mapi Group"). Mapi Group has over 40 years of experience supporting Life-Science companies as the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Total cash outflows on acquisition were $145.8 million. The acquisition of Mapi Group strengthens ICON’s existing commercialization and outcomes research business adding significant commercialization presence, analytics, real world evidence generation and strategic regulatory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2017, a total of 3,018,414 ordinary shares were redeemed by the Company under the buyback program for a total consideration of $243.1 million. At March 31, 2018 a total of 3,363,526 ordinary shares were redeemed by the Company under this buyback program for a total consideration of $281.3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revenue recognition standard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was released in 2014 and becomes effective for ICON plc with effect from January 1, 2018. ICON has elected to adopt the new standard (ASC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under the cumulative effect transition method. Under this transition method, the new standard is applied from January 1, 2018 without restatement of comparative period amounts. The cumulative effect of initially applying the new standard is reflected as an adjustment to opening equity at the date of application ($48.1 million). Results for the three months ended March 2017 are therefore presented under the previous revenue recognition accounting principles, ASC 605. See '</w:t>
      </w:r>
      <w:r>
        <w:rPr>
          <w:rFonts w:ascii="Arial" w:cs="Arial" w:eastAsia="Arial" w:hAnsi="Arial"/>
          <w:sz w:val="17"/>
          <w:szCs w:val="17"/>
          <w:i w:val="1"/>
          <w:iCs w:val="1"/>
          <w:color w:val="auto"/>
        </w:rPr>
        <w:t>Note 13-Impact of change in accounting policie</w:t>
      </w:r>
      <w:r>
        <w:rPr>
          <w:rFonts w:ascii="Arial" w:cs="Arial" w:eastAsia="Arial" w:hAnsi="Arial"/>
          <w:sz w:val="17"/>
          <w:szCs w:val="17"/>
          <w:color w:val="auto"/>
        </w:rPr>
        <w:t>s' for details of implications of adoption.</w:t>
      </w:r>
    </w:p>
    <w:p>
      <w:pPr>
        <w:spacing w:after="0" w:line="2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ASU 2016-16, ' Income Taxes (Topic 740): Intra-Entity Transfers of Assets Other Than Inventory' was issued in October 2016 and requires entities to recognize at the transaction date the income tax consequences of intercompany asset transfers other than inventory. The effective date of the standard for public companies is for fiscal years beginning after December 15, 2017 and interim periods within those fiscal years. The Company has adopted the modified retrospective approach, as required by the standard, in determining the cumulative impact in retained earnings at January 1, 2018. The cumulative impact recognized in retained earnings as at January 1, 2018 is nil and the new guidance has no impact on the financial statements as at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2018 AND DECEMBER 31,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(Audited)</w:t>
            </w:r>
          </w:p>
        </w:tc>
      </w:tr>
      <w:tr>
        <w:trPr>
          <w:trHeight w:val="225"/>
        </w:trPr>
        <w:tc>
          <w:tcPr>
            <w:tcW w:w="7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March 31, 2018</w:t>
            </w:r>
          </w:p>
        </w:tc>
        <w:tc>
          <w:tcPr>
            <w:tcW w:w="3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900" w:type="dxa"/>
            <w:vAlign w:val="bottom"/>
            <w:gridSpan w:val="3"/>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3"/>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272,001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282,859</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Short term investments - available for sale</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81,541</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77,589</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393,940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379,501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292,688</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268,509</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49,563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33,798</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45,538</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34,377</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2"/>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28,232</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24,385</w:t>
            </w:r>
          </w:p>
        </w:tc>
      </w:tr>
      <w:tr>
        <w:trPr>
          <w:trHeight w:val="243"/>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1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1,163,503</w:t>
            </w: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1,101,018</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7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161,060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163,051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776,469</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769,058</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15,610</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15,393</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Non-current income taxes receivable</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17,530</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18,396</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asset</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18,212</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8,074</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67,061</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71,628</w:t>
            </w:r>
          </w:p>
        </w:tc>
      </w:tr>
      <w:tr>
        <w:trPr>
          <w:trHeight w:val="34"/>
        </w:trPr>
        <w:tc>
          <w:tcPr>
            <w:tcW w:w="7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5"/>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2,219,445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2,146,618</w:t>
            </w:r>
          </w:p>
        </w:tc>
      </w:tr>
      <w:tr>
        <w:trPr>
          <w:trHeight w:val="20"/>
        </w:trPr>
        <w:tc>
          <w:tcPr>
            <w:tcW w:w="7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11,850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18,590</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332,353</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298,992</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260,998</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233,503</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2"/>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22,962</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14,973</w:t>
            </w:r>
          </w:p>
        </w:tc>
      </w:tr>
      <w:tr>
        <w:trPr>
          <w:trHeight w:val="243"/>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1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628,163</w:t>
            </w: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566,058</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348,980</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348,888</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15,787</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17,111</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977</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966</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13,161</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14,879</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7,382</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7,716</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2"/>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11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1,014,450</w:t>
            </w: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955,618</w:t>
            </w:r>
          </w:p>
        </w:tc>
      </w:tr>
      <w:tr>
        <w:trPr>
          <w:trHeight w:val="34"/>
        </w:trPr>
        <w:tc>
          <w:tcPr>
            <w:tcW w:w="7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53,793,839 shares issued and outstanding at March 31, 2018 and</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4,643</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4,664</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491,338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481,337</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938</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912</w:t>
            </w:r>
          </w:p>
        </w:tc>
      </w:tr>
      <w:tr>
        <w:trPr>
          <w:trHeight w:val="27"/>
        </w:trPr>
        <w:tc>
          <w:tcPr>
            <w:tcW w:w="7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(26,505)</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(38,713)</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1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734,581</w:t>
            </w:r>
          </w:p>
        </w:tc>
        <w:tc>
          <w:tcPr>
            <w:tcW w:w="3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742,800</w:t>
            </w:r>
          </w:p>
        </w:tc>
      </w:tr>
      <w:tr>
        <w:trPr>
          <w:trHeight w:val="34"/>
        </w:trPr>
        <w:tc>
          <w:tcPr>
            <w:tcW w:w="7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1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1,204,995</w:t>
            </w: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1,191,000</w:t>
            </w:r>
          </w:p>
        </w:tc>
      </w:tr>
      <w:tr>
        <w:trPr>
          <w:trHeight w:val="243"/>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2,219,445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2,146,618</w:t>
            </w:r>
          </w:p>
        </w:tc>
      </w:tr>
      <w:tr>
        <w:trPr>
          <w:trHeight w:val="27"/>
        </w:trPr>
        <w:tc>
          <w:tcPr>
            <w:tcW w:w="7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380"/>
          </w:cols>
          <w:pgMar w:left="260" w:top="364" w:right="25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364" w:right="259" w:bottom="1440" w:gutter="0" w:footer="0" w:header="0"/>
          <w:type w:val="continuous"/>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2018 AND MARCH 31, 2017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1233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349" w:lineRule="exact"/>
        <w:rPr>
          <w:sz w:val="20"/>
          <w:szCs w:val="20"/>
          <w:color w:val="auto"/>
        </w:rPr>
      </w:pPr>
    </w:p>
    <w:p>
      <w:pPr>
        <w:ind w:left="904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March 31, 2018</w:t>
            </w:r>
          </w:p>
        </w:tc>
        <w:tc>
          <w:tcPr>
            <w:tcW w:w="220" w:type="dxa"/>
            <w:vAlign w:val="bottom"/>
          </w:tcPr>
          <w:p>
            <w:pPr>
              <w:spacing w:after="0"/>
              <w:rPr>
                <w:sz w:val="17"/>
                <w:szCs w:val="17"/>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3"/>
              </w:rPr>
              <w:t>March 31, 2017</w:t>
            </w:r>
          </w:p>
        </w:tc>
      </w:tr>
      <w:tr>
        <w:trPr>
          <w:trHeight w:val="48"/>
        </w:trPr>
        <w:tc>
          <w:tcPr>
            <w:tcW w:w="63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63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6"/>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Revenue:</w:t>
            </w:r>
          </w:p>
        </w:tc>
        <w:tc>
          <w:tcPr>
            <w:tcW w:w="2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620,125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578,066</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Reimbursable expenses</w:t>
            </w:r>
          </w:p>
        </w:tc>
        <w:tc>
          <w:tcPr>
            <w:tcW w:w="2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(146,112)</w:t>
            </w:r>
          </w:p>
        </w:tc>
      </w:tr>
      <w:tr>
        <w:trPr>
          <w:trHeight w:val="34"/>
        </w:trPr>
        <w:tc>
          <w:tcPr>
            <w:tcW w:w="6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3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431,954</w:t>
            </w:r>
          </w:p>
        </w:tc>
      </w:tr>
      <w:tr>
        <w:trPr>
          <w:trHeight w:val="27"/>
        </w:trPr>
        <w:tc>
          <w:tcPr>
            <w:tcW w:w="6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Direct costs</w:t>
            </w:r>
          </w:p>
        </w:tc>
        <w:tc>
          <w:tcPr>
            <w:tcW w:w="2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Reimbursable expenses</w:t>
            </w:r>
          </w:p>
        </w:tc>
        <w:tc>
          <w:tcPr>
            <w:tcW w:w="2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158,753</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300" w:type="dxa"/>
            <w:vAlign w:val="bottom"/>
          </w:tcPr>
          <w:p>
            <w:pPr>
              <w:ind w:left="520"/>
              <w:spacing w:after="0"/>
              <w:rPr>
                <w:sz w:val="20"/>
                <w:szCs w:val="20"/>
                <w:color w:val="auto"/>
              </w:rPr>
            </w:pPr>
            <w:r>
              <w:rPr>
                <w:rFonts w:ascii="Arial" w:cs="Arial" w:eastAsia="Arial" w:hAnsi="Arial"/>
                <w:sz w:val="18"/>
                <w:szCs w:val="18"/>
                <w:color w:val="auto"/>
              </w:rPr>
              <w:t>- Other direct costs</w:t>
            </w:r>
          </w:p>
        </w:tc>
        <w:tc>
          <w:tcPr>
            <w:tcW w:w="2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271,839</w:t>
            </w: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250,459</w:t>
            </w:r>
          </w:p>
        </w:tc>
      </w:tr>
      <w:tr>
        <w:trPr>
          <w:trHeight w:val="27"/>
        </w:trPr>
        <w:tc>
          <w:tcPr>
            <w:tcW w:w="6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2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80,915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81,389</w:t>
            </w: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16,898</w:t>
            </w: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14,448</w:t>
            </w:r>
          </w:p>
        </w:tc>
      </w:tr>
      <w:tr>
        <w:trPr>
          <w:trHeight w:val="34"/>
        </w:trPr>
        <w:tc>
          <w:tcPr>
            <w:tcW w:w="6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3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528,405</w:t>
            </w: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346,296</w:t>
            </w:r>
          </w:p>
        </w:tc>
      </w:tr>
      <w:tr>
        <w:trPr>
          <w:trHeight w:val="34"/>
        </w:trPr>
        <w:tc>
          <w:tcPr>
            <w:tcW w:w="6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91,720</w:t>
            </w: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85,658</w:t>
            </w:r>
          </w:p>
        </w:tc>
      </w:tr>
      <w:tr>
        <w:trPr>
          <w:trHeight w:val="27"/>
        </w:trPr>
        <w:tc>
          <w:tcPr>
            <w:tcW w:w="6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(3,795)</w:t>
            </w:r>
          </w:p>
        </w:tc>
        <w:tc>
          <w:tcPr>
            <w:tcW w:w="22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(3,179)</w:t>
            </w:r>
          </w:p>
        </w:tc>
      </w:tr>
      <w:tr>
        <w:trPr>
          <w:trHeight w:val="34"/>
        </w:trPr>
        <w:tc>
          <w:tcPr>
            <w:tcW w:w="6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3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18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88,748</w:t>
            </w: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83,034</w:t>
            </w:r>
          </w:p>
        </w:tc>
      </w:tr>
      <w:tr>
        <w:trPr>
          <w:trHeight w:val="27"/>
        </w:trPr>
        <w:tc>
          <w:tcPr>
            <w:tcW w:w="6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1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(10,650)</w:t>
            </w: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(11,625)</w:t>
            </w:r>
          </w:p>
        </w:tc>
      </w:tr>
      <w:tr>
        <w:trPr>
          <w:trHeight w:val="270"/>
        </w:trPr>
        <w:tc>
          <w:tcPr>
            <w:tcW w:w="6300" w:type="dxa"/>
            <w:vAlign w:val="bottom"/>
            <w:tcBorders>
              <w:top w:val="single" w:sz="8" w:color="auto"/>
            </w:tcBorders>
          </w:tcPr>
          <w:p>
            <w:pPr>
              <w:spacing w:after="0"/>
              <w:rPr>
                <w:sz w:val="23"/>
                <w:szCs w:val="23"/>
                <w:color w:val="auto"/>
              </w:rPr>
            </w:pPr>
          </w:p>
        </w:tc>
        <w:tc>
          <w:tcPr>
            <w:tcW w:w="21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71,409</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w:t>
            </w:r>
          </w:p>
        </w:tc>
        <w:tc>
          <w:tcPr>
            <w:tcW w:w="2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6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w:t>
            </w:r>
          </w:p>
        </w:tc>
        <w:tc>
          <w:tcPr>
            <w:tcW w:w="2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63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53,925,560</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54,372,931</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8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15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5"/>
        </w:trPr>
        <w:tc>
          <w:tcPr>
            <w:tcW w:w="1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8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54,985,790</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55,371,826</w:t>
            </w:r>
          </w:p>
        </w:tc>
      </w:tr>
      <w:tr>
        <w:trPr>
          <w:trHeight w:val="20"/>
        </w:trPr>
        <w:tc>
          <w:tcPr>
            <w:tcW w:w="1540" w:type="dxa"/>
            <w:vAlign w:val="bottom"/>
            <w:tcBorders>
              <w:top w:val="single" w:sz="8" w:color="auto"/>
              <w:bottom w:val="single" w:sz="8" w:color="auto"/>
            </w:tcBorders>
          </w:tcPr>
          <w:p>
            <w:pPr>
              <w:spacing w:after="0" w:line="20" w:lineRule="exact"/>
              <w:rPr>
                <w:sz w:val="1"/>
                <w:szCs w:val="1"/>
                <w:color w:val="auto"/>
              </w:rPr>
            </w:pPr>
          </w:p>
        </w:tc>
        <w:tc>
          <w:tcPr>
            <w:tcW w:w="8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8520" w:type="dxa"/>
            <w:vAlign w:val="bottom"/>
          </w:tcPr>
          <w:p>
            <w:pPr>
              <w:jc w:val="right"/>
              <w:ind w:right="710"/>
              <w:spacing w:after="0"/>
              <w:rPr>
                <w:sz w:val="20"/>
                <w:szCs w:val="20"/>
                <w:color w:val="auto"/>
              </w:rPr>
            </w:pPr>
            <w:r>
              <w:rPr>
                <w:rFonts w:ascii="Arial" w:cs="Arial" w:eastAsia="Arial" w:hAnsi="Arial"/>
                <w:sz w:val="18"/>
                <w:szCs w:val="18"/>
                <w:color w:val="auto"/>
                <w:w w:val="96"/>
              </w:rPr>
              <w:t>The accompanying notes are an integral part of these condensed consolidated financial statements.</w:t>
            </w:r>
          </w:p>
        </w:tc>
        <w:tc>
          <w:tcPr>
            <w:tcW w:w="1300" w:type="dxa"/>
            <w:vAlign w:val="bottom"/>
          </w:tcPr>
          <w:p>
            <w:pPr>
              <w:spacing w:after="0"/>
              <w:rPr>
                <w:sz w:val="24"/>
                <w:szCs w:val="24"/>
                <w:color w:val="auto"/>
              </w:rPr>
            </w:pPr>
          </w:p>
        </w:tc>
      </w:tr>
      <w:tr>
        <w:trPr>
          <w:trHeight w:val="675"/>
        </w:trPr>
        <w:tc>
          <w:tcPr>
            <w:tcW w:w="1540" w:type="dxa"/>
            <w:vAlign w:val="bottom"/>
          </w:tcPr>
          <w:p>
            <w:pPr>
              <w:spacing w:after="0"/>
              <w:rPr>
                <w:sz w:val="24"/>
                <w:szCs w:val="24"/>
                <w:color w:val="auto"/>
              </w:rPr>
            </w:pPr>
          </w:p>
        </w:tc>
        <w:tc>
          <w:tcPr>
            <w:tcW w:w="8520" w:type="dxa"/>
            <w:vAlign w:val="bottom"/>
          </w:tcPr>
          <w:p>
            <w:pPr>
              <w:jc w:val="right"/>
              <w:ind w:right="4210"/>
              <w:spacing w:after="0"/>
              <w:rPr>
                <w:sz w:val="20"/>
                <w:szCs w:val="20"/>
                <w:color w:val="auto"/>
              </w:rPr>
            </w:pPr>
            <w:r>
              <w:rPr>
                <w:rFonts w:ascii="Arial" w:cs="Arial" w:eastAsia="Arial" w:hAnsi="Arial"/>
                <w:sz w:val="18"/>
                <w:szCs w:val="18"/>
                <w:color w:val="auto"/>
              </w:rPr>
              <w:t>5</w:t>
            </w:r>
          </w:p>
        </w:tc>
        <w:tc>
          <w:tcPr>
            <w:tcW w:w="1300" w:type="dxa"/>
            <w:vAlign w:val="bottom"/>
          </w:tcPr>
          <w:p>
            <w:pPr>
              <w:spacing w:after="0"/>
              <w:rPr>
                <w:sz w:val="24"/>
                <w:szCs w:val="24"/>
                <w:color w:val="auto"/>
              </w:rPr>
            </w:pPr>
          </w:p>
        </w:tc>
      </w:tr>
    </w:tbl>
    <w:p>
      <w:pPr>
        <w:sectPr>
          <w:pgSz w:w="11900" w:h="16838" w:orient="portrait"/>
          <w:cols w:equalWidth="0" w:num="1">
            <w:col w:w="11360"/>
          </w:cols>
          <w:pgMar w:left="240" w:top="364" w:right="2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2018 AND MARCH 31, 2017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49"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31, 2018</w:t>
            </w:r>
          </w:p>
        </w:tc>
        <w:tc>
          <w:tcPr>
            <w:tcW w:w="2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March 31, 2017</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920" w:type="dxa"/>
            <w:vAlign w:val="bottom"/>
            <w:gridSpan w:val="3"/>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78,098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71,409</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Loss on disposal of property, plant and equipment</w:t>
            </w:r>
          </w:p>
        </w:tc>
        <w:tc>
          <w:tcPr>
            <w:tcW w:w="1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11,850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10,018</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5,048</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4,430</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government grants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Interest on short term investments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9,392</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8,809</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Amortization of gain on interest rate hedge</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financing costs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(3,481)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Increase in accounts receivable</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(12,979)</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76,478</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unbilled revenue</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(65,904)</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(32,944)</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Increase in other receivables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(2,866)</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prepayments and other 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Increase in other non-current assets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Increase/(decrease) in payments on account</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8,040</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Increase in other current liabilities</w:t>
            </w:r>
          </w:p>
        </w:tc>
        <w:tc>
          <w:tcPr>
            <w:tcW w:w="1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27,523</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22,568</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(Decrease)/increase in other non-current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Increase in income taxes payable</w:t>
            </w:r>
          </w:p>
        </w:tc>
        <w:tc>
          <w:tcPr>
            <w:tcW w:w="1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4,300</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8,839</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(Decrease)/increase in accounts payable</w:t>
            </w:r>
          </w:p>
        </w:tc>
        <w:tc>
          <w:tcPr>
            <w:tcW w:w="13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(6,668)</w:t>
            </w:r>
          </w:p>
        </w:tc>
        <w:tc>
          <w:tcPr>
            <w:tcW w:w="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w:t>
            </w:r>
          </w:p>
        </w:tc>
      </w:tr>
      <w:tr>
        <w:trPr>
          <w:trHeight w:val="243"/>
        </w:trPr>
        <w:tc>
          <w:tcPr>
            <w:tcW w:w="7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40,468</w:t>
            </w: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159,327</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(8,304)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(8,298)</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undertakings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Purchase of short term investments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(10,160)</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(17,977)</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short term investments</w:t>
            </w:r>
          </w:p>
        </w:tc>
        <w:tc>
          <w:tcPr>
            <w:tcW w:w="13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6,253</w:t>
            </w:r>
          </w:p>
        </w:tc>
        <w:tc>
          <w:tcPr>
            <w:tcW w:w="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4,675</w:t>
            </w:r>
          </w:p>
        </w:tc>
      </w:tr>
      <w:tr>
        <w:trPr>
          <w:trHeight w:val="243"/>
        </w:trPr>
        <w:tc>
          <w:tcPr>
            <w:tcW w:w="7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(13,856)</w:t>
            </w: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(21,600)</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Financing costs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equity compensation</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727</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2,780</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Share issue costs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ordinary shares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(96,404)</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Share repurchase costs</w:t>
            </w:r>
          </w:p>
        </w:tc>
        <w:tc>
          <w:tcPr>
            <w:tcW w:w="1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4"/>
        </w:trPr>
        <w:tc>
          <w:tcPr>
            <w:tcW w:w="7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(38,339)</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Effect of exchange rate movements on cash</w:t>
            </w:r>
          </w:p>
        </w:tc>
        <w:tc>
          <w:tcPr>
            <w:tcW w:w="1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739</w:t>
            </w:r>
          </w:p>
        </w:tc>
      </w:tr>
      <w:tr>
        <w:trPr>
          <w:trHeight w:val="34"/>
        </w:trPr>
        <w:tc>
          <w:tcPr>
            <w:tcW w:w="7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36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282,859</w:t>
            </w:r>
          </w:p>
        </w:tc>
        <w:tc>
          <w:tcPr>
            <w:tcW w:w="2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192,541</w:t>
            </w:r>
          </w:p>
        </w:tc>
      </w:tr>
      <w:tr>
        <w:trPr>
          <w:trHeight w:val="34"/>
        </w:trPr>
        <w:tc>
          <w:tcPr>
            <w:tcW w:w="7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237,299</w:t>
            </w:r>
          </w:p>
        </w:tc>
      </w:tr>
      <w:tr>
        <w:trPr>
          <w:trHeight w:val="20"/>
        </w:trPr>
        <w:tc>
          <w:tcPr>
            <w:tcW w:w="7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364"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364" w:right="2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1"/>
              </w:rPr>
              <w:t>Additional</w:t>
            </w:r>
          </w:p>
        </w:tc>
        <w:tc>
          <w:tcPr>
            <w:tcW w:w="140" w:type="dxa"/>
            <w:vAlign w:val="bottom"/>
            <w:tcBorders>
              <w:bottom w:val="single" w:sz="8" w:color="CCEEFF"/>
            </w:tcBorders>
            <w:vMerge w:val="restart"/>
            <w:shd w:val="clear" w:color="auto" w:fill="CCEEFF"/>
          </w:tcPr>
          <w:p>
            <w:pPr>
              <w:spacing w:after="0"/>
              <w:rPr>
                <w:sz w:val="16"/>
                <w:szCs w:val="16"/>
                <w:color w:val="auto"/>
              </w:rPr>
            </w:pP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Other</w:t>
            </w: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Accumulated</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gridSpan w:val="3"/>
            <w:vMerge w:val="continue"/>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b w:val="1"/>
                <w:bCs w:val="1"/>
                <w:color w:val="auto"/>
                <w:w w:val="92"/>
              </w:rPr>
              <w:t>Other</w:t>
            </w:r>
          </w:p>
        </w:tc>
        <w:tc>
          <w:tcPr>
            <w:tcW w:w="34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6"/>
              </w:rPr>
              <w:t>Retained</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vMerge w:val="continue"/>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Shares</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0"/>
              </w:rPr>
              <w:t>Amount</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1"/>
              </w:rPr>
              <w:t>Paid-in</w:t>
            </w:r>
          </w:p>
        </w:tc>
        <w:tc>
          <w:tcPr>
            <w:tcW w:w="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0"/>
              </w:rPr>
              <w:t>Undenominated</w:t>
            </w: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80" w:type="dxa"/>
            <w:vAlign w:val="bottom"/>
            <w:gridSpan w:val="5"/>
            <w:shd w:val="clear" w:color="auto" w:fill="CCEEFF"/>
          </w:tcPr>
          <w:p>
            <w:pPr>
              <w:jc w:val="right"/>
              <w:ind w:right="140"/>
              <w:spacing w:after="0" w:line="183" w:lineRule="exact"/>
              <w:rPr>
                <w:sz w:val="20"/>
                <w:szCs w:val="20"/>
                <w:color w:val="auto"/>
              </w:rPr>
            </w:pPr>
            <w:r>
              <w:rPr>
                <w:rFonts w:ascii="Arial" w:cs="Arial" w:eastAsia="Arial" w:hAnsi="Arial"/>
                <w:sz w:val="17"/>
                <w:szCs w:val="17"/>
                <w:b w:val="1"/>
                <w:bCs w:val="1"/>
                <w:color w:val="auto"/>
                <w:w w:val="87"/>
              </w:rPr>
              <w:t>Comprehensive</w:t>
            </w:r>
          </w:p>
        </w:tc>
        <w:tc>
          <w:tcPr>
            <w:tcW w:w="34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720" w:type="dxa"/>
            <w:vAlign w:val="bottom"/>
            <w:shd w:val="clear" w:color="auto" w:fill="CCEEFF"/>
          </w:tcPr>
          <w:p>
            <w:pPr>
              <w:spacing w:after="0" w:line="20" w:lineRule="exact"/>
              <w:rPr>
                <w:sz w:val="1"/>
                <w:szCs w:val="1"/>
                <w:color w:val="auto"/>
              </w:rPr>
            </w:pPr>
          </w:p>
        </w:tc>
        <w:tc>
          <w:tcPr>
            <w:tcW w:w="1120" w:type="dxa"/>
            <w:vAlign w:val="bottom"/>
            <w:gridSpan w:val="3"/>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gridSpan w:val="2"/>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20" w:type="dxa"/>
            <w:vAlign w:val="bottom"/>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1"/>
              </w:rPr>
              <w:t>Capital</w:t>
            </w:r>
          </w:p>
        </w:tc>
        <w:tc>
          <w:tcPr>
            <w:tcW w:w="14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Capital</w:t>
            </w:r>
          </w:p>
        </w:tc>
        <w:tc>
          <w:tcPr>
            <w:tcW w:w="12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87"/>
              </w:rPr>
              <w:t>Income</w:t>
            </w:r>
          </w:p>
        </w:tc>
        <w:tc>
          <w:tcPr>
            <w:tcW w:w="14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5"/>
              </w:rPr>
              <w:t>Earnings</w:t>
            </w:r>
          </w:p>
        </w:tc>
        <w:tc>
          <w:tcPr>
            <w:tcW w:w="280" w:type="dxa"/>
            <w:vAlign w:val="bottom"/>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7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right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40" w:type="dxa"/>
            <w:vAlign w:val="bottom"/>
            <w:gridSpan w:val="13"/>
          </w:tcPr>
          <w:p>
            <w:pPr>
              <w:jc w:val="right"/>
              <w:ind w:right="480"/>
              <w:spacing w:after="0"/>
              <w:rPr>
                <w:sz w:val="20"/>
                <w:szCs w:val="20"/>
                <w:color w:val="auto"/>
              </w:rPr>
            </w:pPr>
            <w:r>
              <w:rPr>
                <w:rFonts w:ascii="Arial" w:cs="Arial" w:eastAsia="Arial" w:hAnsi="Arial"/>
                <w:sz w:val="18"/>
                <w:szCs w:val="18"/>
                <w:b w:val="1"/>
                <w:bCs w:val="1"/>
                <w:color w:val="auto"/>
                <w:w w:val="95"/>
              </w:rPr>
              <w:t>(dollars in thousands, except share data)</w:t>
            </w: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(38,713)</w:t>
            </w:r>
          </w:p>
        </w:tc>
        <w:tc>
          <w:tcPr>
            <w:tcW w:w="34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742,800</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1,191,000</w:t>
            </w:r>
          </w:p>
        </w:tc>
        <w:tc>
          <w:tcPr>
            <w:tcW w:w="0" w:type="dxa"/>
            <w:vAlign w:val="bottom"/>
          </w:tcPr>
          <w:p>
            <w:pPr>
              <w:spacing w:after="0"/>
              <w:rPr>
                <w:sz w:val="1"/>
                <w:szCs w:val="1"/>
                <w:color w:val="auto"/>
              </w:rPr>
            </w:pPr>
          </w:p>
        </w:tc>
      </w:tr>
      <w:tr>
        <w:trPr>
          <w:trHeight w:val="324"/>
        </w:trPr>
        <w:tc>
          <w:tcPr>
            <w:tcW w:w="2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Cumulative effect adjustment from</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adoption of ASC 606</w:t>
            </w: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(48,104)</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(48,104)</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54,081,601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3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(38,713)</w:t>
            </w:r>
          </w:p>
        </w:tc>
        <w:tc>
          <w:tcPr>
            <w:tcW w:w="34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694,696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1,142,896</w:t>
            </w:r>
          </w:p>
        </w:tc>
        <w:tc>
          <w:tcPr>
            <w:tcW w:w="0" w:type="dxa"/>
            <w:vAlign w:val="bottom"/>
          </w:tcPr>
          <w:p>
            <w:pPr>
              <w:spacing w:after="0"/>
              <w:rPr>
                <w:sz w:val="1"/>
                <w:szCs w:val="1"/>
                <w:color w:val="auto"/>
              </w:rPr>
            </w:pPr>
          </w:p>
        </w:tc>
      </w:tr>
      <w:tr>
        <w:trPr>
          <w:trHeight w:val="324"/>
        </w:trPr>
        <w:tc>
          <w:tcPr>
            <w:tcW w:w="27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78,098</w:t>
            </w:r>
          </w:p>
        </w:tc>
        <w:tc>
          <w:tcPr>
            <w:tcW w:w="28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78,098</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10,635</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Currency impact of long term</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funding</w:t>
            </w:r>
          </w:p>
        </w:tc>
        <w:tc>
          <w:tcPr>
            <w:tcW w:w="4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on currency impact of long</w:t>
            </w: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term funding</w:t>
            </w: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right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Unrealized capital gain –</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4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gridSpan w:val="5"/>
          </w:tcPr>
          <w:p>
            <w:pPr>
              <w:jc w:val="right"/>
              <w:ind w:right="80"/>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Amortization of interest rate hedge</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Fair value of cash flow hedge</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gridSpan w:val="5"/>
          </w:tcPr>
          <w:p>
            <w:pPr>
              <w:jc w:val="right"/>
              <w:ind w:right="140"/>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7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right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right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right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48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gridSpan w:val="5"/>
          </w:tcPr>
          <w:p>
            <w:pPr>
              <w:jc w:val="right"/>
              <w:ind w:right="140"/>
              <w:spacing w:after="0"/>
              <w:rPr>
                <w:sz w:val="20"/>
                <w:szCs w:val="20"/>
                <w:color w:val="auto"/>
              </w:rPr>
            </w:pPr>
            <w:r>
              <w:rPr>
                <w:rFonts w:ascii="Arial" w:cs="Arial" w:eastAsia="Arial" w:hAnsi="Arial"/>
                <w:sz w:val="18"/>
                <w:szCs w:val="18"/>
                <w:color w:val="auto"/>
              </w:rPr>
              <w:t>12,208</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78,124</w:t>
            </w:r>
          </w:p>
        </w:tc>
        <w:tc>
          <w:tcPr>
            <w:tcW w:w="28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90,332</w:t>
            </w:r>
          </w:p>
        </w:tc>
        <w:tc>
          <w:tcPr>
            <w:tcW w:w="0" w:type="dxa"/>
            <w:vAlign w:val="bottom"/>
          </w:tcPr>
          <w:p>
            <w:pPr>
              <w:spacing w:after="0"/>
              <w:rPr>
                <w:sz w:val="1"/>
                <w:szCs w:val="1"/>
                <w:color w:val="auto"/>
              </w:rPr>
            </w:pPr>
          </w:p>
        </w:tc>
      </w:tr>
      <w:tr>
        <w:trPr>
          <w:trHeight w:val="34"/>
        </w:trPr>
        <w:tc>
          <w:tcPr>
            <w:tcW w:w="2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27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Exercise of share options</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21,574</w:t>
            </w:r>
          </w:p>
        </w:tc>
        <w:tc>
          <w:tcPr>
            <w:tcW w:w="2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 of restricted share units</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35,776</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7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40"/>
              <w:spacing w:after="0"/>
              <w:rPr>
                <w:sz w:val="20"/>
                <w:szCs w:val="20"/>
                <w:color w:val="auto"/>
              </w:rPr>
            </w:pPr>
            <w:r>
              <w:rPr>
                <w:rFonts w:ascii="Arial" w:cs="Arial" w:eastAsia="Arial" w:hAnsi="Arial"/>
                <w:sz w:val="18"/>
                <w:szCs w:val="18"/>
                <w:color w:val="auto"/>
              </w:rPr>
              <w:t>expense</w:t>
            </w:r>
          </w:p>
        </w:tc>
        <w:tc>
          <w:tcPr>
            <w:tcW w:w="4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9,283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Share repurchase program</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(345,112)</w:t>
            </w:r>
          </w:p>
        </w:tc>
        <w:tc>
          <w:tcPr>
            <w:tcW w:w="20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(38,208)</w:t>
            </w:r>
          </w:p>
        </w:tc>
        <w:tc>
          <w:tcPr>
            <w:tcW w:w="28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(38,208)</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costs</w:t>
            </w:r>
          </w:p>
        </w:tc>
        <w:tc>
          <w:tcPr>
            <w:tcW w:w="4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31"/>
        </w:trPr>
        <w:tc>
          <w:tcPr>
            <w:tcW w:w="2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53,793,839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491,338</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3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(26,505)</w:t>
            </w:r>
          </w:p>
        </w:tc>
        <w:tc>
          <w:tcPr>
            <w:tcW w:w="340" w:type="dxa"/>
            <w:vAlign w:val="bottom"/>
            <w:tcBorders>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734,581</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1,204,995</w:t>
            </w:r>
          </w:p>
        </w:tc>
        <w:tc>
          <w:tcPr>
            <w:tcW w:w="0" w:type="dxa"/>
            <w:vAlign w:val="bottom"/>
          </w:tcPr>
          <w:p>
            <w:pPr>
              <w:spacing w:after="0"/>
              <w:rPr>
                <w:sz w:val="1"/>
                <w:szCs w:val="1"/>
                <w:color w:val="auto"/>
              </w:rPr>
            </w:pPr>
          </w:p>
        </w:tc>
      </w:tr>
      <w:tr>
        <w:trPr>
          <w:trHeight w:val="20"/>
        </w:trPr>
        <w:tc>
          <w:tcPr>
            <w:tcW w:w="2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2017. Operating results for the three months ended March 31, 2018 are not necessarily indicative of the results that may be expected for the fiscal period ending December 31, 2018.</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with a date of initial application of January 1, 2018. The revenue recognition accounting policy applied in preparation of the results for the three months ended March 31,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amounts. The cumulative effect of initially applying the new standard (to revenue, costs and tax) is recorded as an adjustment to the opening balance of equity at the date of initial application. See 'Note 13 - Impact of changes in accounting policies' for details. The comparative information has not been adjusted and therefore continues to be reported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trial.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therefore based on on an input measure being total project costs (inclusive of third party costs) at each reporting period</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13 - Impact of changes in accounting policies' for details of the impact of application of the provisions of ASC 606 in the three months ended March 31, 2018 and in respect of the position at March 31, 2018.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customer profile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16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March 31, 2018</w:t>
            </w:r>
          </w:p>
        </w:tc>
        <w:tc>
          <w:tcPr>
            <w:tcW w:w="2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March 31, 2017</w:t>
            </w:r>
          </w:p>
        </w:tc>
      </w:tr>
      <w:tr>
        <w:trPr>
          <w:trHeight w:val="48"/>
        </w:trPr>
        <w:tc>
          <w:tcPr>
            <w:tcW w:w="3340" w:type="dxa"/>
            <w:vAlign w:val="bottom"/>
          </w:tcPr>
          <w:p>
            <w:pPr>
              <w:spacing w:after="0"/>
              <w:rPr>
                <w:sz w:val="4"/>
                <w:szCs w:val="4"/>
                <w:color w:val="auto"/>
              </w:rPr>
            </w:pPr>
          </w:p>
        </w:tc>
        <w:tc>
          <w:tcPr>
            <w:tcW w:w="5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5"/>
            <w:shd w:val="clear" w:color="auto" w:fill="CCEEFF"/>
          </w:tcPr>
          <w:p>
            <w:pPr>
              <w:ind w:left="760"/>
              <w:spacing w:after="0"/>
              <w:rPr>
                <w:sz w:val="20"/>
                <w:szCs w:val="20"/>
                <w:color w:val="auto"/>
              </w:rPr>
            </w:pPr>
            <w:r>
              <w:rPr>
                <w:rFonts w:ascii="Arial" w:cs="Arial" w:eastAsia="Arial" w:hAnsi="Arial"/>
                <w:sz w:val="18"/>
                <w:szCs w:val="18"/>
                <w:b w:val="1"/>
                <w:bCs w:val="1"/>
                <w:color w:val="auto"/>
              </w:rPr>
              <w:t>(in thousands)</w:t>
            </w:r>
          </w:p>
        </w:tc>
      </w:tr>
      <w:tr>
        <w:trPr>
          <w:trHeight w:val="324"/>
        </w:trPr>
        <w:tc>
          <w:tcPr>
            <w:tcW w:w="33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client</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65,818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2-5</w:t>
            </w:r>
          </w:p>
        </w:tc>
        <w:tc>
          <w:tcPr>
            <w:tcW w:w="528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164,301</w:t>
            </w:r>
          </w:p>
        </w:tc>
        <w:tc>
          <w:tcPr>
            <w:tcW w:w="2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90,265</w:t>
            </w:r>
          </w:p>
        </w:tc>
      </w:tr>
      <w:tr>
        <w:trPr>
          <w:trHeight w:val="27"/>
        </w:trPr>
        <w:tc>
          <w:tcPr>
            <w:tcW w:w="33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Clients 6-10</w:t>
            </w:r>
          </w:p>
        </w:tc>
        <w:tc>
          <w:tcPr>
            <w:tcW w:w="5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98,539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55,341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11-25</w:t>
            </w:r>
          </w:p>
        </w:tc>
        <w:tc>
          <w:tcPr>
            <w:tcW w:w="528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117,271</w:t>
            </w:r>
          </w:p>
        </w:tc>
        <w:tc>
          <w:tcPr>
            <w:tcW w:w="22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70,364</w:t>
            </w:r>
          </w:p>
        </w:tc>
      </w:tr>
      <w:tr>
        <w:trPr>
          <w:trHeight w:val="27"/>
        </w:trPr>
        <w:tc>
          <w:tcPr>
            <w:tcW w:w="33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174,196</w:t>
            </w:r>
          </w:p>
        </w:tc>
        <w:tc>
          <w:tcPr>
            <w:tcW w:w="2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111,302</w:t>
            </w:r>
          </w:p>
        </w:tc>
      </w:tr>
      <w:tr>
        <w:trPr>
          <w:trHeight w:val="324"/>
        </w:trPr>
        <w:tc>
          <w:tcPr>
            <w:tcW w:w="3340" w:type="dxa"/>
            <w:vAlign w:val="bottom"/>
            <w:tcBorders>
              <w:top w:val="single" w:sz="8" w:color="auto"/>
            </w:tcBorders>
          </w:tcPr>
          <w:p>
            <w:pPr>
              <w:spacing w:after="0"/>
              <w:rPr>
                <w:sz w:val="24"/>
                <w:szCs w:val="24"/>
                <w:color w:val="auto"/>
              </w:rPr>
            </w:pPr>
          </w:p>
        </w:tc>
        <w:tc>
          <w:tcPr>
            <w:tcW w:w="5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620,125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431,954</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5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3340" w:type="dxa"/>
            <w:vAlign w:val="bottom"/>
          </w:tcPr>
          <w:p>
            <w:pPr>
              <w:spacing w:after="0"/>
              <w:rPr>
                <w:sz w:val="24"/>
                <w:szCs w:val="24"/>
                <w:color w:val="auto"/>
              </w:rPr>
            </w:pPr>
          </w:p>
        </w:tc>
        <w:tc>
          <w:tcPr>
            <w:tcW w:w="5280" w:type="dxa"/>
            <w:vAlign w:val="bottom"/>
          </w:tcPr>
          <w:p>
            <w:pPr>
              <w:jc w:val="right"/>
              <w:ind w:right="277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Trade accounts receivable, unbilled services and payments on account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receivables and unbilled revenue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8160"/>
        <w:spacing w:after="0"/>
        <w:tabs>
          <w:tab w:leader="none" w:pos="9820" w:val="left"/>
        </w:tabs>
        <w:rPr>
          <w:sz w:val="20"/>
          <w:szCs w:val="20"/>
          <w:color w:val="auto"/>
        </w:rPr>
      </w:pPr>
      <w:r>
        <w:rPr>
          <w:rFonts w:ascii="Arial" w:cs="Arial" w:eastAsia="Arial" w:hAnsi="Arial"/>
          <w:sz w:val="18"/>
          <w:szCs w:val="18"/>
          <w:b w:val="1"/>
          <w:bCs w:val="1"/>
          <w:u w:val="single" w:color="auto"/>
          <w:color w:val="auto"/>
        </w:rPr>
        <w:t>March 31, 2018</w:t>
      </w:r>
      <w:r>
        <w:rPr>
          <w:sz w:val="20"/>
          <w:szCs w:val="20"/>
          <w:color w:val="auto"/>
        </w:rPr>
        <w:tab/>
      </w:r>
      <w:r>
        <w:rPr>
          <w:rFonts w:ascii="Arial" w:cs="Arial" w:eastAsia="Arial" w:hAnsi="Arial"/>
          <w:sz w:val="16"/>
          <w:szCs w:val="16"/>
          <w:b w:val="1"/>
          <w:bCs w:val="1"/>
          <w:u w:val="single" w:color="auto"/>
          <w:color w:val="auto"/>
        </w:rPr>
        <w:t>December 31, 2017</w:t>
      </w:r>
    </w:p>
    <w:p>
      <w:pPr>
        <w:spacing w:after="0" w:line="63" w:lineRule="exact"/>
        <w:rPr>
          <w:sz w:val="20"/>
          <w:szCs w:val="20"/>
          <w:color w:val="auto"/>
        </w:rPr>
      </w:pPr>
    </w:p>
    <w:p>
      <w:pPr>
        <w:ind w:left="9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Contract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Billed services (accounts receivable)</w:t>
            </w:r>
          </w:p>
        </w:tc>
        <w:tc>
          <w:tcPr>
            <w:tcW w:w="25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403,893</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388,431</w:t>
            </w:r>
          </w:p>
        </w:tc>
      </w:tr>
      <w:tr>
        <w:trPr>
          <w:trHeight w:val="27"/>
        </w:trPr>
        <w:tc>
          <w:tcPr>
            <w:tcW w:w="5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services (unbilled revenue)</w:t>
            </w:r>
          </w:p>
        </w:tc>
        <w:tc>
          <w:tcPr>
            <w:tcW w:w="25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292,688</w:t>
            </w:r>
          </w:p>
        </w:tc>
        <w:tc>
          <w:tcPr>
            <w:tcW w:w="6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268,509</w:t>
            </w:r>
          </w:p>
        </w:tc>
      </w:tr>
      <w:tr>
        <w:trPr>
          <w:trHeight w:val="243"/>
        </w:trPr>
        <w:tc>
          <w:tcPr>
            <w:tcW w:w="59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Trade accounts receivable and unbilled revenue</w:t>
            </w:r>
          </w:p>
        </w:tc>
        <w:tc>
          <w:tcPr>
            <w:tcW w:w="25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696,581</w:t>
            </w:r>
          </w:p>
        </w:tc>
        <w:tc>
          <w:tcPr>
            <w:tcW w:w="6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656,940</w:t>
            </w:r>
          </w:p>
        </w:tc>
      </w:tr>
      <w:tr>
        <w:trPr>
          <w:trHeight w:val="27"/>
        </w:trPr>
        <w:tc>
          <w:tcPr>
            <w:tcW w:w="5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5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(9,953)</w:t>
            </w:r>
          </w:p>
        </w:tc>
        <w:tc>
          <w:tcPr>
            <w:tcW w:w="6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(8,930)</w:t>
            </w:r>
          </w:p>
        </w:tc>
      </w:tr>
      <w:tr>
        <w:trPr>
          <w:trHeight w:val="324"/>
        </w:trPr>
        <w:tc>
          <w:tcPr>
            <w:tcW w:w="596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5"/>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receivable and unbilled revenue, net</w:t>
            </w:r>
          </w:p>
        </w:tc>
        <w:tc>
          <w:tcPr>
            <w:tcW w:w="25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686,628</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648,010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Unbilled services and payments on account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 thousands, except percentages)</w:t>
            </w:r>
          </w:p>
        </w:tc>
        <w:tc>
          <w:tcPr>
            <w:tcW w:w="760" w:type="dxa"/>
            <w:vAlign w:val="bottom"/>
            <w:shd w:val="clear" w:color="auto" w:fill="CCEEFF"/>
          </w:tcPr>
          <w:p>
            <w:pPr>
              <w:spacing w:after="0"/>
              <w:rPr>
                <w:sz w:val="22"/>
                <w:szCs w:val="22"/>
                <w:color w:val="auto"/>
              </w:rPr>
            </w:pPr>
          </w:p>
        </w:tc>
        <w:tc>
          <w:tcPr>
            <w:tcW w:w="1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6"/>
              </w:rPr>
              <w:t>March 31, 2018</w:t>
            </w:r>
          </w:p>
        </w:tc>
        <w:tc>
          <w:tcPr>
            <w:tcW w:w="1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8"/>
              </w:rPr>
              <w:t>December 31, 2017</w:t>
            </w:r>
          </w:p>
        </w:tc>
        <w:tc>
          <w:tcPr>
            <w:tcW w:w="380" w:type="dxa"/>
            <w:vAlign w:val="bottom"/>
            <w:shd w:val="clear" w:color="auto" w:fill="CCEEFF"/>
          </w:tcPr>
          <w:p>
            <w:pPr>
              <w:spacing w:after="0"/>
              <w:rPr>
                <w:sz w:val="22"/>
                <w:szCs w:val="22"/>
                <w:color w:val="auto"/>
              </w:rPr>
            </w:pPr>
          </w:p>
        </w:tc>
        <w:tc>
          <w:tcPr>
            <w:tcW w:w="19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 Change</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1"/>
              </w:rPr>
              <w:t>% Change</w:t>
            </w:r>
          </w:p>
        </w:tc>
      </w:tr>
      <w:tr>
        <w:trPr>
          <w:trHeight w:val="324"/>
        </w:trPr>
        <w:tc>
          <w:tcPr>
            <w:tcW w:w="36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(unbilled revenue)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292,688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268,509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24,179</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Unearned revenue (payments on account)</w:t>
            </w:r>
          </w:p>
        </w:tc>
        <w:tc>
          <w:tcPr>
            <w:tcW w:w="760" w:type="dxa"/>
            <w:vAlign w:val="bottom"/>
          </w:tcPr>
          <w:p>
            <w:pPr>
              <w:spacing w:after="0"/>
              <w:rPr>
                <w:sz w:val="21"/>
                <w:szCs w:val="21"/>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(332,353)</w:t>
            </w:r>
          </w:p>
        </w:tc>
        <w:tc>
          <w:tcPr>
            <w:tcW w:w="18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(298,992)</w:t>
            </w:r>
          </w:p>
        </w:tc>
        <w:tc>
          <w:tcPr>
            <w:tcW w:w="380" w:type="dxa"/>
            <w:vAlign w:val="bottom"/>
          </w:tcPr>
          <w:p>
            <w:pPr>
              <w:spacing w:after="0"/>
              <w:rPr>
                <w:sz w:val="21"/>
                <w:szCs w:val="21"/>
                <w:color w:val="auto"/>
              </w:rPr>
            </w:pPr>
          </w:p>
        </w:tc>
        <w:tc>
          <w:tcPr>
            <w:tcW w:w="1980" w:type="dxa"/>
            <w:vAlign w:val="bottom"/>
            <w:gridSpan w:val="3"/>
          </w:tcPr>
          <w:p>
            <w:pPr>
              <w:jc w:val="right"/>
              <w:ind w:right="640"/>
              <w:spacing w:after="0"/>
              <w:rPr>
                <w:sz w:val="20"/>
                <w:szCs w:val="20"/>
                <w:color w:val="auto"/>
              </w:rPr>
            </w:pPr>
            <w:r>
              <w:rPr>
                <w:rFonts w:ascii="Arial" w:cs="Arial" w:eastAsia="Arial" w:hAnsi="Arial"/>
                <w:sz w:val="18"/>
                <w:szCs w:val="18"/>
                <w:color w:val="auto"/>
              </w:rPr>
              <w:t>(33,361)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34"/>
        </w:trPr>
        <w:tc>
          <w:tcPr>
            <w:tcW w:w="3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324"/>
        </w:trPr>
        <w:tc>
          <w:tcPr>
            <w:tcW w:w="36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Net balance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(39,665)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(30,483)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640"/>
              <w:spacing w:after="0"/>
              <w:rPr>
                <w:sz w:val="20"/>
                <w:szCs w:val="20"/>
                <w:color w:val="auto"/>
              </w:rPr>
            </w:pPr>
            <w:r>
              <w:rPr>
                <w:rFonts w:ascii="Arial" w:cs="Arial" w:eastAsia="Arial" w:hAnsi="Arial"/>
                <w:sz w:val="18"/>
                <w:szCs w:val="18"/>
                <w:color w:val="auto"/>
              </w:rPr>
              <w:t>(9,182)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r>
      <w:tr>
        <w:trPr>
          <w:trHeight w:val="27"/>
        </w:trPr>
        <w:tc>
          <w:tcPr>
            <w:tcW w:w="3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Unbilled services as of March 31, 2018, increased by $24.2 million as compared to December 31, 2017. Adoption of ASC 606 as at January 1, 2018 resulted in a net reduction in unbilled revenue of $42 million. Unbilled services/revenue balances arise where invoicing or billing is based on the timing of agreed milestones related to service contracts for clinical research. Payments on account increased by $33.4 million over the same period resulting in a decrease of $9.2 million in the net balance of unbilled services and payments on account between December 31, 2017 and March 31, 2018. These fluctuations are primarily due to timing of payments and invoicing related to the Group's clinical trial management contracts.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bad debt expense recognized on the Group's receivables and unbilled services was de minimis for the three months ended March 31, 2018.</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March 31, 2018 approximately $4.9 billion of revenue is expected to be recognized in the future in respect of unrealized performance obligations. The Company expects to recognize revenue on approximately 40% of the unrealized performance obligation over the next 12 months, with the remainder recognized thereafter over the duration of the customer contracts.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5. Goodwill</w:t>
            </w: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46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9"/>
              </w:rPr>
              <w:t>Three months</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44"/>
        </w:trPr>
        <w:tc>
          <w:tcPr>
            <w:tcW w:w="546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w w:val="82"/>
              </w:rPr>
              <w:t>ended</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546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CCEEFF"/>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CCEEFF"/>
            </w:tcBorders>
          </w:tcPr>
          <w:p>
            <w:pPr>
              <w:spacing w:after="0"/>
              <w:rPr>
                <w:sz w:val="17"/>
                <w:szCs w:val="17"/>
                <w:color w:val="auto"/>
              </w:rPr>
            </w:pPr>
          </w:p>
        </w:tc>
      </w:tr>
      <w:tr>
        <w:trPr>
          <w:trHeight w:val="196"/>
        </w:trPr>
        <w:tc>
          <w:tcPr>
            <w:tcW w:w="54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3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2"/>
              </w:rPr>
              <w:t>March 31, 2018</w:t>
            </w:r>
          </w:p>
        </w:tc>
        <w:tc>
          <w:tcPr>
            <w:tcW w:w="280" w:type="dxa"/>
            <w:vAlign w:val="bottom"/>
          </w:tcPr>
          <w:p>
            <w:pPr>
              <w:spacing w:after="0"/>
              <w:rPr>
                <w:sz w:val="17"/>
                <w:szCs w:val="17"/>
                <w:color w:val="auto"/>
              </w:rPr>
            </w:pP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48"/>
        </w:trPr>
        <w:tc>
          <w:tcPr>
            <w:tcW w:w="54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46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Opening balance</w:t>
            </w:r>
          </w:p>
        </w:tc>
        <w:tc>
          <w:tcPr>
            <w:tcW w:w="3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769,058</w:t>
            </w:r>
          </w:p>
        </w:tc>
        <w:tc>
          <w:tcPr>
            <w:tcW w:w="1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616,088</w:t>
            </w:r>
          </w:p>
        </w:tc>
        <w:tc>
          <w:tcPr>
            <w:tcW w:w="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acquisitions (Note 6)</w:t>
            </w:r>
          </w:p>
        </w:tc>
        <w:tc>
          <w:tcPr>
            <w:tcW w:w="3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129,222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Prior period acquisitions (Note 6)</w:t>
            </w:r>
          </w:p>
        </w:tc>
        <w:tc>
          <w:tcPr>
            <w:tcW w:w="3080" w:type="dxa"/>
            <w:vAlign w:val="bottom"/>
          </w:tcPr>
          <w:p>
            <w:pPr>
              <w:spacing w:after="0"/>
              <w:rPr>
                <w:sz w:val="21"/>
                <w:szCs w:val="21"/>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30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97"/>
        </w:trPr>
        <w:tc>
          <w:tcPr>
            <w:tcW w:w="546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3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776,469</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769,058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Mapi Group</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Group is a leading patient-centered health outcomes research and commercialization company. Cash outflows on acquisition were $145.8 million. The acquisition agreement provided for working capital targets to be achieved. On March 26, 2018, the Company paid $1.6 million in respect of these targets on completion of the working capital review.</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Mapi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July 27,</w:t>
            </w: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19,649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128,595</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15,873</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3,277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4,262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(31,237)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r>
      <w:tr>
        <w:trPr>
          <w:trHeight w:val="304"/>
        </w:trPr>
        <w:tc>
          <w:tcPr>
            <w:tcW w:w="6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145,776</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outflows</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144,131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Working capital adjustment</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1,645</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145,776</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the acquisition of an established workforce with experience in late phase commercialization, analytics, real world evidence generation and strategic regulatory services in clinical trial services for biologics, drugs and devices. Goodwill related to the business acquired is not tax deductible. **The Company has made an initial estimate of separate intangible assets acquired of $32.1 million, being customer relationships and order book assets. This assessment is under review and will be finalized within 12 months of the date of acquisition.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Acquisitions – ClinicalRM</w:t>
      </w: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15, 2016, a subsidiary of the Company, ICON US Holdings Inc. acquired Clinical Research Management, Inc. (''ClinicalRM'') which resulted in net cash outflow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testing and the response to bio-threats. They have worked in collaboration with government and commercial customers to respond to the threat of global viral epidemics. Further consideration of up to $12.0 million was payable if certain performance milestones are achieved in respect of periods up to December 31, 2017. The fair value of the contingent consideration on acquisition and at March 31, 2017 was estimated at $6 million The evaluation of the performance and forecast performance of ClinicalRM against performance milestones was updated as required at June 30, 2017. Arising from that evaluation, the fair value of the contingent consideration liability was determined as $Nil, resulting in a net credit of $6 million being recorded within selling, general &amp; administrative expenses in the Statement of Operations. The fair value of the contingent consideration at March 31, 2018 is $Nil.</w:t>
      </w: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acquisition of ClinicalRM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September 15,</w:t>
            </w:r>
          </w:p>
        </w:tc>
      </w:tr>
      <w:tr>
        <w:trPr>
          <w:trHeight w:val="270"/>
        </w:trPr>
        <w:tc>
          <w:tcPr>
            <w:tcW w:w="6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0"/>
        </w:trPr>
        <w:tc>
          <w:tcPr>
            <w:tcW w:w="628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939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4,012</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 backlog</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Brand</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3,868</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04"/>
        </w:trPr>
        <w:tc>
          <w:tcPr>
            <w:tcW w:w="6280" w:type="dxa"/>
            <w:vAlign w:val="bottom"/>
            <w:tcBorders>
              <w:bottom w:val="single" w:sz="8" w:color="auto"/>
            </w:tcBorders>
            <w:shd w:val="clear" w:color="auto" w:fill="CCEEFF"/>
          </w:tcPr>
          <w:p>
            <w:pPr>
              <w:spacing w:after="0"/>
              <w:rPr>
                <w:sz w:val="24"/>
                <w:szCs w:val="24"/>
                <w:color w:val="auto"/>
              </w:rPr>
            </w:pPr>
          </w:p>
        </w:tc>
        <w:tc>
          <w:tcPr>
            <w:tcW w:w="38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58,396</w:t>
            </w:r>
          </w:p>
        </w:tc>
      </w:tr>
      <w:tr>
        <w:trPr>
          <w:trHeight w:val="67"/>
        </w:trPr>
        <w:tc>
          <w:tcPr>
            <w:tcW w:w="628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78"/>
        </w:trPr>
        <w:tc>
          <w:tcPr>
            <w:tcW w:w="6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58,396</w:t>
            </w:r>
          </w:p>
        </w:tc>
      </w:tr>
      <w:tr>
        <w:trPr>
          <w:trHeight w:val="27"/>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 In finalizing the goodwill on acquisition of CRM in the twelve month period from acquisition, fair value adjustments were made which resulted in an increase to unbilled revenue ($1.1 million) and other liabilities ($1.1 million) and in a decrease to accounts receivable ($0.3 million) and accounts payable ($0.5 million). Customer list, order backlog and brand intangible asset values were also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Restructuring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charge was recognized during the three months ended March 31, 2018 or March 31,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 No additional charge was recorded during the three months ended March 31, 2018.</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0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Workforce</w:t>
            </w:r>
          </w:p>
        </w:tc>
      </w:tr>
      <w:tr>
        <w:trPr>
          <w:trHeight w:val="241"/>
        </w:trPr>
        <w:tc>
          <w:tcPr>
            <w:tcW w:w="630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reductions</w:t>
            </w:r>
          </w:p>
        </w:tc>
      </w:tr>
      <w:tr>
        <w:trPr>
          <w:trHeight w:val="243"/>
        </w:trPr>
        <w:tc>
          <w:tcPr>
            <w:tcW w:w="63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63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Initial restructuring charge recorded</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Utilized</w:t>
            </w:r>
          </w:p>
        </w:tc>
        <w:tc>
          <w:tcPr>
            <w:tcW w:w="38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(4,656)</w:t>
            </w:r>
          </w:p>
        </w:tc>
      </w:tr>
      <w:tr>
        <w:trPr>
          <w:trHeight w:val="34"/>
        </w:trPr>
        <w:tc>
          <w:tcPr>
            <w:tcW w:w="63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2017</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Utilized</w:t>
            </w:r>
          </w:p>
        </w:tc>
        <w:tc>
          <w:tcPr>
            <w:tcW w:w="38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34"/>
        </w:trPr>
        <w:tc>
          <w:tcPr>
            <w:tcW w:w="63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March 31, 2018</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 during the twelve months ended December 31, 2016.</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Workforce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1"/>
        </w:trPr>
        <w:tc>
          <w:tcPr>
            <w:tcW w:w="40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Reductions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5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43"/>
        </w:trPr>
        <w:tc>
          <w:tcPr>
            <w:tcW w:w="4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3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1,969</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Utilized</w:t>
            </w:r>
          </w:p>
        </w:tc>
        <w:tc>
          <w:tcPr>
            <w:tcW w:w="30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(5,734)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(6,305)</w:t>
            </w: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2016</w:t>
            </w:r>
          </w:p>
        </w:tc>
        <w:tc>
          <w:tcPr>
            <w:tcW w:w="3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1,398</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30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r>
      <w:tr>
        <w:trPr>
          <w:trHeight w:val="243"/>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December 31, 2017</w:t>
            </w:r>
          </w:p>
        </w:tc>
        <w:tc>
          <w:tcPr>
            <w:tcW w:w="3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317</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4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Utilized</w:t>
            </w:r>
          </w:p>
        </w:tc>
        <w:tc>
          <w:tcPr>
            <w:tcW w:w="30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5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at March 31, 2018</w:t>
            </w:r>
          </w:p>
        </w:tc>
        <w:tc>
          <w:tcPr>
            <w:tcW w:w="3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3080" w:type="dxa"/>
            <w:vAlign w:val="bottom"/>
          </w:tcPr>
          <w:p>
            <w:pPr>
              <w:jc w:val="right"/>
              <w:ind w:right="1190"/>
              <w:spacing w:after="0"/>
              <w:rPr>
                <w:sz w:val="20"/>
                <w:szCs w:val="20"/>
                <w:color w:val="auto"/>
              </w:rPr>
            </w:pPr>
            <w:r>
              <w:rPr>
                <w:rFonts w:ascii="Arial" w:cs="Arial" w:eastAsia="Arial" w:hAnsi="Arial"/>
                <w:sz w:val="18"/>
                <w:szCs w:val="18"/>
                <w:color w:val="auto"/>
              </w:rPr>
              <w:t>13</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5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Onerous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Asset</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5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Lease</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Impairment</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5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Asset write off</w:t>
            </w:r>
          </w:p>
        </w:tc>
        <w:tc>
          <w:tcPr>
            <w:tcW w:w="25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(5,629)</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(5,629)</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2014</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2015</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2016</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Utilized</w:t>
            </w:r>
          </w:p>
        </w:tc>
        <w:tc>
          <w:tcPr>
            <w:tcW w:w="2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4"/>
        </w:trPr>
        <w:tc>
          <w:tcPr>
            <w:tcW w:w="45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March 31, 2018</w:t>
            </w:r>
          </w:p>
        </w:tc>
        <w:tc>
          <w:tcPr>
            <w:tcW w:w="25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$2.1 million is included within other liabilities and $0.2 million within non-current other liabilities.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months ended March 31, 2018, comprise: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2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r>
      <w:tr>
        <w:trPr>
          <w:trHeight w:val="196"/>
        </w:trPr>
        <w:tc>
          <w:tcPr>
            <w:tcW w:w="5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34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3"/>
              </w:rPr>
              <w:t>March 31, 2018</w:t>
            </w:r>
          </w:p>
        </w:tc>
        <w:tc>
          <w:tcPr>
            <w:tcW w:w="340" w:type="dxa"/>
            <w:vAlign w:val="bottom"/>
          </w:tcPr>
          <w:p>
            <w:pPr>
              <w:spacing w:after="0"/>
              <w:rPr>
                <w:sz w:val="17"/>
                <w:szCs w:val="17"/>
                <w:color w:val="auto"/>
              </w:rPr>
            </w:pPr>
          </w:p>
        </w:tc>
        <w:tc>
          <w:tcPr>
            <w:tcW w:w="9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48"/>
        </w:trPr>
        <w:tc>
          <w:tcPr>
            <w:tcW w:w="52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7"/>
            <w:shd w:val="clear" w:color="auto" w:fill="CCEEFF"/>
          </w:tcPr>
          <w:p>
            <w:pPr>
              <w:ind w:left="7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10,650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tcPr>
          <w:p>
            <w:pPr>
              <w:spacing w:after="0"/>
              <w:rPr>
                <w:sz w:val="21"/>
                <w:szCs w:val="21"/>
                <w:color w:val="auto"/>
              </w:rPr>
            </w:pPr>
          </w:p>
        </w:tc>
      </w:tr>
      <w:tr>
        <w:trPr>
          <w:trHeight w:val="27"/>
        </w:trPr>
        <w:tc>
          <w:tcPr>
            <w:tcW w:w="5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March 31, 2018 the Company maintains a $26.0 million liability (December 31, 2017: $26.1 million) for unrecognized tax benefit, which is comprised of $23.6 million (December 31, 2017: $23.7 million) related to items generating unrecognized tax benefits and $2.4 million (December 31, 2017: $2.4 million) for interest and related penalties to such items. The Company recognizes interest accrued on unrecognized tax benefits as an additional income tax expense.</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2013 through 2017 tax years. The Company does not believe that the outcome of any examination will have a material impact on its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Net income per ordinary share</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08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2280" w:type="dxa"/>
            <w:vAlign w:val="bottom"/>
            <w:gridSpan w:val="3"/>
          </w:tcPr>
          <w:p>
            <w:pPr>
              <w:ind w:left="680"/>
              <w:spacing w:after="0"/>
              <w:rPr>
                <w:sz w:val="20"/>
                <w:szCs w:val="20"/>
                <w:color w:val="auto"/>
              </w:rPr>
            </w:pPr>
            <w:r>
              <w:rPr>
                <w:rFonts w:ascii="Arial" w:cs="Arial" w:eastAsia="Arial" w:hAnsi="Arial"/>
                <w:sz w:val="18"/>
                <w:szCs w:val="18"/>
                <w:b w:val="1"/>
                <w:bCs w:val="1"/>
                <w:color w:val="auto"/>
              </w:rPr>
              <w:t>March 31, 2018</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March 31, 2017</w:t>
            </w:r>
          </w:p>
        </w:tc>
      </w:tr>
      <w:tr>
        <w:trPr>
          <w:trHeight w:val="48"/>
        </w:trPr>
        <w:tc>
          <w:tcPr>
            <w:tcW w:w="7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22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53,925,560</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54,372,931</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2280" w:type="dxa"/>
            <w:vAlign w:val="bottom"/>
            <w:gridSpan w:val="3"/>
          </w:tcPr>
          <w:p>
            <w:pPr>
              <w:jc w:val="right"/>
              <w:ind w:right="400"/>
              <w:spacing w:after="0"/>
              <w:rPr>
                <w:sz w:val="20"/>
                <w:szCs w:val="20"/>
                <w:color w:val="auto"/>
              </w:rPr>
            </w:pPr>
            <w:r>
              <w:rPr>
                <w:rFonts w:ascii="Arial" w:cs="Arial" w:eastAsia="Arial" w:hAnsi="Arial"/>
                <w:sz w:val="18"/>
                <w:szCs w:val="18"/>
                <w:color w:val="auto"/>
              </w:rPr>
              <w:t>1,060,230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998,895</w:t>
            </w:r>
          </w:p>
        </w:tc>
      </w:tr>
      <w:tr>
        <w:trPr>
          <w:trHeight w:val="34"/>
        </w:trPr>
        <w:tc>
          <w:tcPr>
            <w:tcW w:w="7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Weighted average number of ordinary shares outstanding for diluted net income per ordinary share</w:t>
            </w:r>
          </w:p>
        </w:tc>
        <w:tc>
          <w:tcPr>
            <w:tcW w:w="22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54,985,790</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55,371,826</w:t>
            </w:r>
          </w:p>
        </w:tc>
      </w:tr>
      <w:tr>
        <w:trPr>
          <w:trHeight w:val="20"/>
        </w:trPr>
        <w:tc>
          <w:tcPr>
            <w:tcW w:w="7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7840" w:type="dxa"/>
            <w:vAlign w:val="bottom"/>
          </w:tcPr>
          <w:p>
            <w:pPr>
              <w:jc w:val="right"/>
              <w:ind w:right="195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Share-based Awards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1.0 million and to extend the date for options to be granted under the 2008 Option Plans.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2018 is eight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2018:</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Average Grant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41"/>
        </w:trPr>
        <w:tc>
          <w:tcPr>
            <w:tcW w:w="406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1,171,393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17.15</w:t>
            </w:r>
          </w:p>
        </w:tc>
        <w:tc>
          <w:tcPr>
            <w:tcW w:w="1320" w:type="dxa"/>
            <w:vAlign w:val="bottom"/>
          </w:tcPr>
          <w:p>
            <w:pPr>
              <w:spacing w:after="0"/>
              <w:rPr>
                <w:sz w:val="21"/>
                <w:szCs w:val="21"/>
                <w:color w:val="auto"/>
              </w:rPr>
            </w:pPr>
          </w:p>
        </w:tc>
      </w:tr>
      <w:tr>
        <w:trPr>
          <w:trHeight w:val="34"/>
        </w:trPr>
        <w:tc>
          <w:tcPr>
            <w:tcW w:w="40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107,794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35.10</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(21,574)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11.72</w:t>
            </w:r>
          </w:p>
        </w:tc>
        <w:tc>
          <w:tcPr>
            <w:tcW w:w="132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12.74</w:t>
            </w: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40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1,251,758</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18.81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2018</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594,051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14.54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$8.53 to $35.10 per option or a weighted average fair value of $13.75 per option. The Company issues ordinary shares for all options exercised. The total amount of fully vested share options which remained outstanding at March 31, 2018 was 594,051. Fully vested share options at March 31, 2018 have an average remaining contractual term of 3.73 years, an average exercise price of $45.17 and a total intrinsic value of $43.3 million. The total intrinsic value of options exercised during the three months ended March 31, 2018 was $1.8 million (March 31, 2017: $7.4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2018:</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December 31, 2017</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694,727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68.06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20.03</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107,794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115.11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35.10</w:t>
            </w:r>
          </w:p>
        </w:tc>
      </w:tr>
      <w:tr>
        <w:trPr>
          <w:trHeight w:val="27"/>
        </w:trPr>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65.43</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000" w:type="dxa"/>
            <w:vAlign w:val="bottom"/>
          </w:tcPr>
          <w:p>
            <w:pPr>
              <w:jc w:val="right"/>
              <w:ind w:right="10"/>
              <w:spacing w:after="0"/>
              <w:rPr>
                <w:sz w:val="20"/>
                <w:szCs w:val="20"/>
                <w:color w:val="auto"/>
              </w:rPr>
            </w:pPr>
            <w:r>
              <w:rPr>
                <w:rFonts w:ascii="Arial" w:cs="Arial" w:eastAsia="Arial" w:hAnsi="Arial"/>
                <w:sz w:val="18"/>
                <w:szCs w:val="18"/>
                <w:color w:val="auto"/>
              </w:rPr>
              <w:t>(2,705)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56.58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March 31, 2018</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657,707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76.38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22.67</w:t>
            </w:r>
          </w:p>
        </w:tc>
      </w:tr>
      <w:tr>
        <w:trPr>
          <w:trHeight w:val="27"/>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March 31, 2018 and March 31, 2017 was calculated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grant date fair values and assumptions used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w w:val="90"/>
              </w:rPr>
              <w:t>Three Months Ended</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March 31, 2018</w:t>
            </w:r>
          </w:p>
        </w:tc>
        <w:tc>
          <w:tcPr>
            <w:tcW w:w="220" w:type="dxa"/>
            <w:vAlign w:val="bottom"/>
          </w:tcPr>
          <w:p>
            <w:pPr>
              <w:spacing w:after="0"/>
              <w:rPr>
                <w:sz w:val="21"/>
                <w:szCs w:val="21"/>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3"/>
              </w:rPr>
              <w:t>March 31, 2017</w:t>
            </w: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24.49</w:t>
            </w:r>
          </w:p>
        </w:tc>
      </w:tr>
      <w:tr>
        <w:trPr>
          <w:trHeight w:val="203"/>
        </w:trPr>
        <w:tc>
          <w:tcPr>
            <w:tcW w:w="552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Assumptions:</w:t>
            </w:r>
          </w:p>
        </w:tc>
        <w:tc>
          <w:tcPr>
            <w:tcW w:w="28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2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Expected life</w:t>
            </w:r>
          </w:p>
        </w:tc>
        <w:tc>
          <w:tcPr>
            <w:tcW w:w="2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5 years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 years</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ectPr>
          <w:pgSz w:w="11900" w:h="16838" w:orient="portrait"/>
          <w:cols w:equalWidth="0" w:num="1">
            <w:col w:w="11420"/>
          </w:cols>
          <w:pgMar w:left="240" w:top="746"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1440" w:gutter="0" w:footer="0" w:header="0"/>
          <w:type w:val="continuous"/>
        </w:sectPr>
      </w:pPr>
    </w:p>
    <w:bookmarkStart w:id="18" w:name="page19"/>
    <w:bookmarkEnd w:id="18"/>
    <w:p>
      <w:pPr>
        <w:ind w:right="40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three months ended March 31, 2018:</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PSU</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RSU</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PSU</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Weighted</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PSU</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Average</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RSU</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Average</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Outstanding</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Remaining</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Outstanding</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Remaining</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Number of</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Contractual</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Number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Contractual</w:t>
            </w:r>
          </w:p>
        </w:tc>
      </w:tr>
      <w:tr>
        <w:trPr>
          <w:trHeight w:val="233"/>
        </w:trPr>
        <w:tc>
          <w:tcPr>
            <w:tcW w:w="3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Life</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Life</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511,026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72.07</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0.93</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715,970</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72.65</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65,736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115.11</w:t>
            </w:r>
          </w:p>
        </w:tc>
        <w:tc>
          <w:tcPr>
            <w:tcW w:w="1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36,838</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115.11</w:t>
            </w:r>
          </w:p>
        </w:tc>
        <w:tc>
          <w:tcPr>
            <w:tcW w:w="118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(35,776)</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75.05</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(16,666)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66.18</w:t>
            </w:r>
          </w:p>
        </w:tc>
        <w:tc>
          <w:tcPr>
            <w:tcW w:w="1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(16,424)</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71.11</w:t>
            </w:r>
          </w:p>
        </w:tc>
        <w:tc>
          <w:tcPr>
            <w:tcW w:w="1180" w:type="dxa"/>
            <w:vAlign w:val="bottom"/>
          </w:tcPr>
          <w:p>
            <w:pPr>
              <w:spacing w:after="0"/>
              <w:rPr>
                <w:sz w:val="21"/>
                <w:szCs w:val="21"/>
                <w:color w:val="auto"/>
              </w:rPr>
            </w:pP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560,096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76.79</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0.95</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700,608</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74.79</w:t>
            </w: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2018 totaled $2.7 million (full year 2017: $16.6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for the three months ended March 31, 2018. The fair value of PSUs vested for the full year 2017 was $15.0 million).</w:t>
      </w:r>
    </w:p>
    <w:p>
      <w:pPr>
        <w:spacing w:after="0" w:line="3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PSUs vest based on service and specified EPS targets over the period 2015 – 2018, 2016 – 2019, 2017 – 2020 and 2018 – 2021. Since 2013, 301,932 PSUs (net of forfeitures) have been granted. Depending on the amount of EPS from 2015 to 2021, up to an additional 258,164 PSUs may also be granted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60" w:type="dxa"/>
            <w:vAlign w:val="bottom"/>
          </w:tcPr>
          <w:p>
            <w:pPr>
              <w:spacing w:after="0"/>
              <w:rPr>
                <w:sz w:val="20"/>
                <w:szCs w:val="20"/>
                <w:color w:val="auto"/>
              </w:rPr>
            </w:pPr>
            <w:r>
              <w:rPr>
                <w:rFonts w:ascii="Arial" w:cs="Arial" w:eastAsia="Arial" w:hAnsi="Arial"/>
                <w:sz w:val="18"/>
                <w:szCs w:val="18"/>
                <w:color w:val="auto"/>
                <w:w w:val="90"/>
              </w:rPr>
              <w:t>Non-cash stock compensation expense for the three months ended March 31, 2018 has been allocated as follows: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62"/>
        </w:trPr>
        <w:tc>
          <w:tcPr>
            <w:tcW w:w="8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gridSpan w:val="2"/>
          </w:tcPr>
          <w:p>
            <w:pPr>
              <w:spacing w:after="0"/>
              <w:rPr>
                <w:sz w:val="24"/>
                <w:szCs w:val="24"/>
                <w:color w:val="auto"/>
              </w:rPr>
            </w:pPr>
          </w:p>
        </w:tc>
      </w:tr>
      <w:tr>
        <w:trPr>
          <w:trHeight w:val="250"/>
        </w:trPr>
        <w:tc>
          <w:tcPr>
            <w:tcW w:w="8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2018</w:t>
            </w:r>
          </w:p>
        </w:tc>
        <w:tc>
          <w:tcPr>
            <w:tcW w:w="38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2017</w:t>
            </w:r>
          </w:p>
        </w:tc>
        <w:tc>
          <w:tcPr>
            <w:tcW w:w="100" w:type="dxa"/>
            <w:vAlign w:val="bottom"/>
          </w:tcPr>
          <w:p>
            <w:pPr>
              <w:spacing w:after="0"/>
              <w:rPr>
                <w:sz w:val="21"/>
                <w:szCs w:val="21"/>
                <w:color w:val="auto"/>
              </w:rPr>
            </w:pPr>
          </w:p>
        </w:tc>
      </w:tr>
      <w:tr>
        <w:trPr>
          <w:trHeight w:val="291"/>
        </w:trPr>
        <w:tc>
          <w:tcPr>
            <w:tcW w:w="8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90"/>
              </w:rPr>
              <w:t>(In thousands)</w:t>
            </w: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4,217</w:t>
            </w: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3,955</w:t>
            </w:r>
          </w:p>
        </w:tc>
      </w:tr>
      <w:tr>
        <w:trPr>
          <w:trHeight w:val="34"/>
        </w:trPr>
        <w:tc>
          <w:tcPr>
            <w:tcW w:w="8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8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82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9,392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8,809</w:t>
            </w:r>
          </w:p>
        </w:tc>
      </w:tr>
      <w:tr>
        <w:trPr>
          <w:trHeight w:val="27"/>
        </w:trPr>
        <w:tc>
          <w:tcPr>
            <w:tcW w:w="8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non-cash stock compensation expense not yet recognized at March 31, 2018 amounted to $53.7 million. The weighted average period over which this is expected to be recognized is 2.4 years.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applied the updated standard prospectively during the year ended December 31,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Share Capital</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March 31, 2018 345,112 ordinary shares were redeemed by the Company under this buyback program for a total consideration of $38.2 million. At March 31, 2018 a total of 3,363,526 ordinary shares were redeemed by the Company under this buyback program for a total consideration of $281.3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Information</w:t>
      </w:r>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was comprised of the Chief Executive Officer and the Chief Financial Officer.</w:t>
      </w: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geographical distribution of the Company’s segment measures as at March 31, 2018 and December 31, 2017 and for the three months ended March 31, 2018 and March 31, 2017 is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gridSpan w:val="2"/>
          </w:tcPr>
          <w:p>
            <w:pPr>
              <w:spacing w:after="0"/>
              <w:rPr>
                <w:sz w:val="17"/>
                <w:szCs w:val="17"/>
                <w:color w:val="auto"/>
              </w:rPr>
            </w:pPr>
          </w:p>
        </w:tc>
      </w:tr>
      <w:tr>
        <w:trPr>
          <w:trHeight w:val="250"/>
        </w:trPr>
        <w:tc>
          <w:tcPr>
            <w:tcW w:w="7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2018</w:t>
            </w:r>
          </w:p>
        </w:tc>
        <w:tc>
          <w:tcPr>
            <w:tcW w:w="38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2017</w:t>
            </w:r>
          </w:p>
        </w:tc>
        <w:tc>
          <w:tcPr>
            <w:tcW w:w="100" w:type="dxa"/>
            <w:vAlign w:val="bottom"/>
          </w:tcPr>
          <w:p>
            <w:pPr>
              <w:spacing w:after="0"/>
              <w:rPr>
                <w:sz w:val="21"/>
                <w:szCs w:val="21"/>
                <w:color w:val="auto"/>
              </w:rPr>
            </w:pPr>
          </w:p>
        </w:tc>
      </w:tr>
      <w:tr>
        <w:trPr>
          <w:trHeight w:val="291"/>
        </w:trPr>
        <w:tc>
          <w:tcPr>
            <w:tcW w:w="7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235,110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232,348</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11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95,040</w:t>
            </w: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72,557</w:t>
            </w:r>
          </w:p>
        </w:tc>
      </w:tr>
      <w:tr>
        <w:trPr>
          <w:trHeight w:val="27"/>
        </w:trPr>
        <w:tc>
          <w:tcPr>
            <w:tcW w:w="7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225,670</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223,082</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1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64,305</w:t>
            </w:r>
          </w:p>
        </w:tc>
        <w:tc>
          <w:tcPr>
            <w:tcW w:w="380" w:type="dxa"/>
            <w:vAlign w:val="bottom"/>
          </w:tcPr>
          <w:p>
            <w:pPr>
              <w:spacing w:after="0"/>
              <w:rPr>
                <w:sz w:val="21"/>
                <w:szCs w:val="21"/>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50,079</w:t>
            </w:r>
          </w:p>
        </w:tc>
      </w:tr>
      <w:tr>
        <w:trPr>
          <w:trHeight w:val="34"/>
        </w:trPr>
        <w:tc>
          <w:tcPr>
            <w:tcW w:w="7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7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620,125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578,066</w:t>
            </w:r>
          </w:p>
        </w:tc>
      </w:tr>
      <w:tr>
        <w:trPr>
          <w:trHeight w:val="27"/>
        </w:trPr>
        <w:tc>
          <w:tcPr>
            <w:tcW w:w="7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521"/>
        </w:trPr>
        <w:tc>
          <w:tcPr>
            <w:tcW w:w="7380" w:type="dxa"/>
            <w:vAlign w:val="bottom"/>
          </w:tcPr>
          <w:p>
            <w:pPr>
              <w:ind w:left="500"/>
              <w:spacing w:after="0"/>
              <w:rPr>
                <w:sz w:val="20"/>
                <w:szCs w:val="20"/>
                <w:color w:val="auto"/>
              </w:rPr>
            </w:pPr>
            <w:r>
              <w:rPr>
                <w:rFonts w:ascii="Arial" w:cs="Arial" w:eastAsia="Arial" w:hAnsi="Arial"/>
                <w:sz w:val="18"/>
                <w:szCs w:val="18"/>
                <w:color w:val="auto"/>
              </w:rPr>
              <w:t>* All sales shown for Ireland are export sales.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7380" w:type="dxa"/>
            <w:vAlign w:val="bottom"/>
          </w:tcPr>
          <w:p>
            <w:pPr>
              <w:ind w:left="500"/>
              <w:spacing w:after="0"/>
              <w:rPr>
                <w:sz w:val="20"/>
                <w:szCs w:val="20"/>
                <w:color w:val="auto"/>
              </w:rPr>
            </w:pPr>
            <w:r>
              <w:rPr>
                <w:rFonts w:ascii="Arial" w:cs="Arial" w:eastAsia="Arial" w:hAnsi="Arial"/>
                <w:sz w:val="18"/>
                <w:szCs w:val="18"/>
                <w:color w:val="auto"/>
              </w:rPr>
              <w:t>** 2017 restated for gross revenue.</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7380" w:type="dxa"/>
            <w:vAlign w:val="bottom"/>
          </w:tcPr>
          <w:p>
            <w:pPr>
              <w:ind w:left="340"/>
              <w:spacing w:after="0"/>
              <w:rPr>
                <w:sz w:val="20"/>
                <w:szCs w:val="20"/>
                <w:color w:val="auto"/>
              </w:rPr>
            </w:pPr>
            <w:r>
              <w:rPr>
                <w:rFonts w:ascii="Arial" w:cs="Arial" w:eastAsia="Arial" w:hAnsi="Arial"/>
                <w:sz w:val="18"/>
                <w:szCs w:val="18"/>
                <w:color w:val="auto"/>
              </w:rPr>
              <w:t>b) The distribution of income from operations, by geographical area was as follows: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gridSpan w:val="3"/>
          </w:tcPr>
          <w:p>
            <w:pPr>
              <w:spacing w:after="0"/>
              <w:rPr>
                <w:sz w:val="18"/>
                <w:szCs w:val="18"/>
                <w:color w:val="auto"/>
              </w:rPr>
            </w:pPr>
          </w:p>
        </w:tc>
      </w:tr>
      <w:tr>
        <w:trPr>
          <w:trHeight w:val="250"/>
        </w:trPr>
        <w:tc>
          <w:tcPr>
            <w:tcW w:w="7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2018</w:t>
            </w:r>
          </w:p>
        </w:tc>
        <w:tc>
          <w:tcPr>
            <w:tcW w:w="380" w:type="dxa"/>
            <w:vAlign w:val="bottom"/>
          </w:tcPr>
          <w:p>
            <w:pPr>
              <w:spacing w:after="0"/>
              <w:rPr>
                <w:sz w:val="21"/>
                <w:szCs w:val="21"/>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March 31, 2017</w:t>
            </w:r>
          </w:p>
        </w:tc>
        <w:tc>
          <w:tcPr>
            <w:tcW w:w="100" w:type="dxa"/>
            <w:vAlign w:val="bottom"/>
          </w:tcPr>
          <w:p>
            <w:pPr>
              <w:spacing w:after="0"/>
              <w:rPr>
                <w:sz w:val="21"/>
                <w:szCs w:val="21"/>
                <w:color w:val="auto"/>
              </w:rPr>
            </w:pPr>
          </w:p>
        </w:tc>
      </w:tr>
      <w:tr>
        <w:trPr>
          <w:trHeight w:val="291"/>
        </w:trPr>
        <w:tc>
          <w:tcPr>
            <w:tcW w:w="7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69,810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63,968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5,168</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4,940</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r>
      <w:tr>
        <w:trPr>
          <w:trHeight w:val="34"/>
        </w:trPr>
        <w:tc>
          <w:tcPr>
            <w:tcW w:w="7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77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91,720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85,658</w:t>
            </w:r>
          </w:p>
        </w:tc>
        <w:tc>
          <w:tcPr>
            <w:tcW w:w="100" w:type="dxa"/>
            <w:vAlign w:val="bottom"/>
          </w:tcPr>
          <w:p>
            <w:pPr>
              <w:spacing w:after="0"/>
              <w:rPr>
                <w:sz w:val="21"/>
                <w:szCs w:val="2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737"/>
        </w:trPr>
        <w:tc>
          <w:tcPr>
            <w:tcW w:w="7740" w:type="dxa"/>
            <w:vAlign w:val="bottom"/>
          </w:tcPr>
          <w:p>
            <w:pPr>
              <w:ind w:left="340"/>
              <w:spacing w:after="0"/>
              <w:rPr>
                <w:sz w:val="20"/>
                <w:szCs w:val="20"/>
                <w:color w:val="auto"/>
              </w:rPr>
            </w:pPr>
            <w:r>
              <w:rPr>
                <w:rFonts w:ascii="Arial" w:cs="Arial" w:eastAsia="Arial" w:hAnsi="Arial"/>
                <w:sz w:val="18"/>
                <w:szCs w:val="18"/>
                <w:color w:val="auto"/>
                <w:w w:val="98"/>
              </w:rPr>
              <w:t>c) The distribution of property, plant and equipment, net, by geographical area was as follows: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62"/>
        </w:trPr>
        <w:tc>
          <w:tcPr>
            <w:tcW w:w="7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7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March 31, 2018</w:t>
            </w:r>
          </w:p>
        </w:tc>
        <w:tc>
          <w:tcPr>
            <w:tcW w:w="380" w:type="dxa"/>
            <w:vAlign w:val="bottom"/>
          </w:tcPr>
          <w:p>
            <w:pPr>
              <w:spacing w:after="0"/>
              <w:rPr>
                <w:sz w:val="17"/>
                <w:szCs w:val="17"/>
                <w:color w:val="auto"/>
              </w:rPr>
            </w:pP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112,239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111,329</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8,935</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26,654</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8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13,232</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14,899</w:t>
            </w:r>
          </w:p>
        </w:tc>
        <w:tc>
          <w:tcPr>
            <w:tcW w:w="100" w:type="dxa"/>
            <w:vAlign w:val="bottom"/>
          </w:tcPr>
          <w:p>
            <w:pPr>
              <w:spacing w:after="0"/>
              <w:rPr>
                <w:sz w:val="21"/>
                <w:szCs w:val="21"/>
                <w:color w:val="auto"/>
              </w:rPr>
            </w:pPr>
          </w:p>
        </w:tc>
      </w:tr>
      <w:tr>
        <w:trPr>
          <w:trHeight w:val="34"/>
        </w:trPr>
        <w:tc>
          <w:tcPr>
            <w:tcW w:w="7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77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161,060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163,051</w:t>
            </w:r>
          </w:p>
        </w:tc>
        <w:tc>
          <w:tcPr>
            <w:tcW w:w="100" w:type="dxa"/>
            <w:vAlign w:val="bottom"/>
          </w:tcPr>
          <w:p>
            <w:pPr>
              <w:spacing w:after="0"/>
              <w:rPr>
                <w:sz w:val="21"/>
                <w:szCs w:val="21"/>
                <w:color w:val="auto"/>
              </w:rPr>
            </w:pPr>
          </w:p>
        </w:tc>
      </w:tr>
      <w:tr>
        <w:trPr>
          <w:trHeight w:val="27"/>
        </w:trPr>
        <w:tc>
          <w:tcPr>
            <w:tcW w:w="7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852"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6" w:right="239" w:bottom="852"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560" w:type="dxa"/>
            <w:vAlign w:val="bottom"/>
          </w:tcPr>
          <w:p>
            <w:pPr>
              <w:ind w:left="340"/>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2"/>
        </w:trPr>
        <w:tc>
          <w:tcPr>
            <w:tcW w:w="7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00" w:type="dxa"/>
            <w:vAlign w:val="bottom"/>
            <w:gridSpan w:val="3"/>
          </w:tcPr>
          <w:p>
            <w:pPr>
              <w:spacing w:after="0"/>
              <w:rPr>
                <w:sz w:val="24"/>
                <w:szCs w:val="24"/>
                <w:color w:val="auto"/>
              </w:rPr>
            </w:pPr>
          </w:p>
        </w:tc>
      </w:tr>
      <w:tr>
        <w:trPr>
          <w:trHeight w:val="250"/>
        </w:trPr>
        <w:tc>
          <w:tcPr>
            <w:tcW w:w="7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March 31, 2018</w:t>
            </w:r>
          </w:p>
        </w:tc>
        <w:tc>
          <w:tcPr>
            <w:tcW w:w="380" w:type="dxa"/>
            <w:vAlign w:val="bottom"/>
          </w:tcPr>
          <w:p>
            <w:pPr>
              <w:spacing w:after="0"/>
              <w:rPr>
                <w:sz w:val="21"/>
                <w:szCs w:val="21"/>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March 31, 2017</w:t>
            </w:r>
          </w:p>
        </w:tc>
        <w:tc>
          <w:tcPr>
            <w:tcW w:w="100" w:type="dxa"/>
            <w:vAlign w:val="bottom"/>
          </w:tcPr>
          <w:p>
            <w:pPr>
              <w:spacing w:after="0"/>
              <w:rPr>
                <w:sz w:val="21"/>
                <w:szCs w:val="21"/>
                <w:color w:val="auto"/>
              </w:rPr>
            </w:pPr>
          </w:p>
        </w:tc>
      </w:tr>
      <w:tr>
        <w:trPr>
          <w:trHeight w:val="291"/>
        </w:trPr>
        <w:tc>
          <w:tcPr>
            <w:tcW w:w="7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9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9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1,175</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r>
      <w:tr>
        <w:trPr>
          <w:trHeight w:val="34"/>
        </w:trPr>
        <w:tc>
          <w:tcPr>
            <w:tcW w:w="7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7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16,898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21"/>
                <w:szCs w:val="21"/>
                <w:color w:val="auto"/>
              </w:rPr>
            </w:pPr>
          </w:p>
        </w:tc>
      </w:tr>
      <w:tr>
        <w:trPr>
          <w:trHeight w:val="27"/>
        </w:trPr>
        <w:tc>
          <w:tcPr>
            <w:tcW w:w="7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521"/>
        </w:trPr>
        <w:tc>
          <w:tcPr>
            <w:tcW w:w="7560" w:type="dxa"/>
            <w:vAlign w:val="bottom"/>
          </w:tcPr>
          <w:p>
            <w:pPr>
              <w:ind w:left="340"/>
              <w:spacing w:after="0"/>
              <w:rPr>
                <w:sz w:val="20"/>
                <w:szCs w:val="20"/>
                <w:color w:val="auto"/>
              </w:rPr>
            </w:pPr>
            <w:r>
              <w:rPr>
                <w:rFonts w:ascii="Arial" w:cs="Arial" w:eastAsia="Arial" w:hAnsi="Arial"/>
                <w:sz w:val="18"/>
                <w:szCs w:val="18"/>
                <w:color w:val="auto"/>
              </w:rPr>
              <w:t>e) The distribution of total assets by geographical area was as follows: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62"/>
        </w:trPr>
        <w:tc>
          <w:tcPr>
            <w:tcW w:w="7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r>
      <w:tr>
        <w:trPr>
          <w:trHeight w:val="196"/>
        </w:trPr>
        <w:tc>
          <w:tcPr>
            <w:tcW w:w="7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March 31, 2018</w:t>
            </w:r>
          </w:p>
        </w:tc>
        <w:tc>
          <w:tcPr>
            <w:tcW w:w="380" w:type="dxa"/>
            <w:vAlign w:val="bottom"/>
          </w:tcPr>
          <w:p>
            <w:pPr>
              <w:spacing w:after="0"/>
              <w:rPr>
                <w:sz w:val="17"/>
                <w:szCs w:val="17"/>
                <w:color w:val="auto"/>
              </w:rPr>
            </w:pP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7"/>
          </w:tcPr>
          <w:p>
            <w:pPr>
              <w:jc w:val="center"/>
              <w:ind w:right="72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957,886</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880,378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9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506,356</w:t>
            </w:r>
          </w:p>
        </w:tc>
        <w:tc>
          <w:tcPr>
            <w:tcW w:w="38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504,418</w:t>
            </w:r>
          </w:p>
        </w:tc>
        <w:tc>
          <w:tcPr>
            <w:tcW w:w="1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643,831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650,681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9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111,372</w:t>
            </w:r>
          </w:p>
        </w:tc>
        <w:tc>
          <w:tcPr>
            <w:tcW w:w="380" w:type="dxa"/>
            <w:vAlign w:val="bottom"/>
          </w:tcPr>
          <w:p>
            <w:pPr>
              <w:spacing w:after="0"/>
              <w:rPr>
                <w:sz w:val="21"/>
                <w:szCs w:val="21"/>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111,141</w:t>
            </w:r>
          </w:p>
        </w:tc>
      </w:tr>
      <w:tr>
        <w:trPr>
          <w:trHeight w:val="34"/>
        </w:trPr>
        <w:tc>
          <w:tcPr>
            <w:tcW w:w="7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7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2,219,445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2,146,618</w:t>
            </w:r>
          </w:p>
        </w:tc>
        <w:tc>
          <w:tcPr>
            <w:tcW w:w="100" w:type="dxa"/>
            <w:vAlign w:val="bottom"/>
          </w:tcPr>
          <w:p>
            <w:pPr>
              <w:spacing w:after="0"/>
              <w:rPr>
                <w:sz w:val="21"/>
                <w:szCs w:val="21"/>
                <w:color w:val="auto"/>
              </w:rPr>
            </w:pPr>
          </w:p>
        </w:tc>
      </w:tr>
      <w:tr>
        <w:trPr>
          <w:trHeight w:val="27"/>
        </w:trPr>
        <w:tc>
          <w:tcPr>
            <w:tcW w:w="7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Impact of change in accounting policies - revenue recognition</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with a date of initial application of January 1, 2018. The revenue recognition accounting policy applied in preparation of the results for the three months ended March 31, 2018 therefore reflect application of ASC 606. ICON has elected to adopt the standard using the cumulative effect transition method. Under this transition method, ICON has applied the new standard as at the date of initial application (i.e. January 1, 2018), without restatement of comparative amounts. The cumulative effect of initially applying the new standard (to revenue, costs and tax) is recorded as an adjustment to the opening balance of equity at the date of initial application. See 'Note 13 - Impact of changes in accounting policies' for details. The comparative information has not been adjusted and therefore continues to be reported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standard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full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adjusted to reflect a realizable contract value. Revenue is recognized as the single performance obligation is satisfied. The progress towards completion for clinical service contracts is measured therefore based on on an input measure being total project costs (inclusive of third party costs) at each reporting period</w:t>
      </w:r>
    </w:p>
    <w:p>
      <w:pPr>
        <w:spacing w:after="0" w:line="3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on the pages following summarize the impact of adopting ASC 606 on the consolidated financial statements for the three months ended March 31, 2018.</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6"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2018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03"/>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Balance without</w:t>
            </w:r>
          </w:p>
        </w:tc>
        <w:tc>
          <w:tcPr>
            <w:tcW w:w="340" w:type="dxa"/>
            <w:vAlign w:val="bottom"/>
            <w:gridSpan w:val="2"/>
          </w:tcPr>
          <w:p>
            <w:pPr>
              <w:spacing w:after="0"/>
              <w:rPr>
                <w:sz w:val="17"/>
                <w:szCs w:val="17"/>
                <w:color w:val="auto"/>
              </w:rPr>
            </w:pPr>
          </w:p>
        </w:tc>
      </w:tr>
      <w:tr>
        <w:trPr>
          <w:trHeight w:val="196"/>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jc w:val="right"/>
              <w:ind w:right="190"/>
              <w:spacing w:after="0" w:line="196" w:lineRule="exact"/>
              <w:rPr>
                <w:sz w:val="20"/>
                <w:szCs w:val="20"/>
                <w:color w:val="auto"/>
              </w:rPr>
            </w:pPr>
            <w:r>
              <w:rPr>
                <w:rFonts w:ascii="Arial" w:cs="Arial" w:eastAsia="Arial" w:hAnsi="Arial"/>
                <w:sz w:val="18"/>
                <w:szCs w:val="18"/>
                <w:b w:val="1"/>
                <w:bCs w:val="1"/>
                <w:color w:val="auto"/>
                <w:w w:val="96"/>
              </w:rPr>
              <w:t>As reported</w:t>
            </w:r>
          </w:p>
        </w:tc>
        <w:tc>
          <w:tcPr>
            <w:tcW w:w="200" w:type="dxa"/>
            <w:vAlign w:val="bottom"/>
          </w:tcPr>
          <w:p>
            <w:pPr>
              <w:spacing w:after="0"/>
              <w:rPr>
                <w:sz w:val="17"/>
                <w:szCs w:val="17"/>
                <w:color w:val="auto"/>
              </w:rPr>
            </w:pPr>
          </w:p>
        </w:tc>
        <w:tc>
          <w:tcPr>
            <w:tcW w:w="128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93"/>
              </w:rPr>
              <w:t>Adjustments</w:t>
            </w:r>
          </w:p>
        </w:tc>
        <w:tc>
          <w:tcPr>
            <w:tcW w:w="140" w:type="dxa"/>
            <w:vAlign w:val="bottom"/>
          </w:tcPr>
          <w:p>
            <w:pPr>
              <w:spacing w:after="0"/>
              <w:rPr>
                <w:sz w:val="17"/>
                <w:szCs w:val="17"/>
                <w:color w:val="auto"/>
              </w:rPr>
            </w:pPr>
          </w:p>
        </w:tc>
        <w:tc>
          <w:tcPr>
            <w:tcW w:w="1800" w:type="dxa"/>
            <w:vAlign w:val="bottom"/>
            <w:gridSpan w:val="4"/>
          </w:tcPr>
          <w:p>
            <w:pPr>
              <w:jc w:val="center"/>
              <w:ind w:right="140"/>
              <w:spacing w:after="0" w:line="196" w:lineRule="exact"/>
              <w:rPr>
                <w:sz w:val="20"/>
                <w:szCs w:val="20"/>
                <w:color w:val="auto"/>
              </w:rPr>
            </w:pPr>
            <w:r>
              <w:rPr>
                <w:rFonts w:ascii="Arial" w:cs="Arial" w:eastAsia="Arial" w:hAnsi="Arial"/>
                <w:sz w:val="18"/>
                <w:szCs w:val="18"/>
                <w:b w:val="1"/>
                <w:bCs w:val="1"/>
                <w:color w:val="auto"/>
                <w:w w:val="89"/>
              </w:rPr>
              <w:t>adoption of Topic 606</w:t>
            </w:r>
          </w:p>
        </w:tc>
      </w:tr>
      <w:tr>
        <w:trPr>
          <w:trHeight w:val="48"/>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272,001</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272,001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Short term investments - available for sale</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81,541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81,541</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393,940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393,940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292,688</w:t>
            </w:r>
          </w:p>
        </w:tc>
        <w:tc>
          <w:tcPr>
            <w:tcW w:w="20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43,215</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335,903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49,563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(12,268)</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37,295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45,538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45,538</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28,232</w:t>
            </w:r>
          </w:p>
        </w:tc>
        <w:tc>
          <w:tcPr>
            <w:tcW w:w="2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28,232</w:t>
            </w:r>
          </w:p>
        </w:tc>
      </w:tr>
      <w:tr>
        <w:trPr>
          <w:trHeight w:val="243"/>
        </w:trPr>
        <w:tc>
          <w:tcPr>
            <w:tcW w:w="6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1,163,503</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30,947</w:t>
            </w: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1,194,450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64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161,060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161,060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776,469</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776,469</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15,610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15,610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Non-current income taxes receivable</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17,530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17,530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asset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18,212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(6,574)</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11,638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67,061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67,061</w:t>
            </w:r>
          </w:p>
        </w:tc>
      </w:tr>
      <w:tr>
        <w:trPr>
          <w:trHeight w:val="34"/>
        </w:trPr>
        <w:tc>
          <w:tcPr>
            <w:tcW w:w="6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2,219,445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24,373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2,243,818</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11,850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11,850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332,353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(25,100)</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307,253</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260,998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260,998</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22,962</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23,394</w:t>
            </w:r>
          </w:p>
        </w:tc>
      </w:tr>
      <w:tr>
        <w:trPr>
          <w:trHeight w:val="243"/>
        </w:trPr>
        <w:tc>
          <w:tcPr>
            <w:tcW w:w="6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628,163</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(24,668)</w:t>
            </w: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603,495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348,980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348,980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15,787</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15,787</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Non-current government grants</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977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13,161</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13,161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Non-current deferred tax liability</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7,382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7,382</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1,014,450</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(24,668)</w:t>
            </w: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989,782</w:t>
            </w:r>
          </w:p>
        </w:tc>
      </w:tr>
      <w:tr>
        <w:trPr>
          <w:trHeight w:val="34"/>
        </w:trPr>
        <w:tc>
          <w:tcPr>
            <w:tcW w:w="6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0"/>
              </w:rPr>
              <w:t>Ordinary shares, par value 6 euro cents per share; 100,000,000 shares authorized,</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53,793,839 shares issued and outstanding at March 31, 2018 and</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54,081,601 shares issued and outstanding at December 31, 2017</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4,643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4,643</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491,338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491,338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938</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(26,505)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(26,505)</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734,581</w:t>
            </w:r>
          </w:p>
        </w:tc>
        <w:tc>
          <w:tcPr>
            <w:tcW w:w="200" w:type="dxa"/>
            <w:vAlign w:val="bottom"/>
          </w:tcPr>
          <w:p>
            <w:pPr>
              <w:spacing w:after="0"/>
              <w:rPr>
                <w:sz w:val="21"/>
                <w:szCs w:val="21"/>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49,041</w:t>
            </w:r>
          </w:p>
        </w:tc>
        <w:tc>
          <w:tcPr>
            <w:tcW w:w="140" w:type="dxa"/>
            <w:vAlign w:val="bottom"/>
          </w:tcPr>
          <w:p>
            <w:pPr>
              <w:spacing w:after="0"/>
              <w:rPr>
                <w:sz w:val="21"/>
                <w:szCs w:val="21"/>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8"/>
                <w:szCs w:val="18"/>
                <w:color w:val="auto"/>
              </w:rPr>
              <w:t>783,622</w:t>
            </w:r>
          </w:p>
        </w:tc>
      </w:tr>
      <w:tr>
        <w:trPr>
          <w:trHeight w:val="34"/>
        </w:trPr>
        <w:tc>
          <w:tcPr>
            <w:tcW w:w="6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1,204,995</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49,041</w:t>
            </w:r>
          </w:p>
        </w:tc>
        <w:tc>
          <w:tcPr>
            <w:tcW w:w="1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1,254,036</w:t>
            </w:r>
          </w:p>
        </w:tc>
      </w:tr>
      <w:tr>
        <w:trPr>
          <w:trHeight w:val="243"/>
        </w:trPr>
        <w:tc>
          <w:tcPr>
            <w:tcW w:w="6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2,219,445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24,373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2,243,818</w:t>
            </w:r>
          </w:p>
        </w:tc>
      </w:tr>
      <w:tr>
        <w:trPr>
          <w:trHeight w:val="27"/>
        </w:trPr>
        <w:tc>
          <w:tcPr>
            <w:tcW w:w="6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7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80" w:right="239" w:bottom="703"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60" w:type="dxa"/>
            <w:vAlign w:val="bottom"/>
            <w:gridSpan w:val="5"/>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03"/>
        </w:trPr>
        <w:tc>
          <w:tcPr>
            <w:tcW w:w="514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gridSpan w:val="6"/>
          </w:tcPr>
          <w:p>
            <w:pPr>
              <w:jc w:val="center"/>
              <w:ind w:right="120"/>
              <w:spacing w:after="0" w:line="202" w:lineRule="exact"/>
              <w:rPr>
                <w:sz w:val="20"/>
                <w:szCs w:val="20"/>
                <w:color w:val="auto"/>
              </w:rPr>
            </w:pPr>
            <w:r>
              <w:rPr>
                <w:rFonts w:ascii="Arial" w:cs="Arial" w:eastAsia="Arial" w:hAnsi="Arial"/>
                <w:sz w:val="18"/>
                <w:szCs w:val="18"/>
                <w:b w:val="1"/>
                <w:bCs w:val="1"/>
                <w:color w:val="auto"/>
                <w:w w:val="89"/>
              </w:rPr>
              <w:t>Balance without</w:t>
            </w:r>
          </w:p>
        </w:tc>
      </w:tr>
      <w:tr>
        <w:trPr>
          <w:trHeight w:val="20"/>
        </w:trPr>
        <w:tc>
          <w:tcPr>
            <w:tcW w:w="5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8"/>
          </w:tcPr>
          <w:p>
            <w:pPr>
              <w:jc w:val="center"/>
              <w:spacing w:after="0" w:line="196" w:lineRule="exact"/>
              <w:rPr>
                <w:sz w:val="20"/>
                <w:szCs w:val="20"/>
                <w:color w:val="auto"/>
              </w:rPr>
            </w:pPr>
            <w:r>
              <w:rPr>
                <w:rFonts w:ascii="Arial" w:cs="Arial" w:eastAsia="Arial" w:hAnsi="Arial"/>
                <w:sz w:val="18"/>
                <w:szCs w:val="18"/>
                <w:b w:val="1"/>
                <w:bCs w:val="1"/>
                <w:color w:val="auto"/>
                <w:w w:val="88"/>
              </w:rPr>
              <w:t>adoption of Topic</w:t>
            </w:r>
          </w:p>
        </w:tc>
      </w:tr>
      <w:tr>
        <w:trPr>
          <w:trHeight w:val="196"/>
        </w:trPr>
        <w:tc>
          <w:tcPr>
            <w:tcW w:w="5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320" w:type="dxa"/>
            <w:vAlign w:val="bottom"/>
            <w:gridSpan w:val="3"/>
          </w:tcPr>
          <w:p>
            <w:pPr>
              <w:jc w:val="right"/>
              <w:ind w:right="320"/>
              <w:spacing w:after="0" w:line="196" w:lineRule="exact"/>
              <w:rPr>
                <w:sz w:val="20"/>
                <w:szCs w:val="20"/>
                <w:color w:val="auto"/>
              </w:rPr>
            </w:pPr>
            <w:r>
              <w:rPr>
                <w:rFonts w:ascii="Arial" w:cs="Arial" w:eastAsia="Arial" w:hAnsi="Arial"/>
                <w:sz w:val="18"/>
                <w:szCs w:val="18"/>
                <w:b w:val="1"/>
                <w:bCs w:val="1"/>
                <w:color w:val="auto"/>
                <w:w w:val="96"/>
              </w:rPr>
              <w:t>As reported</w:t>
            </w:r>
          </w:p>
        </w:tc>
        <w:tc>
          <w:tcPr>
            <w:tcW w:w="260" w:type="dxa"/>
            <w:vAlign w:val="bottom"/>
          </w:tcPr>
          <w:p>
            <w:pPr>
              <w:spacing w:after="0"/>
              <w:rPr>
                <w:sz w:val="17"/>
                <w:szCs w:val="17"/>
                <w:color w:val="auto"/>
              </w:rPr>
            </w:pPr>
          </w:p>
        </w:tc>
        <w:tc>
          <w:tcPr>
            <w:tcW w:w="1400" w:type="dxa"/>
            <w:vAlign w:val="bottom"/>
            <w:gridSpan w:val="4"/>
          </w:tcPr>
          <w:p>
            <w:pPr>
              <w:jc w:val="center"/>
              <w:ind w:right="260"/>
              <w:spacing w:after="0" w:line="196" w:lineRule="exact"/>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jc w:val="center"/>
              <w:ind w:right="150"/>
              <w:spacing w:after="0" w:line="196" w:lineRule="exact"/>
              <w:rPr>
                <w:sz w:val="20"/>
                <w:szCs w:val="20"/>
                <w:color w:val="auto"/>
              </w:rPr>
            </w:pPr>
            <w:r>
              <w:rPr>
                <w:rFonts w:ascii="Arial" w:cs="Arial" w:eastAsia="Arial" w:hAnsi="Arial"/>
                <w:sz w:val="18"/>
                <w:szCs w:val="18"/>
                <w:b w:val="1"/>
                <w:bCs w:val="1"/>
                <w:color w:val="auto"/>
                <w:w w:val="93"/>
              </w:rPr>
              <w:t>606</w:t>
            </w: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51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5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15"/>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8"/>
              </w:rPr>
              <w:t>(in thousands except share and per share data)</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Revenue: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620,125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1,231</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621,356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Reimbursable expenses</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(158,753)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(158,753)</w:t>
            </w:r>
          </w:p>
        </w:tc>
      </w:tr>
      <w:tr>
        <w:trPr>
          <w:trHeight w:val="34"/>
        </w:trPr>
        <w:tc>
          <w:tcPr>
            <w:tcW w:w="5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0"/>
        </w:trPr>
        <w:tc>
          <w:tcPr>
            <w:tcW w:w="51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43"/>
        </w:trPr>
        <w:tc>
          <w:tcPr>
            <w:tcW w:w="5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620,125</w:t>
            </w:r>
          </w:p>
        </w:tc>
        <w:tc>
          <w:tcPr>
            <w:tcW w:w="26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(157,522)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462,603</w:t>
            </w:r>
          </w:p>
        </w:tc>
        <w:tc>
          <w:tcPr>
            <w:tcW w:w="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Direct costs</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520"/>
              <w:spacing w:after="0"/>
              <w:rPr>
                <w:sz w:val="20"/>
                <w:szCs w:val="20"/>
                <w:color w:val="auto"/>
              </w:rPr>
            </w:pPr>
            <w:r>
              <w:rPr>
                <w:rFonts w:ascii="Arial" w:cs="Arial" w:eastAsia="Arial" w:hAnsi="Arial"/>
                <w:sz w:val="18"/>
                <w:szCs w:val="18"/>
                <w:color w:val="auto"/>
              </w:rPr>
              <w:t>- Reimbursable expenses</w:t>
            </w:r>
          </w:p>
        </w:tc>
        <w:tc>
          <w:tcPr>
            <w:tcW w:w="182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158,753</w:t>
            </w:r>
          </w:p>
        </w:tc>
        <w:tc>
          <w:tcPr>
            <w:tcW w:w="26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(158,753)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Other direct costs</w:t>
            </w:r>
          </w:p>
        </w:tc>
        <w:tc>
          <w:tcPr>
            <w:tcW w:w="1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271,839</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271,839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182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80,915</w:t>
            </w:r>
          </w:p>
        </w:tc>
        <w:tc>
          <w:tcPr>
            <w:tcW w:w="260" w:type="dxa"/>
            <w:vAlign w:val="bottom"/>
          </w:tcPr>
          <w:p>
            <w:pPr>
              <w:spacing w:after="0"/>
              <w:rPr>
                <w:sz w:val="21"/>
                <w:szCs w:val="21"/>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81,075</w:t>
            </w:r>
          </w:p>
        </w:tc>
        <w:tc>
          <w:tcPr>
            <w:tcW w:w="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8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16,898</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16,898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5140" w:type="dxa"/>
            <w:vAlign w:val="bottom"/>
            <w:tcBorders>
              <w:top w:val="single" w:sz="8" w:color="auto"/>
            </w:tcBorders>
          </w:tcPr>
          <w:p>
            <w:pPr>
              <w:spacing w:after="0"/>
              <w:rPr>
                <w:sz w:val="23"/>
                <w:szCs w:val="23"/>
                <w:color w:val="auto"/>
              </w:rPr>
            </w:pPr>
          </w:p>
        </w:tc>
        <w:tc>
          <w:tcPr>
            <w:tcW w:w="18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r>
      <w:tr>
        <w:trPr>
          <w:trHeight w:val="282"/>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18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528,405</w:t>
            </w:r>
          </w:p>
        </w:tc>
        <w:tc>
          <w:tcPr>
            <w:tcW w:w="2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(158,593)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369,812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5140" w:type="dxa"/>
            <w:vAlign w:val="bottom"/>
            <w:tcBorders>
              <w:top w:val="single" w:sz="8" w:color="auto"/>
            </w:tcBorders>
          </w:tcPr>
          <w:p>
            <w:pPr>
              <w:spacing w:after="0"/>
              <w:rPr>
                <w:sz w:val="23"/>
                <w:szCs w:val="23"/>
                <w:color w:val="auto"/>
              </w:rPr>
            </w:pPr>
          </w:p>
        </w:tc>
        <w:tc>
          <w:tcPr>
            <w:tcW w:w="18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91,720</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92,791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823</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(3,795)</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(3,795)</w:t>
            </w:r>
          </w:p>
        </w:tc>
      </w:tr>
      <w:tr>
        <w:trPr>
          <w:trHeight w:val="270"/>
        </w:trPr>
        <w:tc>
          <w:tcPr>
            <w:tcW w:w="5140" w:type="dxa"/>
            <w:vAlign w:val="bottom"/>
            <w:tcBorders>
              <w:top w:val="single" w:sz="8" w:color="auto"/>
            </w:tcBorders>
          </w:tcPr>
          <w:p>
            <w:pPr>
              <w:spacing w:after="0"/>
              <w:rPr>
                <w:sz w:val="23"/>
                <w:szCs w:val="23"/>
                <w:color w:val="auto"/>
              </w:rPr>
            </w:pPr>
          </w:p>
        </w:tc>
        <w:tc>
          <w:tcPr>
            <w:tcW w:w="18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8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88,748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89,819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2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(10,650)</w:t>
            </w:r>
          </w:p>
        </w:tc>
        <w:tc>
          <w:tcPr>
            <w:tcW w:w="260" w:type="dxa"/>
            <w:vAlign w:val="bottom"/>
          </w:tcPr>
          <w:p>
            <w:pPr>
              <w:spacing w:after="0"/>
              <w:rPr>
                <w:sz w:val="21"/>
                <w:szCs w:val="21"/>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(10,784)</w:t>
            </w:r>
          </w:p>
        </w:tc>
      </w:tr>
      <w:tr>
        <w:trPr>
          <w:trHeight w:val="34"/>
        </w:trPr>
        <w:tc>
          <w:tcPr>
            <w:tcW w:w="5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0"/>
        </w:trPr>
        <w:tc>
          <w:tcPr>
            <w:tcW w:w="514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78,098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21"/>
                <w:szCs w:val="21"/>
                <w:color w:val="auto"/>
              </w:rPr>
            </w:pPr>
          </w:p>
        </w:tc>
        <w:tc>
          <w:tcPr>
            <w:tcW w:w="360" w:type="dxa"/>
            <w:vAlign w:val="bottom"/>
            <w:gridSpan w:val="3"/>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79,035</w:t>
            </w:r>
          </w:p>
        </w:tc>
        <w:tc>
          <w:tcPr>
            <w:tcW w:w="60" w:type="dxa"/>
            <w:vAlign w:val="bottom"/>
          </w:tcPr>
          <w:p>
            <w:pPr>
              <w:spacing w:after="0"/>
              <w:rPr>
                <w:sz w:val="21"/>
                <w:szCs w:val="21"/>
                <w:color w:val="auto"/>
              </w:rPr>
            </w:pPr>
          </w:p>
        </w:tc>
      </w:tr>
      <w:tr>
        <w:trPr>
          <w:trHeight w:val="67"/>
        </w:trPr>
        <w:tc>
          <w:tcPr>
            <w:tcW w:w="51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r>
      <w:tr>
        <w:trPr>
          <w:trHeight w:val="305"/>
        </w:trPr>
        <w:tc>
          <w:tcPr>
            <w:tcW w:w="51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2018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340" w:type="dxa"/>
            <w:vAlign w:val="bottom"/>
            <w:gridSpan w:val="8"/>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243"/>
        </w:trPr>
        <w:tc>
          <w:tcPr>
            <w:tcW w:w="6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March 31, 2018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9"/>
              </w:rPr>
              <w:t>Balance without</w:t>
            </w:r>
          </w:p>
        </w:tc>
        <w:tc>
          <w:tcPr>
            <w:tcW w:w="12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6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gridSpan w:val="7"/>
            <w:shd w:val="clear" w:color="auto" w:fill="CCEEFF"/>
          </w:tcPr>
          <w:p>
            <w:pPr>
              <w:jc w:val="center"/>
              <w:ind w:right="20"/>
              <w:spacing w:after="0" w:line="196" w:lineRule="exact"/>
              <w:rPr>
                <w:sz w:val="20"/>
                <w:szCs w:val="20"/>
                <w:color w:val="auto"/>
              </w:rPr>
            </w:pPr>
            <w:r>
              <w:rPr>
                <w:rFonts w:ascii="Arial" w:cs="Arial" w:eastAsia="Arial" w:hAnsi="Arial"/>
                <w:sz w:val="18"/>
                <w:szCs w:val="18"/>
                <w:b w:val="1"/>
                <w:bCs w:val="1"/>
                <w:color w:val="auto"/>
                <w:w w:val="88"/>
              </w:rPr>
              <w:t>adoption of Topic</w:t>
            </w:r>
          </w:p>
        </w:tc>
      </w:tr>
      <w:tr>
        <w:trPr>
          <w:trHeight w:val="196"/>
        </w:trPr>
        <w:tc>
          <w:tcPr>
            <w:tcW w:w="6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b w:val="1"/>
                <w:bCs w:val="1"/>
                <w:color w:val="auto"/>
                <w:w w:val="87"/>
              </w:rPr>
              <w:t>As Reported</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gridSpan w:val="2"/>
            <w:shd w:val="clear" w:color="auto" w:fill="CCEEFF"/>
          </w:tcPr>
          <w:p>
            <w:pPr>
              <w:jc w:val="center"/>
              <w:ind w:right="240"/>
              <w:spacing w:after="0" w:line="196" w:lineRule="exact"/>
              <w:rPr>
                <w:sz w:val="20"/>
                <w:szCs w:val="20"/>
                <w:color w:val="auto"/>
              </w:rPr>
            </w:pPr>
            <w:r>
              <w:rPr>
                <w:rFonts w:ascii="Arial" w:cs="Arial" w:eastAsia="Arial" w:hAnsi="Arial"/>
                <w:sz w:val="18"/>
                <w:szCs w:val="18"/>
                <w:b w:val="1"/>
                <w:bCs w:val="1"/>
                <w:color w:val="auto"/>
                <w:w w:val="89"/>
              </w:rPr>
              <w:t>Adjustments</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center"/>
              <w:ind w:right="480"/>
              <w:spacing w:after="0" w:line="196" w:lineRule="exact"/>
              <w:rPr>
                <w:sz w:val="20"/>
                <w:szCs w:val="20"/>
                <w:color w:val="auto"/>
              </w:rPr>
            </w:pPr>
            <w:r>
              <w:rPr>
                <w:rFonts w:ascii="Arial" w:cs="Arial" w:eastAsia="Arial" w:hAnsi="Arial"/>
                <w:sz w:val="18"/>
                <w:szCs w:val="18"/>
                <w:b w:val="1"/>
                <w:bCs w:val="1"/>
                <w:color w:val="auto"/>
                <w:w w:val="93"/>
              </w:rPr>
              <w:t>606</w:t>
            </w: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48"/>
        </w:trPr>
        <w:tc>
          <w:tcPr>
            <w:tcW w:w="6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43"/>
        </w:trPr>
        <w:tc>
          <w:tcPr>
            <w:tcW w:w="6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78,098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937</w:t>
            </w:r>
          </w:p>
        </w:tc>
        <w:tc>
          <w:tcPr>
            <w:tcW w:w="600" w:type="dxa"/>
            <w:vAlign w:val="bottom"/>
            <w:gridSpan w:val="3"/>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79,035</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8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8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5,048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5,048</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government grants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Interest on short term investments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(333)</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9,392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9,392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Amortization of gain on interest rate hedge</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(230)</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financing costs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(3,481)</w:t>
            </w:r>
          </w:p>
        </w:tc>
        <w:tc>
          <w:tcPr>
            <w:tcW w:w="14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6,574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3,093</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(12,979)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(12,979)</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unbilled revenue</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(65,904)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(61,015)</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Increase in other receivables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(2,866)</w:t>
            </w:r>
          </w:p>
        </w:tc>
        <w:tc>
          <w:tcPr>
            <w:tcW w:w="14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12,268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9,402</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(10,358)</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Increase in other non-current assets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(179)</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payments on account</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8,040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(17,060)</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Increase in other current liabilities</w:t>
            </w:r>
          </w:p>
        </w:tc>
        <w:tc>
          <w:tcPr>
            <w:tcW w:w="8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27,523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27,523</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other non-current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Increase in income taxes payable</w:t>
            </w:r>
          </w:p>
        </w:tc>
        <w:tc>
          <w:tcPr>
            <w:tcW w:w="8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4,300</w:t>
            </w:r>
          </w:p>
        </w:tc>
        <w:tc>
          <w:tcPr>
            <w:tcW w:w="140" w:type="dxa"/>
            <w:vAlign w:val="bottom"/>
          </w:tcPr>
          <w:p>
            <w:pPr>
              <w:spacing w:after="0"/>
              <w:rPr>
                <w:sz w:val="21"/>
                <w:szCs w:val="21"/>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4,732</w:t>
            </w:r>
          </w:p>
        </w:tc>
        <w:tc>
          <w:tcPr>
            <w:tcW w:w="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accounts payable</w:t>
            </w:r>
          </w:p>
        </w:tc>
        <w:tc>
          <w:tcPr>
            <w:tcW w:w="8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(6,668)</w:t>
            </w:r>
          </w:p>
        </w:tc>
      </w:tr>
      <w:tr>
        <w:trPr>
          <w:trHeight w:val="243"/>
        </w:trPr>
        <w:tc>
          <w:tcPr>
            <w:tcW w:w="6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40,468</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40,468</w:t>
            </w:r>
          </w:p>
        </w:tc>
        <w:tc>
          <w:tcPr>
            <w:tcW w:w="80" w:type="dxa"/>
            <w:vAlign w:val="bottom"/>
            <w:tcBorders>
              <w:top w:val="single" w:sz="8" w:color="auto"/>
            </w:tcBorders>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(8,304)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(8,304)</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subsidiary undertakings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(1,645)</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(10,160)</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2"/>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8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6,253</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6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(13,856)</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(13,856)</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Financing costs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(823)</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exercise of equity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Share issue costs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6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(38,208)</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Share repurchase costs</w:t>
            </w:r>
          </w:p>
        </w:tc>
        <w:tc>
          <w:tcPr>
            <w:tcW w:w="8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(31)</w:t>
            </w:r>
          </w:p>
        </w:tc>
      </w:tr>
      <w:tr>
        <w:trPr>
          <w:trHeight w:val="34"/>
        </w:trPr>
        <w:tc>
          <w:tcPr>
            <w:tcW w:w="6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(38,339)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(38,339)</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Effect of exchange rate movements on cash</w:t>
            </w:r>
          </w:p>
        </w:tc>
        <w:tc>
          <w:tcPr>
            <w:tcW w:w="8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1"/>
                <w:szCs w:val="21"/>
                <w:color w:val="auto"/>
              </w:rPr>
            </w:pPr>
          </w:p>
        </w:tc>
      </w:tr>
      <w:tr>
        <w:trPr>
          <w:trHeight w:val="34"/>
        </w:trPr>
        <w:tc>
          <w:tcPr>
            <w:tcW w:w="6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8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(10,858)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282,859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282,859</w:t>
            </w:r>
          </w:p>
        </w:tc>
        <w:tc>
          <w:tcPr>
            <w:tcW w:w="80" w:type="dxa"/>
            <w:vAlign w:val="bottom"/>
          </w:tcPr>
          <w:p>
            <w:pPr>
              <w:spacing w:after="0"/>
              <w:rPr>
                <w:sz w:val="21"/>
                <w:szCs w:val="21"/>
                <w:color w:val="auto"/>
              </w:rPr>
            </w:pPr>
          </w:p>
        </w:tc>
      </w:tr>
      <w:tr>
        <w:trPr>
          <w:trHeight w:val="34"/>
        </w:trPr>
        <w:tc>
          <w:tcPr>
            <w:tcW w:w="6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272,001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272,001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0"/>
        </w:trPr>
        <w:tc>
          <w:tcPr>
            <w:tcW w:w="6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580" w:right="239" w:bottom="1440" w:gutter="0" w:footer="0" w:header="0"/>
        </w:sectPr>
      </w:pP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60" w:top="580"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28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90"/>
              </w:rPr>
              <w:t>Additional</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Other</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1"/>
              </w:rPr>
              <w:t>Other</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94"/>
              </w:rPr>
              <w:t>Undenominated</w:t>
            </w:r>
          </w:p>
        </w:tc>
        <w:tc>
          <w:tcPr>
            <w:tcW w:w="240" w:type="dxa"/>
            <w:vAlign w:val="bottom"/>
            <w:shd w:val="clear" w:color="auto" w:fill="CCEEFF"/>
          </w:tcPr>
          <w:p>
            <w:pPr>
              <w:spacing w:after="0"/>
              <w:rPr>
                <w:sz w:val="17"/>
                <w:szCs w:val="17"/>
                <w:color w:val="auto"/>
              </w:rPr>
            </w:pPr>
          </w:p>
        </w:tc>
        <w:tc>
          <w:tcPr>
            <w:tcW w:w="1380" w:type="dxa"/>
            <w:vAlign w:val="bottom"/>
            <w:gridSpan w:val="6"/>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93"/>
              </w:rPr>
              <w:t>Comprehensive</w:t>
            </w:r>
          </w:p>
        </w:tc>
        <w:tc>
          <w:tcPr>
            <w:tcW w:w="2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6"/>
              </w:rPr>
              <w:t>Retained</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w w:val="79"/>
              </w:rPr>
              <w:t>Shares</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88"/>
              </w:rPr>
              <w:t>Amount</w:t>
            </w:r>
          </w:p>
        </w:tc>
        <w:tc>
          <w:tcPr>
            <w:tcW w:w="28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89"/>
              </w:rPr>
              <w:t>Capital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w w:val="89"/>
              </w:rPr>
              <w:t>Capital</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Income</w:t>
            </w:r>
          </w:p>
        </w:tc>
        <w:tc>
          <w:tcPr>
            <w:tcW w:w="2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Earnings</w:t>
            </w:r>
          </w:p>
        </w:tc>
        <w:tc>
          <w:tcPr>
            <w:tcW w:w="5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r>
      <w:tr>
        <w:trPr>
          <w:trHeight w:val="48"/>
        </w:trPr>
        <w:tc>
          <w:tcPr>
            <w:tcW w:w="28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right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2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gridSpan w:val="15"/>
          </w:tcPr>
          <w:p>
            <w:pPr>
              <w:jc w:val="right"/>
              <w:ind w:right="720"/>
              <w:spacing w:after="0"/>
              <w:rPr>
                <w:sz w:val="20"/>
                <w:szCs w:val="20"/>
                <w:color w:val="auto"/>
              </w:rPr>
            </w:pPr>
            <w:r>
              <w:rPr>
                <w:rFonts w:ascii="Arial" w:cs="Arial" w:eastAsia="Arial" w:hAnsi="Arial"/>
                <w:sz w:val="18"/>
                <w:szCs w:val="18"/>
                <w:b w:val="1"/>
                <w:bCs w:val="1"/>
                <w:color w:val="auto"/>
                <w:w w:val="88"/>
              </w:rPr>
              <w:t>(dollars in thousands, except share data)</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54,081,601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481,337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(38,713)</w:t>
            </w:r>
          </w:p>
        </w:tc>
        <w:tc>
          <w:tcPr>
            <w:tcW w:w="2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742,800</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$ 1,191,000</w:t>
            </w:r>
          </w:p>
        </w:tc>
      </w:tr>
      <w:tr>
        <w:trPr>
          <w:trHeight w:val="270"/>
        </w:trPr>
        <w:tc>
          <w:tcPr>
            <w:tcW w:w="2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income (as reported)</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78,098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78,098</w:t>
            </w: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of change in accounting</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policy</w:t>
            </w: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10,635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10,661</w:t>
            </w: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impact of long term</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funding</w:t>
            </w: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w w:val="96"/>
              </w:rPr>
              <w:t>Tax on currency impact of long term</w:t>
            </w:r>
          </w:p>
        </w:tc>
        <w:tc>
          <w:tcPr>
            <w:tcW w:w="4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funding</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capital gain –</w:t>
            </w: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6"/>
          </w:tcPr>
          <w:p>
            <w:pPr>
              <w:jc w:val="right"/>
              <w:ind w:right="40"/>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(230)</w:t>
            </w: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r>
      <w:tr>
        <w:trPr>
          <w:trHeight w:val="270"/>
        </w:trPr>
        <w:tc>
          <w:tcPr>
            <w:tcW w:w="2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82"/>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79,061</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91,269</w:t>
            </w:r>
          </w:p>
        </w:tc>
      </w:tr>
      <w:tr>
        <w:trPr>
          <w:trHeight w:val="270"/>
        </w:trPr>
        <w:tc>
          <w:tcPr>
            <w:tcW w:w="28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share options</w:t>
            </w:r>
          </w:p>
        </w:tc>
        <w:tc>
          <w:tcPr>
            <w:tcW w:w="11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21,574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Issue of restricted share units</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35,776</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stock compensation</w:t>
            </w:r>
          </w:p>
        </w:tc>
        <w:tc>
          <w:tcPr>
            <w:tcW w:w="4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9,283</w:t>
            </w:r>
          </w:p>
        </w:tc>
      </w:tr>
      <w:tr>
        <w:trPr>
          <w:trHeight w:val="237"/>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4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Share issuance costs</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1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(345,112)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(38,208)</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(38,208)</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Share repurchase costs</w:t>
            </w:r>
          </w:p>
        </w:tc>
        <w:tc>
          <w:tcPr>
            <w:tcW w:w="46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34"/>
        </w:trPr>
        <w:tc>
          <w:tcPr>
            <w:tcW w:w="2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0"/>
        </w:trPr>
        <w:tc>
          <w:tcPr>
            <w:tcW w:w="28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righ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25"/>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b w:val="1"/>
                <w:bCs w:val="1"/>
                <w:color w:val="auto"/>
              </w:rPr>
              <w:t>(without the adoption of ASC</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53,793,839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4,643</w:t>
            </w:r>
          </w:p>
        </w:tc>
        <w:tc>
          <w:tcPr>
            <w:tcW w:w="16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491,338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5"/>
          </w:tcPr>
          <w:p>
            <w:pPr>
              <w:jc w:val="right"/>
              <w:ind w:right="80"/>
              <w:spacing w:after="0"/>
              <w:rPr>
                <w:sz w:val="20"/>
                <w:szCs w:val="20"/>
                <w:color w:val="auto"/>
              </w:rPr>
            </w:pPr>
            <w:r>
              <w:rPr>
                <w:rFonts w:ascii="Arial" w:cs="Arial" w:eastAsia="Arial" w:hAnsi="Arial"/>
                <w:sz w:val="18"/>
                <w:szCs w:val="18"/>
                <w:color w:val="auto"/>
              </w:rPr>
              <w:t>938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6"/>
          </w:tcPr>
          <w:p>
            <w:pPr>
              <w:jc w:val="right"/>
              <w:ind w:right="40"/>
              <w:spacing w:after="0"/>
              <w:rPr>
                <w:sz w:val="20"/>
                <w:szCs w:val="20"/>
                <w:color w:val="auto"/>
              </w:rPr>
            </w:pPr>
            <w:r>
              <w:rPr>
                <w:rFonts w:ascii="Arial" w:cs="Arial" w:eastAsia="Arial" w:hAnsi="Arial"/>
                <w:sz w:val="18"/>
                <w:szCs w:val="18"/>
                <w:color w:val="auto"/>
              </w:rPr>
              <w:t>(26,505)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783,622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$ 1,254,036</w:t>
            </w:r>
          </w:p>
        </w:tc>
      </w:tr>
      <w:tr>
        <w:trPr>
          <w:trHeight w:val="234"/>
        </w:trPr>
        <w:tc>
          <w:tcPr>
            <w:tcW w:w="2820" w:type="dxa"/>
            <w:vAlign w:val="bottom"/>
          </w:tcPr>
          <w:p>
            <w:pPr>
              <w:ind w:left="200"/>
              <w:spacing w:after="0"/>
              <w:rPr>
                <w:sz w:val="20"/>
                <w:szCs w:val="20"/>
                <w:color w:val="auto"/>
              </w:rPr>
            </w:pPr>
            <w:r>
              <w:rPr>
                <w:rFonts w:ascii="Arial" w:cs="Arial" w:eastAsia="Arial" w:hAnsi="Arial"/>
                <w:sz w:val="18"/>
                <w:szCs w:val="18"/>
                <w:b w:val="1"/>
                <w:bCs w:val="1"/>
                <w:color w:val="auto"/>
              </w:rPr>
              <w:t>606)</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2017. The Consolidated Financial Statements have been prepared in accordance with accounting principles generally accepted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2018 we employed approximately 13,380 employees, in 98 locations in 38 countries. During the three months ended March 31, 2018 we derived approximately 36.4%, 53.2% and 10.4% of our revenue in the United States, Europe and Rest of World respectively.</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backlog consists of potential revenue yet to be earned from projects awarded by clients. At March 31, 2018 we had an unrealized performance obligation of approximately $4.9 billion (see Note 4). We believe that our remaining or unrealized performance obligation as of any date is not necessarily a meaningful predictor of future results, due to the potential for cancellation or delay of revenue.</w:t>
      </w:r>
    </w:p>
    <w:p>
      <w:pPr>
        <w:spacing w:after="0" w:line="2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742"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with Three Months Ended March 31, 2017</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900" w:type="dxa"/>
            <w:vAlign w:val="bottom"/>
            <w:gridSpan w:val="7"/>
            <w:shd w:val="clear" w:color="auto" w:fill="CCEEFF"/>
          </w:tcPr>
          <w:p>
            <w:pPr>
              <w:jc w:val="right"/>
              <w:ind w:right="126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80" w:type="dxa"/>
            <w:vAlign w:val="bottom"/>
            <w:gridSpan w:val="4"/>
          </w:tcPr>
          <w:p>
            <w:pPr>
              <w:jc w:val="right"/>
              <w:ind w:right="300"/>
              <w:spacing w:after="0" w:line="202" w:lineRule="exact"/>
              <w:rPr>
                <w:sz w:val="20"/>
                <w:szCs w:val="20"/>
                <w:color w:val="auto"/>
              </w:rPr>
            </w:pPr>
            <w:r>
              <w:rPr>
                <w:rFonts w:ascii="Arial" w:cs="Arial" w:eastAsia="Arial" w:hAnsi="Arial"/>
                <w:sz w:val="18"/>
                <w:szCs w:val="18"/>
                <w:b w:val="1"/>
                <w:bCs w:val="1"/>
                <w:color w:val="auto"/>
                <w:w w:val="90"/>
              </w:rPr>
              <w:t>March 31, 2018</w:t>
            </w:r>
          </w:p>
        </w:tc>
        <w:tc>
          <w:tcPr>
            <w:tcW w:w="2040" w:type="dxa"/>
            <w:vAlign w:val="bottom"/>
            <w:gridSpan w:val="5"/>
          </w:tcPr>
          <w:p>
            <w:pPr>
              <w:jc w:val="right"/>
              <w:ind w:right="700"/>
              <w:spacing w:after="0" w:line="202" w:lineRule="exact"/>
              <w:rPr>
                <w:sz w:val="20"/>
                <w:szCs w:val="20"/>
                <w:color w:val="auto"/>
              </w:rPr>
            </w:pPr>
            <w:r>
              <w:rPr>
                <w:rFonts w:ascii="Arial" w:cs="Arial" w:eastAsia="Arial" w:hAnsi="Arial"/>
                <w:sz w:val="18"/>
                <w:szCs w:val="18"/>
                <w:b w:val="1"/>
                <w:bCs w:val="1"/>
                <w:color w:val="auto"/>
              </w:rPr>
              <w:t>March 31, 2017</w:t>
            </w:r>
          </w:p>
        </w:tc>
        <w:tc>
          <w:tcPr>
            <w:tcW w:w="1200" w:type="dxa"/>
            <w:vAlign w:val="bottom"/>
            <w:gridSpan w:val="5"/>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2018 to 2017</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740" w:type="dxa"/>
            <w:vAlign w:val="bottom"/>
            <w:tcBorders>
              <w:top w:val="single" w:sz="8" w:color="CCEEFF"/>
              <w:bottom w:val="single" w:sz="8" w:color="auto"/>
            </w:tcBorders>
            <w:gridSpan w:val="6"/>
          </w:tcPr>
          <w:p>
            <w:pPr>
              <w:jc w:val="right"/>
              <w:spacing w:after="0" w:line="202" w:lineRule="exact"/>
              <w:rPr>
                <w:sz w:val="20"/>
                <w:szCs w:val="20"/>
                <w:color w:val="auto"/>
              </w:rPr>
            </w:pPr>
            <w:r>
              <w:rPr>
                <w:rFonts w:ascii="Arial" w:cs="Arial" w:eastAsia="Arial" w:hAnsi="Arial"/>
                <w:sz w:val="18"/>
                <w:szCs w:val="18"/>
                <w:b w:val="1"/>
                <w:bCs w:val="1"/>
                <w:color w:val="auto"/>
                <w:w w:val="86"/>
              </w:rPr>
              <w:t>Percentage of Revenue</w:t>
            </w:r>
          </w:p>
        </w:tc>
        <w:tc>
          <w:tcPr>
            <w:tcW w:w="120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7"/>
              </w:rPr>
              <w:t>Increase/</w:t>
            </w:r>
          </w:p>
        </w:tc>
        <w:tc>
          <w:tcPr>
            <w:tcW w:w="24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2"/>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7.3 %</w:t>
            </w:r>
          </w:p>
        </w:tc>
      </w:tr>
      <w:tr>
        <w:trPr>
          <w:trHeight w:val="297"/>
        </w:trPr>
        <w:tc>
          <w:tcPr>
            <w:tcW w:w="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r>
      <w:tr>
        <w:trPr>
          <w:trHeight w:val="203"/>
        </w:trPr>
        <w:tc>
          <w:tcPr>
            <w:tcW w:w="6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43.8%</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color w:val="auto"/>
              </w:rPr>
              <w:t>43.3%</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8.5 %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25.3%</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8.7 %</w:t>
            </w:r>
          </w:p>
        </w:tc>
      </w:tr>
      <w:tr>
        <w:trPr>
          <w:trHeight w:val="243"/>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13.1%</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color w:val="auto"/>
              </w:rPr>
              <w:t>14.1%</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18.3 %</w:t>
            </w:r>
          </w:p>
        </w:tc>
      </w:tr>
      <w:tr>
        <w:trPr>
          <w:trHeight w:val="243"/>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Amortization</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0.8%</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color w:val="auto"/>
              </w:rPr>
              <w:t>0.8%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14.0 %</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43"/>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14.8%</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color w:val="auto"/>
              </w:rPr>
              <w:t>14.8%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7.1 %</w:t>
            </w:r>
          </w:p>
        </w:tc>
      </w:tr>
      <w:tr>
        <w:trPr>
          <w:trHeight w:val="27"/>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period increased by $42 million, or 7.3%, from $578.1 million for the three months ended March 31, 2017 to $620.1 million for the three months ended March 31, 2018. Revenue increased by 4.3% in constant currency and decreased by 1.9% in constant dollar organic terms. The increase in revenues in the three months ended March 31, 2018 can be explained by both continued organic growth, and the additional revenues from the acquisition of Mapi on July 27, 2017. The Company changed its accounting policy for revenue recognition on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with a date of initial application of January 1, 2018 (</w:t>
      </w:r>
      <w:r>
        <w:rPr>
          <w:rFonts w:ascii="Arial" w:cs="Arial" w:eastAsia="Arial" w:hAnsi="Arial"/>
          <w:sz w:val="18"/>
          <w:szCs w:val="18"/>
          <w:i w:val="1"/>
          <w:iCs w:val="1"/>
          <w:color w:val="auto"/>
        </w:rPr>
        <w:t>see Notes 2 and 13</w:t>
      </w:r>
      <w:r>
        <w:rPr>
          <w:rFonts w:ascii="Arial" w:cs="Arial" w:eastAsia="Arial" w:hAnsi="Arial"/>
          <w:sz w:val="18"/>
          <w:szCs w:val="18"/>
          <w:color w:val="auto"/>
        </w:rPr>
        <w:t>).</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March 31, 2018 we derived approximately 36.4%, 53.2% and 10.4% of our revenue in the United States, Europe and Rest of World respectively. During the three months ended March 31, 2018 $230.1 million or 37.1% of our revenues were derived from our top 5 customers. The largest of these customers related to a Strategic Partnership with a large global pharmaceutical company. Revenue from this customer contributed 10.6% of revenue for the quarter. Revenue from our second largest customer contributed 10% for the quarter. Q1 2018 net revenue (reported under ASC 605 see Note</w:t>
      </w:r>
    </w:p>
    <w:p>
      <w:pPr>
        <w:spacing w:after="0" w:line="2" w:lineRule="exact"/>
        <w:rPr>
          <w:sz w:val="20"/>
          <w:szCs w:val="20"/>
          <w:color w:val="auto"/>
        </w:rPr>
      </w:pPr>
    </w:p>
    <w:p>
      <w:pPr>
        <w:jc w:val="both"/>
        <w:ind w:firstLine="8"/>
        <w:spacing w:after="0" w:line="295" w:lineRule="auto"/>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derived from our top 5 customers were $170.3 million or 36.8%, compared to $194.9 million or 45.1% of net revenues (ASC 605) derived from our top 5 customers during the three months ended March 31, 2017. Net revenue from our top customer (reported under ASC 605 see Note 13) was 11.9% at the end of March 31, 2018 and 24.2% of net revenue (ASC 605 - Note 13) in respect of the three months ended March 31, 2017. The addition of new customer accounts, particularly mid-tier pharma customers and biotech customers continues to result in a reduction in concentration of revenues from our top five customers.</w:t>
      </w: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in Ireland increased from $232.3 million for the three months ended March 31, 2017 to $235.1 million for the three months ended March 31, 2018. Revenue in Ireland is principally a function of the Company’s global transfer pricing model (</w:t>
      </w:r>
      <w:r>
        <w:rPr>
          <w:rFonts w:ascii="Arial" w:cs="Arial" w:eastAsia="Arial" w:hAnsi="Arial"/>
          <w:sz w:val="17"/>
          <w:szCs w:val="17"/>
          <w:i w:val="1"/>
          <w:iCs w:val="1"/>
          <w:color w:val="auto"/>
        </w:rPr>
        <w:t>see note 12 Business Segmental Information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details</w:t>
      </w:r>
      <w:r>
        <w:rPr>
          <w:rFonts w:ascii="Arial" w:cs="Arial" w:eastAsia="Arial" w:hAnsi="Arial"/>
          <w:sz w:val="17"/>
          <w:szCs w:val="17"/>
          <w:color w:val="auto"/>
        </w:rPr>
        <w:t>). Revenue in our Rest of Europe region increased from $72.6 million for the three months ended March 31, 2017 to $95.0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2018, principally reflecting the acquisition of Mapi in July 2017. Revenue in our Rest of World region increased from $50.1 million for the three months ended March 31, 2017 to $64.3 million for the three months ended March 31, 2018. Revenue in the U.S. region increased from $223.1 million for the three months ended March 31, 2017 to $225.7 million for the three months ended March 31,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Direct costs for the period increased by $21.3 million, or 8.5%, from $250.5 million for the three months ended March 31, 2017 to $271.8 million for the three months ended March 31, 2018.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$24.2 million. This increases was offset by a decrease in other direct project related costs of $2.9 million. As a percentage of revenue, direct costs have increased from 43.3% for the three months ended March 31, 2017 to 43.8% for the three months ended March 31, 2018.</w:t>
      </w:r>
    </w:p>
    <w:p>
      <w:pPr>
        <w:spacing w:after="0" w:line="30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Reimbursable expenses for the period increased by $12.7 million, or 8.7%, from $146.1 million for the three months ended March 31, 2017 to $158.8 million for the three months ended March 31, 2018</w:t>
      </w:r>
      <w:r>
        <w:rPr>
          <w:rFonts w:ascii="Arial" w:cs="Arial" w:eastAsia="Arial" w:hAnsi="Arial"/>
          <w:sz w:val="16"/>
          <w:szCs w:val="16"/>
          <w:i w:val="1"/>
          <w:iCs w:val="1"/>
          <w:color w:val="auto"/>
        </w:rPr>
        <w:t>.</w:t>
      </w:r>
      <w:r>
        <w:rPr>
          <w:rFonts w:ascii="Arial" w:cs="Arial" w:eastAsia="Arial" w:hAnsi="Arial"/>
          <w:sz w:val="16"/>
          <w:szCs w:val="16"/>
          <w:color w:val="auto"/>
        </w:rPr>
        <w:t xml:space="preserve"> As a percentage of revenue, reimbursable expenses have increased from 25.3% for the three months ended March 31, 2017 to 25.6% for the three months ended March 31, 2018. The increase in reimbursable expenses is directly related to the increased activity.</w:t>
      </w:r>
    </w:p>
    <w:p>
      <w:pPr>
        <w:spacing w:after="0" w:line="25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for the period decreased by $0.5 million, or 0.6%, from $81.4 million for the three months ended March 31, 2017 to $80.9 million for the three months ended March 31,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net decrease in selling, general and administration expenses for the period of $0.5 million reflects a continued focus on personnel related expenditure and facilities and related costs. As a percentage of revenue, selling, general and administrative expenses, decreased from 14.1% for the three months ended March 31, 2017 to 13.1% for the three months ended March 31, 2018.</w:t>
      </w:r>
    </w:p>
    <w:p>
      <w:pPr>
        <w:spacing w:after="0" w:line="2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Depreciation expense for the period increased by $1.9 million, or 18.3%, from $10.0 million for three months ended March 31, 2017 to $11.9 million for three months ended March 31, 2018. Depreciation expense arises principally from continued investment in facilities, information systems and equipment to support the Company’s growth. As a percentage of revenue the depreciation expense for the three months ended March 31, 2018 (1.9%) increased marginally on the percentage of revenue charge for the three months ended March 31, 2017 (1.7%). Amortization expense for the period increased by $0.6 million, or 14.0%, from $4.4 million for the three months ended March 31, 2017 to $5.0 million for the three months ended March 31, 2018. Amortization expense represents the amortization of intangible assets acquired on business combinations. The main reason for the increase in the amortization expense for the period relates to the additional amortization for the period related to the acquisition of Mapi in July 2017. As a percentage of revenue, amortization expense for the three months ended March 31, 2018 was 0.8%, which is in line with the three months ended March 31, 2017.</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above, income from operations for the three months increased by $6.1 million, or 7.1%, from $85.6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2017 to $91.7 million for the three months ended March 31, 2018. As a percentage of revenue, income from operations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31, 2018 was 14.8%, which is in line with the three months ended March 31, 2017.</w:t>
      </w:r>
    </w:p>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Income from operations in Ireland increased from a profit of $64.0 million for the three months ended March 31, 2017 to a profit of $69.8 million for the three months ended March 31, 2018. Income from operations in Ireland is impacted by the Group’s global transfer pricing model </w:t>
      </w:r>
      <w:r>
        <w:rPr>
          <w:rFonts w:ascii="Arial" w:cs="Arial" w:eastAsia="Arial" w:hAnsi="Arial"/>
          <w:sz w:val="18"/>
          <w:szCs w:val="18"/>
          <w:i w:val="1"/>
          <w:iCs w:val="1"/>
          <w:color w:val="auto"/>
        </w:rPr>
        <w:t>(see note 12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Segmental Information for further details). </w:t>
      </w:r>
      <w:r>
        <w:rPr>
          <w:rFonts w:ascii="Arial" w:cs="Arial" w:eastAsia="Arial" w:hAnsi="Arial"/>
          <w:sz w:val="18"/>
          <w:szCs w:val="18"/>
          <w:color w:val="auto"/>
        </w:rPr>
        <w:t>Income from operations in our Rest of Europe region increased from $3.7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to $5.2 million for the three months ended March 31, 2018, while income from operations in our Rest of World region decreased from $7.5 million for the three months ended March 31, 2017 to $4.9 million for the three months ended March 31, 2018. Income from operations in the U.S. region increased from $10.5 million for the three months ended March 31, 2017 to $11.8 million for the three months ended March 31, 2018. This reflects the income contribution since acquisition of Mapi, and the impact of refinements to the consideration earned by US subsidiaries under the Group’s global transfer pricing model, offset in part by increased amortization charges.</w:t>
      </w: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increase by $0.6 million, or 19.4%, from $3.2 million for the three months ended March 31, 2017 to $3.8 million for the three months ended March 31, 2018. Interest income increased by $0.2 million or 48.3%, from $0.6 million for the three months ended March 31, 2017 to $0.8 million for the three months ended March 31, 2018.</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decreased from $11.6 million for the three months ended March 31, 2017 to $10.7 million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The Company’s effective tax rate for the three months ended March 31, 2018 was 12.0% compared with 14.0%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60" w:type="dxa"/>
            <w:vAlign w:val="bottom"/>
            <w:tcBorders>
              <w:top w:val="single" w:sz="8" w:color="auto"/>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11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Drawn</w:t>
            </w:r>
          </w:p>
        </w:tc>
        <w:tc>
          <w:tcPr>
            <w:tcW w:w="12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Net cash</w:t>
            </w:r>
          </w:p>
        </w:tc>
        <w:tc>
          <w:tcPr>
            <w:tcW w:w="15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Other non-</w:t>
            </w:r>
          </w:p>
        </w:tc>
        <w:tc>
          <w:tcPr>
            <w:tcW w:w="13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Effect of</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30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December</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down/</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inflow/</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cash</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exchange</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March</w:t>
            </w:r>
          </w:p>
        </w:tc>
      </w:tr>
      <w:tr>
        <w:trPr>
          <w:trHeight w:val="273"/>
        </w:trPr>
        <w:tc>
          <w:tcPr>
            <w:tcW w:w="30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31, 2017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(repaid)</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(outflow)</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rates</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31, 2018</w:t>
            </w:r>
          </w:p>
        </w:tc>
      </w:tr>
      <w:tr>
        <w:trPr>
          <w:trHeight w:val="243"/>
        </w:trPr>
        <w:tc>
          <w:tcPr>
            <w:tcW w:w="306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 in thousands</w:t>
            </w:r>
          </w:p>
        </w:tc>
        <w:tc>
          <w:tcPr>
            <w:tcW w:w="1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282,859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(11,727)</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869</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272,001</w:t>
            </w:r>
          </w:p>
        </w:tc>
      </w:tr>
      <w:tr>
        <w:trPr>
          <w:trHeight w:val="243"/>
        </w:trPr>
        <w:tc>
          <w:tcPr>
            <w:tcW w:w="3060" w:type="dxa"/>
            <w:vAlign w:val="bottom"/>
          </w:tcPr>
          <w:p>
            <w:pPr>
              <w:ind w:left="280"/>
              <w:spacing w:after="0"/>
              <w:rPr>
                <w:sz w:val="20"/>
                <w:szCs w:val="20"/>
                <w:color w:val="auto"/>
              </w:rPr>
            </w:pPr>
            <w:r>
              <w:rPr>
                <w:rFonts w:ascii="Arial" w:cs="Arial" w:eastAsia="Arial" w:hAnsi="Arial"/>
                <w:sz w:val="18"/>
                <w:szCs w:val="18"/>
                <w:color w:val="auto"/>
              </w:rPr>
              <w:t>Private placement notes</w:t>
            </w: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(348,888)</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(92)</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(348,980)</w:t>
            </w:r>
          </w:p>
        </w:tc>
      </w:tr>
      <w:tr>
        <w:trPr>
          <w:trHeight w:val="34"/>
        </w:trPr>
        <w:tc>
          <w:tcPr>
            <w:tcW w:w="3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30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(66,029)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(11,727)</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(92)</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869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(76,979)</w:t>
            </w:r>
          </w:p>
        </w:tc>
      </w:tr>
      <w:tr>
        <w:trPr>
          <w:trHeight w:val="20"/>
        </w:trPr>
        <w:tc>
          <w:tcPr>
            <w:tcW w:w="30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March 31, 2018 amounted to $353.5 million compared with cash and short term investment balances of $360.5 million at December 31, 2017. The Company’s cash and short term investment balances at March 31, 2018 comprised of cash and cash equivalents of $272.0 million and short-term investments of $81.5 million. The Company’s cash and short term investment balances at December 31, 2017 comprised of cash and cash equivalents of $282.9 million and short-term investments of $77.6 million.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March 31, 2018, or at December 31, 2017, in respect of the Revolving Credit Facility. Amounts available to the Group under the facility at March 31, 2018 were $150.0 million and December 31, 2017 were $100.0 million.</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also has an uncommitted short-term revolving credit facility of $30 million. No amounts were drawn under this facility at December 31, 2017 or at March 31, 2018.</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$40.5 million for the three months ended March 31, 2018 compared with cash provided by operating activities of $159.3 million for the three months ended March 31, 2017. This reflects the impact of the increase in revenues and underlying profitability of the Company offset by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2018 was 51 days (under ASC 606) compared to 49 days at December 31, 2017 (under ASC 605). The number of days revenue outstanding at March 31, 2017 was 47 days compared to 50 days at December 31, 2016.</w:t>
      </w:r>
    </w:p>
    <w:p>
      <w:pPr>
        <w:sectPr>
          <w:pgSz w:w="11900" w:h="16838" w:orient="portrait"/>
          <w:cols w:equalWidth="0" w:num="1">
            <w:col w:w="11420"/>
          </w:cols>
          <w:pgMar w:left="240" w:top="742"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42" w:right="239" w:bottom="1440" w:gutter="0" w:footer="0" w:header="0"/>
          <w:type w:val="continuous"/>
        </w:sectPr>
      </w:pPr>
    </w:p>
    <w:bookmarkStart w:id="30" w:name="page31"/>
    <w:bookmarkEnd w:id="30"/>
    <w:p>
      <w:pPr>
        <w:jc w:val="both"/>
        <w:spacing w:after="0" w:line="291" w:lineRule="auto"/>
        <w:rPr>
          <w:sz w:val="20"/>
          <w:szCs w:val="20"/>
          <w:color w:val="auto"/>
        </w:rPr>
      </w:pPr>
      <w:r>
        <w:rPr>
          <w:rFonts w:ascii="Arial" w:cs="Arial" w:eastAsia="Arial" w:hAnsi="Arial"/>
          <w:sz w:val="16"/>
          <w:szCs w:val="16"/>
          <w:color w:val="auto"/>
        </w:rPr>
        <w:t>Net cash used in investing activities was $13.9 million for the three months ended March 31, 2018 compared to net cash used in investing activities of $21.6 million for the three months ended March 31, 2017. Net cash used in the three months ended March 31, 2018 relates to capital expenditure of $8.3 million, which was mainly comprised of investment in facilities and IT infrastructure. During the three months ended March 31, 2018 $10.2 million was used for the purchase of short term investments, a final consideration payment of $1.6 million was made in respect of the purchase of Mapi and $6.3 million was generated by the sale of short term investments. Net cash used in investing activities during the three months ended March 31, 2017 relates to capital expenditure of $8.3 million, which was mainly comprised of investment in facilities and IT infrastructure. During the three months ended March 31, 2017 $18.0 million was used for the purchase of short term investments and $4.7 million was generated by the sale of short term investments.</w:t>
      </w:r>
    </w:p>
    <w:p>
      <w:pPr>
        <w:spacing w:after="0" w:line="2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cash used in financing activities during the three months ended March 31, 2018 amounted to $38.3 million compared to net cash provided by financing activities of $93.7 million for the three months ended March 31, 2017. Cash outflows in respect of financing includes cash payments in respect of the Company’s share repurchase program totaling $38.2 million during the three months ended March 31, 2018 and financing costs of $0.8 million. In addition, $0.7 million was received by the Company from the exercise of share options. During the three months ended March 31, 2017, $96.4 million was recognized in relation to the Company's share repurchase program. In addition, $2.8 million was received by the Company from the exercise of share options.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cash flows, cash and cash equivalents decreased by $10.9 million for the three months ended March 31, 2018 compared to an increase of $44.8 million for the three months ended March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841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57" w:lineRule="exact"/>
        <w:rPr>
          <w:sz w:val="20"/>
          <w:szCs w:val="20"/>
          <w:color w:val="auto"/>
        </w:rPr>
      </w:pPr>
    </w:p>
    <w:p>
      <w:pPr>
        <w:ind w:left="720" w:right="1720" w:hanging="7994"/>
        <w:spacing w:after="0" w:line="290"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11, 2018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2019-12-06T11:35:39Z</dcterms:created>
  <dcterms:modified xsi:type="dcterms:W3CDTF">2019-12-06T11:35:39Z</dcterms:modified>
</cp:coreProperties>
</file>