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3"/>
          <w:szCs w:val="13"/>
          <w:b w:val="1"/>
          <w:bCs w:val="1"/>
          <w:color w:val="auto"/>
        </w:rPr>
        <w:t>FORM 6-K</w:t>
      </w:r>
    </w:p>
    <w:p>
      <w:pPr>
        <w:spacing w:after="0" w:line="15"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SECURITIES AND EXCHANGE COMMISSION</w:t>
      </w:r>
    </w:p>
    <w:p>
      <w:pPr>
        <w:spacing w:after="0" w:line="190" w:lineRule="exact"/>
        <w:rPr>
          <w:sz w:val="24"/>
          <w:szCs w:val="24"/>
          <w:color w:val="auto"/>
        </w:rPr>
      </w:pPr>
    </w:p>
    <w:p>
      <w:pPr>
        <w:jc w:val="center"/>
        <w:ind w:right="-259"/>
        <w:spacing w:after="0"/>
        <w:rPr>
          <w:sz w:val="20"/>
          <w:szCs w:val="20"/>
          <w:color w:val="auto"/>
        </w:rPr>
      </w:pPr>
      <w:r>
        <w:rPr>
          <w:rFonts w:ascii="Arial" w:cs="Arial" w:eastAsia="Arial" w:hAnsi="Arial"/>
          <w:sz w:val="13"/>
          <w:szCs w:val="13"/>
          <w:color w:val="auto"/>
        </w:rPr>
        <w:t>Washington, D.C. 20549</w:t>
      </w:r>
    </w:p>
    <w:p>
      <w:pPr>
        <w:spacing w:after="0" w:line="174"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Report of Foreign Private Issuer</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Pursuant to Rule 13a-16 under</w:t>
      </w:r>
    </w:p>
    <w:p>
      <w:pPr>
        <w:jc w:val="center"/>
        <w:ind w:right="-259"/>
        <w:spacing w:after="0"/>
        <w:rPr>
          <w:sz w:val="20"/>
          <w:szCs w:val="20"/>
          <w:color w:val="auto"/>
        </w:rPr>
      </w:pPr>
      <w:r>
        <w:rPr>
          <w:rFonts w:ascii="Arial" w:cs="Arial" w:eastAsia="Arial" w:hAnsi="Arial"/>
          <w:sz w:val="13"/>
          <w:szCs w:val="13"/>
          <w:b w:val="1"/>
          <w:bCs w:val="1"/>
          <w:color w:val="auto"/>
        </w:rPr>
        <w:t>the Securities Exchange Act of 1934</w:t>
      </w:r>
    </w:p>
    <w:p>
      <w:pPr>
        <w:spacing w:after="0" w:line="380" w:lineRule="exact"/>
        <w:rPr>
          <w:sz w:val="24"/>
          <w:szCs w:val="24"/>
          <w:color w:val="auto"/>
        </w:rPr>
      </w:pPr>
    </w:p>
    <w:p>
      <w:pPr>
        <w:jc w:val="center"/>
        <w:ind w:right="-259"/>
        <w:spacing w:after="0"/>
        <w:rPr>
          <w:sz w:val="20"/>
          <w:szCs w:val="20"/>
          <w:color w:val="auto"/>
        </w:rPr>
      </w:pPr>
      <w:r>
        <w:rPr>
          <w:rFonts w:ascii="Arial" w:cs="Arial" w:eastAsia="Arial" w:hAnsi="Arial"/>
          <w:sz w:val="13"/>
          <w:szCs w:val="13"/>
          <w:color w:val="auto"/>
        </w:rPr>
        <w:t>For</w:t>
      </w:r>
    </w:p>
    <w:p>
      <w:pPr>
        <w:jc w:val="center"/>
        <w:ind w:right="-259"/>
        <w:spacing w:after="0"/>
        <w:rPr>
          <w:sz w:val="20"/>
          <w:szCs w:val="20"/>
          <w:color w:val="auto"/>
        </w:rPr>
      </w:pPr>
      <w:r>
        <w:rPr>
          <w:rFonts w:ascii="Arial" w:cs="Arial" w:eastAsia="Arial" w:hAnsi="Arial"/>
          <w:sz w:val="13"/>
          <w:szCs w:val="13"/>
          <w:color w:val="auto"/>
        </w:rPr>
        <w:t>the month ended June, 2020</w:t>
      </w:r>
    </w:p>
    <w:p>
      <w:pPr>
        <w:spacing w:after="0" w:line="174"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ICON plc</w:t>
      </w:r>
    </w:p>
    <w:p>
      <w:pPr>
        <w:spacing w:after="0" w:line="15" w:lineRule="exact"/>
        <w:rPr>
          <w:sz w:val="24"/>
          <w:szCs w:val="24"/>
          <w:color w:val="auto"/>
        </w:rPr>
      </w:pPr>
    </w:p>
    <w:p>
      <w:pPr>
        <w:jc w:val="center"/>
        <w:ind w:right="-259"/>
        <w:spacing w:after="0"/>
        <w:rPr>
          <w:sz w:val="20"/>
          <w:szCs w:val="20"/>
          <w:color w:val="auto"/>
        </w:rPr>
      </w:pPr>
      <w:r>
        <w:rPr>
          <w:rFonts w:ascii="Arial" w:cs="Arial" w:eastAsia="Arial" w:hAnsi="Arial"/>
          <w:sz w:val="13"/>
          <w:szCs w:val="13"/>
          <w:color w:val="auto"/>
        </w:rPr>
        <w:t>(Registrant's name)</w:t>
      </w:r>
    </w:p>
    <w:p>
      <w:pPr>
        <w:spacing w:after="0" w:line="380" w:lineRule="exact"/>
        <w:rPr>
          <w:sz w:val="24"/>
          <w:szCs w:val="24"/>
          <w:color w:val="auto"/>
        </w:rPr>
      </w:pPr>
    </w:p>
    <w:p>
      <w:pPr>
        <w:jc w:val="center"/>
        <w:ind w:right="-259"/>
        <w:spacing w:after="0"/>
        <w:rPr>
          <w:sz w:val="20"/>
          <w:szCs w:val="20"/>
          <w:color w:val="auto"/>
        </w:rPr>
      </w:pPr>
      <w:r>
        <w:rPr>
          <w:rFonts w:ascii="Arial" w:cs="Arial" w:eastAsia="Arial" w:hAnsi="Arial"/>
          <w:sz w:val="13"/>
          <w:szCs w:val="13"/>
          <w:color w:val="auto"/>
        </w:rPr>
        <w:t>333-08704</w:t>
      </w:r>
    </w:p>
    <w:p>
      <w:pPr>
        <w:jc w:val="center"/>
        <w:ind w:right="-259"/>
        <w:spacing w:after="0"/>
        <w:rPr>
          <w:sz w:val="20"/>
          <w:szCs w:val="20"/>
          <w:color w:val="auto"/>
        </w:rPr>
      </w:pPr>
      <w:r>
        <w:rPr>
          <w:rFonts w:ascii="Arial" w:cs="Arial" w:eastAsia="Arial" w:hAnsi="Arial"/>
          <w:sz w:val="13"/>
          <w:szCs w:val="13"/>
          <w:color w:val="auto"/>
        </w:rPr>
        <w:t>(Commission file number)</w:t>
      </w:r>
    </w:p>
    <w:p>
      <w:pPr>
        <w:spacing w:after="0" w:line="380" w:lineRule="exact"/>
        <w:rPr>
          <w:sz w:val="24"/>
          <w:szCs w:val="24"/>
          <w:color w:val="auto"/>
        </w:rPr>
      </w:pPr>
    </w:p>
    <w:p>
      <w:pPr>
        <w:jc w:val="center"/>
        <w:ind w:right="-259"/>
        <w:spacing w:after="0"/>
        <w:rPr>
          <w:sz w:val="20"/>
          <w:szCs w:val="20"/>
          <w:color w:val="auto"/>
        </w:rPr>
      </w:pPr>
      <w:r>
        <w:rPr>
          <w:rFonts w:ascii="Arial" w:cs="Arial" w:eastAsia="Arial" w:hAnsi="Arial"/>
          <w:sz w:val="13"/>
          <w:szCs w:val="13"/>
          <w:color w:val="auto"/>
        </w:rPr>
        <w:t>South County Business Park, Leopardstown, Dublin 18, Ireland</w:t>
      </w:r>
    </w:p>
    <w:p>
      <w:pPr>
        <w:jc w:val="center"/>
        <w:ind w:right="-259"/>
        <w:spacing w:after="0"/>
        <w:rPr>
          <w:sz w:val="20"/>
          <w:szCs w:val="20"/>
          <w:color w:val="auto"/>
        </w:rPr>
      </w:pPr>
      <w:r>
        <w:rPr>
          <w:rFonts w:ascii="Arial" w:cs="Arial" w:eastAsia="Arial" w:hAnsi="Arial"/>
          <w:sz w:val="13"/>
          <w:szCs w:val="13"/>
          <w:color w:val="auto"/>
        </w:rPr>
        <w:t>(Address of principal executive offices)</w:t>
      </w:r>
    </w:p>
    <w:p>
      <w:pPr>
        <w:spacing w:after="0" w:line="380" w:lineRule="exact"/>
        <w:rPr>
          <w:sz w:val="24"/>
          <w:szCs w:val="24"/>
          <w:color w:val="auto"/>
        </w:rPr>
      </w:pPr>
    </w:p>
    <w:p>
      <w:pPr>
        <w:jc w:val="center"/>
        <w:ind w:right="-259"/>
        <w:spacing w:after="0"/>
        <w:rPr>
          <w:sz w:val="20"/>
          <w:szCs w:val="20"/>
          <w:color w:val="auto"/>
        </w:rPr>
      </w:pPr>
      <w:r>
        <w:rPr>
          <w:rFonts w:ascii="Arial" w:cs="Arial" w:eastAsia="Arial" w:hAnsi="Arial"/>
          <w:sz w:val="13"/>
          <w:szCs w:val="13"/>
          <w:color w:val="auto"/>
        </w:rPr>
        <w:t>Brendan Brennan, CFO</w:t>
      </w:r>
    </w:p>
    <w:p>
      <w:pPr>
        <w:jc w:val="center"/>
        <w:ind w:right="-259"/>
        <w:spacing w:after="0"/>
        <w:rPr>
          <w:sz w:val="20"/>
          <w:szCs w:val="20"/>
          <w:color w:val="auto"/>
        </w:rPr>
      </w:pPr>
      <w:r>
        <w:rPr>
          <w:rFonts w:ascii="Arial" w:cs="Arial" w:eastAsia="Arial" w:hAnsi="Arial"/>
          <w:sz w:val="13"/>
          <w:szCs w:val="13"/>
          <w:color w:val="auto"/>
        </w:rPr>
        <w:t>South County Business Park, Leopardstown, Dublin 18, Ireland</w:t>
      </w:r>
    </w:p>
    <w:p>
      <w:pPr>
        <w:jc w:val="center"/>
        <w:ind w:right="-259"/>
        <w:spacing w:after="0"/>
        <w:rPr>
          <w:sz w:val="20"/>
          <w:szCs w:val="20"/>
          <w:color w:val="auto"/>
        </w:rPr>
      </w:pPr>
      <w:r>
        <w:rPr>
          <w:rFonts w:ascii="Arial" w:cs="Arial" w:eastAsia="Arial" w:hAnsi="Arial"/>
          <w:sz w:val="13"/>
          <w:szCs w:val="13"/>
          <w:color w:val="auto"/>
        </w:rPr>
        <w:t>Brendan.Brennan@iconplc.com</w:t>
      </w:r>
    </w:p>
    <w:p>
      <w:pPr>
        <w:jc w:val="center"/>
        <w:ind w:right="-259"/>
        <w:spacing w:after="0"/>
        <w:rPr>
          <w:sz w:val="20"/>
          <w:szCs w:val="20"/>
          <w:color w:val="auto"/>
        </w:rPr>
      </w:pPr>
      <w:r>
        <w:rPr>
          <w:rFonts w:ascii="Arial" w:cs="Arial" w:eastAsia="Arial" w:hAnsi="Arial"/>
          <w:sz w:val="13"/>
          <w:szCs w:val="13"/>
          <w:color w:val="auto"/>
        </w:rPr>
        <w:t>+353-1-291-2000</w:t>
      </w:r>
    </w:p>
    <w:p>
      <w:pPr>
        <w:jc w:val="center"/>
        <w:ind w:right="-279"/>
        <w:spacing w:after="0"/>
        <w:rPr>
          <w:sz w:val="20"/>
          <w:szCs w:val="20"/>
          <w:color w:val="auto"/>
        </w:rPr>
      </w:pPr>
      <w:r>
        <w:rPr>
          <w:rFonts w:ascii="Arial" w:cs="Arial" w:eastAsia="Arial" w:hAnsi="Arial"/>
          <w:sz w:val="13"/>
          <w:szCs w:val="13"/>
          <w:color w:val="auto"/>
        </w:rPr>
        <w:t>(Name, telephone number, email and/or facsimile number and address of Company contact person)</w:t>
      </w: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files or will file annual reports under cover Form 20-F or Form 40-F.</w:t>
      </w:r>
    </w:p>
    <w:p>
      <w:pPr>
        <w:spacing w:after="0" w:line="36" w:lineRule="exact"/>
        <w:rPr>
          <w:sz w:val="24"/>
          <w:szCs w:val="24"/>
          <w:color w:val="auto"/>
        </w:rPr>
      </w:pPr>
    </w:p>
    <w:p>
      <w:pPr>
        <w:ind w:left="4420"/>
        <w:spacing w:after="0"/>
        <w:tabs>
          <w:tab w:leader="none" w:pos="6560" w:val="left"/>
        </w:tabs>
        <w:rPr>
          <w:sz w:val="20"/>
          <w:szCs w:val="20"/>
          <w:color w:val="auto"/>
        </w:rPr>
      </w:pPr>
      <w:r>
        <w:rPr>
          <w:rFonts w:ascii="Arial" w:cs="Arial" w:eastAsia="Arial" w:hAnsi="Arial"/>
          <w:sz w:val="13"/>
          <w:szCs w:val="13"/>
          <w:color w:val="auto"/>
        </w:rPr>
        <w:t>Form 20-F___</w:t>
      </w:r>
      <w:r>
        <w:rPr>
          <w:rFonts w:ascii="Arial" w:cs="Arial" w:eastAsia="Arial" w:hAnsi="Arial"/>
          <w:sz w:val="13"/>
          <w:szCs w:val="13"/>
          <w:b w:val="1"/>
          <w:bCs w:val="1"/>
          <w:color w:val="auto"/>
        </w:rPr>
        <w:t>X</w:t>
      </w:r>
      <w:r>
        <w:rPr>
          <w:rFonts w:ascii="Arial" w:cs="Arial" w:eastAsia="Arial" w:hAnsi="Arial"/>
          <w:sz w:val="13"/>
          <w:szCs w:val="13"/>
          <w:color w:val="auto"/>
        </w:rPr>
        <w:t>___</w:t>
      </w:r>
      <w:r>
        <w:rPr>
          <w:sz w:val="20"/>
          <w:szCs w:val="20"/>
          <w:color w:val="auto"/>
        </w:rPr>
        <w:tab/>
      </w:r>
      <w:r>
        <w:rPr>
          <w:rFonts w:ascii="Arial" w:cs="Arial" w:eastAsia="Arial" w:hAnsi="Arial"/>
          <w:sz w:val="12"/>
          <w:szCs w:val="12"/>
          <w:color w:val="auto"/>
        </w:rPr>
        <w:t>Form 40-F______</w:t>
      </w:r>
    </w:p>
    <w:p>
      <w:pPr>
        <w:spacing w:after="0" w:line="24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submitting the Form 6-K in paper as permitted by Regulation S-T Rule 101(b)(1):</w:t>
      </w:r>
    </w:p>
    <w:p>
      <w:pPr>
        <w:spacing w:after="0" w:line="36" w:lineRule="exact"/>
        <w:rPr>
          <w:sz w:val="24"/>
          <w:szCs w:val="24"/>
          <w:color w:val="auto"/>
        </w:rPr>
      </w:pPr>
    </w:p>
    <w:p>
      <w:pPr>
        <w:ind w:left="4420"/>
        <w:spacing w:after="0"/>
        <w:tabs>
          <w:tab w:leader="none" w:pos="6560" w:val="left"/>
        </w:tabs>
        <w:rPr>
          <w:sz w:val="20"/>
          <w:szCs w:val="20"/>
          <w:color w:val="auto"/>
        </w:rPr>
      </w:pPr>
      <w:r>
        <w:rPr>
          <w:rFonts w:ascii="Arial" w:cs="Arial" w:eastAsia="Arial" w:hAnsi="Arial"/>
          <w:sz w:val="13"/>
          <w:szCs w:val="13"/>
          <w:color w:val="auto"/>
        </w:rPr>
        <w:t>Yes______</w:t>
      </w:r>
      <w:r>
        <w:rPr>
          <w:sz w:val="20"/>
          <w:szCs w:val="20"/>
          <w:color w:val="auto"/>
        </w:rPr>
        <w:tab/>
      </w:r>
      <w:r>
        <w:rPr>
          <w:rFonts w:ascii="Arial" w:cs="Arial" w:eastAsia="Arial" w:hAnsi="Arial"/>
          <w:sz w:val="12"/>
          <w:szCs w:val="12"/>
          <w:color w:val="auto"/>
        </w:rPr>
        <w:t>No___</w:t>
      </w:r>
      <w:r>
        <w:rPr>
          <w:rFonts w:ascii="Arial" w:cs="Arial" w:eastAsia="Arial" w:hAnsi="Arial"/>
          <w:sz w:val="12"/>
          <w:szCs w:val="12"/>
          <w:b w:val="1"/>
          <w:bCs w:val="1"/>
          <w:color w:val="auto"/>
        </w:rPr>
        <w:t>X</w:t>
      </w:r>
      <w:r>
        <w:rPr>
          <w:rFonts w:ascii="Arial" w:cs="Arial" w:eastAsia="Arial" w:hAnsi="Arial"/>
          <w:sz w:val="12"/>
          <w:szCs w:val="12"/>
          <w:color w:val="auto"/>
        </w:rPr>
        <w:t>___</w:t>
      </w:r>
    </w:p>
    <w:p>
      <w:pPr>
        <w:spacing w:after="0" w:line="24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submitting the Form 6-K in paper as permitted by Regulation S-T Rule 101(b)(7):</w:t>
      </w:r>
    </w:p>
    <w:p>
      <w:pPr>
        <w:spacing w:after="0" w:line="36" w:lineRule="exact"/>
        <w:rPr>
          <w:sz w:val="24"/>
          <w:szCs w:val="24"/>
          <w:color w:val="auto"/>
        </w:rPr>
      </w:pPr>
    </w:p>
    <w:p>
      <w:pPr>
        <w:ind w:left="4420"/>
        <w:spacing w:after="0"/>
        <w:tabs>
          <w:tab w:leader="none" w:pos="6560" w:val="left"/>
        </w:tabs>
        <w:rPr>
          <w:sz w:val="20"/>
          <w:szCs w:val="20"/>
          <w:color w:val="auto"/>
        </w:rPr>
      </w:pPr>
      <w:r>
        <w:rPr>
          <w:rFonts w:ascii="Arial" w:cs="Arial" w:eastAsia="Arial" w:hAnsi="Arial"/>
          <w:sz w:val="13"/>
          <w:szCs w:val="13"/>
          <w:color w:val="auto"/>
        </w:rPr>
        <w:t>Yes______</w:t>
      </w:r>
      <w:r>
        <w:rPr>
          <w:sz w:val="20"/>
          <w:szCs w:val="20"/>
          <w:color w:val="auto"/>
        </w:rPr>
        <w:tab/>
      </w:r>
      <w:r>
        <w:rPr>
          <w:rFonts w:ascii="Arial" w:cs="Arial" w:eastAsia="Arial" w:hAnsi="Arial"/>
          <w:sz w:val="12"/>
          <w:szCs w:val="12"/>
          <w:color w:val="auto"/>
        </w:rPr>
        <w:t>No___</w:t>
      </w:r>
      <w:r>
        <w:rPr>
          <w:rFonts w:ascii="Arial" w:cs="Arial" w:eastAsia="Arial" w:hAnsi="Arial"/>
          <w:sz w:val="12"/>
          <w:szCs w:val="12"/>
          <w:b w:val="1"/>
          <w:bCs w:val="1"/>
          <w:color w:val="auto"/>
        </w:rPr>
        <w:t>X</w:t>
      </w:r>
      <w:r>
        <w:rPr>
          <w:rFonts w:ascii="Arial" w:cs="Arial" w:eastAsia="Arial" w:hAnsi="Arial"/>
          <w:sz w:val="12"/>
          <w:szCs w:val="12"/>
          <w:color w:val="auto"/>
        </w:rPr>
        <w:t>___</w:t>
      </w:r>
    </w:p>
    <w:p>
      <w:pPr>
        <w:spacing w:after="0" w:line="248" w:lineRule="exact"/>
        <w:rPr>
          <w:sz w:val="24"/>
          <w:szCs w:val="24"/>
          <w:color w:val="auto"/>
        </w:rPr>
      </w:pPr>
    </w:p>
    <w:p>
      <w:pPr>
        <w:spacing w:after="0" w:line="244" w:lineRule="auto"/>
        <w:rPr>
          <w:sz w:val="20"/>
          <w:szCs w:val="20"/>
          <w:color w:val="auto"/>
        </w:rPr>
      </w:pPr>
      <w:r>
        <w:rPr>
          <w:rFonts w:ascii="Arial" w:cs="Arial" w:eastAsia="Arial" w:hAnsi="Arial"/>
          <w:sz w:val="13"/>
          <w:szCs w:val="13"/>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30" w:lineRule="exact"/>
        <w:rPr>
          <w:sz w:val="24"/>
          <w:szCs w:val="24"/>
          <w:color w:val="auto"/>
        </w:rPr>
      </w:pPr>
    </w:p>
    <w:p>
      <w:pPr>
        <w:ind w:left="4420"/>
        <w:spacing w:after="0"/>
        <w:tabs>
          <w:tab w:leader="none" w:pos="6560" w:val="left"/>
        </w:tabs>
        <w:rPr>
          <w:sz w:val="20"/>
          <w:szCs w:val="20"/>
          <w:color w:val="auto"/>
        </w:rPr>
      </w:pPr>
      <w:r>
        <w:rPr>
          <w:rFonts w:ascii="Arial" w:cs="Arial" w:eastAsia="Arial" w:hAnsi="Arial"/>
          <w:sz w:val="13"/>
          <w:szCs w:val="13"/>
          <w:color w:val="auto"/>
        </w:rPr>
        <w:t>Yes______</w:t>
      </w:r>
      <w:r>
        <w:rPr>
          <w:sz w:val="20"/>
          <w:szCs w:val="20"/>
          <w:color w:val="auto"/>
        </w:rPr>
        <w:tab/>
      </w:r>
      <w:r>
        <w:rPr>
          <w:rFonts w:ascii="Arial" w:cs="Arial" w:eastAsia="Arial" w:hAnsi="Arial"/>
          <w:sz w:val="12"/>
          <w:szCs w:val="12"/>
          <w:color w:val="auto"/>
        </w:rPr>
        <w:t>No___</w:t>
      </w:r>
      <w:r>
        <w:rPr>
          <w:rFonts w:ascii="Arial" w:cs="Arial" w:eastAsia="Arial" w:hAnsi="Arial"/>
          <w:sz w:val="12"/>
          <w:szCs w:val="12"/>
          <w:b w:val="1"/>
          <w:bCs w:val="1"/>
          <w:color w:val="auto"/>
        </w:rPr>
        <w:t>X</w:t>
      </w:r>
      <w:r>
        <w:rPr>
          <w:rFonts w:ascii="Arial" w:cs="Arial" w:eastAsia="Arial" w:hAnsi="Arial"/>
          <w:sz w:val="12"/>
          <w:szCs w:val="12"/>
          <w:color w:val="auto"/>
        </w:rPr>
        <w:t>___</w:t>
      </w:r>
    </w:p>
    <w:p>
      <w:pPr>
        <w:spacing w:after="0" w:line="22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If "Yes" is marked, indicate below the file number assigned to the registrant in connection with Rule 12g3-2(b):82 </w:t>
      </w:r>
      <w:r>
        <w:rPr>
          <w:rFonts w:ascii="Arial" w:cs="Arial" w:eastAsia="Arial" w:hAnsi="Arial"/>
          <w:sz w:val="13"/>
          <w:szCs w:val="13"/>
          <w:b w:val="1"/>
          <w:bCs w:val="1"/>
          <w:color w:val="auto"/>
        </w:rPr>
        <w:t>N/A</w:t>
      </w:r>
    </w:p>
    <w:p>
      <w:pPr>
        <w:sectPr>
          <w:pgSz w:w="11900" w:h="16838" w:orient="portrait"/>
          <w:cols w:equalWidth="0" w:num="1">
            <w:col w:w="11000"/>
          </w:cols>
          <w:pgMar w:left="320" w:top="815" w:right="579" w:bottom="1440" w:gutter="0" w:footer="0" w:header="0"/>
        </w:sectPr>
      </w:pPr>
    </w:p>
    <w:bookmarkStart w:id="1" w:name="page2"/>
    <w:bookmarkEnd w:id="1"/>
    <w:p>
      <w:pPr>
        <w:ind w:left="5040"/>
        <w:spacing w:after="0"/>
        <w:rPr>
          <w:sz w:val="20"/>
          <w:szCs w:val="20"/>
          <w:color w:val="auto"/>
        </w:rPr>
      </w:pPr>
      <w:r>
        <w:rPr>
          <w:rFonts w:ascii="Arial" w:cs="Arial" w:eastAsia="Arial" w:hAnsi="Arial"/>
          <w:sz w:val="17"/>
          <w:szCs w:val="17"/>
          <w:b w:val="1"/>
          <w:bCs w:val="1"/>
          <w:u w:val="single" w:color="auto"/>
          <w:color w:val="auto"/>
        </w:rPr>
        <w:t>EXHIBIT LIST</w:t>
      </w:r>
    </w:p>
    <w:p>
      <w:pPr>
        <w:spacing w:after="0" w:line="42" w:lineRule="exact"/>
        <w:rPr>
          <w:sz w:val="20"/>
          <w:szCs w:val="20"/>
          <w:color w:val="auto"/>
        </w:rPr>
      </w:pPr>
    </w:p>
    <w:p>
      <w:pPr>
        <w:spacing w:after="0"/>
        <w:tabs>
          <w:tab w:leader="none" w:pos="1500" w:val="left"/>
        </w:tabs>
        <w:rPr>
          <w:sz w:val="20"/>
          <w:szCs w:val="20"/>
          <w:color w:val="auto"/>
        </w:rPr>
      </w:pPr>
      <w:r>
        <w:rPr>
          <w:rFonts w:ascii="Arial" w:cs="Arial" w:eastAsia="Arial" w:hAnsi="Arial"/>
          <w:sz w:val="17"/>
          <w:szCs w:val="17"/>
          <w:u w:val="single" w:color="auto"/>
          <w:color w:val="auto"/>
        </w:rPr>
        <w:t>Exhibit</w:t>
      </w:r>
      <w:r>
        <w:rPr>
          <w:sz w:val="20"/>
          <w:szCs w:val="20"/>
          <w:color w:val="auto"/>
        </w:rPr>
        <w:tab/>
      </w:r>
      <w:r>
        <w:rPr>
          <w:rFonts w:ascii="Arial" w:cs="Arial" w:eastAsia="Arial" w:hAnsi="Arial"/>
          <w:sz w:val="17"/>
          <w:szCs w:val="17"/>
          <w:u w:val="single" w:color="auto"/>
          <w:color w:val="auto"/>
        </w:rPr>
        <w:t>Description</w:t>
      </w:r>
    </w:p>
    <w:p>
      <w:pPr>
        <w:spacing w:after="0" w:line="218" w:lineRule="exact"/>
        <w:rPr>
          <w:sz w:val="20"/>
          <w:szCs w:val="20"/>
          <w:color w:val="auto"/>
        </w:rPr>
      </w:pPr>
    </w:p>
    <w:p>
      <w:pPr>
        <w:ind w:left="1060"/>
        <w:spacing w:after="0"/>
        <w:tabs>
          <w:tab w:leader="none" w:pos="1500" w:val="left"/>
        </w:tabs>
        <w:rPr>
          <w:rFonts w:ascii="Arial" w:cs="Arial" w:eastAsia="Arial" w:hAnsi="Arial"/>
          <w:sz w:val="15"/>
          <w:szCs w:val="15"/>
          <w:u w:val="single" w:color="auto"/>
          <w:color w:val="0000FF"/>
        </w:rPr>
      </w:pPr>
      <w:r>
        <w:rPr>
          <w:rFonts w:ascii="Arial" w:cs="Arial" w:eastAsia="Arial" w:hAnsi="Arial"/>
          <w:sz w:val="17"/>
          <w:szCs w:val="17"/>
          <w:color w:val="0000FF"/>
        </w:rPr>
        <w:t>99.1</w:t>
      </w:r>
      <w:r>
        <w:rPr>
          <w:sz w:val="20"/>
          <w:szCs w:val="20"/>
          <w:color w:val="auto"/>
        </w:rPr>
        <w:tab/>
      </w:r>
      <w:hyperlink w:anchor="page4">
        <w:r>
          <w:rPr>
            <w:rFonts w:ascii="Arial" w:cs="Arial" w:eastAsia="Arial" w:hAnsi="Arial"/>
            <w:sz w:val="15"/>
            <w:szCs w:val="15"/>
            <w:u w:val="single" w:color="auto"/>
            <w:color w:val="0000FF"/>
          </w:rPr>
          <w:t>ICON plc Shareholders Letter and Notice of Annual General Meeting</w:t>
        </w:r>
      </w:hyperlink>
    </w:p>
    <w:p>
      <w:pPr>
        <w:spacing w:after="0" w:line="80" w:lineRule="exact"/>
        <w:rPr>
          <w:sz w:val="20"/>
          <w:szCs w:val="20"/>
          <w:color w:val="auto"/>
        </w:rPr>
      </w:pPr>
    </w:p>
    <w:p>
      <w:pPr>
        <w:ind w:left="1060"/>
        <w:spacing w:after="0"/>
        <w:tabs>
          <w:tab w:leader="none" w:pos="1500" w:val="left"/>
        </w:tabs>
        <w:rPr>
          <w:rFonts w:ascii="Arial" w:cs="Arial" w:eastAsia="Arial" w:hAnsi="Arial"/>
          <w:sz w:val="15"/>
          <w:szCs w:val="15"/>
          <w:u w:val="single" w:color="auto"/>
          <w:color w:val="0000FF"/>
        </w:rPr>
      </w:pPr>
      <w:r>
        <w:rPr>
          <w:rFonts w:ascii="Arial" w:cs="Arial" w:eastAsia="Arial" w:hAnsi="Arial"/>
          <w:sz w:val="17"/>
          <w:szCs w:val="17"/>
          <w:color w:val="0000FF"/>
        </w:rPr>
        <w:t>99.2</w:t>
      </w:r>
      <w:r>
        <w:rPr>
          <w:sz w:val="20"/>
          <w:szCs w:val="20"/>
          <w:color w:val="auto"/>
        </w:rPr>
        <w:tab/>
      </w:r>
      <w:hyperlink w:anchor="page16">
        <w:r>
          <w:rPr>
            <w:rFonts w:ascii="Arial" w:cs="Arial" w:eastAsia="Arial" w:hAnsi="Arial"/>
            <w:sz w:val="15"/>
            <w:szCs w:val="15"/>
            <w:u w:val="single" w:color="auto"/>
            <w:color w:val="0000FF"/>
          </w:rPr>
          <w:t>Proxy Card</w:t>
        </w:r>
      </w:hyperlink>
    </w:p>
    <w:p>
      <w:pPr>
        <w:spacing w:after="0" w:line="80" w:lineRule="exact"/>
        <w:rPr>
          <w:sz w:val="20"/>
          <w:szCs w:val="20"/>
          <w:color w:val="auto"/>
        </w:rPr>
      </w:pPr>
    </w:p>
    <w:p>
      <w:pPr>
        <w:ind w:left="1060"/>
        <w:spacing w:after="0"/>
        <w:tabs>
          <w:tab w:leader="none" w:pos="1500" w:val="left"/>
        </w:tabs>
        <w:rPr>
          <w:rFonts w:ascii="Arial" w:cs="Arial" w:eastAsia="Arial" w:hAnsi="Arial"/>
          <w:sz w:val="15"/>
          <w:szCs w:val="15"/>
          <w:u w:val="single" w:color="auto"/>
          <w:color w:val="0000FF"/>
        </w:rPr>
      </w:pPr>
      <w:r>
        <w:rPr>
          <w:rFonts w:ascii="Arial" w:cs="Arial" w:eastAsia="Arial" w:hAnsi="Arial"/>
          <w:sz w:val="17"/>
          <w:szCs w:val="17"/>
          <w:color w:val="0000FF"/>
        </w:rPr>
        <w:t>99.3</w:t>
      </w:r>
      <w:r>
        <w:rPr>
          <w:sz w:val="20"/>
          <w:szCs w:val="20"/>
          <w:color w:val="auto"/>
        </w:rPr>
        <w:tab/>
      </w:r>
      <w:hyperlink w:anchor="page19">
        <w:r>
          <w:rPr>
            <w:rFonts w:ascii="Arial" w:cs="Arial" w:eastAsia="Arial" w:hAnsi="Arial"/>
            <w:sz w:val="15"/>
            <w:szCs w:val="15"/>
            <w:u w:val="single" w:color="auto"/>
            <w:color w:val="0000FF"/>
          </w:rPr>
          <w:t>ICON plc Annual Report</w:t>
        </w:r>
      </w:hyperlink>
    </w:p>
    <w:p>
      <w:pPr>
        <w:sectPr>
          <w:pgSz w:w="11900" w:h="16838" w:orient="portrait"/>
          <w:cols w:equalWidth="0" w:num="1">
            <w:col w:w="10139"/>
          </w:cols>
          <w:pgMar w:left="320" w:top="1116" w:right="1440"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color w:val="auto"/>
        </w:rPr>
        <w:t>SIGNATURES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7940"/>
        <w:spacing w:after="0"/>
        <w:rPr>
          <w:sz w:val="20"/>
          <w:szCs w:val="20"/>
          <w:color w:val="auto"/>
        </w:rPr>
      </w:pPr>
      <w:r>
        <w:rPr>
          <w:rFonts w:ascii="Arial" w:cs="Arial" w:eastAsia="Arial" w:hAnsi="Arial"/>
          <w:sz w:val="13"/>
          <w:szCs w:val="13"/>
          <w:b w:val="1"/>
          <w:bCs w:val="1"/>
          <w:color w:val="auto"/>
        </w:rPr>
        <w:t>ICON plc</w:t>
      </w:r>
    </w:p>
    <w:p>
      <w:pPr>
        <w:spacing w:after="0" w:line="200" w:lineRule="exact"/>
        <w:rPr>
          <w:sz w:val="20"/>
          <w:szCs w:val="20"/>
          <w:color w:val="auto"/>
        </w:rPr>
      </w:pPr>
    </w:p>
    <w:p>
      <w:pPr>
        <w:spacing w:after="0" w:line="250" w:lineRule="exact"/>
        <w:rPr>
          <w:sz w:val="20"/>
          <w:szCs w:val="20"/>
          <w:color w:val="auto"/>
        </w:rPr>
      </w:pPr>
    </w:p>
    <w:p>
      <w:pPr>
        <w:ind w:left="7940"/>
        <w:spacing w:after="0"/>
        <w:rPr>
          <w:sz w:val="20"/>
          <w:szCs w:val="20"/>
          <w:color w:val="auto"/>
        </w:rPr>
      </w:pPr>
      <w:r>
        <w:rPr>
          <w:rFonts w:ascii="Arial" w:cs="Arial" w:eastAsia="Arial" w:hAnsi="Arial"/>
          <w:sz w:val="13"/>
          <w:szCs w:val="13"/>
          <w:u w:val="single" w:color="auto"/>
          <w:color w:val="auto"/>
        </w:rPr>
        <w:t>/s/Brendan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265430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54300" cy="13335"/>
                    </a:xfrm>
                    <a:prstGeom prst="rect">
                      <a:avLst/>
                    </a:prstGeom>
                    <a:noFill/>
                  </pic:spPr>
                </pic:pic>
              </a:graphicData>
            </a:graphic>
          </wp:anchor>
        </w:drawing>
      </w:r>
    </w:p>
    <w:p>
      <w:pPr>
        <w:spacing w:after="0" w:line="21" w:lineRule="exact"/>
        <w:rPr>
          <w:sz w:val="20"/>
          <w:szCs w:val="20"/>
          <w:color w:val="auto"/>
        </w:rPr>
      </w:pPr>
    </w:p>
    <w:p>
      <w:pPr>
        <w:ind w:left="680" w:right="1460" w:hanging="7925"/>
        <w:spacing w:after="0" w:line="276" w:lineRule="auto"/>
        <w:tabs>
          <w:tab w:leader="none" w:pos="66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June 9, 2020 Brendan Brennan Chief Financial Officer</w:t>
      </w:r>
    </w:p>
    <w:p>
      <w:pPr>
        <w:sectPr>
          <w:pgSz w:w="11900" w:h="16838" w:orient="portrait"/>
          <w:cols w:equalWidth="0" w:num="1">
            <w:col w:w="10660"/>
          </w:cols>
          <w:pgMar w:left="300" w:top="1101" w:right="939" w:bottom="1440" w:gutter="0" w:footer="0" w:header="0"/>
        </w:sectPr>
      </w:pPr>
    </w:p>
    <w:bookmarkStart w:id="3" w:name="page4"/>
    <w:bookmarkEnd w:id="3"/>
    <w:p>
      <w:pPr>
        <w:spacing w:after="0" w:line="276" w:lineRule="auto"/>
        <w:tabs>
          <w:tab w:leader="none" w:pos="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76" w:lineRule="auto"/>
        <w:tabs>
          <w:tab w:leader="none" w:pos="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76" w:lineRule="auto"/>
        <w:tabs>
          <w:tab w:leader="none" w:pos="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76" w:lineRule="auto"/>
        <w:tabs>
          <w:tab w:leader="none" w:pos="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76" w:lineRule="auto"/>
        <w:tabs>
          <w:tab w:leader="none" w:pos="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76" w:lineRule="auto"/>
        <w:tabs>
          <w:tab w:leader="none" w:pos="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76" w:lineRule="auto"/>
        <w:tabs>
          <w:tab w:leader="none" w:pos="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76" w:lineRule="auto"/>
        <w:tabs>
          <w:tab w:leader="none" w:pos="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76" w:lineRule="auto"/>
        <w:tabs>
          <w:tab w:leader="none" w:pos="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76" w:lineRule="auto"/>
        <w:tabs>
          <w:tab w:leader="none" w:pos="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76" w:lineRule="auto"/>
        <w:tabs>
          <w:tab w:leader="none" w:pos="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76" w:lineRule="auto"/>
        <w:tabs>
          <w:tab w:leader="none" w:pos="660" w:val="left"/>
        </w:tabs>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spacing w:after="0" w:line="276" w:lineRule="auto"/>
        <w:tabs>
          <w:tab w:leader="none" w:pos="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76" w:lineRule="auto"/>
        <w:tabs>
          <w:tab w:leader="none" w:pos="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76" w:lineRule="auto"/>
        <w:tabs>
          <w:tab w:leader="none" w:pos="660" w:val="left"/>
        </w:tabs>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ICON plc and Subsidiaries</w:t>
      </w:r>
    </w:p>
    <w:p>
      <w:pPr>
        <w:spacing w:after="0" w:line="39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Consolidated Financial Statements</w:t>
      </w:r>
    </w:p>
    <w:p>
      <w:pPr>
        <w:spacing w:after="0" w:line="39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Year ended 31 December 2019</w:t>
      </w:r>
    </w:p>
    <w:p>
      <w:pPr>
        <w:spacing w:after="0" w:line="200" w:lineRule="exact"/>
        <w:rPr>
          <w:sz w:val="20"/>
          <w:szCs w:val="20"/>
          <w:color w:val="auto"/>
        </w:rPr>
      </w:pPr>
    </w:p>
    <w:p>
      <w:pPr>
        <w:spacing w:after="0" w:line="375"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Registered number 145835</w:t>
      </w:r>
    </w:p>
    <w:p>
      <w:pPr>
        <w:sectPr>
          <w:pgSz w:w="11900" w:h="16838" w:orient="portrait"/>
          <w:cols w:equalWidth="0" w:num="1">
            <w:col w:w="10140"/>
          </w:cols>
          <w:pgMar w:left="1440" w:top="1440"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Directors’ Report and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8340" w:type="dxa"/>
            <w:vAlign w:val="bottom"/>
          </w:tcPr>
          <w:p>
            <w:pPr>
              <w:spacing w:after="0"/>
              <w:rPr>
                <w:sz w:val="20"/>
                <w:szCs w:val="20"/>
                <w:color w:val="auto"/>
              </w:rPr>
            </w:pPr>
            <w:r>
              <w:rPr>
                <w:rFonts w:ascii="Arial" w:cs="Arial" w:eastAsia="Arial" w:hAnsi="Arial"/>
                <w:sz w:val="13"/>
                <w:szCs w:val="13"/>
                <w:i w:val="1"/>
                <w:iCs w:val="1"/>
                <w:color w:val="auto"/>
              </w:rPr>
              <w:t>Contents</w:t>
            </w:r>
          </w:p>
        </w:tc>
        <w:tc>
          <w:tcPr>
            <w:tcW w:w="2900" w:type="dxa"/>
            <w:vAlign w:val="bottom"/>
          </w:tcPr>
          <w:p>
            <w:pPr>
              <w:jc w:val="right"/>
              <w:spacing w:after="0"/>
              <w:rPr>
                <w:sz w:val="20"/>
                <w:szCs w:val="20"/>
                <w:color w:val="auto"/>
              </w:rPr>
            </w:pPr>
            <w:r>
              <w:rPr>
                <w:rFonts w:ascii="Arial" w:cs="Arial" w:eastAsia="Arial" w:hAnsi="Arial"/>
                <w:sz w:val="13"/>
                <w:szCs w:val="13"/>
                <w:i w:val="1"/>
                <w:iCs w:val="1"/>
                <w:color w:val="auto"/>
              </w:rPr>
              <w:t>Page</w:t>
            </w:r>
          </w:p>
        </w:tc>
      </w:tr>
      <w:tr>
        <w:trPr>
          <w:trHeight w:val="244"/>
        </w:trPr>
        <w:tc>
          <w:tcPr>
            <w:tcW w:w="8340" w:type="dxa"/>
            <w:vAlign w:val="bottom"/>
          </w:tcPr>
          <w:p>
            <w:pPr>
              <w:spacing w:after="0"/>
              <w:rPr>
                <w:sz w:val="20"/>
                <w:szCs w:val="20"/>
                <w:color w:val="auto"/>
              </w:rPr>
            </w:pPr>
            <w:r>
              <w:rPr>
                <w:rFonts w:ascii="Arial" w:cs="Arial" w:eastAsia="Arial" w:hAnsi="Arial"/>
                <w:sz w:val="13"/>
                <w:szCs w:val="13"/>
                <w:color w:val="auto"/>
              </w:rPr>
              <w:t>Directors’ and Other Information</w:t>
            </w:r>
          </w:p>
        </w:tc>
        <w:tc>
          <w:tcPr>
            <w:tcW w:w="2900" w:type="dxa"/>
            <w:vAlign w:val="bottom"/>
          </w:tcPr>
          <w:p>
            <w:pPr>
              <w:jc w:val="right"/>
              <w:spacing w:after="0"/>
              <w:rPr>
                <w:rFonts w:ascii="Arial" w:cs="Arial" w:eastAsia="Arial" w:hAnsi="Arial"/>
                <w:sz w:val="13"/>
                <w:szCs w:val="13"/>
                <w:color w:val="0000FF"/>
              </w:rPr>
            </w:pPr>
            <w:hyperlink w:anchor="page20">
              <w:r>
                <w:rPr>
                  <w:rFonts w:ascii="Arial" w:cs="Arial" w:eastAsia="Arial" w:hAnsi="Arial"/>
                  <w:sz w:val="13"/>
                  <w:szCs w:val="13"/>
                  <w:color w:val="0000FF"/>
                </w:rPr>
                <w:t>2</w:t>
              </w:r>
            </w:hyperlink>
          </w:p>
        </w:tc>
      </w:tr>
      <w:tr>
        <w:trPr>
          <w:trHeight w:val="233"/>
        </w:trPr>
        <w:tc>
          <w:tcPr>
            <w:tcW w:w="8340" w:type="dxa"/>
            <w:vAlign w:val="bottom"/>
          </w:tcPr>
          <w:p>
            <w:pPr>
              <w:spacing w:after="0"/>
              <w:rPr>
                <w:sz w:val="20"/>
                <w:szCs w:val="20"/>
                <w:color w:val="auto"/>
              </w:rPr>
            </w:pPr>
            <w:r>
              <w:rPr>
                <w:rFonts w:ascii="Arial" w:cs="Arial" w:eastAsia="Arial" w:hAnsi="Arial"/>
                <w:sz w:val="13"/>
                <w:szCs w:val="13"/>
                <w:color w:val="auto"/>
              </w:rPr>
              <w:t>Directors’ Report</w:t>
            </w:r>
          </w:p>
        </w:tc>
        <w:tc>
          <w:tcPr>
            <w:tcW w:w="2900" w:type="dxa"/>
            <w:vAlign w:val="bottom"/>
          </w:tcPr>
          <w:p>
            <w:pPr>
              <w:jc w:val="right"/>
              <w:spacing w:after="0"/>
              <w:rPr>
                <w:rFonts w:ascii="Arial" w:cs="Arial" w:eastAsia="Arial" w:hAnsi="Arial"/>
                <w:sz w:val="13"/>
                <w:szCs w:val="13"/>
                <w:color w:val="0000FF"/>
              </w:rPr>
            </w:pPr>
            <w:hyperlink w:anchor="page21">
              <w:r>
                <w:rPr>
                  <w:rFonts w:ascii="Arial" w:cs="Arial" w:eastAsia="Arial" w:hAnsi="Arial"/>
                  <w:sz w:val="13"/>
                  <w:szCs w:val="13"/>
                  <w:color w:val="0000FF"/>
                </w:rPr>
                <w:t>3</w:t>
              </w:r>
            </w:hyperlink>
          </w:p>
        </w:tc>
      </w:tr>
      <w:tr>
        <w:trPr>
          <w:trHeight w:val="233"/>
        </w:trPr>
        <w:tc>
          <w:tcPr>
            <w:tcW w:w="8340" w:type="dxa"/>
            <w:vAlign w:val="bottom"/>
          </w:tcPr>
          <w:p>
            <w:pPr>
              <w:spacing w:after="0"/>
              <w:rPr>
                <w:sz w:val="20"/>
                <w:szCs w:val="20"/>
                <w:color w:val="auto"/>
              </w:rPr>
            </w:pPr>
            <w:r>
              <w:rPr>
                <w:rFonts w:ascii="Arial" w:cs="Arial" w:eastAsia="Arial" w:hAnsi="Arial"/>
                <w:sz w:val="13"/>
                <w:szCs w:val="13"/>
                <w:color w:val="auto"/>
              </w:rPr>
              <w:t>Statement of Directors’ Responsibilities in respect of the Directors’ report and the financial statements</w:t>
            </w:r>
          </w:p>
        </w:tc>
        <w:tc>
          <w:tcPr>
            <w:tcW w:w="2900" w:type="dxa"/>
            <w:vAlign w:val="bottom"/>
          </w:tcPr>
          <w:p>
            <w:pPr>
              <w:jc w:val="right"/>
              <w:spacing w:after="0"/>
              <w:rPr>
                <w:rFonts w:ascii="Arial" w:cs="Arial" w:eastAsia="Arial" w:hAnsi="Arial"/>
                <w:sz w:val="13"/>
                <w:szCs w:val="13"/>
                <w:color w:val="0000FF"/>
              </w:rPr>
            </w:pPr>
            <w:hyperlink w:anchor="page41">
              <w:r>
                <w:rPr>
                  <w:rFonts w:ascii="Arial" w:cs="Arial" w:eastAsia="Arial" w:hAnsi="Arial"/>
                  <w:sz w:val="13"/>
                  <w:szCs w:val="13"/>
                  <w:color w:val="0000FF"/>
                </w:rPr>
                <w:t>23</w:t>
              </w:r>
            </w:hyperlink>
          </w:p>
        </w:tc>
      </w:tr>
      <w:tr>
        <w:trPr>
          <w:trHeight w:val="233"/>
        </w:trPr>
        <w:tc>
          <w:tcPr>
            <w:tcW w:w="8340" w:type="dxa"/>
            <w:vAlign w:val="bottom"/>
          </w:tcPr>
          <w:p>
            <w:pPr>
              <w:spacing w:after="0"/>
              <w:rPr>
                <w:sz w:val="20"/>
                <w:szCs w:val="20"/>
                <w:color w:val="auto"/>
              </w:rPr>
            </w:pPr>
            <w:r>
              <w:rPr>
                <w:rFonts w:ascii="Arial" w:cs="Arial" w:eastAsia="Arial" w:hAnsi="Arial"/>
                <w:sz w:val="13"/>
                <w:szCs w:val="13"/>
                <w:color w:val="auto"/>
              </w:rPr>
              <w:t>Independent Auditor’s Report to the members of ICON plc</w:t>
            </w:r>
          </w:p>
        </w:tc>
        <w:tc>
          <w:tcPr>
            <w:tcW w:w="2900" w:type="dxa"/>
            <w:vAlign w:val="bottom"/>
          </w:tcPr>
          <w:p>
            <w:pPr>
              <w:jc w:val="right"/>
              <w:spacing w:after="0"/>
              <w:rPr>
                <w:rFonts w:ascii="Arial" w:cs="Arial" w:eastAsia="Arial" w:hAnsi="Arial"/>
                <w:sz w:val="13"/>
                <w:szCs w:val="13"/>
                <w:color w:val="0000FF"/>
              </w:rPr>
            </w:pPr>
            <w:hyperlink w:anchor="page42">
              <w:r>
                <w:rPr>
                  <w:rFonts w:ascii="Arial" w:cs="Arial" w:eastAsia="Arial" w:hAnsi="Arial"/>
                  <w:sz w:val="13"/>
                  <w:szCs w:val="13"/>
                  <w:color w:val="0000FF"/>
                </w:rPr>
                <w:t>24</w:t>
              </w:r>
            </w:hyperlink>
          </w:p>
        </w:tc>
      </w:tr>
      <w:tr>
        <w:trPr>
          <w:trHeight w:val="233"/>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Profit and Loss</w:t>
            </w:r>
          </w:p>
        </w:tc>
        <w:tc>
          <w:tcPr>
            <w:tcW w:w="2900" w:type="dxa"/>
            <w:vAlign w:val="bottom"/>
          </w:tcPr>
          <w:p>
            <w:pPr>
              <w:jc w:val="right"/>
              <w:spacing w:after="0"/>
              <w:rPr>
                <w:rFonts w:ascii="Arial" w:cs="Arial" w:eastAsia="Arial" w:hAnsi="Arial"/>
                <w:sz w:val="13"/>
                <w:szCs w:val="13"/>
                <w:color w:val="0000FF"/>
              </w:rPr>
            </w:pPr>
            <w:hyperlink w:anchor="page46">
              <w:r>
                <w:rPr>
                  <w:rFonts w:ascii="Arial" w:cs="Arial" w:eastAsia="Arial" w:hAnsi="Arial"/>
                  <w:sz w:val="13"/>
                  <w:szCs w:val="13"/>
                  <w:color w:val="0000FF"/>
                </w:rPr>
                <w:t>28</w:t>
              </w:r>
            </w:hyperlink>
          </w:p>
        </w:tc>
      </w:tr>
      <w:tr>
        <w:trPr>
          <w:trHeight w:val="233"/>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Comprehensive Income</w:t>
            </w:r>
          </w:p>
        </w:tc>
        <w:tc>
          <w:tcPr>
            <w:tcW w:w="2900" w:type="dxa"/>
            <w:vAlign w:val="bottom"/>
          </w:tcPr>
          <w:p>
            <w:pPr>
              <w:jc w:val="right"/>
              <w:spacing w:after="0"/>
              <w:rPr>
                <w:rFonts w:ascii="Arial" w:cs="Arial" w:eastAsia="Arial" w:hAnsi="Arial"/>
                <w:sz w:val="13"/>
                <w:szCs w:val="13"/>
                <w:color w:val="0000FF"/>
              </w:rPr>
            </w:pPr>
            <w:hyperlink w:anchor="page47">
              <w:r>
                <w:rPr>
                  <w:rFonts w:ascii="Arial" w:cs="Arial" w:eastAsia="Arial" w:hAnsi="Arial"/>
                  <w:sz w:val="13"/>
                  <w:szCs w:val="13"/>
                  <w:color w:val="0000FF"/>
                </w:rPr>
                <w:t>29</w:t>
              </w:r>
            </w:hyperlink>
          </w:p>
        </w:tc>
      </w:tr>
      <w:tr>
        <w:trPr>
          <w:trHeight w:val="233"/>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Financial Position</w:t>
            </w:r>
          </w:p>
        </w:tc>
        <w:tc>
          <w:tcPr>
            <w:tcW w:w="2900" w:type="dxa"/>
            <w:vAlign w:val="bottom"/>
          </w:tcPr>
          <w:p>
            <w:pPr>
              <w:jc w:val="right"/>
              <w:spacing w:after="0"/>
              <w:rPr>
                <w:rFonts w:ascii="Arial" w:cs="Arial" w:eastAsia="Arial" w:hAnsi="Arial"/>
                <w:sz w:val="13"/>
                <w:szCs w:val="13"/>
                <w:color w:val="0000FF"/>
              </w:rPr>
            </w:pPr>
            <w:hyperlink w:anchor="page48">
              <w:r>
                <w:rPr>
                  <w:rFonts w:ascii="Arial" w:cs="Arial" w:eastAsia="Arial" w:hAnsi="Arial"/>
                  <w:sz w:val="13"/>
                  <w:szCs w:val="13"/>
                  <w:color w:val="0000FF"/>
                </w:rPr>
                <w:t>30</w:t>
              </w:r>
            </w:hyperlink>
          </w:p>
        </w:tc>
      </w:tr>
      <w:tr>
        <w:trPr>
          <w:trHeight w:val="233"/>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Changes in Equity</w:t>
            </w:r>
          </w:p>
        </w:tc>
        <w:tc>
          <w:tcPr>
            <w:tcW w:w="2900" w:type="dxa"/>
            <w:vAlign w:val="bottom"/>
          </w:tcPr>
          <w:p>
            <w:pPr>
              <w:jc w:val="right"/>
              <w:spacing w:after="0"/>
              <w:rPr>
                <w:rFonts w:ascii="Arial" w:cs="Arial" w:eastAsia="Arial" w:hAnsi="Arial"/>
                <w:sz w:val="13"/>
                <w:szCs w:val="13"/>
                <w:color w:val="0000FF"/>
              </w:rPr>
            </w:pPr>
            <w:hyperlink w:anchor="page49">
              <w:r>
                <w:rPr>
                  <w:rFonts w:ascii="Arial" w:cs="Arial" w:eastAsia="Arial" w:hAnsi="Arial"/>
                  <w:sz w:val="13"/>
                  <w:szCs w:val="13"/>
                  <w:color w:val="0000FF"/>
                </w:rPr>
                <w:t>31</w:t>
              </w:r>
            </w:hyperlink>
          </w:p>
        </w:tc>
      </w:tr>
      <w:tr>
        <w:trPr>
          <w:trHeight w:val="233"/>
        </w:trPr>
        <w:tc>
          <w:tcPr>
            <w:tcW w:w="8340" w:type="dxa"/>
            <w:vAlign w:val="bottom"/>
          </w:tcPr>
          <w:p>
            <w:pPr>
              <w:spacing w:after="0"/>
              <w:rPr>
                <w:sz w:val="20"/>
                <w:szCs w:val="20"/>
                <w:color w:val="auto"/>
              </w:rPr>
            </w:pPr>
            <w:r>
              <w:rPr>
                <w:rFonts w:ascii="Arial" w:cs="Arial" w:eastAsia="Arial" w:hAnsi="Arial"/>
                <w:sz w:val="13"/>
                <w:szCs w:val="13"/>
                <w:color w:val="auto"/>
              </w:rPr>
              <w:t>Consolidated Statement of Cash Flows</w:t>
            </w:r>
          </w:p>
        </w:tc>
        <w:tc>
          <w:tcPr>
            <w:tcW w:w="2900" w:type="dxa"/>
            <w:vAlign w:val="bottom"/>
          </w:tcPr>
          <w:p>
            <w:pPr>
              <w:jc w:val="right"/>
              <w:spacing w:after="0"/>
              <w:rPr>
                <w:rFonts w:ascii="Arial" w:cs="Arial" w:eastAsia="Arial" w:hAnsi="Arial"/>
                <w:sz w:val="13"/>
                <w:szCs w:val="13"/>
                <w:color w:val="0000FF"/>
              </w:rPr>
            </w:pPr>
            <w:hyperlink w:anchor="page51">
              <w:r>
                <w:rPr>
                  <w:rFonts w:ascii="Arial" w:cs="Arial" w:eastAsia="Arial" w:hAnsi="Arial"/>
                  <w:sz w:val="13"/>
                  <w:szCs w:val="13"/>
                  <w:color w:val="0000FF"/>
                </w:rPr>
                <w:t>33</w:t>
              </w:r>
            </w:hyperlink>
          </w:p>
        </w:tc>
      </w:tr>
      <w:tr>
        <w:trPr>
          <w:trHeight w:val="233"/>
        </w:trPr>
        <w:tc>
          <w:tcPr>
            <w:tcW w:w="8340" w:type="dxa"/>
            <w:vAlign w:val="bottom"/>
          </w:tcPr>
          <w:p>
            <w:pPr>
              <w:spacing w:after="0"/>
              <w:rPr>
                <w:sz w:val="20"/>
                <w:szCs w:val="20"/>
                <w:color w:val="auto"/>
              </w:rPr>
            </w:pPr>
            <w:r>
              <w:rPr>
                <w:rFonts w:ascii="Arial" w:cs="Arial" w:eastAsia="Arial" w:hAnsi="Arial"/>
                <w:sz w:val="13"/>
                <w:szCs w:val="13"/>
                <w:color w:val="auto"/>
              </w:rPr>
              <w:t>Notes to Consolidated Financial Statements</w:t>
            </w:r>
          </w:p>
        </w:tc>
        <w:tc>
          <w:tcPr>
            <w:tcW w:w="2900" w:type="dxa"/>
            <w:vAlign w:val="bottom"/>
          </w:tcPr>
          <w:p>
            <w:pPr>
              <w:jc w:val="right"/>
              <w:spacing w:after="0"/>
              <w:rPr>
                <w:rFonts w:ascii="Arial" w:cs="Arial" w:eastAsia="Arial" w:hAnsi="Arial"/>
                <w:sz w:val="13"/>
                <w:szCs w:val="13"/>
                <w:color w:val="0000FF"/>
              </w:rPr>
            </w:pPr>
            <w:hyperlink w:anchor="page52">
              <w:r>
                <w:rPr>
                  <w:rFonts w:ascii="Arial" w:cs="Arial" w:eastAsia="Arial" w:hAnsi="Arial"/>
                  <w:sz w:val="13"/>
                  <w:szCs w:val="13"/>
                  <w:color w:val="0000FF"/>
                </w:rPr>
                <w:t>34</w:t>
              </w:r>
            </w:hyperlink>
          </w:p>
        </w:tc>
      </w:tr>
      <w:tr>
        <w:trPr>
          <w:trHeight w:val="233"/>
        </w:trPr>
        <w:tc>
          <w:tcPr>
            <w:tcW w:w="8340" w:type="dxa"/>
            <w:vAlign w:val="bottom"/>
          </w:tcPr>
          <w:p>
            <w:pPr>
              <w:spacing w:after="0"/>
              <w:rPr>
                <w:sz w:val="20"/>
                <w:szCs w:val="20"/>
                <w:color w:val="auto"/>
              </w:rPr>
            </w:pPr>
            <w:r>
              <w:rPr>
                <w:rFonts w:ascii="Arial" w:cs="Arial" w:eastAsia="Arial" w:hAnsi="Arial"/>
                <w:sz w:val="13"/>
                <w:szCs w:val="13"/>
                <w:color w:val="auto"/>
              </w:rPr>
              <w:t>Company Statement of Financial Position</w:t>
            </w:r>
          </w:p>
        </w:tc>
        <w:tc>
          <w:tcPr>
            <w:tcW w:w="2900" w:type="dxa"/>
            <w:vAlign w:val="bottom"/>
          </w:tcPr>
          <w:p>
            <w:pPr>
              <w:jc w:val="right"/>
              <w:spacing w:after="0"/>
              <w:rPr>
                <w:rFonts w:ascii="Arial" w:cs="Arial" w:eastAsia="Arial" w:hAnsi="Arial"/>
                <w:sz w:val="13"/>
                <w:szCs w:val="13"/>
                <w:color w:val="0000FF"/>
              </w:rPr>
            </w:pPr>
            <w:hyperlink w:anchor="page144">
              <w:r>
                <w:rPr>
                  <w:rFonts w:ascii="Arial" w:cs="Arial" w:eastAsia="Arial" w:hAnsi="Arial"/>
                  <w:sz w:val="13"/>
                  <w:szCs w:val="13"/>
                  <w:color w:val="0000FF"/>
                </w:rPr>
                <w:t>126</w:t>
              </w:r>
            </w:hyperlink>
          </w:p>
        </w:tc>
      </w:tr>
      <w:tr>
        <w:trPr>
          <w:trHeight w:val="233"/>
        </w:trPr>
        <w:tc>
          <w:tcPr>
            <w:tcW w:w="8340" w:type="dxa"/>
            <w:vAlign w:val="bottom"/>
          </w:tcPr>
          <w:p>
            <w:pPr>
              <w:spacing w:after="0"/>
              <w:rPr>
                <w:sz w:val="20"/>
                <w:szCs w:val="20"/>
                <w:color w:val="auto"/>
              </w:rPr>
            </w:pPr>
            <w:r>
              <w:rPr>
                <w:rFonts w:ascii="Arial" w:cs="Arial" w:eastAsia="Arial" w:hAnsi="Arial"/>
                <w:sz w:val="13"/>
                <w:szCs w:val="13"/>
                <w:color w:val="auto"/>
              </w:rPr>
              <w:t>Company Statement of Changes in Equity</w:t>
            </w:r>
          </w:p>
        </w:tc>
        <w:tc>
          <w:tcPr>
            <w:tcW w:w="2900" w:type="dxa"/>
            <w:vAlign w:val="bottom"/>
          </w:tcPr>
          <w:p>
            <w:pPr>
              <w:jc w:val="right"/>
              <w:spacing w:after="0"/>
              <w:rPr>
                <w:rFonts w:ascii="Arial" w:cs="Arial" w:eastAsia="Arial" w:hAnsi="Arial"/>
                <w:sz w:val="13"/>
                <w:szCs w:val="13"/>
                <w:color w:val="0000FF"/>
              </w:rPr>
            </w:pPr>
            <w:hyperlink w:anchor="page145">
              <w:r>
                <w:rPr>
                  <w:rFonts w:ascii="Arial" w:cs="Arial" w:eastAsia="Arial" w:hAnsi="Arial"/>
                  <w:sz w:val="13"/>
                  <w:szCs w:val="13"/>
                  <w:color w:val="0000FF"/>
                </w:rPr>
                <w:t>127</w:t>
              </w:r>
            </w:hyperlink>
          </w:p>
        </w:tc>
      </w:tr>
      <w:tr>
        <w:trPr>
          <w:trHeight w:val="233"/>
        </w:trPr>
        <w:tc>
          <w:tcPr>
            <w:tcW w:w="8340" w:type="dxa"/>
            <w:vAlign w:val="bottom"/>
          </w:tcPr>
          <w:p>
            <w:pPr>
              <w:spacing w:after="0"/>
              <w:rPr>
                <w:sz w:val="20"/>
                <w:szCs w:val="20"/>
                <w:color w:val="auto"/>
              </w:rPr>
            </w:pPr>
            <w:r>
              <w:rPr>
                <w:rFonts w:ascii="Arial" w:cs="Arial" w:eastAsia="Arial" w:hAnsi="Arial"/>
                <w:sz w:val="13"/>
                <w:szCs w:val="13"/>
                <w:color w:val="auto"/>
              </w:rPr>
              <w:t>Company Statement of Cash Flows</w:t>
            </w:r>
          </w:p>
        </w:tc>
        <w:tc>
          <w:tcPr>
            <w:tcW w:w="2900" w:type="dxa"/>
            <w:vAlign w:val="bottom"/>
          </w:tcPr>
          <w:p>
            <w:pPr>
              <w:jc w:val="right"/>
              <w:spacing w:after="0"/>
              <w:rPr>
                <w:rFonts w:ascii="Arial" w:cs="Arial" w:eastAsia="Arial" w:hAnsi="Arial"/>
                <w:sz w:val="13"/>
                <w:szCs w:val="13"/>
                <w:color w:val="0000FF"/>
              </w:rPr>
            </w:pPr>
            <w:hyperlink w:anchor="page147">
              <w:r>
                <w:rPr>
                  <w:rFonts w:ascii="Arial" w:cs="Arial" w:eastAsia="Arial" w:hAnsi="Arial"/>
                  <w:sz w:val="13"/>
                  <w:szCs w:val="13"/>
                  <w:color w:val="0000FF"/>
                </w:rPr>
                <w:t>129</w:t>
              </w:r>
            </w:hyperlink>
          </w:p>
        </w:tc>
      </w:tr>
      <w:tr>
        <w:trPr>
          <w:trHeight w:val="233"/>
        </w:trPr>
        <w:tc>
          <w:tcPr>
            <w:tcW w:w="8340" w:type="dxa"/>
            <w:vAlign w:val="bottom"/>
          </w:tcPr>
          <w:p>
            <w:pPr>
              <w:spacing w:after="0"/>
              <w:rPr>
                <w:sz w:val="20"/>
                <w:szCs w:val="20"/>
                <w:color w:val="auto"/>
              </w:rPr>
            </w:pPr>
            <w:r>
              <w:rPr>
                <w:rFonts w:ascii="Arial" w:cs="Arial" w:eastAsia="Arial" w:hAnsi="Arial"/>
                <w:sz w:val="13"/>
                <w:szCs w:val="13"/>
                <w:color w:val="auto"/>
              </w:rPr>
              <w:t>Notes to Company Financial Statements</w:t>
            </w:r>
          </w:p>
        </w:tc>
        <w:tc>
          <w:tcPr>
            <w:tcW w:w="2900" w:type="dxa"/>
            <w:vAlign w:val="bottom"/>
          </w:tcPr>
          <w:p>
            <w:pPr>
              <w:jc w:val="right"/>
              <w:spacing w:after="0"/>
              <w:rPr>
                <w:rFonts w:ascii="Arial" w:cs="Arial" w:eastAsia="Arial" w:hAnsi="Arial"/>
                <w:sz w:val="13"/>
                <w:szCs w:val="13"/>
                <w:color w:val="0000FF"/>
              </w:rPr>
            </w:pPr>
            <w:hyperlink w:anchor="page148">
              <w:r>
                <w:rPr>
                  <w:rFonts w:ascii="Arial" w:cs="Arial" w:eastAsia="Arial" w:hAnsi="Arial"/>
                  <w:sz w:val="13"/>
                  <w:szCs w:val="13"/>
                  <w:color w:val="0000FF"/>
                </w:rPr>
                <w:t>130</w:t>
              </w:r>
            </w:hyperlink>
          </w:p>
        </w:tc>
      </w:tr>
      <w:tr>
        <w:trPr>
          <w:trHeight w:val="233"/>
        </w:trPr>
        <w:tc>
          <w:tcPr>
            <w:tcW w:w="8340" w:type="dxa"/>
            <w:vAlign w:val="bottom"/>
          </w:tcPr>
          <w:p>
            <w:pPr>
              <w:spacing w:after="0"/>
              <w:rPr>
                <w:sz w:val="20"/>
                <w:szCs w:val="20"/>
                <w:color w:val="auto"/>
              </w:rPr>
            </w:pPr>
            <w:r>
              <w:rPr>
                <w:rFonts w:ascii="Arial" w:cs="Arial" w:eastAsia="Arial" w:hAnsi="Arial"/>
                <w:sz w:val="13"/>
                <w:szCs w:val="13"/>
                <w:color w:val="auto"/>
              </w:rPr>
              <w:t>Reconciliation from IFRS to US Accounting Polices</w:t>
            </w:r>
          </w:p>
        </w:tc>
        <w:tc>
          <w:tcPr>
            <w:tcW w:w="2900" w:type="dxa"/>
            <w:vAlign w:val="bottom"/>
          </w:tcPr>
          <w:p>
            <w:pPr>
              <w:jc w:val="right"/>
              <w:spacing w:after="0"/>
              <w:rPr>
                <w:rFonts w:ascii="Arial" w:cs="Arial" w:eastAsia="Arial" w:hAnsi="Arial"/>
                <w:sz w:val="13"/>
                <w:szCs w:val="13"/>
                <w:color w:val="0000FF"/>
              </w:rPr>
            </w:pPr>
            <w:hyperlink w:anchor="page157">
              <w:r>
                <w:rPr>
                  <w:rFonts w:ascii="Arial" w:cs="Arial" w:eastAsia="Arial" w:hAnsi="Arial"/>
                  <w:sz w:val="13"/>
                  <w:szCs w:val="13"/>
                  <w:color w:val="0000FF"/>
                </w:rPr>
                <w:t>139</w:t>
              </w:r>
            </w:hyperlink>
          </w:p>
        </w:tc>
      </w:tr>
      <w:tr>
        <w:trPr>
          <w:trHeight w:val="233"/>
        </w:trPr>
        <w:tc>
          <w:tcPr>
            <w:tcW w:w="8340" w:type="dxa"/>
            <w:vAlign w:val="bottom"/>
          </w:tcPr>
          <w:p>
            <w:pPr>
              <w:spacing w:after="0"/>
              <w:rPr>
                <w:sz w:val="20"/>
                <w:szCs w:val="20"/>
                <w:color w:val="auto"/>
              </w:rPr>
            </w:pPr>
            <w:r>
              <w:rPr>
                <w:rFonts w:ascii="Arial" w:cs="Arial" w:eastAsia="Arial" w:hAnsi="Arial"/>
                <w:sz w:val="13"/>
                <w:szCs w:val="13"/>
                <w:color w:val="auto"/>
              </w:rPr>
              <w:t>Appendix A: Risk Factors</w:t>
            </w:r>
          </w:p>
        </w:tc>
        <w:tc>
          <w:tcPr>
            <w:tcW w:w="2900" w:type="dxa"/>
            <w:vAlign w:val="bottom"/>
          </w:tcPr>
          <w:p>
            <w:pPr>
              <w:jc w:val="right"/>
              <w:spacing w:after="0"/>
              <w:rPr>
                <w:rFonts w:ascii="Arial" w:cs="Arial" w:eastAsia="Arial" w:hAnsi="Arial"/>
                <w:sz w:val="13"/>
                <w:szCs w:val="13"/>
                <w:color w:val="0000FF"/>
              </w:rPr>
            </w:pPr>
            <w:hyperlink w:anchor="page161">
              <w:r>
                <w:rPr>
                  <w:rFonts w:ascii="Arial" w:cs="Arial" w:eastAsia="Arial" w:hAnsi="Arial"/>
                  <w:sz w:val="13"/>
                  <w:szCs w:val="13"/>
                  <w:color w:val="0000FF"/>
                </w:rPr>
                <w:t>143</w:t>
              </w:r>
            </w:hyperlink>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60"/>
          </w:cols>
          <w:pgMar w:left="300" w:top="90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Directors’ and Other Information</w:t>
      </w:r>
    </w:p>
    <w:p>
      <w:pPr>
        <w:sectPr>
          <w:pgSz w:w="11900" w:h="16838" w:orient="portrait"/>
          <w:cols w:equalWidth="0" w:num="1">
            <w:col w:w="10159"/>
          </w:cols>
          <w:pgMar w:left="300" w:top="7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Ciaran Murray (Irish – Non-Executive Chairman)</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Dr. Steve Cutler (Australian – Chief Executive Officer)</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Rónán Murphy (Irish – Non-Executive)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Prof. Hugh Brady (Irish – Non-Executive)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Dr. John Climax (Irish – Non-Executive)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Joan Garahy (Irish – Non-Executive)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Prof. William Hall (Irish – Non-Executive)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Eugene McCague (Irish – Non-Executive)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Julie O'Neill (Irish – Non-Executive)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Mary Pendergast (American – Non-Executive)</w:t>
      </w:r>
    </w:p>
    <w:p>
      <w:pPr>
        <w:spacing w:after="0" w:line="100" w:lineRule="exact"/>
        <w:rPr>
          <w:sz w:val="20"/>
          <w:szCs w:val="20"/>
          <w:color w:val="auto"/>
        </w:rPr>
      </w:pPr>
    </w:p>
    <w:p>
      <w:pPr>
        <w:sectPr>
          <w:pgSz w:w="11900" w:h="16838" w:orient="portrait"/>
          <w:cols w:equalWidth="0" w:num="2">
            <w:col w:w="4840" w:space="720"/>
            <w:col w:w="4599"/>
          </w:cols>
          <w:pgMar w:left="300" w:top="716"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Company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Diarmaid Cunningham</w:t>
      </w:r>
    </w:p>
    <w:p>
      <w:pPr>
        <w:spacing w:after="0" w:line="111" w:lineRule="exact"/>
        <w:rPr>
          <w:sz w:val="20"/>
          <w:szCs w:val="20"/>
          <w:color w:val="auto"/>
        </w:rPr>
      </w:pPr>
    </w:p>
    <w:p>
      <w:pPr>
        <w:sectPr>
          <w:pgSz w:w="11900" w:h="16838" w:orient="portrait"/>
          <w:cols w:equalWidth="0" w:num="2">
            <w:col w:w="4840" w:space="720"/>
            <w:col w:w="4599"/>
          </w:cols>
          <w:pgMar w:left="300" w:top="716"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Registered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South County Business Park</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Leopardstown</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Dublin 18</w:t>
      </w:r>
    </w:p>
    <w:p>
      <w:pPr>
        <w:spacing w:after="0" w:line="110" w:lineRule="exact"/>
        <w:rPr>
          <w:sz w:val="20"/>
          <w:szCs w:val="20"/>
          <w:color w:val="auto"/>
        </w:rPr>
      </w:pPr>
    </w:p>
    <w:p>
      <w:pPr>
        <w:sectPr>
          <w:pgSz w:w="11900" w:h="16838" w:orient="portrait"/>
          <w:cols w:equalWidth="0" w:num="2">
            <w:col w:w="4840" w:space="720"/>
            <w:col w:w="4599"/>
          </w:cols>
          <w:pgMar w:left="300" w:top="716"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Auditor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KPMG</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1 Stokes Place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St. Stephen’s Green</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Dublin 2</w:t>
      </w:r>
    </w:p>
    <w:p>
      <w:pPr>
        <w:spacing w:after="0" w:line="100" w:lineRule="exact"/>
        <w:rPr>
          <w:sz w:val="20"/>
          <w:szCs w:val="20"/>
          <w:color w:val="auto"/>
        </w:rPr>
      </w:pPr>
    </w:p>
    <w:p>
      <w:pPr>
        <w:sectPr>
          <w:pgSz w:w="11900" w:h="16838" w:orient="portrait"/>
          <w:cols w:equalWidth="0" w:num="2">
            <w:col w:w="4840" w:space="720"/>
            <w:col w:w="4599"/>
          </w:cols>
          <w:pgMar w:left="300" w:top="716"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Solicitors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 &amp; L Goodbody</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International Financial Services Centre</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North Wall Quay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Dublin 1</w:t>
      </w:r>
    </w:p>
    <w:p>
      <w:pPr>
        <w:spacing w:after="0" w:line="116" w:lineRule="exact"/>
        <w:rPr>
          <w:sz w:val="20"/>
          <w:szCs w:val="20"/>
          <w:color w:val="auto"/>
        </w:rPr>
      </w:pPr>
    </w:p>
    <w:p>
      <w:pPr>
        <w:sectPr>
          <w:pgSz w:w="11900" w:h="16838" w:orient="portrait"/>
          <w:cols w:equalWidth="0" w:num="2">
            <w:col w:w="4840" w:space="720"/>
            <w:col w:w="4599"/>
          </w:cols>
          <w:pgMar w:left="300" w:top="716" w:right="1440" w:bottom="1440" w:gutter="0" w:footer="0" w:header="0"/>
          <w:type w:val="continuous"/>
        </w:sectPr>
      </w:pPr>
    </w:p>
    <w:p>
      <w:pPr>
        <w:ind w:left="5560"/>
        <w:spacing w:after="0"/>
        <w:rPr>
          <w:sz w:val="20"/>
          <w:szCs w:val="20"/>
          <w:color w:val="auto"/>
        </w:rPr>
      </w:pPr>
      <w:r>
        <w:rPr>
          <w:rFonts w:ascii="Arial" w:cs="Arial" w:eastAsia="Arial" w:hAnsi="Arial"/>
          <w:sz w:val="12"/>
          <w:szCs w:val="12"/>
          <w:color w:val="auto"/>
        </w:rPr>
        <w:t>Cahill Gordon &amp; Reindel LLP</w:t>
      </w:r>
    </w:p>
    <w:p>
      <w:pPr>
        <w:spacing w:after="0" w:line="5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80 Pine Street</w:t>
      </w:r>
    </w:p>
    <w:p>
      <w:pPr>
        <w:spacing w:after="0" w:line="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New York</w:t>
      </w:r>
    </w:p>
    <w:p>
      <w:pPr>
        <w:spacing w:after="0" w:line="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NY 10005</w:t>
      </w:r>
    </w:p>
    <w:p>
      <w:pPr>
        <w:spacing w:after="0" w:line="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USA</w:t>
      </w:r>
    </w:p>
    <w:p>
      <w:pPr>
        <w:sectPr>
          <w:pgSz w:w="11900" w:h="16838" w:orient="portrait"/>
          <w:cols w:equalWidth="0" w:num="1">
            <w:col w:w="10159"/>
          </w:cols>
          <w:pgMar w:left="300" w:top="716" w:right="1440" w:bottom="1440" w:gutter="0" w:footer="0" w:header="0"/>
          <w:type w:val="continuous"/>
        </w:sectPr>
      </w:pPr>
    </w:p>
    <w:p>
      <w:pPr>
        <w:spacing w:after="0" w:line="10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Registrars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Computershare Investor Services (Ireland) Limited</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3100 Lake Drive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Citywest Business Campus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Dublin 24</w:t>
      </w:r>
    </w:p>
    <w:p>
      <w:pPr>
        <w:spacing w:after="0" w:line="110" w:lineRule="exact"/>
        <w:rPr>
          <w:sz w:val="20"/>
          <w:szCs w:val="20"/>
          <w:color w:val="auto"/>
        </w:rPr>
      </w:pPr>
    </w:p>
    <w:p>
      <w:pPr>
        <w:sectPr>
          <w:pgSz w:w="11900" w:h="16838" w:orient="portrait"/>
          <w:cols w:equalWidth="0" w:num="2">
            <w:col w:w="4840" w:space="720"/>
            <w:col w:w="4599"/>
          </w:cols>
          <w:pgMar w:left="300" w:top="716"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Bankers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Citibank</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Canada Square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Canary Wharf</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London E14 5LB</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116" w:lineRule="exact"/>
        <w:rPr>
          <w:sz w:val="20"/>
          <w:szCs w:val="20"/>
          <w:color w:val="auto"/>
        </w:rPr>
      </w:pPr>
    </w:p>
    <w:p>
      <w:pPr>
        <w:sectPr>
          <w:pgSz w:w="11900" w:h="16838" w:orient="portrait"/>
          <w:cols w:equalWidth="0" w:num="2">
            <w:col w:w="4840" w:space="720"/>
            <w:col w:w="4599"/>
          </w:cols>
          <w:pgMar w:left="300" w:top="716" w:right="1440" w:bottom="1440" w:gutter="0" w:footer="0" w:header="0"/>
          <w:type w:val="continuous"/>
        </w:sectPr>
      </w:pPr>
    </w:p>
    <w:p>
      <w:pPr>
        <w:ind w:left="5560"/>
        <w:spacing w:after="0"/>
        <w:rPr>
          <w:sz w:val="20"/>
          <w:szCs w:val="20"/>
          <w:color w:val="auto"/>
        </w:rPr>
      </w:pPr>
      <w:r>
        <w:rPr>
          <w:rFonts w:ascii="Arial" w:cs="Arial" w:eastAsia="Arial" w:hAnsi="Arial"/>
          <w:sz w:val="12"/>
          <w:szCs w:val="12"/>
          <w:color w:val="auto"/>
        </w:rPr>
        <w:t>JP Morgan Chase Bank N.A.</w:t>
      </w:r>
    </w:p>
    <w:p>
      <w:pPr>
        <w:spacing w:after="0" w:line="5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4 New York Plaza</w:t>
      </w:r>
    </w:p>
    <w:p>
      <w:pPr>
        <w:spacing w:after="0" w:line="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New York</w:t>
      </w:r>
    </w:p>
    <w:p>
      <w:pPr>
        <w:spacing w:after="0" w:line="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NY 10004</w:t>
      </w:r>
    </w:p>
    <w:p>
      <w:pPr>
        <w:spacing w:after="0" w:line="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USA</w:t>
      </w:r>
    </w:p>
    <w:p>
      <w:pPr>
        <w:sectPr>
          <w:pgSz w:w="11900" w:h="16838" w:orient="portrait"/>
          <w:cols w:equalWidth="0" w:num="1">
            <w:col w:w="10159"/>
          </w:cols>
          <w:pgMar w:left="300" w:top="716" w:right="1440"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159"/>
          </w:cols>
          <w:pgMar w:left="300" w:top="716" w:right="1440"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Directors’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Directors present their report and audited Consolidated and Company Financial Statements of ICON plc (“the Company” or “ICON”), a public limited company incorporated in the Republic of Ireland, and its subsidiary undertakings (“the Subsidiaries”, with the Company and the Subsidiaries being together (“the Group”) for the year ended 31 December 2019.</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Company’s ordinary shares are traded on the NASDAQ market. The Company is considered a foreign private issuer in the US and accordingly it is not subject to the same ongoing regulatory requirements as a US registered company with a primary listing on the NASDAQ market.</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These Consolidated and Company Financial Statements (together “the financial statements”) for the year ended 31 December 2019 are prepared in accordance with IFRS as adopted by the EU and meet the reporting requirements pursuant to Irish Company Law. In addition to the Consolidated Financial Statements contained in this annual report, we also prepare separate consolidated financial statements on Form 20-F pursuant to the rules and regulations of the U.S. Securities and Exchange Commission ("SEC") and in accordance with accounting principles generally accepted in the United States (U.S. GAAP). The Form 20-F (under U.S. GAAP) is a separate document, a copy of which may be obtained from the Company’s website www.iconplc.com. IFRS differs in certain respects from U.S. GAAP, details of which are set out on pages 139 to 142 of this annual report.</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activities, business review and future developments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Group is a clinical research organisation (“CRO”), providing outsourced development services on a global basis to the pharmaceutical, biotechnology and medical device industries. The Group specialises in the strategic development, management and analysis of programmes that support all stages of the clinical development process from compound selection to Phase I-IV clinical studies. The Group’s mission is to accelerate the development of drugs and devices that save lives and improve the quality of life. Our vision is to be the Global CRO partner of choice in drug development by delivering best in class information, solutions and performance in clinical and outcomes research.</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Headquartered in Dublin, Ireland, the Group began operations in 1990 and has expanded the business predominately through internal growth, together with a number of strategic acquisitions to enhance its capabilities and expertise in certain areas of the clinical development process. Its principal executive office is located at: South County Business Park, Leopardstown, Dublin 18, Republic of Ireland. The contact telephone number of this office is +353 1 291 2000.</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Group believes that it is one of a select number of CROs with the expertise and capability to conduct clinical trials in most major therapeutic areas on a global basis and has the operational flexibility to provide development services on a stand alone basis or as part of an integrated “full service” solution. At 31 December 2019, the Group had approximately 14,650 employees, in 97 locations in 40 countries. During the year ended 31 December 2019, the Group derived approximately 31.8%, 58.5% and 9.7% of its revenue in the United States, Europe and Rest of World, respectively.</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have achieved strong growth since our foundation, as a global provider of outsourced development and commercialisation services to pharmaceutical, biotechnology, medical device and government and public health organisations. We focus our innovation on those factors that are critical to our clients - reducing time to market, reducing cost and increasing quality. Our global team has extensive experience in a broad range of therapeutic areas. ICON has been recognised as one of the world's leading Contract Research Organizations (''CROs") through a number of high-profile industry awards.</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As our market has evolved, biopharmaceutical companies are tackling productivity challenges, increasing budget constraints and greater demands to demonstrate product value; all of which are placing increased pressure on their revenues and levels of profitability. However these trends have generally been positive for CROs, as increased outsourcing has been adopted by these companies as they seek to create greater efficiencies in their development processes, convert previously fixed costs to variable, and accelerate time to market for new treatments.</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One consequence of the drive to accelerate time to market will be increased emphasis on making existing drug development phases more seamless, through the use of techniques such as adaptive trial designs to filter the most promising compounds and test these in parallel in several therapeutic indications or with other drug combinations.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Regulatory and reimbursement pressures will increase the emphasis on late stage (post marketing) research, while increasing requirements to demonstrate the economic value of new treatments. As a result, outcomes and comparative effectiveness research will most likely be required in order to secure on-going product reimbursement. Furthermore, we believe advances in molecular biology and genetics will drive further growth in innovation in the long term which in turn should create further growth opportunities for both biopharma companies and their outsource development partners.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716" w:right="31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We expect that continued outsourcing will be a core strategy of clients in the near term as they respond to the increased pressures on their revenues and profitability. Larger clients were the first to form strategic partnerships with global CROs in an effort to reduce the number of outsource partners with whom they engage and to reduce inefficiencies in their current drug development models. More recently we have seen the increasing adoption of this partner model with mid-tier pharmaceutical and biotechnology firms as they also seek to drive development efficiencies. As outsourcing penetration increases, we believe clients may seek a greater level of integration of service offerings from CROs, although some will continue to purchase services on a stand-alone basis. Creating greater connectivity and “seamlessness” between our services and the sharing of “real-time” clinical, operational and “real world” data with clients will therefore become increasingly important for CROs. ICON will seek to benefit from this increased outsourcing by clients to grow our business by increasing market share with our existing client base and adding new clients within the Phase I-IV outsourced development services market; the aim being to ensure we will be considered for all major Phase I-IV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4473575" cy="21558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73575" cy="2155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3"/>
          <w:szCs w:val="13"/>
          <w:color w:val="auto"/>
        </w:rPr>
        <w:t>Our strategy is focused on the following areas: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Partnerships, Customers and Markets</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continue to focus on expanding and deepening our partnerships with existing customers, while also developing new customer relationships. Strategic client relationships will increasingly manifest themselves in many different forms. Many of these relationships will require innovative forms of collaboration across ICON service areas and departments and will therefore require increased flexibility to offer services on both a standalone functional basis and as part of a fully integrated service solution. To support this objective, we continue to evolve our collaboration and delivery models, invest in technology that will enable closer data integration across our service areas and enhance our project and programme management capabilities.</w:t>
      </w:r>
    </w:p>
    <w:p>
      <w:pPr>
        <w:spacing w:after="0" w:line="123"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continue to enhance our capabilities through both organic service development and targeted acquisitions, to meet the evolving needs of both existing and new clients. During the year, the Group acquired MMD, MeDiNova and Symphony who will enhance ICON’s capabilities across multiple platforms and strengthen our value proposition to clients; particularly in our laboratory and site network services.</w:t>
      </w:r>
    </w:p>
    <w:p>
      <w:pPr>
        <w:spacing w:after="0" w:line="123"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ICON has a focused patient, site and data strategy, which is helping us to improve site identification, study placement and patient recruitment and retention. A successful element of our strategy has been our integrated site network made up of PMG, MeDiNova and Symphony and our ability to grow alliances with third party sites and healthcare institutions in the US and Europe. These acquisitions further enhance ICON’s site network in the US and EMEA and strengthen our patient recruitment capabilities to help recruit patients into studies faster.</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We continue to target growth in under-penetrated CRO market segments, outsourcing penetration within medical device companies has lagged that of bio-pharma firms but is beginning to accelerate.</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EU Regulatory reform enacted in 2017 is a further catalyst to growth in this segment as it included stricter requirements to perform clinical evaluations and post sale surveillance.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887"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Operational Excellence and Quality</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We continue to enhance our operating processes and delivery models to gain competitive advantage.</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Our proprietary ICONIK platform, which integrates clinical data across multiple systems allows us to access clinical and real world data to enhance protocol design, profile match patients to trials. It also facilitates collection of real-time data during the trial process enabling better decision making and project execution. The platform uses data and evidence based research to develop solutions that engage investigators and patients more effectively to improve patient recruitment and retention.</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ADDPLAN is part of the ICONIK Informatics Hub. The software provides industry leading statistical design, simulation and analysis for adaptive clinical trials, from phase I to IV and helps our customers identify the most promising drug candidates earlier in the development process and in parallel test these across several therapeutic indications and with other drug combinations. ADDPLAN is used by regulatory agencies (FDA, EMA (Europe) and PMDA (Japan), top pharmaceuticals, medical device companies, and academia.</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Finding and engaging suitable patients to conduct clinical trials is one of the biggest issues facing the drug development industry today. Less than 1% of the US population participates in clinical trials and the performance of investigative sites that do take part in research is uneven, hard to predict and many trials do not meet the initial recruitment goals. The current market challenge in patient enrolment creates an opportunity for ICON to differentiate its service offering and we are working to reduce patient recruitment times through enhanced site and investigator selection based on key performance metrics and through use of our proprietary Firecrest technology which is used to train and support sites during the development process. Our PMG, MeDiNova and Symphony site network alliances enhanced our ability to enrol patients onto the clinical studies we perform. We have also developed strategic alliances with investigator site groups and health care systems in all major global research markets. In partnership with others we are pioneering patient recruitment solutions that leverage cognitive computing to transform clinical trial matching and allow a data-driven approach to deliver the right patients for trials. One Search is our intuitive, integrated workflow and interrogation tool that enables access to multiple data sources and provides the visualization and tools necessary for optimum site identification based on ICON and industry data of capability, experience and performance. Scoring on enrolment performance, speed of start-up and quality supports better site selection.</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Quality project execution underpins all that we do and we have an ongoing focus on developing our people and processes to continue to enhance our service delivery. We are also deploying supporting technologies which we believe will enable faster and deeper insights into the quality of trial data.</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are focused on operational excellence across our support functions and we operate a global business support infrastructure across functions including finance, information technology, facilities, human resources and legal. This enables us to enhance the service levels across these support areas whilst driving down the costs of the service provision.</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Talent, Leadership Development and Culture</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At the core of our strategy is our people. Within ICON we have highly qualified and experienced teams, the majority of whom have third level educational qualifications. The need to develop and retain this expertise and talent within the organisation is fundamental in enabling us to be the global CRO partner of choice for our customers. We have invested in creating an innovative learning environment delivered through ICON’s training and development group, who have formed an industry leading collaboration with University College Dublin. This enables ICON to provide customised management and development programmes for global employees. These programmes are focused on leadership development for those people management roles and specific technical training in competencies that are core to our business, such as project and programme management and clinical research associate development. We continue to invest to refine and develop these programmes.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learning and development programmes are complemented by advanced people development practices which incorporate rigorous, analytics based screening in the hiring process, global career frameworks, pay for performance aligned to our strategy, and on-going talent review and succession planning.</w:t>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Our leadership and talent programmes contribute to the enhanced retention of our employees, better project deliverables for our customers and the enhanced financial performance of the business.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Enhance Capabilities &amp; Expertise</w:t>
      </w:r>
    </w:p>
    <w:p>
      <w:pPr>
        <w:spacing w:after="0" w:line="204"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To meet the evolving needs of our clients we continue to enhance our capabilities through both organic service development and targeted acquisitions. During 2018 and 2019, we continued to enhance our scientific and therapeutic expertise to support our customers in specific areas including oncology, orphan and rare diseases, CNS, dermatology, infectious disease and womens health.</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887"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We have continued to invest in building our capabilities in the gathering, analysis and application of real world patient data within both the clinical trial and post-trial observational study environments. Alongside expanding internal capabilities, we continue to develop innovative partnerships with providers of real world data including EHR4CR and Trinetx. During 2018, we signed an agreement with Intel to deploy the Intel® Pharma Analytics Platform for use in clinical trials. The Intel platform is an artificial intelligence solution that enables remote monitoring and continuous capture of clinical data from study subjects using sensors and wearable devices and can apply machine learning techniques to objectively measure symptoms and quantify the impact of new therapies.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continued to enhance our site and patient recruitment capabilities with the acquisitions of MeDiNova and Symphony during the year along with the 2018 expansion of the PMG Research network through a partnership with the Du Page Medical Group. DuPage is the largest independent, multi-specialty physician group in the Chicagoland area with access to more than 700 physicians in over 50 clinical specialties ranging from primary to specialty care in areas such as cardiology and oncology. Through this agreement PMG assumed the research infrastructure at DuPage providing expanded investigator and patient access and bringing clinical research as a care option to the communities served.</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Applied Innovation</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Innovation at ICON is focused on the factors that are critical to our clients. We develop integrated technologies to significantly enhance the efficiency and productivity of clients’ drug and device development programmes, providing true transparency across all areas of a study.</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ICON is focused on applying innovation that can help our customers improve their development outcomes. We are focusing this innovation in three critical areas; improving clinical trial design and execution; faster and more predictable patient recruitment; and evolving clinical trials to be more patient centric which includes data collection and analysis directly from patient’s digital devices. Our approach to developing solutions to these challenges incorporates partnering with best in class technology providers but is also supported by a suite of differentiated ICON proprietary technologies.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In addition to our ICONIK platform and ADDPLAN software, Firecrest; ICON’s proprietary comprehensive site performance management system, is a web-based solution which enables accurate study information, including protocol information, training manuals and case report forms, to be rolled out quickly and simultaneously to investigative sites. It allows site behavior to be tracked to ensure training is understood, procedures are being followed and that timelines and study parameters are met. It can significantly reduce the number of data queries originated from investigator sites.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Alongside the application of these technology solutions we are also focused on innovation through the redesign and where appropriate the automation of current clinical trial processes.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activities of the Company and Group</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principal activity of ICON plc ("the Company") is to act as a holding Company. The Company also operates branch offices, ICON Italy in Milan, ICON Poland in Warsaw, ICON Latvia in Riga and ICON Lithuania in Vilnius. These branches provide contract research services to the pharmaceutical industry.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80"/>
          </w:cols>
          <w:pgMar w:left="300" w:top="887"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Acquisition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4473575" cy="2095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73575" cy="209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24 September 2019, a subsidiary of the Company, ICON Clinical Research LLC, acquired a 100% interest in CRN Holdings, LLC (trading as Symphony Clinical Research ("Symphony")). Founded in 2003 and operating from its headquarters in Illinois, USA and Gdansk, Poland, Symphony is a leading provider of at-home trial services and site support services from study start-up to closeout for Phase I-IV global studies. Symphony will grow ICON's patient recruitment capabilities globally and complements ICON's site network in the USA, PMG Research and the recently acquired site network in EMEA, MeDiNova. The initial consideration to acquire the 100% interest was cash of $35.0 million and contingent consideration of $2.5 million payable in 2020.</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23 May 2019, a subsidiary of the Company, ICON Clinical Research (U.K.) Limited, acquired a majority shareholding in MeDiNova, a site network with research sites in key markets in Europe and Africa, and has the right to acquire the remaining shares in the company during 2020. The vendors also have a right to sell the remaining shares exclusively to ICON during 2020. The initial consideration to acquire the majority shareholding was cash of $39.3 million and contingent consideration of $14.8 million. The contingent consideration was paid in October 2019. The acquisition further enhances ICON's patient recruitment capabilities in EMEA and complements ICON's existing site network in the USA, PMG Research.</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On 25 January 2019, a subsidiary of the Company, ICON Laboratory Services, Inc., acquired 100% of the share capital of MolecularMD Corp. ("MMD"). The consideration was $42.2 million. MMD is a molecular diagnostic speciality laboratory that enables the development and commercialisation of precision medicines in oncology. It is a recognised leader in the analytical development and clinical validation of molecular diagnostic assays. It offers a comprehensive test menu in immuno-oncology development and services also include companion diagnostic development services. The acquisition enhances ICON’s laboratory offering in molecular diagnostic testing and brings to ICON expanded testing platforms, including next generation sequencing, and immunohistochemistry (IHC).</w:t>
      </w:r>
    </w:p>
    <w:p>
      <w:pPr>
        <w:spacing w:after="0" w:line="171" w:lineRule="exact"/>
        <w:rPr>
          <w:sz w:val="20"/>
          <w:szCs w:val="20"/>
          <w:color w:val="auto"/>
        </w:rPr>
      </w:pPr>
    </w:p>
    <w:p>
      <w:pPr>
        <w:jc w:val="both"/>
        <w:ind w:right="60"/>
        <w:spacing w:after="0" w:line="239" w:lineRule="auto"/>
        <w:rPr>
          <w:sz w:val="20"/>
          <w:szCs w:val="20"/>
          <w:color w:val="auto"/>
        </w:rPr>
      </w:pPr>
      <w:r>
        <w:rPr>
          <w:rFonts w:ascii="Arial" w:cs="Arial" w:eastAsia="Arial" w:hAnsi="Arial"/>
          <w:sz w:val="13"/>
          <w:szCs w:val="13"/>
          <w:color w:val="auto"/>
        </w:rPr>
        <w:t>On 27 July 2017, a subsidiary of the Company, ICON Clinicial Research Limited acquired Mapi Development SAS ('Mapi') and its subsidaries ("Mapi Group"). Mapi Group has over 40 years of experience supporting Life-Science companies as the world leading Patient-Centered Research Company in commercialising novel treatments through Real-World Evidence, Strategic Regulatory Services, Pharmacovigilance, Market Access and Language Services. Mapi Group is the premier provider of Health Research and Commercialisation services to Life-Science companies enabling Market Authorisation, Market Access and Market Adoption of novel therapeutics. Cash outflows on acquisition were $145.8 million. The acquisition of Mapi Group strengthens ICON’s existing commercialisation and outcomes research business adding significant commercialisation presence, analytics, real world evidence generation and strategic regulatory services.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80"/>
          </w:cols>
          <w:pgMar w:left="300" w:top="887"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Future developments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Please see </w:t>
      </w:r>
      <w:r>
        <w:rPr>
          <w:rFonts w:ascii="Arial" w:cs="Arial" w:eastAsia="Arial" w:hAnsi="Arial"/>
          <w:sz w:val="13"/>
          <w:szCs w:val="13"/>
          <w:i w:val="1"/>
          <w:iCs w:val="1"/>
          <w:color w:val="auto"/>
        </w:rPr>
        <w:t>note 31 Subsequent events</w:t>
      </w:r>
      <w:r>
        <w:rPr>
          <w:rFonts w:ascii="Arial" w:cs="Arial" w:eastAsia="Arial" w:hAnsi="Arial"/>
          <w:sz w:val="13"/>
          <w:szCs w:val="13"/>
          <w:color w:val="auto"/>
        </w:rPr>
        <w:t xml:space="preserve"> for details of events in the period from year-end to the approval of the financial statements.</w:t>
      </w:r>
    </w:p>
    <w:p>
      <w:pPr>
        <w:spacing w:after="0" w:line="202"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In 2020, the Group looks forward to continuing to expand through organic growth, together with strategic acquisitions to enhance its expertise and capabilities in certain areas of the clinical development process and to continue to deliver on the Company’s mission to accelerate the development of drugs and devices that save lives and improve the quality of life.</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and dividends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The results for the year are as shown on page 28 of these financial statements. The Directors do not propose the payment of a dividend for the year ended 31 December 2019.</w:t>
      </w:r>
    </w:p>
    <w:p>
      <w:pPr>
        <w:spacing w:after="0" w:line="190"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 following table sets forth for the periods indicated certain financial data as a percentage of revenue and the percentage change in these items compared to the prior period, being the key performance indicators used by management. The trends illustrated in the following table may not be indicative of future results.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Year ended 31 December</w:t>
            </w:r>
          </w:p>
        </w:tc>
        <w:tc>
          <w:tcPr>
            <w:tcW w:w="184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w w:val="98"/>
              </w:rPr>
              <w:t>Year ended 31 December</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Percentage change</w:t>
            </w:r>
          </w:p>
        </w:tc>
        <w:tc>
          <w:tcPr>
            <w:tcW w:w="20" w:type="dxa"/>
            <w:vAlign w:val="bottom"/>
          </w:tcPr>
          <w:p>
            <w:pPr>
              <w:spacing w:after="0"/>
              <w:rPr>
                <w:sz w:val="13"/>
                <w:szCs w:val="13"/>
                <w:color w:val="auto"/>
              </w:rPr>
            </w:pPr>
          </w:p>
        </w:tc>
      </w:tr>
      <w:tr>
        <w:trPr>
          <w:trHeight w:val="177"/>
        </w:trPr>
        <w:tc>
          <w:tcPr>
            <w:tcW w:w="43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2019</w:t>
            </w:r>
          </w:p>
        </w:tc>
        <w:tc>
          <w:tcPr>
            <w:tcW w:w="18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2018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in period</w:t>
            </w:r>
          </w:p>
        </w:tc>
        <w:tc>
          <w:tcPr>
            <w:tcW w:w="20" w:type="dxa"/>
            <w:vAlign w:val="bottom"/>
          </w:tcPr>
          <w:p>
            <w:pPr>
              <w:spacing w:after="0"/>
              <w:rPr>
                <w:sz w:val="15"/>
                <w:szCs w:val="15"/>
                <w:color w:val="auto"/>
              </w:rPr>
            </w:pPr>
          </w:p>
        </w:tc>
      </w:tr>
      <w:tr>
        <w:trPr>
          <w:trHeight w:val="182"/>
        </w:trPr>
        <w:tc>
          <w:tcPr>
            <w:tcW w:w="4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60" w:type="dxa"/>
            <w:vAlign w:val="bottom"/>
            <w:gridSpan w:val="2"/>
          </w:tcPr>
          <w:p>
            <w:pPr>
              <w:jc w:val="right"/>
              <w:ind w:right="236"/>
              <w:spacing w:after="0"/>
              <w:rPr>
                <w:sz w:val="20"/>
                <w:szCs w:val="20"/>
                <w:color w:val="auto"/>
              </w:rPr>
            </w:pPr>
            <w:r>
              <w:rPr>
                <w:rFonts w:ascii="Arial" w:cs="Arial" w:eastAsia="Arial" w:hAnsi="Arial"/>
                <w:sz w:val="13"/>
                <w:szCs w:val="13"/>
                <w:b w:val="1"/>
                <w:bCs w:val="1"/>
                <w:color w:val="auto"/>
              </w:rPr>
              <w:t>As a percentage of revenue</w:t>
            </w: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5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100 %</w:t>
            </w:r>
          </w:p>
        </w:tc>
        <w:tc>
          <w:tcPr>
            <w:tcW w:w="18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100 %</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8.1 %</w:t>
            </w:r>
          </w:p>
        </w:tc>
        <w:tc>
          <w:tcPr>
            <w:tcW w:w="20" w:type="dxa"/>
            <w:vAlign w:val="bottom"/>
          </w:tcPr>
          <w:p>
            <w:pPr>
              <w:spacing w:after="0"/>
              <w:rPr>
                <w:sz w:val="16"/>
                <w:szCs w:val="16"/>
                <w:color w:val="auto"/>
              </w:rPr>
            </w:pPr>
          </w:p>
        </w:tc>
      </w:tr>
      <w:tr>
        <w:trPr>
          <w:trHeight w:val="157"/>
        </w:trPr>
        <w:tc>
          <w:tcPr>
            <w:tcW w:w="4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Direct costs (excluding exceptional items)</w:t>
            </w:r>
          </w:p>
        </w:tc>
        <w:tc>
          <w:tcPr>
            <w:tcW w:w="5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70.3 %</w:t>
            </w:r>
          </w:p>
        </w:tc>
        <w:tc>
          <w:tcPr>
            <w:tcW w:w="18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70.0 %</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8.7 %</w:t>
            </w:r>
          </w:p>
        </w:tc>
        <w:tc>
          <w:tcPr>
            <w:tcW w:w="20" w:type="dxa"/>
            <w:vAlign w:val="bottom"/>
          </w:tcPr>
          <w:p>
            <w:pPr>
              <w:spacing w:after="0"/>
              <w:rPr>
                <w:sz w:val="15"/>
                <w:szCs w:val="15"/>
                <w:color w:val="auto"/>
              </w:rPr>
            </w:pPr>
          </w:p>
        </w:tc>
      </w:tr>
      <w:tr>
        <w:trPr>
          <w:trHeight w:val="157"/>
        </w:trPr>
        <w:tc>
          <w:tcPr>
            <w:tcW w:w="4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operating expenses (excluding exceptional items)</w:t>
            </w:r>
          </w:p>
        </w:tc>
        <w:tc>
          <w:tcPr>
            <w:tcW w:w="5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14.2 %</w:t>
            </w:r>
          </w:p>
        </w:tc>
        <w:tc>
          <w:tcPr>
            <w:tcW w:w="18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15.0 %</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20" w:type="dxa"/>
            <w:vAlign w:val="bottom"/>
          </w:tcPr>
          <w:p>
            <w:pPr>
              <w:spacing w:after="0"/>
              <w:rPr>
                <w:sz w:val="15"/>
                <w:szCs w:val="15"/>
                <w:color w:val="auto"/>
              </w:rPr>
            </w:pPr>
          </w:p>
        </w:tc>
      </w:tr>
      <w:tr>
        <w:trPr>
          <w:trHeight w:val="157"/>
        </w:trPr>
        <w:tc>
          <w:tcPr>
            <w:tcW w:w="4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Operating profit (excluding exceptional items)</w:t>
            </w:r>
          </w:p>
        </w:tc>
        <w:tc>
          <w:tcPr>
            <w:tcW w:w="5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15.5 %</w:t>
            </w:r>
          </w:p>
        </w:tc>
        <w:tc>
          <w:tcPr>
            <w:tcW w:w="18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15.0 %</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11.9 %</w:t>
            </w:r>
          </w:p>
        </w:tc>
        <w:tc>
          <w:tcPr>
            <w:tcW w:w="20" w:type="dxa"/>
            <w:vAlign w:val="bottom"/>
          </w:tcPr>
          <w:p>
            <w:pPr>
              <w:spacing w:after="0"/>
              <w:rPr>
                <w:sz w:val="15"/>
                <w:szCs w:val="15"/>
                <w:color w:val="auto"/>
              </w:rPr>
            </w:pPr>
          </w:p>
        </w:tc>
      </w:tr>
      <w:tr>
        <w:trPr>
          <w:trHeight w:val="157"/>
        </w:trPr>
        <w:tc>
          <w:tcPr>
            <w:tcW w:w="4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Exceptional items (before taxation)</w:t>
            </w:r>
          </w:p>
        </w:tc>
        <w:tc>
          <w:tcPr>
            <w:tcW w:w="5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0.0 %</w:t>
            </w:r>
          </w:p>
        </w:tc>
        <w:tc>
          <w:tcPr>
            <w:tcW w:w="18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0.5 %</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5"/>
                <w:szCs w:val="15"/>
                <w:color w:val="auto"/>
              </w:rPr>
            </w:pPr>
          </w:p>
        </w:tc>
      </w:tr>
      <w:tr>
        <w:trPr>
          <w:trHeight w:val="157"/>
        </w:trPr>
        <w:tc>
          <w:tcPr>
            <w:tcW w:w="4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2"/>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Operating profit (including exceptional items)</w:t>
            </w:r>
          </w:p>
        </w:tc>
        <w:tc>
          <w:tcPr>
            <w:tcW w:w="5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15.5 %</w:t>
            </w:r>
          </w:p>
        </w:tc>
        <w:tc>
          <w:tcPr>
            <w:tcW w:w="18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14.5 %</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15.6 %</w:t>
            </w:r>
          </w:p>
        </w:tc>
        <w:tc>
          <w:tcPr>
            <w:tcW w:w="20" w:type="dxa"/>
            <w:vAlign w:val="bottom"/>
          </w:tcPr>
          <w:p>
            <w:pPr>
              <w:spacing w:after="0"/>
              <w:rPr>
                <w:sz w:val="16"/>
                <w:szCs w:val="16"/>
                <w:color w:val="auto"/>
              </w:rPr>
            </w:pPr>
          </w:p>
        </w:tc>
      </w:tr>
      <w:tr>
        <w:trPr>
          <w:trHeight w:val="409"/>
        </w:trPr>
        <w:tc>
          <w:tcPr>
            <w:tcW w:w="6080" w:type="dxa"/>
            <w:vAlign w:val="bottom"/>
            <w:gridSpan w:val="3"/>
          </w:tcPr>
          <w:p>
            <w:pPr>
              <w:spacing w:after="0"/>
              <w:rPr>
                <w:sz w:val="20"/>
                <w:szCs w:val="20"/>
                <w:color w:val="auto"/>
              </w:rPr>
            </w:pPr>
            <w:r>
              <w:rPr>
                <w:rFonts w:ascii="Arial" w:cs="Arial" w:eastAsia="Arial" w:hAnsi="Arial"/>
                <w:sz w:val="13"/>
                <w:szCs w:val="13"/>
                <w:b w:val="1"/>
                <w:bCs w:val="1"/>
                <w:color w:val="auto"/>
              </w:rPr>
              <w:t>Twelve months ended 31 December 2019 compared to twelve months ended 31 December 2018</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4340" w:type="dxa"/>
            <w:vAlign w:val="bottom"/>
          </w:tcPr>
          <w:p>
            <w:pPr>
              <w:spacing w:after="0"/>
              <w:rPr>
                <w:sz w:val="20"/>
                <w:szCs w:val="20"/>
                <w:color w:val="auto"/>
              </w:rPr>
            </w:pPr>
            <w:r>
              <w:rPr>
                <w:rFonts w:ascii="Arial" w:cs="Arial" w:eastAsia="Arial" w:hAnsi="Arial"/>
                <w:sz w:val="13"/>
                <w:szCs w:val="13"/>
                <w:b w:val="1"/>
                <w:bCs w:val="1"/>
                <w:i w:val="1"/>
                <w:iCs w:val="1"/>
                <w:color w:val="auto"/>
              </w:rPr>
              <w:t>Revenue</w:t>
            </w: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0" w:type="dxa"/>
            <w:vAlign w:val="bottom"/>
            <w:gridSpan w:val="2"/>
          </w:tcPr>
          <w:p>
            <w:pPr>
              <w:spacing w:after="0"/>
              <w:rPr>
                <w:sz w:val="8"/>
                <w:szCs w:val="8"/>
                <w:color w:val="auto"/>
              </w:rPr>
            </w:pPr>
          </w:p>
        </w:tc>
        <w:tc>
          <w:tcPr>
            <w:tcW w:w="1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5"/>
        </w:trPr>
        <w:tc>
          <w:tcPr>
            <w:tcW w:w="4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center"/>
              <w:ind w:left="676"/>
              <w:spacing w:after="0"/>
              <w:rPr>
                <w:sz w:val="20"/>
                <w:szCs w:val="20"/>
                <w:color w:val="auto"/>
              </w:rPr>
            </w:pPr>
            <w:r>
              <w:rPr>
                <w:rFonts w:ascii="Arial" w:cs="Arial" w:eastAsia="Arial" w:hAnsi="Arial"/>
                <w:sz w:val="13"/>
                <w:szCs w:val="13"/>
                <w:b w:val="1"/>
                <w:bCs w:val="1"/>
                <w:color w:val="auto"/>
                <w:w w:val="97"/>
              </w:rPr>
              <w:t>Year Ended</w:t>
            </w:r>
          </w:p>
        </w:tc>
        <w:tc>
          <w:tcPr>
            <w:tcW w:w="1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7"/>
        </w:trPr>
        <w:tc>
          <w:tcPr>
            <w:tcW w:w="434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gridSpan w:val="2"/>
            <w:shd w:val="clear" w:color="auto" w:fill="CCEEFF"/>
          </w:tcPr>
          <w:p>
            <w:pPr>
              <w:jc w:val="center"/>
              <w:ind w:left="676"/>
              <w:spacing w:after="0"/>
              <w:rPr>
                <w:sz w:val="20"/>
                <w:szCs w:val="20"/>
                <w:color w:val="auto"/>
              </w:rPr>
            </w:pPr>
            <w:r>
              <w:rPr>
                <w:rFonts w:ascii="Arial" w:cs="Arial" w:eastAsia="Arial" w:hAnsi="Arial"/>
                <w:sz w:val="13"/>
                <w:szCs w:val="13"/>
                <w:b w:val="1"/>
                <w:bCs w:val="1"/>
                <w:color w:val="auto"/>
                <w:w w:val="96"/>
              </w:rPr>
              <w:t>31 December</w:t>
            </w:r>
          </w:p>
        </w:tc>
        <w:tc>
          <w:tcPr>
            <w:tcW w:w="11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Change</w:t>
            </w:r>
          </w:p>
        </w:tc>
        <w:tc>
          <w:tcPr>
            <w:tcW w:w="13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r>
      <w:tr>
        <w:trPr>
          <w:trHeight w:val="182"/>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5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236"/>
              <w:spacing w:after="0"/>
              <w:rPr>
                <w:sz w:val="20"/>
                <w:szCs w:val="20"/>
                <w:color w:val="auto"/>
              </w:rPr>
            </w:pPr>
            <w:r>
              <w:rPr>
                <w:rFonts w:ascii="Arial" w:cs="Arial" w:eastAsia="Arial" w:hAnsi="Arial"/>
                <w:sz w:val="13"/>
                <w:szCs w:val="13"/>
                <w:b w:val="1"/>
                <w:bCs w:val="1"/>
                <w:color w:val="auto"/>
              </w:rPr>
              <w:t>2018</w:t>
            </w:r>
          </w:p>
        </w:tc>
        <w:tc>
          <w:tcPr>
            <w:tcW w:w="1840" w:type="dxa"/>
            <w:vAlign w:val="bottom"/>
            <w:tcBorders>
              <w:bottom w:val="single" w:sz="8" w:color="auto"/>
            </w:tcBorders>
          </w:tcPr>
          <w:p>
            <w:pPr>
              <w:jc w:val="right"/>
              <w:ind w:right="1176"/>
              <w:spacing w:after="0"/>
              <w:rPr>
                <w:sz w:val="20"/>
                <w:szCs w:val="20"/>
                <w:color w:val="auto"/>
              </w:rPr>
            </w:pPr>
            <w:r>
              <w:rPr>
                <w:rFonts w:ascii="Arial" w:cs="Arial" w:eastAsia="Arial" w:hAnsi="Arial"/>
                <w:sz w:val="13"/>
                <w:szCs w:val="13"/>
                <w:b w:val="1"/>
                <w:bCs w:val="1"/>
                <w:color w:val="auto"/>
              </w:rPr>
              <w:t>$</w:t>
            </w:r>
          </w:p>
        </w:tc>
        <w:tc>
          <w:tcPr>
            <w:tcW w:w="132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5"/>
                <w:szCs w:val="15"/>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2,805,839</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2,595,777</w:t>
            </w:r>
          </w:p>
        </w:tc>
        <w:tc>
          <w:tcPr>
            <w:tcW w:w="4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8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210,062</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8.1 %</w:t>
            </w:r>
          </w:p>
        </w:tc>
      </w:tr>
    </w:tbl>
    <w:p>
      <w:pPr>
        <w:spacing w:after="0" w:line="2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Revenue for the year ended 31 December 2019 increased by $210.1 million, or 8.1%, to $2,805.8 million from $2,595.8 million for the year ended 31 December 2018. For the year ended 31 December 2019 we derived approximately 31.8%, 58.5% and 9.7% of our revenue in the United States, Europe and Rest of World,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80"/>
          </w:cols>
          <w:pgMar w:left="300" w:top="887"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Direct costs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Year Ended</w:t>
            </w:r>
          </w:p>
        </w:tc>
        <w:tc>
          <w:tcPr>
            <w:tcW w:w="10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77"/>
        </w:trPr>
        <w:tc>
          <w:tcPr>
            <w:tcW w:w="60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gridSpan w:val="2"/>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31 December</w:t>
            </w:r>
          </w:p>
        </w:tc>
        <w:tc>
          <w:tcPr>
            <w:tcW w:w="10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rPr>
                <w:sz w:val="15"/>
                <w:szCs w:val="15"/>
                <w:color w:val="auto"/>
              </w:rPr>
            </w:pPr>
          </w:p>
        </w:tc>
      </w:tr>
      <w:tr>
        <w:trPr>
          <w:trHeight w:val="182"/>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7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Change</w:t>
            </w:r>
          </w:p>
        </w:tc>
      </w:tr>
      <w:tr>
        <w:trPr>
          <w:trHeight w:val="189"/>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 costs (excluding exceptional items)</w:t>
            </w: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1,973,621</w:t>
            </w:r>
          </w:p>
        </w:tc>
        <w:tc>
          <w:tcPr>
            <w:tcW w:w="70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1,816,270</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157,351</w:t>
            </w:r>
          </w:p>
        </w:tc>
      </w:tr>
      <w:tr>
        <w:trPr>
          <w:trHeight w:val="183"/>
        </w:trPr>
        <w:tc>
          <w:tcPr>
            <w:tcW w:w="6000" w:type="dxa"/>
            <w:vAlign w:val="bottom"/>
          </w:tcPr>
          <w:p>
            <w:pPr>
              <w:ind w:left="20"/>
              <w:spacing w:after="0"/>
              <w:rPr>
                <w:sz w:val="20"/>
                <w:szCs w:val="20"/>
                <w:color w:val="auto"/>
              </w:rPr>
            </w:pPr>
            <w:r>
              <w:rPr>
                <w:rFonts w:ascii="Arial" w:cs="Arial" w:eastAsia="Arial" w:hAnsi="Arial"/>
                <w:sz w:val="13"/>
                <w:szCs w:val="13"/>
                <w:color w:val="auto"/>
              </w:rPr>
              <w:t>% of revenue (excluding exceptional items)</w:t>
            </w:r>
          </w:p>
        </w:tc>
        <w:tc>
          <w:tcPr>
            <w:tcW w:w="5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70.3 %</w:t>
            </w: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70.0 %</w:t>
            </w: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8.7 %</w:t>
            </w:r>
          </w:p>
        </w:tc>
      </w:tr>
      <w:tr>
        <w:trPr>
          <w:trHeight w:val="199"/>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 costs (including exceptional items)</w:t>
            </w:r>
          </w:p>
        </w:tc>
        <w:tc>
          <w:tcPr>
            <w:tcW w:w="5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1,973,621</w:t>
            </w:r>
          </w:p>
        </w:tc>
        <w:tc>
          <w:tcPr>
            <w:tcW w:w="70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1,826,287</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147,334</w:t>
            </w:r>
          </w:p>
        </w:tc>
      </w:tr>
      <w:tr>
        <w:trPr>
          <w:trHeight w:val="176"/>
        </w:trPr>
        <w:tc>
          <w:tcPr>
            <w:tcW w:w="6000" w:type="dxa"/>
            <w:vAlign w:val="bottom"/>
          </w:tcPr>
          <w:p>
            <w:pPr>
              <w:ind w:left="20"/>
              <w:spacing w:after="0"/>
              <w:rPr>
                <w:sz w:val="20"/>
                <w:szCs w:val="20"/>
                <w:color w:val="auto"/>
              </w:rPr>
            </w:pPr>
            <w:r>
              <w:rPr>
                <w:rFonts w:ascii="Arial" w:cs="Arial" w:eastAsia="Arial" w:hAnsi="Arial"/>
                <w:sz w:val="13"/>
                <w:szCs w:val="13"/>
                <w:color w:val="auto"/>
              </w:rPr>
              <w:t>% of revenue (including exceptional items)</w:t>
            </w:r>
          </w:p>
        </w:tc>
        <w:tc>
          <w:tcPr>
            <w:tcW w:w="5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70.3 %</w:t>
            </w: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70.4 %</w:t>
            </w: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8.1 %</w:t>
            </w:r>
          </w:p>
        </w:tc>
      </w:tr>
    </w:tbl>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Direct costs for the year ended 31 December 2019 increased by $157.4 million, or 8.7%, to $1,973.6 million from $1,816.3 million for the year ended 31 December 2018 (excluding exceptional items). Direct costs consist primarily of investigator and other reimbursable costs, compensation, associated fringe benefits and share based compensation expense for project-related employees and other direct project driven costs. The increase in direct costs during the year relates to increases in third party investigator and other reimbursable costs, an increase in direct project related costs and personnel related expenditure. The increase in other direct costs (excluding exceptional items) during the period arose due to an increase in headcount and a corresponding increase in personnel related expenditure of $55.7 million combined with an increase in other direct project related costs of $1.8 million, increases in laboratory costs of $0.5 million, partly offset by a decrease in travel related costs of $0.4 million. As a percentage of gross revenue, direct costs have increased to 70.3% compared to 70.0% for the year ended 31 December 2018 (excluding exceptional items).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Operating Expenses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Year Ended</w:t>
            </w:r>
          </w:p>
        </w:tc>
        <w:tc>
          <w:tcPr>
            <w:tcW w:w="10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77"/>
        </w:trPr>
        <w:tc>
          <w:tcPr>
            <w:tcW w:w="60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gridSpan w:val="2"/>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0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rPr>
                <w:sz w:val="15"/>
                <w:szCs w:val="15"/>
                <w:color w:val="auto"/>
              </w:rPr>
            </w:pPr>
          </w:p>
        </w:tc>
      </w:tr>
      <w:tr>
        <w:trPr>
          <w:trHeight w:val="182"/>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7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Change</w:t>
            </w:r>
          </w:p>
        </w:tc>
      </w:tr>
      <w:tr>
        <w:trPr>
          <w:trHeight w:val="189"/>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operating expenses (excluding exceptional items)</w:t>
            </w: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396,087</w:t>
            </w:r>
          </w:p>
        </w:tc>
        <w:tc>
          <w:tcPr>
            <w:tcW w:w="7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389,899</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6,188</w:t>
            </w:r>
          </w:p>
        </w:tc>
      </w:tr>
      <w:tr>
        <w:trPr>
          <w:trHeight w:val="183"/>
        </w:trPr>
        <w:tc>
          <w:tcPr>
            <w:tcW w:w="6000" w:type="dxa"/>
            <w:vAlign w:val="bottom"/>
          </w:tcPr>
          <w:p>
            <w:pPr>
              <w:ind w:left="20"/>
              <w:spacing w:after="0"/>
              <w:rPr>
                <w:sz w:val="20"/>
                <w:szCs w:val="20"/>
                <w:color w:val="auto"/>
              </w:rPr>
            </w:pPr>
            <w:r>
              <w:rPr>
                <w:rFonts w:ascii="Arial" w:cs="Arial" w:eastAsia="Arial" w:hAnsi="Arial"/>
                <w:sz w:val="13"/>
                <w:szCs w:val="13"/>
                <w:color w:val="auto"/>
              </w:rPr>
              <w:t>% of revenue (excluding exceptional items)</w:t>
            </w:r>
          </w:p>
        </w:tc>
        <w:tc>
          <w:tcPr>
            <w:tcW w:w="6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14.2 %</w:t>
            </w:r>
          </w:p>
        </w:tc>
        <w:tc>
          <w:tcPr>
            <w:tcW w:w="7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15.0 %</w:t>
            </w: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1.6 %</w:t>
            </w:r>
          </w:p>
        </w:tc>
      </w:tr>
      <w:tr>
        <w:trPr>
          <w:trHeight w:val="199"/>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operating expenses (including exceptional items)</w:t>
            </w: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396,087</w:t>
            </w:r>
          </w:p>
        </w:tc>
        <w:tc>
          <w:tcPr>
            <w:tcW w:w="7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392,372</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3,715</w:t>
            </w:r>
          </w:p>
        </w:tc>
      </w:tr>
      <w:tr>
        <w:trPr>
          <w:trHeight w:val="176"/>
        </w:trPr>
        <w:tc>
          <w:tcPr>
            <w:tcW w:w="6000" w:type="dxa"/>
            <w:vAlign w:val="bottom"/>
          </w:tcPr>
          <w:p>
            <w:pPr>
              <w:ind w:left="20"/>
              <w:spacing w:after="0"/>
              <w:rPr>
                <w:sz w:val="20"/>
                <w:szCs w:val="20"/>
                <w:color w:val="auto"/>
              </w:rPr>
            </w:pPr>
            <w:r>
              <w:rPr>
                <w:rFonts w:ascii="Arial" w:cs="Arial" w:eastAsia="Arial" w:hAnsi="Arial"/>
                <w:sz w:val="13"/>
                <w:szCs w:val="13"/>
                <w:color w:val="auto"/>
              </w:rPr>
              <w:t>% of revenue (including exceptional items)</w:t>
            </w:r>
          </w:p>
        </w:tc>
        <w:tc>
          <w:tcPr>
            <w:tcW w:w="6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14.2 %</w:t>
            </w:r>
          </w:p>
        </w:tc>
        <w:tc>
          <w:tcPr>
            <w:tcW w:w="7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15.1 %</w:t>
            </w: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0.9 %</w:t>
            </w:r>
          </w:p>
        </w:tc>
      </w:tr>
    </w:tbl>
    <w:p>
      <w:pPr>
        <w:spacing w:after="0" w:line="282"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Other operating expenses for the year ended 31 December 2019 increased by $6.2 million, or 1.6%, to $396.1 million compared to $389.9 million for the year ended 31 December 2018 (excluding exceptional items). Other operating costs are primarily comprised of compensation, related fringe benefits, share compensation expense for non project related employees, recruitment expenses, recruitment expenditure, professional service costs, advertising costs and all costs related to facilities and information systems. As a percentage of revenue, other operating expenses decreased to 14.2% of revenue, compared to 15.0% of revenue for the year ended December 31, 2018 (excluding exceptional items). During the year, general overhead costs net of foreign exchange costs increased by $8.1 million, acquisition costs increased by $3.3 million, marketing fees increased by $1.1 million, personnel related costs increased by $0.4 million, depreciation and amortisation decreased by $4.4 million, facilities related costs decreased by $1.4 million and professional fees decreased by $1.0 million.</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Restructuring</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There were no new restructuring plans implemented during the year ended 31 December 2019 (31 December 2018: charge of $12.5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80"/>
          </w:cols>
          <w:pgMar w:left="300" w:top="887"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profit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Year Ended</w:t>
            </w:r>
          </w:p>
        </w:tc>
        <w:tc>
          <w:tcPr>
            <w:tcW w:w="10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77"/>
        </w:trPr>
        <w:tc>
          <w:tcPr>
            <w:tcW w:w="60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gridSpan w:val="2"/>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0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rPr>
                <w:sz w:val="15"/>
                <w:szCs w:val="15"/>
                <w:color w:val="auto"/>
              </w:rPr>
            </w:pPr>
          </w:p>
        </w:tc>
      </w:tr>
      <w:tr>
        <w:trPr>
          <w:trHeight w:val="182"/>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7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Change</w:t>
            </w:r>
          </w:p>
        </w:tc>
      </w:tr>
      <w:tr>
        <w:trPr>
          <w:trHeight w:val="189"/>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(excluding exceptional items)</w:t>
            </w: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436,131</w:t>
            </w:r>
          </w:p>
        </w:tc>
        <w:tc>
          <w:tcPr>
            <w:tcW w:w="7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389,608</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46,523</w:t>
            </w:r>
          </w:p>
        </w:tc>
      </w:tr>
      <w:tr>
        <w:trPr>
          <w:trHeight w:val="183"/>
        </w:trPr>
        <w:tc>
          <w:tcPr>
            <w:tcW w:w="6000" w:type="dxa"/>
            <w:vAlign w:val="bottom"/>
          </w:tcPr>
          <w:p>
            <w:pPr>
              <w:ind w:left="20"/>
              <w:spacing w:after="0"/>
              <w:rPr>
                <w:sz w:val="20"/>
                <w:szCs w:val="20"/>
                <w:color w:val="auto"/>
              </w:rPr>
            </w:pPr>
            <w:r>
              <w:rPr>
                <w:rFonts w:ascii="Arial" w:cs="Arial" w:eastAsia="Arial" w:hAnsi="Arial"/>
                <w:sz w:val="13"/>
                <w:szCs w:val="13"/>
                <w:color w:val="auto"/>
              </w:rPr>
              <w:t>% of revenue (excluding exceptional items)</w:t>
            </w:r>
          </w:p>
        </w:tc>
        <w:tc>
          <w:tcPr>
            <w:tcW w:w="6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15.5 %</w:t>
            </w:r>
          </w:p>
        </w:tc>
        <w:tc>
          <w:tcPr>
            <w:tcW w:w="7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15.0 %</w:t>
            </w: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11.9 %</w:t>
            </w:r>
          </w:p>
        </w:tc>
      </w:tr>
      <w:tr>
        <w:trPr>
          <w:trHeight w:val="199"/>
        </w:trPr>
        <w:tc>
          <w:tcPr>
            <w:tcW w:w="6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(including exceptional items)</w:t>
            </w: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436,131</w:t>
            </w:r>
          </w:p>
        </w:tc>
        <w:tc>
          <w:tcPr>
            <w:tcW w:w="7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377,118</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59,013</w:t>
            </w:r>
          </w:p>
        </w:tc>
      </w:tr>
      <w:tr>
        <w:trPr>
          <w:trHeight w:val="176"/>
        </w:trPr>
        <w:tc>
          <w:tcPr>
            <w:tcW w:w="6000" w:type="dxa"/>
            <w:vAlign w:val="bottom"/>
          </w:tcPr>
          <w:p>
            <w:pPr>
              <w:ind w:left="20"/>
              <w:spacing w:after="0"/>
              <w:rPr>
                <w:sz w:val="20"/>
                <w:szCs w:val="20"/>
                <w:color w:val="auto"/>
              </w:rPr>
            </w:pPr>
            <w:r>
              <w:rPr>
                <w:rFonts w:ascii="Arial" w:cs="Arial" w:eastAsia="Arial" w:hAnsi="Arial"/>
                <w:sz w:val="13"/>
                <w:szCs w:val="13"/>
                <w:color w:val="auto"/>
              </w:rPr>
              <w:t>% of revenue (including exceptional items)</w:t>
            </w:r>
          </w:p>
        </w:tc>
        <w:tc>
          <w:tcPr>
            <w:tcW w:w="6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15.5 %</w:t>
            </w:r>
          </w:p>
        </w:tc>
        <w:tc>
          <w:tcPr>
            <w:tcW w:w="7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14.5 %</w:t>
            </w: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15.6 %</w:t>
            </w:r>
          </w:p>
        </w:tc>
      </w:tr>
    </w:tbl>
    <w:p>
      <w:pPr>
        <w:spacing w:after="0" w:line="28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Operating profit increased by $46.5 million, or 11.9%, to $436.1 million for the year ended 31 December 2019 from $389.6 million for the year ended 31 December 2018 ($377.1 million including exceptional items). As a percentage of revenue, operating profit increased to 15.5% of revenues for year ended 31 December 2019 compared to 15.0% of revenues for year ended 31 December 2018 (14.5% including exceptional items).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Financing income and expense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Year Ended</w:t>
            </w:r>
          </w:p>
        </w:tc>
        <w:tc>
          <w:tcPr>
            <w:tcW w:w="9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77"/>
        </w:trPr>
        <w:tc>
          <w:tcPr>
            <w:tcW w:w="434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gridSpan w:val="2"/>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31 December</w:t>
            </w:r>
          </w:p>
        </w:tc>
        <w:tc>
          <w:tcPr>
            <w:tcW w:w="9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Change</w:t>
            </w:r>
          </w:p>
        </w:tc>
        <w:tc>
          <w:tcPr>
            <w:tcW w:w="1220" w:type="dxa"/>
            <w:vAlign w:val="bottom"/>
            <w:tcBorders>
              <w:bottom w:val="single" w:sz="8" w:color="auto"/>
            </w:tcBorders>
            <w:shd w:val="clear" w:color="auto" w:fill="CCEEFF"/>
          </w:tcPr>
          <w:p>
            <w:pPr>
              <w:spacing w:after="0"/>
              <w:rPr>
                <w:sz w:val="15"/>
                <w:szCs w:val="15"/>
                <w:color w:val="auto"/>
              </w:rPr>
            </w:pPr>
          </w:p>
        </w:tc>
      </w:tr>
      <w:tr>
        <w:trPr>
          <w:trHeight w:val="182"/>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7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4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1296"/>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w:t>
            </w: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Financing income</w:t>
            </w: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6,859</w:t>
            </w: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4,759</w:t>
            </w: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82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2,100</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44.1 %</w:t>
            </w:r>
          </w:p>
        </w:tc>
      </w:tr>
      <w:tr>
        <w:trPr>
          <w:trHeight w:val="176"/>
        </w:trPr>
        <w:tc>
          <w:tcPr>
            <w:tcW w:w="4340" w:type="dxa"/>
            <w:vAlign w:val="bottom"/>
          </w:tcPr>
          <w:p>
            <w:pPr>
              <w:ind w:left="20"/>
              <w:spacing w:after="0"/>
              <w:rPr>
                <w:sz w:val="20"/>
                <w:szCs w:val="20"/>
                <w:color w:val="auto"/>
              </w:rPr>
            </w:pPr>
            <w:r>
              <w:rPr>
                <w:rFonts w:ascii="Arial" w:cs="Arial" w:eastAsia="Arial" w:hAnsi="Arial"/>
                <w:sz w:val="13"/>
                <w:szCs w:val="13"/>
                <w:color w:val="auto"/>
              </w:rPr>
              <w:t>Financing expense</w:t>
            </w:r>
          </w:p>
        </w:tc>
        <w:tc>
          <w:tcPr>
            <w:tcW w:w="600" w:type="dxa"/>
            <w:vAlign w:val="bottom"/>
          </w:tcPr>
          <w:p>
            <w:pPr>
              <w:jc w:val="right"/>
              <w:ind w:right="45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(24,625)</w:t>
            </w:r>
          </w:p>
        </w:tc>
        <w:tc>
          <w:tcPr>
            <w:tcW w:w="780" w:type="dxa"/>
            <w:vAlign w:val="bottom"/>
          </w:tcPr>
          <w:p>
            <w:pPr>
              <w:jc w:val="right"/>
              <w:ind w:right="6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(13,502)</w:t>
            </w: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1820" w:type="dxa"/>
            <w:vAlign w:val="bottom"/>
          </w:tcPr>
          <w:p>
            <w:pPr>
              <w:jc w:val="right"/>
              <w:ind w:right="616"/>
              <w:spacing w:after="0"/>
              <w:rPr>
                <w:sz w:val="20"/>
                <w:szCs w:val="20"/>
                <w:color w:val="auto"/>
              </w:rPr>
            </w:pPr>
            <w:r>
              <w:rPr>
                <w:rFonts w:ascii="Arial" w:cs="Arial" w:eastAsia="Arial" w:hAnsi="Arial"/>
                <w:sz w:val="13"/>
                <w:szCs w:val="13"/>
                <w:color w:val="auto"/>
              </w:rPr>
              <w:t>11,123</w:t>
            </w:r>
          </w:p>
        </w:tc>
        <w:tc>
          <w:tcPr>
            <w:tcW w:w="1220" w:type="dxa"/>
            <w:vAlign w:val="bottom"/>
          </w:tcPr>
          <w:p>
            <w:pPr>
              <w:jc w:val="right"/>
              <w:spacing w:after="0"/>
              <w:rPr>
                <w:sz w:val="20"/>
                <w:szCs w:val="20"/>
                <w:color w:val="auto"/>
              </w:rPr>
            </w:pPr>
            <w:r>
              <w:rPr>
                <w:rFonts w:ascii="Arial" w:cs="Arial" w:eastAsia="Arial" w:hAnsi="Arial"/>
                <w:sz w:val="13"/>
                <w:szCs w:val="13"/>
                <w:color w:val="auto"/>
              </w:rPr>
              <w:t>82.4 %</w:t>
            </w:r>
          </w:p>
        </w:tc>
      </w:tr>
    </w:tbl>
    <w:p>
      <w:pPr>
        <w:spacing w:after="0" w:line="271" w:lineRule="exact"/>
        <w:rPr>
          <w:sz w:val="20"/>
          <w:szCs w:val="20"/>
          <w:color w:val="auto"/>
        </w:rPr>
      </w:pPr>
    </w:p>
    <w:p>
      <w:pPr>
        <w:jc w:val="both"/>
        <w:spacing w:after="0"/>
        <w:rPr>
          <w:sz w:val="20"/>
          <w:szCs w:val="20"/>
          <w:color w:val="auto"/>
        </w:rPr>
      </w:pPr>
      <w:r>
        <w:rPr>
          <w:rFonts w:ascii="Arial" w:cs="Arial" w:eastAsia="Arial" w:hAnsi="Arial"/>
          <w:sz w:val="13"/>
          <w:szCs w:val="13"/>
          <w:color w:val="auto"/>
        </w:rPr>
        <w:t xml:space="preserve">Financing expense for the period increased to $24.6 million for the year ended 31 December 2019 from $13.5 million for the year ended 31 December 2018. This is due to the inclusion of the financing costs of $2.6 million on adoption of IFRS 16 </w:t>
      </w:r>
      <w:r>
        <w:rPr>
          <w:rFonts w:ascii="Arial" w:cs="Arial" w:eastAsia="Arial" w:hAnsi="Arial"/>
          <w:sz w:val="13"/>
          <w:szCs w:val="13"/>
          <w:i w:val="1"/>
          <w:iCs w:val="1"/>
          <w:color w:val="auto"/>
        </w:rPr>
        <w:t>Leases</w:t>
      </w:r>
      <w:r>
        <w:rPr>
          <w:rFonts w:ascii="Arial" w:cs="Arial" w:eastAsia="Arial" w:hAnsi="Arial"/>
          <w:sz w:val="13"/>
          <w:szCs w:val="13"/>
          <w:color w:val="auto"/>
        </w:rPr>
        <w:t xml:space="preserve"> and the remeasurement of the gross obligation under put option of $8.7 million</w:t>
      </w:r>
      <w:r>
        <w:rPr>
          <w:rFonts w:ascii="Arial" w:cs="Arial" w:eastAsia="Arial" w:hAnsi="Arial"/>
          <w:sz w:val="13"/>
          <w:szCs w:val="13"/>
          <w:i w:val="1"/>
          <w:iCs w:val="1"/>
          <w:color w:val="auto"/>
        </w:rPr>
        <w:t>.</w:t>
      </w:r>
      <w:r>
        <w:rPr>
          <w:rFonts w:ascii="Arial" w:cs="Arial" w:eastAsia="Arial" w:hAnsi="Arial"/>
          <w:sz w:val="13"/>
          <w:szCs w:val="13"/>
          <w:color w:val="auto"/>
        </w:rPr>
        <w:t xml:space="preserve"> Financing income for the year increased to $6.9 million for the year ended 31 December 2019 from $4.8 million for the year ended 31 December 2018. This is due to the increase in cash and cash equivalents of $520.3 million at 31 December 2019 from $395.9 million at 31 December 2018.</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 expense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Year Ended</w:t>
            </w:r>
          </w:p>
        </w:tc>
        <w:tc>
          <w:tcPr>
            <w:tcW w:w="8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77"/>
        </w:trPr>
        <w:tc>
          <w:tcPr>
            <w:tcW w:w="42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940" w:type="dxa"/>
            <w:vAlign w:val="bottom"/>
            <w:tcBorders>
              <w:bottom w:val="single" w:sz="8" w:color="auto"/>
            </w:tcBorders>
            <w:gridSpan w:val="2"/>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31 December</w:t>
            </w:r>
          </w:p>
        </w:tc>
        <w:tc>
          <w:tcPr>
            <w:tcW w:w="8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Change</w:t>
            </w:r>
          </w:p>
        </w:tc>
        <w:tc>
          <w:tcPr>
            <w:tcW w:w="1220" w:type="dxa"/>
            <w:vAlign w:val="bottom"/>
            <w:tcBorders>
              <w:bottom w:val="single" w:sz="8" w:color="auto"/>
            </w:tcBorders>
            <w:shd w:val="clear" w:color="auto" w:fill="CCEEFF"/>
          </w:tcPr>
          <w:p>
            <w:pPr>
              <w:spacing w:after="0"/>
              <w:rPr>
                <w:sz w:val="15"/>
                <w:szCs w:val="15"/>
                <w:color w:val="auto"/>
              </w:rPr>
            </w:pPr>
          </w:p>
        </w:tc>
      </w:tr>
      <w:tr>
        <w:trPr>
          <w:trHeight w:val="182"/>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6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jc w:val="right"/>
              <w:ind w:right="776"/>
              <w:spacing w:after="0"/>
              <w:rPr>
                <w:sz w:val="20"/>
                <w:szCs w:val="20"/>
                <w:color w:val="auto"/>
              </w:rPr>
            </w:pPr>
            <w:r>
              <w:rPr>
                <w:rFonts w:ascii="Arial" w:cs="Arial" w:eastAsia="Arial" w:hAnsi="Arial"/>
                <w:sz w:val="13"/>
                <w:szCs w:val="13"/>
                <w:b w:val="1"/>
                <w:bCs w:val="1"/>
                <w:color w:val="auto"/>
              </w:rPr>
              <w:t>2019</w:t>
            </w:r>
          </w:p>
        </w:tc>
        <w:tc>
          <w:tcPr>
            <w:tcW w:w="1400" w:type="dxa"/>
            <w:vAlign w:val="bottom"/>
            <w:tcBorders>
              <w:bottom w:val="single" w:sz="8" w:color="auto"/>
            </w:tcBorders>
            <w:gridSpan w:val="2"/>
          </w:tcPr>
          <w:p>
            <w:pPr>
              <w:jc w:val="right"/>
              <w:ind w:right="396"/>
              <w:spacing w:after="0"/>
              <w:rPr>
                <w:sz w:val="20"/>
                <w:szCs w:val="20"/>
                <w:color w:val="auto"/>
              </w:rPr>
            </w:pPr>
            <w:r>
              <w:rPr>
                <w:rFonts w:ascii="Arial" w:cs="Arial" w:eastAsia="Arial" w:hAnsi="Arial"/>
                <w:sz w:val="13"/>
                <w:szCs w:val="13"/>
                <w:b w:val="1"/>
                <w:bCs w:val="1"/>
                <w:color w:val="auto"/>
              </w:rPr>
              <w:t>2018</w:t>
            </w:r>
          </w:p>
        </w:tc>
        <w:tc>
          <w:tcPr>
            <w:tcW w:w="1820" w:type="dxa"/>
            <w:vAlign w:val="bottom"/>
            <w:tcBorders>
              <w:bottom w:val="single" w:sz="8" w:color="auto"/>
            </w:tcBorders>
          </w:tcPr>
          <w:p>
            <w:pPr>
              <w:jc w:val="right"/>
              <w:ind w:right="1296"/>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b w:val="1"/>
                <w:bCs w:val="1"/>
                <w:color w:val="auto"/>
              </w:rPr>
              <w:t>%</w:t>
            </w:r>
          </w:p>
        </w:tc>
      </w:tr>
      <w:tr>
        <w:trPr>
          <w:trHeight w:val="189"/>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(excluding exceptional items)</w:t>
            </w:r>
          </w:p>
        </w:tc>
        <w:tc>
          <w:tcPr>
            <w:tcW w:w="62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57,332</w:t>
            </w:r>
          </w:p>
        </w:tc>
        <w:tc>
          <w:tcPr>
            <w:tcW w:w="98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47,011</w:t>
            </w:r>
          </w:p>
        </w:tc>
        <w:tc>
          <w:tcPr>
            <w:tcW w:w="6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82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10,321</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22.0 %</w:t>
            </w:r>
          </w:p>
        </w:tc>
      </w:tr>
      <w:tr>
        <w:trPr>
          <w:trHeight w:val="176"/>
        </w:trPr>
        <w:tc>
          <w:tcPr>
            <w:tcW w:w="4280" w:type="dxa"/>
            <w:vAlign w:val="bottom"/>
          </w:tcPr>
          <w:p>
            <w:pPr>
              <w:ind w:left="20"/>
              <w:spacing w:after="0"/>
              <w:rPr>
                <w:sz w:val="20"/>
                <w:szCs w:val="20"/>
                <w:color w:val="auto"/>
              </w:rPr>
            </w:pPr>
            <w:r>
              <w:rPr>
                <w:rFonts w:ascii="Arial" w:cs="Arial" w:eastAsia="Arial" w:hAnsi="Arial"/>
                <w:sz w:val="13"/>
                <w:szCs w:val="13"/>
                <w:color w:val="auto"/>
              </w:rPr>
              <w:t>Effective income tax rate (excluding exceptional items)</w:t>
            </w: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13.7</w:t>
            </w:r>
          </w:p>
        </w:tc>
        <w:tc>
          <w:tcPr>
            <w:tcW w:w="980" w:type="dxa"/>
            <w:vAlign w:val="bottom"/>
          </w:tcPr>
          <w:p>
            <w:pPr>
              <w:jc w:val="right"/>
              <w:ind w:right="77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12.3</w:t>
            </w:r>
          </w:p>
        </w:tc>
        <w:tc>
          <w:tcPr>
            <w:tcW w:w="600" w:type="dxa"/>
            <w:vAlign w:val="bottom"/>
          </w:tcPr>
          <w:p>
            <w:pPr>
              <w:jc w:val="right"/>
              <w:ind w:right="396"/>
              <w:spacing w:after="0"/>
              <w:rPr>
                <w:sz w:val="20"/>
                <w:szCs w:val="20"/>
                <w:color w:val="auto"/>
              </w:rPr>
            </w:pPr>
            <w:r>
              <w:rPr>
                <w:rFonts w:ascii="Arial" w:cs="Arial" w:eastAsia="Arial" w:hAnsi="Arial"/>
                <w:sz w:val="13"/>
                <w:szCs w:val="13"/>
                <w:color w:val="auto"/>
              </w:rPr>
              <w:t>%</w:t>
            </w:r>
          </w:p>
        </w:tc>
        <w:tc>
          <w:tcPr>
            <w:tcW w:w="182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spacing w:after="0" w:line="28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Income tax expense for the period increased to $57.3 million for the year ended 31 December 2019 from $47.0 million for the year ended 31 December 2018. The Group’s effective tax rate for the year ended 31 December 2019 was 13.7% compared with 12.4% (12.3% excluding the effect of exceptional items) for the year ended 31 December 2018. The Group’s effective tax rate is principally a function of the distribution of pre-tax profits in the territories in which it operates.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and uncertainties</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Under Irish Company Law (Section 327 of the Companies Act 2014 ‘the Companies Act’), the Directors are required to give a description of the principal risks and uncertainties which it faced at 31 December 2019. Details of the principal risks and uncertainties facing the Group are set out in Appendix A of this annual report and form an integral part of the Directors’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80"/>
          </w:cols>
          <w:pgMar w:left="300" w:top="887" w:right="31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risk management</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 xml:space="preserve">Group financial risk management is governed by policies and guidelines which are reviewed and approved annually by the Board of Directors. These policies and guidelines primarily cover foreign exchange risk, credit risk, liquidity risk and interest rate risk. The principal objective of these policies and guidelines is the minimisation of financial risk at reasonable cost. The Group’s financial instruments comprise cash and cash equivalents, current asset investments, finance lease obligations and negotiated debt facilities. The main purpose of these financial instruments is to fund the working capital requirements of the Group, the cost of new acquisitions and continued growth. The Group also uses derivative financial instruments to reduce exposure to fluctuations in foreign exchange rates. The principal financial risk facing the Group is currency rate risk. Other financial risks include interest rate risk, credit risk and liquidity risk. Further details of which are set out in </w:t>
      </w:r>
      <w:r>
        <w:rPr>
          <w:rFonts w:ascii="Arial" w:cs="Arial" w:eastAsia="Arial" w:hAnsi="Arial"/>
          <w:sz w:val="13"/>
          <w:szCs w:val="13"/>
          <w:i w:val="1"/>
          <w:iCs w:val="1"/>
          <w:color w:val="auto"/>
        </w:rPr>
        <w:t>note 26</w:t>
      </w:r>
      <w:r>
        <w:rPr>
          <w:rFonts w:ascii="Arial" w:cs="Arial" w:eastAsia="Arial" w:hAnsi="Arial"/>
          <w:sz w:val="13"/>
          <w:szCs w:val="13"/>
          <w:color w:val="auto"/>
        </w:rPr>
        <w:t xml:space="preserve"> to the Consolidated Financial Statements and </w:t>
      </w:r>
      <w:r>
        <w:rPr>
          <w:rFonts w:ascii="Arial" w:cs="Arial" w:eastAsia="Arial" w:hAnsi="Arial"/>
          <w:sz w:val="13"/>
          <w:szCs w:val="13"/>
          <w:i w:val="1"/>
          <w:iCs w:val="1"/>
          <w:color w:val="auto"/>
        </w:rPr>
        <w:t>note 11</w:t>
      </w:r>
      <w:r>
        <w:rPr>
          <w:rFonts w:ascii="Arial" w:cs="Arial" w:eastAsia="Arial" w:hAnsi="Arial"/>
          <w:sz w:val="13"/>
          <w:szCs w:val="13"/>
          <w:color w:val="auto"/>
        </w:rPr>
        <w:t xml:space="preserve"> to the Company Financial Statements. The Group does not undertake any trading activity in financial instruments nor does it enter into any leveraged derivative transactions. The Group treasury function centrally manages the Group’s funding and liquidity requirements.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Financing</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Group maintains both committed and uncommitted credit lines with its relationship banks. On 15 December 2015, the Company issued through its subsidiary ICON Investments Five Unlimited Company (the "Issuer") Senior Notes for aggregate gross proceeds of $350 million through a private placement. The interest rate on the Senior Notes was fixed at 3.64% and is payable semi-annually. The Senior Notes are guaranteed by ICON plc. The Senior Notes may be redeemed, at the Issuer's option, at any time prior to maturity, at par plus a make whole premium, together with accrued and unpaid interest, if any, to the redemption date. The terms of the notes are set forth in the Note Purchase and Guarantee Agreement, dated as of 15 December 2015, by and among the Issuer, ICON plc and the purchasers named therein (“Note Purchase and Guarantee Agreement”). The Notes have not been, and will not be, registered under the Securities Act of 1933, as amended, and may not be offered or sold in the United States absent registration or an applicable exemption from registration requirements.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Group entered into an interest rate hedge in anticipation of the drawdown of the Senior Notes the proceeds of which were received in November 2015. During the year ended 31 December 2015, cash proceeds of $4.6 million representing the realised gain on the interest rate hedge was received on maturity in November 2015 and recorded within other comprehensive income. The realised gain is amortised to the Consolidated Statement of Profit and Loss over the term of the hedge resulting in an offset to the interest payable expense on the notes. This interest rate hedge qualified for hedge accounting under IAS 39. The effective rate on the 5 year Senior Notes is fixed at 3.37%.</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senior notes are due for repayment in December 2020. We regularly evaluate our debt arrangements, as well as market conditions, and during the year we will explore the opportunity to modify our existing arrangements or pursue additional financing arrangements that may result in the issuance of new debt securities by us or our affiliates.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Subsequent events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Details of subsequent events are set out in </w:t>
      </w:r>
      <w:r>
        <w:rPr>
          <w:rFonts w:ascii="Arial" w:cs="Arial" w:eastAsia="Arial" w:hAnsi="Arial"/>
          <w:sz w:val="13"/>
          <w:szCs w:val="13"/>
          <w:i w:val="1"/>
          <w:iCs w:val="1"/>
          <w:color w:val="auto"/>
        </w:rPr>
        <w:t>note 31</w:t>
      </w:r>
      <w:r>
        <w:rPr>
          <w:rFonts w:ascii="Arial" w:cs="Arial" w:eastAsia="Arial" w:hAnsi="Arial"/>
          <w:sz w:val="13"/>
          <w:szCs w:val="13"/>
          <w:color w:val="auto"/>
        </w:rPr>
        <w:t xml:space="preserve">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80"/>
          </w:cols>
          <w:pgMar w:left="300" w:top="887" w:right="31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and Secretary</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members of the Board of Directors during the year are included in </w:t>
      </w:r>
      <w:r>
        <w:rPr>
          <w:rFonts w:ascii="Arial" w:cs="Arial" w:eastAsia="Arial" w:hAnsi="Arial"/>
          <w:sz w:val="13"/>
          <w:szCs w:val="13"/>
          <w:i w:val="1"/>
          <w:iCs w:val="1"/>
          <w:color w:val="auto"/>
        </w:rPr>
        <w:t>note 9</w:t>
      </w:r>
      <w:r>
        <w:rPr>
          <w:rFonts w:ascii="Arial" w:cs="Arial" w:eastAsia="Arial" w:hAnsi="Arial"/>
          <w:sz w:val="13"/>
          <w:szCs w:val="13"/>
          <w:color w:val="auto"/>
        </w:rPr>
        <w:t xml:space="preserve"> to the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information concerning the composition of the Company’s Board committees as of 31 December 2019:</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8240" w:type="dxa"/>
            <w:vAlign w:val="bottom"/>
            <w:tcBorders>
              <w:bottom w:val="single" w:sz="8" w:color="auto"/>
            </w:tcBorders>
            <w:shd w:val="clear" w:color="auto" w:fill="CCEEFF"/>
          </w:tcPr>
          <w:p>
            <w:pPr>
              <w:ind w:left="1560"/>
              <w:spacing w:after="0"/>
              <w:rPr>
                <w:sz w:val="20"/>
                <w:szCs w:val="20"/>
                <w:color w:val="auto"/>
              </w:rPr>
            </w:pPr>
            <w:r>
              <w:rPr>
                <w:rFonts w:ascii="Arial" w:cs="Arial" w:eastAsia="Arial" w:hAnsi="Arial"/>
                <w:sz w:val="13"/>
                <w:szCs w:val="13"/>
                <w:b w:val="1"/>
                <w:bCs w:val="1"/>
                <w:color w:val="auto"/>
              </w:rPr>
              <w:t>Position</w:t>
            </w:r>
          </w:p>
        </w:tc>
      </w:tr>
      <w:tr>
        <w:trPr>
          <w:trHeight w:val="175"/>
        </w:trPr>
        <w:tc>
          <w:tcPr>
            <w:tcW w:w="3040" w:type="dxa"/>
            <w:vAlign w:val="bottom"/>
          </w:tcPr>
          <w:p>
            <w:pPr>
              <w:ind w:left="20"/>
              <w:spacing w:after="0"/>
              <w:rPr>
                <w:sz w:val="20"/>
                <w:szCs w:val="20"/>
                <w:color w:val="auto"/>
              </w:rPr>
            </w:pPr>
            <w:r>
              <w:rPr>
                <w:rFonts w:ascii="Arial" w:cs="Arial" w:eastAsia="Arial" w:hAnsi="Arial"/>
                <w:sz w:val="13"/>
                <w:szCs w:val="13"/>
                <w:color w:val="auto"/>
              </w:rPr>
              <w:t>Ciaran Murray</w:t>
            </w:r>
          </w:p>
        </w:tc>
        <w:tc>
          <w:tcPr>
            <w:tcW w:w="8240" w:type="dxa"/>
            <w:vAlign w:val="bottom"/>
          </w:tcPr>
          <w:p>
            <w:pPr>
              <w:ind w:left="1560"/>
              <w:spacing w:after="0"/>
              <w:rPr>
                <w:sz w:val="20"/>
                <w:szCs w:val="20"/>
                <w:color w:val="auto"/>
              </w:rPr>
            </w:pPr>
            <w:r>
              <w:rPr>
                <w:rFonts w:ascii="Arial" w:cs="Arial" w:eastAsia="Arial" w:hAnsi="Arial"/>
                <w:sz w:val="13"/>
                <w:szCs w:val="13"/>
                <w:color w:val="auto"/>
              </w:rPr>
              <w:t>Non Executive Chairman and Director</w:t>
            </w:r>
          </w:p>
        </w:tc>
      </w:tr>
      <w:tr>
        <w:trPr>
          <w:trHeight w:val="199"/>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Dr. Steve Cutler </w:t>
            </w:r>
            <w:r>
              <w:rPr>
                <w:rFonts w:ascii="Arial" w:cs="Arial" w:eastAsia="Arial" w:hAnsi="Arial"/>
                <w:sz w:val="16"/>
                <w:szCs w:val="16"/>
                <w:color w:val="auto"/>
                <w:vertAlign w:val="superscript"/>
              </w:rPr>
              <w:t>(1)(5)</w:t>
            </w:r>
          </w:p>
        </w:tc>
        <w:tc>
          <w:tcPr>
            <w:tcW w:w="8240" w:type="dxa"/>
            <w:vAlign w:val="bottom"/>
            <w:shd w:val="clear" w:color="auto" w:fill="CCEEFF"/>
          </w:tcPr>
          <w:p>
            <w:pPr>
              <w:ind w:left="1560"/>
              <w:spacing w:after="0"/>
              <w:rPr>
                <w:sz w:val="20"/>
                <w:szCs w:val="20"/>
                <w:color w:val="auto"/>
              </w:rPr>
            </w:pPr>
            <w:r>
              <w:rPr>
                <w:rFonts w:ascii="Arial" w:cs="Arial" w:eastAsia="Arial" w:hAnsi="Arial"/>
                <w:sz w:val="13"/>
                <w:szCs w:val="13"/>
                <w:color w:val="auto"/>
              </w:rPr>
              <w:t>Chief Executive Officer and Director</w:t>
            </w:r>
          </w:p>
        </w:tc>
      </w:tr>
      <w:tr>
        <w:trPr>
          <w:trHeight w:val="191"/>
        </w:trPr>
        <w:tc>
          <w:tcPr>
            <w:tcW w:w="3040" w:type="dxa"/>
            <w:vAlign w:val="bottom"/>
          </w:tcPr>
          <w:p>
            <w:pPr>
              <w:ind w:left="20"/>
              <w:spacing w:after="0"/>
              <w:rPr>
                <w:sz w:val="20"/>
                <w:szCs w:val="20"/>
                <w:color w:val="auto"/>
              </w:rPr>
            </w:pPr>
            <w:r>
              <w:rPr>
                <w:rFonts w:ascii="Arial" w:cs="Arial" w:eastAsia="Arial" w:hAnsi="Arial"/>
                <w:sz w:val="13"/>
                <w:szCs w:val="13"/>
                <w:color w:val="auto"/>
              </w:rPr>
              <w:t xml:space="preserve">Rónán Murphy </w:t>
            </w:r>
            <w:r>
              <w:rPr>
                <w:rFonts w:ascii="Arial" w:cs="Arial" w:eastAsia="Arial" w:hAnsi="Arial"/>
                <w:sz w:val="16"/>
                <w:szCs w:val="16"/>
                <w:color w:val="auto"/>
                <w:vertAlign w:val="superscript"/>
              </w:rPr>
              <w:t>(2)(3)(5)</w:t>
            </w:r>
          </w:p>
        </w:tc>
        <w:tc>
          <w:tcPr>
            <w:tcW w:w="8240" w:type="dxa"/>
            <w:vAlign w:val="bottom"/>
          </w:tcPr>
          <w:p>
            <w:pPr>
              <w:ind w:left="1560"/>
              <w:spacing w:after="0"/>
              <w:rPr>
                <w:sz w:val="20"/>
                <w:szCs w:val="20"/>
                <w:color w:val="auto"/>
              </w:rPr>
            </w:pPr>
            <w:r>
              <w:rPr>
                <w:rFonts w:ascii="Arial" w:cs="Arial" w:eastAsia="Arial" w:hAnsi="Arial"/>
                <w:sz w:val="13"/>
                <w:szCs w:val="13"/>
                <w:color w:val="auto"/>
              </w:rPr>
              <w:t>Director</w:t>
            </w:r>
          </w:p>
        </w:tc>
      </w:tr>
      <w:tr>
        <w:trPr>
          <w:trHeight w:val="191"/>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Professor Hugh Brady </w:t>
            </w:r>
            <w:r>
              <w:rPr>
                <w:rFonts w:ascii="Arial" w:cs="Arial" w:eastAsia="Arial" w:hAnsi="Arial"/>
                <w:sz w:val="16"/>
                <w:szCs w:val="16"/>
                <w:color w:val="auto"/>
                <w:vertAlign w:val="superscript"/>
              </w:rPr>
              <w:t>(3)</w:t>
            </w:r>
          </w:p>
        </w:tc>
        <w:tc>
          <w:tcPr>
            <w:tcW w:w="8240" w:type="dxa"/>
            <w:vAlign w:val="bottom"/>
            <w:shd w:val="clear" w:color="auto" w:fill="CCEEFF"/>
          </w:tcPr>
          <w:p>
            <w:pPr>
              <w:ind w:left="1560"/>
              <w:spacing w:after="0"/>
              <w:rPr>
                <w:sz w:val="20"/>
                <w:szCs w:val="20"/>
                <w:color w:val="auto"/>
              </w:rPr>
            </w:pPr>
            <w:r>
              <w:rPr>
                <w:rFonts w:ascii="Arial" w:cs="Arial" w:eastAsia="Arial" w:hAnsi="Arial"/>
                <w:sz w:val="13"/>
                <w:szCs w:val="13"/>
                <w:color w:val="auto"/>
              </w:rPr>
              <w:t>Director</w:t>
            </w:r>
          </w:p>
        </w:tc>
      </w:tr>
      <w:tr>
        <w:trPr>
          <w:trHeight w:val="183"/>
        </w:trPr>
        <w:tc>
          <w:tcPr>
            <w:tcW w:w="3040" w:type="dxa"/>
            <w:vAlign w:val="bottom"/>
          </w:tcPr>
          <w:p>
            <w:pPr>
              <w:ind w:left="20"/>
              <w:spacing w:after="0"/>
              <w:rPr>
                <w:sz w:val="20"/>
                <w:szCs w:val="20"/>
                <w:color w:val="auto"/>
              </w:rPr>
            </w:pPr>
            <w:r>
              <w:rPr>
                <w:rFonts w:ascii="Arial" w:cs="Arial" w:eastAsia="Arial" w:hAnsi="Arial"/>
                <w:sz w:val="13"/>
                <w:szCs w:val="13"/>
                <w:color w:val="auto"/>
              </w:rPr>
              <w:t>Dr. John Climax</w:t>
            </w:r>
          </w:p>
        </w:tc>
        <w:tc>
          <w:tcPr>
            <w:tcW w:w="8240" w:type="dxa"/>
            <w:vAlign w:val="bottom"/>
          </w:tcPr>
          <w:p>
            <w:pPr>
              <w:ind w:left="1560"/>
              <w:spacing w:after="0"/>
              <w:rPr>
                <w:sz w:val="20"/>
                <w:szCs w:val="20"/>
                <w:color w:val="auto"/>
              </w:rPr>
            </w:pPr>
            <w:r>
              <w:rPr>
                <w:rFonts w:ascii="Arial" w:cs="Arial" w:eastAsia="Arial" w:hAnsi="Arial"/>
                <w:sz w:val="13"/>
                <w:szCs w:val="13"/>
                <w:color w:val="auto"/>
              </w:rPr>
              <w:t>Director</w:t>
            </w:r>
          </w:p>
        </w:tc>
      </w:tr>
      <w:tr>
        <w:trPr>
          <w:trHeight w:val="199"/>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Joan Garahy </w:t>
            </w:r>
            <w:r>
              <w:rPr>
                <w:rFonts w:ascii="Arial" w:cs="Arial" w:eastAsia="Arial" w:hAnsi="Arial"/>
                <w:sz w:val="16"/>
                <w:szCs w:val="16"/>
                <w:color w:val="auto"/>
                <w:vertAlign w:val="superscript"/>
              </w:rPr>
              <w:t>(2)(4)</w:t>
            </w:r>
          </w:p>
        </w:tc>
        <w:tc>
          <w:tcPr>
            <w:tcW w:w="8240" w:type="dxa"/>
            <w:vAlign w:val="bottom"/>
            <w:shd w:val="clear" w:color="auto" w:fill="CCEEFF"/>
          </w:tcPr>
          <w:p>
            <w:pPr>
              <w:ind w:left="1560"/>
              <w:spacing w:after="0"/>
              <w:rPr>
                <w:sz w:val="20"/>
                <w:szCs w:val="20"/>
                <w:color w:val="auto"/>
              </w:rPr>
            </w:pPr>
            <w:r>
              <w:rPr>
                <w:rFonts w:ascii="Arial" w:cs="Arial" w:eastAsia="Arial" w:hAnsi="Arial"/>
                <w:sz w:val="13"/>
                <w:szCs w:val="13"/>
                <w:color w:val="auto"/>
              </w:rPr>
              <w:t>Director</w:t>
            </w:r>
          </w:p>
        </w:tc>
      </w:tr>
      <w:tr>
        <w:trPr>
          <w:trHeight w:val="191"/>
        </w:trPr>
        <w:tc>
          <w:tcPr>
            <w:tcW w:w="3040" w:type="dxa"/>
            <w:vAlign w:val="bottom"/>
          </w:tcPr>
          <w:p>
            <w:pPr>
              <w:ind w:left="20"/>
              <w:spacing w:after="0"/>
              <w:rPr>
                <w:sz w:val="20"/>
                <w:szCs w:val="20"/>
                <w:color w:val="auto"/>
              </w:rPr>
            </w:pPr>
            <w:r>
              <w:rPr>
                <w:rFonts w:ascii="Arial" w:cs="Arial" w:eastAsia="Arial" w:hAnsi="Arial"/>
                <w:sz w:val="13"/>
                <w:szCs w:val="13"/>
                <w:color w:val="auto"/>
              </w:rPr>
              <w:t xml:space="preserve">Professor William Hall </w:t>
            </w:r>
            <w:r>
              <w:rPr>
                <w:rFonts w:ascii="Arial" w:cs="Arial" w:eastAsia="Arial" w:hAnsi="Arial"/>
                <w:sz w:val="16"/>
                <w:szCs w:val="16"/>
                <w:color w:val="auto"/>
                <w:vertAlign w:val="superscript"/>
              </w:rPr>
              <w:t>(2)(4)</w:t>
            </w:r>
          </w:p>
        </w:tc>
        <w:tc>
          <w:tcPr>
            <w:tcW w:w="8240" w:type="dxa"/>
            <w:vAlign w:val="bottom"/>
          </w:tcPr>
          <w:p>
            <w:pPr>
              <w:ind w:left="1560"/>
              <w:spacing w:after="0"/>
              <w:rPr>
                <w:sz w:val="20"/>
                <w:szCs w:val="20"/>
                <w:color w:val="auto"/>
              </w:rPr>
            </w:pPr>
            <w:r>
              <w:rPr>
                <w:rFonts w:ascii="Arial" w:cs="Arial" w:eastAsia="Arial" w:hAnsi="Arial"/>
                <w:sz w:val="13"/>
                <w:szCs w:val="13"/>
                <w:color w:val="auto"/>
              </w:rPr>
              <w:t>Director</w:t>
            </w:r>
          </w:p>
        </w:tc>
      </w:tr>
      <w:tr>
        <w:trPr>
          <w:trHeight w:val="191"/>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Eugene McCague </w:t>
            </w:r>
            <w:r>
              <w:rPr>
                <w:rFonts w:ascii="Arial" w:cs="Arial" w:eastAsia="Arial" w:hAnsi="Arial"/>
                <w:sz w:val="16"/>
                <w:szCs w:val="16"/>
                <w:color w:val="auto"/>
                <w:vertAlign w:val="superscript"/>
              </w:rPr>
              <w:t>(3)(4)</w:t>
            </w:r>
          </w:p>
        </w:tc>
        <w:tc>
          <w:tcPr>
            <w:tcW w:w="8240" w:type="dxa"/>
            <w:vAlign w:val="bottom"/>
            <w:shd w:val="clear" w:color="auto" w:fill="CCEEFF"/>
          </w:tcPr>
          <w:p>
            <w:pPr>
              <w:ind w:left="1560"/>
              <w:spacing w:after="0"/>
              <w:rPr>
                <w:sz w:val="20"/>
                <w:szCs w:val="20"/>
                <w:color w:val="auto"/>
              </w:rPr>
            </w:pPr>
            <w:r>
              <w:rPr>
                <w:rFonts w:ascii="Arial" w:cs="Arial" w:eastAsia="Arial" w:hAnsi="Arial"/>
                <w:sz w:val="13"/>
                <w:szCs w:val="13"/>
                <w:color w:val="auto"/>
              </w:rPr>
              <w:t>Director</w:t>
            </w:r>
          </w:p>
        </w:tc>
      </w:tr>
      <w:tr>
        <w:trPr>
          <w:trHeight w:val="183"/>
        </w:trPr>
        <w:tc>
          <w:tcPr>
            <w:tcW w:w="3040" w:type="dxa"/>
            <w:vAlign w:val="bottom"/>
          </w:tcPr>
          <w:p>
            <w:pPr>
              <w:ind w:left="20"/>
              <w:spacing w:after="0"/>
              <w:rPr>
                <w:sz w:val="20"/>
                <w:szCs w:val="20"/>
                <w:color w:val="auto"/>
              </w:rPr>
            </w:pPr>
            <w:r>
              <w:rPr>
                <w:rFonts w:ascii="Arial" w:cs="Arial" w:eastAsia="Arial" w:hAnsi="Arial"/>
                <w:sz w:val="13"/>
                <w:szCs w:val="13"/>
                <w:color w:val="auto"/>
              </w:rPr>
              <w:t>Julie O'Neill</w:t>
            </w:r>
          </w:p>
        </w:tc>
        <w:tc>
          <w:tcPr>
            <w:tcW w:w="8240" w:type="dxa"/>
            <w:vAlign w:val="bottom"/>
          </w:tcPr>
          <w:p>
            <w:pPr>
              <w:ind w:left="1560"/>
              <w:spacing w:after="0"/>
              <w:rPr>
                <w:sz w:val="20"/>
                <w:szCs w:val="20"/>
                <w:color w:val="auto"/>
              </w:rPr>
            </w:pPr>
            <w:r>
              <w:rPr>
                <w:rFonts w:ascii="Arial" w:cs="Arial" w:eastAsia="Arial" w:hAnsi="Arial"/>
                <w:sz w:val="13"/>
                <w:szCs w:val="13"/>
                <w:color w:val="auto"/>
              </w:rPr>
              <w:t>Director</w:t>
            </w:r>
          </w:p>
        </w:tc>
      </w:tr>
      <w:tr>
        <w:trPr>
          <w:trHeight w:val="199"/>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Mary Pendergast </w:t>
            </w:r>
            <w:r>
              <w:rPr>
                <w:rFonts w:ascii="Arial" w:cs="Arial" w:eastAsia="Arial" w:hAnsi="Arial"/>
                <w:sz w:val="16"/>
                <w:szCs w:val="16"/>
                <w:color w:val="auto"/>
                <w:vertAlign w:val="superscript"/>
              </w:rPr>
              <w:t>(2)</w:t>
            </w:r>
          </w:p>
        </w:tc>
        <w:tc>
          <w:tcPr>
            <w:tcW w:w="8240" w:type="dxa"/>
            <w:vAlign w:val="bottom"/>
            <w:shd w:val="clear" w:color="auto" w:fill="CCEEFF"/>
          </w:tcPr>
          <w:p>
            <w:pPr>
              <w:ind w:left="1560"/>
              <w:spacing w:after="0"/>
              <w:rPr>
                <w:sz w:val="20"/>
                <w:szCs w:val="20"/>
                <w:color w:val="auto"/>
              </w:rPr>
            </w:pPr>
            <w:r>
              <w:rPr>
                <w:rFonts w:ascii="Arial" w:cs="Arial" w:eastAsia="Arial" w:hAnsi="Arial"/>
                <w:sz w:val="13"/>
                <w:szCs w:val="13"/>
                <w:color w:val="auto"/>
              </w:rPr>
              <w:t>Director</w:t>
            </w:r>
          </w:p>
        </w:tc>
      </w:tr>
    </w:tbl>
    <w:p>
      <w:pPr>
        <w:spacing w:after="0" w:line="39" w:lineRule="exact"/>
        <w:rPr>
          <w:sz w:val="20"/>
          <w:szCs w:val="20"/>
          <w:color w:val="auto"/>
        </w:rPr>
      </w:pPr>
    </w:p>
    <w:p>
      <w:pPr>
        <w:ind w:left="260" w:hanging="255"/>
        <w:spacing w:after="0"/>
        <w:tabs>
          <w:tab w:leader="none" w:pos="260" w:val="left"/>
        </w:tabs>
        <w:numPr>
          <w:ilvl w:val="0"/>
          <w:numId w:val="1"/>
        </w:numPr>
        <w:rPr>
          <w:rFonts w:ascii="Arial" w:cs="Arial" w:eastAsia="Arial" w:hAnsi="Arial"/>
          <w:sz w:val="17"/>
          <w:szCs w:val="17"/>
          <w:color w:val="auto"/>
          <w:vertAlign w:val="superscript"/>
        </w:rPr>
      </w:pPr>
      <w:r>
        <w:rPr>
          <w:rFonts w:ascii="Arial" w:cs="Arial" w:eastAsia="Arial" w:hAnsi="Arial"/>
          <w:sz w:val="13"/>
          <w:szCs w:val="13"/>
          <w:color w:val="auto"/>
        </w:rPr>
        <w:t>Executive Officer of the Company.</w:t>
      </w:r>
    </w:p>
    <w:p>
      <w:pPr>
        <w:ind w:left="260" w:hanging="255"/>
        <w:spacing w:after="0" w:line="182" w:lineRule="auto"/>
        <w:tabs>
          <w:tab w:leader="none" w:pos="260" w:val="left"/>
        </w:tabs>
        <w:numPr>
          <w:ilvl w:val="0"/>
          <w:numId w:val="1"/>
        </w:numPr>
        <w:rPr>
          <w:rFonts w:ascii="Arial" w:cs="Arial" w:eastAsia="Arial" w:hAnsi="Arial"/>
          <w:sz w:val="17"/>
          <w:szCs w:val="17"/>
          <w:color w:val="auto"/>
          <w:vertAlign w:val="superscript"/>
        </w:rPr>
      </w:pPr>
      <w:r>
        <w:rPr>
          <w:rFonts w:ascii="Arial" w:cs="Arial" w:eastAsia="Arial" w:hAnsi="Arial"/>
          <w:sz w:val="13"/>
          <w:szCs w:val="13"/>
          <w:color w:val="auto"/>
        </w:rPr>
        <w:t>Member of Compensation and Organisation Committee.</w:t>
      </w:r>
    </w:p>
    <w:p>
      <w:pPr>
        <w:ind w:left="260" w:hanging="255"/>
        <w:spacing w:after="0" w:line="182" w:lineRule="auto"/>
        <w:tabs>
          <w:tab w:leader="none" w:pos="260" w:val="left"/>
        </w:tabs>
        <w:numPr>
          <w:ilvl w:val="0"/>
          <w:numId w:val="1"/>
        </w:numPr>
        <w:rPr>
          <w:rFonts w:ascii="Arial" w:cs="Arial" w:eastAsia="Arial" w:hAnsi="Arial"/>
          <w:sz w:val="17"/>
          <w:szCs w:val="17"/>
          <w:color w:val="auto"/>
          <w:vertAlign w:val="superscript"/>
        </w:rPr>
      </w:pPr>
      <w:r>
        <w:rPr>
          <w:rFonts w:ascii="Arial" w:cs="Arial" w:eastAsia="Arial" w:hAnsi="Arial"/>
          <w:sz w:val="13"/>
          <w:szCs w:val="13"/>
          <w:color w:val="auto"/>
        </w:rPr>
        <w:t>Member of Audit Committee.</w:t>
      </w:r>
    </w:p>
    <w:p>
      <w:pPr>
        <w:ind w:left="260" w:hanging="255"/>
        <w:spacing w:after="0" w:line="182" w:lineRule="auto"/>
        <w:tabs>
          <w:tab w:leader="none" w:pos="260" w:val="left"/>
        </w:tabs>
        <w:numPr>
          <w:ilvl w:val="0"/>
          <w:numId w:val="1"/>
        </w:numPr>
        <w:rPr>
          <w:rFonts w:ascii="Arial" w:cs="Arial" w:eastAsia="Arial" w:hAnsi="Arial"/>
          <w:sz w:val="17"/>
          <w:szCs w:val="17"/>
          <w:color w:val="auto"/>
          <w:vertAlign w:val="superscript"/>
        </w:rPr>
      </w:pPr>
      <w:r>
        <w:rPr>
          <w:rFonts w:ascii="Arial" w:cs="Arial" w:eastAsia="Arial" w:hAnsi="Arial"/>
          <w:sz w:val="13"/>
          <w:szCs w:val="13"/>
          <w:color w:val="auto"/>
        </w:rPr>
        <w:t>Member of Nominating and Governance Committee.</w:t>
      </w:r>
    </w:p>
    <w:p>
      <w:pPr>
        <w:ind w:left="260" w:hanging="255"/>
        <w:spacing w:after="0" w:line="188" w:lineRule="auto"/>
        <w:tabs>
          <w:tab w:leader="none" w:pos="260" w:val="left"/>
        </w:tabs>
        <w:numPr>
          <w:ilvl w:val="0"/>
          <w:numId w:val="1"/>
        </w:numPr>
        <w:rPr>
          <w:rFonts w:ascii="Arial" w:cs="Arial" w:eastAsia="Arial" w:hAnsi="Arial"/>
          <w:sz w:val="17"/>
          <w:szCs w:val="17"/>
          <w:color w:val="auto"/>
          <w:vertAlign w:val="superscript"/>
        </w:rPr>
      </w:pPr>
      <w:r>
        <w:rPr>
          <w:rFonts w:ascii="Arial" w:cs="Arial" w:eastAsia="Arial" w:hAnsi="Arial"/>
          <w:sz w:val="13"/>
          <w:szCs w:val="13"/>
          <w:color w:val="auto"/>
        </w:rPr>
        <w:t>Member of Execution Committee.</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 xml:space="preserve">Details required by Companies Act 2014, section 329, of Directors’ interests in the Group’s shares are set out in </w:t>
      </w:r>
      <w:r>
        <w:rPr>
          <w:rFonts w:ascii="Arial" w:cs="Arial" w:eastAsia="Arial" w:hAnsi="Arial"/>
          <w:sz w:val="13"/>
          <w:szCs w:val="13"/>
          <w:i w:val="1"/>
          <w:iCs w:val="1"/>
          <w:color w:val="auto"/>
        </w:rPr>
        <w:t>note 9</w:t>
      </w:r>
      <w:r>
        <w:rPr>
          <w:rFonts w:ascii="Arial" w:cs="Arial" w:eastAsia="Arial" w:hAnsi="Arial"/>
          <w:sz w:val="13"/>
          <w:szCs w:val="13"/>
          <w:color w:val="auto"/>
        </w:rPr>
        <w:t xml:space="preserve"> to the Consolidated Financial Statements. Mr Declan McKeon and Professor Dermot Kelleher resigned as directors on 23 July 2019. Ms Julie O'Neill was appointed as a director on 23 July 2019. All other Directors served for the entire year.</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remuneration</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Details of the Directors’ remuneration and interests are set out in </w:t>
      </w:r>
      <w:r>
        <w:rPr>
          <w:rFonts w:ascii="Arial" w:cs="Arial" w:eastAsia="Arial" w:hAnsi="Arial"/>
          <w:sz w:val="13"/>
          <w:szCs w:val="13"/>
          <w:i w:val="1"/>
          <w:iCs w:val="1"/>
          <w:color w:val="auto"/>
        </w:rPr>
        <w:t>notes 3</w:t>
      </w:r>
      <w:r>
        <w:rPr>
          <w:rFonts w:ascii="Arial" w:cs="Arial" w:eastAsia="Arial" w:hAnsi="Arial"/>
          <w:sz w:val="13"/>
          <w:szCs w:val="13"/>
          <w:color w:val="auto"/>
        </w:rPr>
        <w:t xml:space="preserve"> and </w:t>
      </w:r>
      <w:r>
        <w:rPr>
          <w:rFonts w:ascii="Arial" w:cs="Arial" w:eastAsia="Arial" w:hAnsi="Arial"/>
          <w:sz w:val="13"/>
          <w:szCs w:val="13"/>
          <w:i w:val="1"/>
          <w:iCs w:val="1"/>
          <w:color w:val="auto"/>
        </w:rPr>
        <w:t>9</w:t>
      </w:r>
      <w:r>
        <w:rPr>
          <w:rFonts w:ascii="Arial" w:cs="Arial" w:eastAsia="Arial" w:hAnsi="Arial"/>
          <w:sz w:val="13"/>
          <w:szCs w:val="13"/>
          <w:color w:val="auto"/>
        </w:rPr>
        <w:t xml:space="preserve"> to the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power to purchase and allot company shares</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Subject to the provisions of the Companies Act 2014, the Company may purchase any of its own shares. Every contract for the purchase of shares, or under which the Company may become entitled or obliged to purchase shares in the Company shall be authorised by a special resolution of the Company. The Company may cancel any shares so purchased or may hold them as treasury shares or re-issue them.</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A resolution was passed at the Company’s Annual General Meeting (“AGM”) on 22 July 2016, which authorised the Directors to purchase (buyback) up to 10% of the outstanding shares in the Company. This authorisation was renewed at the Company's AGM on each of 25 July 2017, 24 July 2018 and 23 July 2019. On 3 October 2016, the Company commenced a share buyback programme of up to $400 million. The share buyback programme was completed during the year ended 31 December 2018 with a total of 4,026,576 ordinary shares redeemed for a total consideration of $372.1 million. On 8 January 2019, the Company commenced a further share buyback programme of up to 1.0 million ordinary shares which was completed during the year ended 31 December 2019. These shares were redeemed by the Company for a total consideration of $141.6 million. On 22 October 2019, the Company commenced a further share buyback programme. At 31 December 2019, 35,100 ordinary shares were redeemed by the Company under this programme for a total consideration of $5.3 million.</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All ordinary shares that are redeemed under the buyback programme will be cancelled in accordance with the constitutional documents of the Company and the nominal value of these shares transferred to an undenominated capital fund as required under Irish Company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80"/>
          </w:cols>
          <w:pgMar w:left="300" w:top="887"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Rights and Obligations attaching to the Company’s shares</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authorised share capital of the Company is €6,000,000 divided into 100,000,000 ordinary shares of €0.06 at 31 December 2019. 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all assets available for distribution will be paid out to the holders of the Company's ordinary shares. Holders of ordinary shares have no conversion or redemption rights. On a show of hands, every holder of an ordinary share present in person or proxy at a general meeting of shareholders shall have one vote with no individual having more than one vote.</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 of control</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Certain of the Group’s customer contracts allow the customer to terminate the contract in the event of a change in control of the Company.</w:t>
      </w:r>
    </w:p>
    <w:p>
      <w:pPr>
        <w:jc w:val="both"/>
        <w:spacing w:after="0" w:line="244" w:lineRule="auto"/>
        <w:rPr>
          <w:sz w:val="20"/>
          <w:szCs w:val="20"/>
          <w:color w:val="auto"/>
        </w:rPr>
      </w:pPr>
      <w:r>
        <w:rPr>
          <w:rFonts w:ascii="Arial" w:cs="Arial" w:eastAsia="Arial" w:hAnsi="Arial"/>
          <w:sz w:val="13"/>
          <w:szCs w:val="13"/>
          <w:color w:val="auto"/>
        </w:rPr>
        <w:t xml:space="preserve">The Group has negotiated a banking facility with a number of financial institutions, details of which are set out in </w:t>
      </w:r>
      <w:r>
        <w:rPr>
          <w:rFonts w:ascii="Arial" w:cs="Arial" w:eastAsia="Arial" w:hAnsi="Arial"/>
          <w:sz w:val="13"/>
          <w:szCs w:val="13"/>
          <w:i w:val="1"/>
          <w:iCs w:val="1"/>
          <w:color w:val="auto"/>
        </w:rPr>
        <w:t>note 23</w:t>
      </w:r>
      <w:r>
        <w:rPr>
          <w:rFonts w:ascii="Arial" w:cs="Arial" w:eastAsia="Arial" w:hAnsi="Arial"/>
          <w:sz w:val="13"/>
          <w:szCs w:val="13"/>
          <w:color w:val="auto"/>
        </w:rPr>
        <w:t xml:space="preserve"> to the Consolidated Financial Statements. This facility requires repayment in the event that the Company becomes controlled by any person or persons acting in concert by whom it was not controlled at the date the facility was entered into.</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Furthermore certain Group companies have entered capital grant agreements with the Irish government agency, Enterprise Ireland, whereby the Group covenants that the controlling interest in the Company will not change without Enterprise Ireland’s prior written consent, which will not be unreasonably withheld.</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Additionally, the Company's share option and restricted share unit plans contain change in control provisions which provide for the acceleration of the vesting and exercisability of outstanding options and awards of restricted share units in the event that a change in control occurs with respect to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Governance</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Company is listed on the NASDAQ Global Select Market. The Company complies with the corporate governance listing requirements under the NASDAQ marketplace rules. NASDAQ may provide exemptions from certain NASDAQ corporate governance standards to a foreign private issuer in certain circumstances provided that the foreign private issuer properly notifies NASDAQ and makes the required disclosure except to the extent that such exemptions would be contrary to United States federal securities laws.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The exemptions that the Company relies on, and the practices the Company adheres to, are as follows:</w:t>
      </w:r>
    </w:p>
    <w:p>
      <w:pPr>
        <w:spacing w:after="0" w:line="190" w:lineRule="exact"/>
        <w:rPr>
          <w:sz w:val="20"/>
          <w:szCs w:val="20"/>
          <w:color w:val="auto"/>
        </w:rPr>
      </w:pPr>
    </w:p>
    <w:p>
      <w:pPr>
        <w:jc w:val="both"/>
        <w:ind w:left="760" w:hanging="246"/>
        <w:spacing w:after="0"/>
        <w:tabs>
          <w:tab w:leader="none" w:pos="751"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Constitution requires that only 3 members be present, in person or by proxy, at a shareholder meeting to constitute a quorum. This quorum requirement is in accordance with Irish law and generally accepted business practices in Ireland.</w:t>
      </w:r>
    </w:p>
    <w:p>
      <w:pPr>
        <w:spacing w:after="0" w:line="187" w:lineRule="exact"/>
        <w:rPr>
          <w:rFonts w:ascii="Arial" w:cs="Arial" w:eastAsia="Arial" w:hAnsi="Arial"/>
          <w:sz w:val="13"/>
          <w:szCs w:val="13"/>
          <w:color w:val="auto"/>
        </w:rPr>
      </w:pPr>
    </w:p>
    <w:p>
      <w:pPr>
        <w:ind w:left="760" w:hanging="246"/>
        <w:spacing w:after="0" w:line="239" w:lineRule="auto"/>
        <w:tabs>
          <w:tab w:leader="none" w:pos="751"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2019 Consultants and Directors Restricted Share Unit Plan, the 2013 Employees Restricted Share Unit Plan and the amendments to the Employee Share Option Plan 2008 and Consultants Share Option Plan 2008 were adopted by the Board of Directors without shareholder approval.</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80"/>
          </w:cols>
          <w:pgMar w:left="300" w:top="887"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left="760" w:hanging="246"/>
        <w:spacing w:after="0"/>
        <w:tabs>
          <w:tab w:leader="none" w:pos="751"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 and the Lead Independent Director may call meetings of the independent directors and non-employee directors of the Board, as appropriate, in accordance with the Lead Independent Director Charter.</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The Company's practices with regard to these requirements are not prohibited by Irish law.</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Committee</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Audit Committee meets a minimum of four times a year. It reviews the quarterly and annual financial statements, the effectiveness of the system of internal control (including the arrangement for the Company’s employees to raise concerns in confidence about financial inappropriateness) and recommends the appointment and removal of the external auditors. It monitors the adequacy of internal accounting practices and addresses all issues raised and recommendations made by the external auditors. The Audit Committee pre-approves all audit and non-audit services provided to the Company by its external auditors on a quarterly basis. The Audit Committee, on a case by case basis, may approve additional services not covered by the quarterly pre-approval, as the need for such services arises. The Audit Committee reviews all services which are provided by the external auditor to review the independence and objectivity of the external auditor, taking into consideration relevant professional and regulatory requirements. The Chief Financial Officer, the Head of Internal Audit, the General Counsel and the external auditors normally attend all meetings of the Audit Committee and have direct access to the Committee Chairman at all times. At 31 December 2019, the Audit Committee was comprised of three independent Directors: Rónán Murphy (Chairperson), Professor Hugh Brady and Eugene McCague. Declan McKeon stepped down as Chairperson and Rónán Murphy assumed the position of Chairperson with effect from 19 February 2019. Declan McKeon stepped down as member of the Committee on 22 July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620" w:type="dxa"/>
            <w:vAlign w:val="bottom"/>
          </w:tcPr>
          <w:p>
            <w:pPr>
              <w:spacing w:after="0"/>
              <w:rPr>
                <w:sz w:val="20"/>
                <w:szCs w:val="20"/>
                <w:color w:val="auto"/>
              </w:rPr>
            </w:pPr>
            <w:r>
              <w:rPr>
                <w:rFonts w:ascii="Arial" w:cs="Arial" w:eastAsia="Arial" w:hAnsi="Arial"/>
                <w:sz w:val="13"/>
                <w:szCs w:val="13"/>
                <w:b w:val="1"/>
                <w:bCs w:val="1"/>
                <w:color w:val="auto"/>
              </w:rPr>
              <w:t>Significant shareholdings</w:t>
            </w: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40"/>
        </w:trPr>
        <w:tc>
          <w:tcPr>
            <w:tcW w:w="8620" w:type="dxa"/>
            <w:vAlign w:val="bottom"/>
          </w:tcPr>
          <w:p>
            <w:pPr>
              <w:spacing w:after="0"/>
              <w:rPr>
                <w:sz w:val="20"/>
                <w:szCs w:val="20"/>
                <w:color w:val="auto"/>
              </w:rPr>
            </w:pPr>
            <w:r>
              <w:rPr>
                <w:rFonts w:ascii="Arial" w:cs="Arial" w:eastAsia="Arial" w:hAnsi="Arial"/>
                <w:sz w:val="13"/>
                <w:szCs w:val="13"/>
                <w:color w:val="auto"/>
              </w:rPr>
              <w:t>The Company has been notified of the following shareholdings in excess of 3% of the issued share capital of the Company as at 31 December 2019:</w:t>
            </w:r>
          </w:p>
        </w:tc>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79"/>
        </w:trPr>
        <w:tc>
          <w:tcPr>
            <w:tcW w:w="86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40" w:type="dxa"/>
            <w:vAlign w:val="bottom"/>
          </w:tcPr>
          <w:p>
            <w:pPr>
              <w:spacing w:after="0"/>
              <w:rPr>
                <w:sz w:val="6"/>
                <w:szCs w:val="6"/>
                <w:color w:val="auto"/>
              </w:rPr>
            </w:pPr>
          </w:p>
        </w:tc>
      </w:tr>
      <w:tr>
        <w:trPr>
          <w:trHeight w:val="191"/>
        </w:trPr>
        <w:tc>
          <w:tcPr>
            <w:tcW w:w="8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102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Number of Shares</w:t>
            </w:r>
          </w:p>
        </w:tc>
      </w:tr>
      <w:tr>
        <w:trPr>
          <w:trHeight w:val="202"/>
        </w:trPr>
        <w:tc>
          <w:tcPr>
            <w:tcW w:w="8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r>
      <w:tr>
        <w:trPr>
          <w:trHeight w:val="174"/>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Wellington Management Company LLP</w:t>
            </w:r>
          </w:p>
        </w:tc>
        <w:tc>
          <w:tcPr>
            <w:tcW w:w="10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7.09</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3,800,959</w:t>
            </w:r>
          </w:p>
        </w:tc>
      </w:tr>
      <w:tr>
        <w:trPr>
          <w:trHeight w:val="182"/>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WCM Investment Management</w:t>
            </w: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6.79</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3,643,211</w:t>
            </w:r>
          </w:p>
        </w:tc>
      </w:tr>
      <w:tr>
        <w:trPr>
          <w:trHeight w:val="182"/>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ClearBridge Investments, LLC</w:t>
            </w:r>
          </w:p>
        </w:tc>
        <w:tc>
          <w:tcPr>
            <w:tcW w:w="10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4.99</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2,675,763</w:t>
            </w:r>
          </w:p>
        </w:tc>
      </w:tr>
      <w:tr>
        <w:trPr>
          <w:trHeight w:val="182"/>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Renaissance Technologies LLC</w:t>
            </w: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4.38</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2,347,059</w:t>
            </w:r>
          </w:p>
        </w:tc>
      </w:tr>
      <w:tr>
        <w:trPr>
          <w:trHeight w:val="182"/>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AllianceBernstein LP</w:t>
            </w:r>
          </w:p>
        </w:tc>
        <w:tc>
          <w:tcPr>
            <w:tcW w:w="10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4.06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2,177,170</w:t>
            </w:r>
          </w:p>
        </w:tc>
      </w:tr>
      <w:tr>
        <w:trPr>
          <w:trHeight w:val="182"/>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Acadian Asset Management LLC</w:t>
            </w: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3.93</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2,108,952</w:t>
            </w:r>
          </w:p>
        </w:tc>
      </w:tr>
      <w:tr>
        <w:trPr>
          <w:trHeight w:val="182"/>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EARNEST Partners LLC</w:t>
            </w:r>
          </w:p>
        </w:tc>
        <w:tc>
          <w:tcPr>
            <w:tcW w:w="10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3.83</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2,053,089</w:t>
            </w:r>
          </w:p>
        </w:tc>
      </w:tr>
      <w:tr>
        <w:trPr>
          <w:trHeight w:val="182"/>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Comgest S.A.</w:t>
            </w: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3.28</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1,760,847</w:t>
            </w:r>
          </w:p>
        </w:tc>
      </w:tr>
      <w:tr>
        <w:trPr>
          <w:trHeight w:val="182"/>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Wasatch Global Investors Inc.</w:t>
            </w:r>
          </w:p>
        </w:tc>
        <w:tc>
          <w:tcPr>
            <w:tcW w:w="10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3.02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1,618,371</w:t>
            </w:r>
          </w:p>
        </w:tc>
      </w:tr>
      <w:tr>
        <w:trPr>
          <w:trHeight w:val="182"/>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Oddo BHF Asset Management S.A.S.</w:t>
            </w: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3.01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1,611,710</w:t>
            </w:r>
          </w:p>
        </w:tc>
      </w:tr>
      <w:tr>
        <w:trPr>
          <w:trHeight w:val="189"/>
        </w:trPr>
        <w:tc>
          <w:tcPr>
            <w:tcW w:w="8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All Directors and Officers as a group </w:t>
            </w:r>
            <w:r>
              <w:rPr>
                <w:rFonts w:ascii="Arial" w:cs="Arial" w:eastAsia="Arial" w:hAnsi="Arial"/>
                <w:sz w:val="16"/>
                <w:szCs w:val="16"/>
                <w:color w:val="auto"/>
                <w:vertAlign w:val="superscript"/>
              </w:rPr>
              <w:t>(1)</w:t>
            </w:r>
          </w:p>
        </w:tc>
        <w:tc>
          <w:tcPr>
            <w:tcW w:w="10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2.38</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1,278,374</w:t>
            </w:r>
          </w:p>
        </w:tc>
      </w:tr>
    </w:tbl>
    <w:p>
      <w:pPr>
        <w:spacing w:after="0" w:line="267" w:lineRule="exact"/>
        <w:rPr>
          <w:sz w:val="20"/>
          <w:szCs w:val="20"/>
          <w:color w:val="auto"/>
        </w:rPr>
      </w:pPr>
    </w:p>
    <w:p>
      <w:pPr>
        <w:jc w:val="both"/>
        <w:ind w:left="260" w:hanging="255"/>
        <w:spacing w:after="0" w:line="218" w:lineRule="auto"/>
        <w:tabs>
          <w:tab w:leader="none" w:pos="255" w:val="left"/>
        </w:tabs>
        <w:numPr>
          <w:ilvl w:val="0"/>
          <w:numId w:val="4"/>
        </w:numPr>
        <w:rPr>
          <w:rFonts w:ascii="Arial" w:cs="Arial" w:eastAsia="Arial" w:hAnsi="Arial"/>
          <w:sz w:val="17"/>
          <w:szCs w:val="17"/>
          <w:color w:val="auto"/>
          <w:vertAlign w:val="superscript"/>
        </w:rPr>
      </w:pPr>
      <w:r>
        <w:rPr>
          <w:rFonts w:ascii="Arial" w:cs="Arial" w:eastAsia="Arial" w:hAnsi="Arial"/>
          <w:sz w:val="13"/>
          <w:szCs w:val="13"/>
          <w:color w:val="auto"/>
        </w:rPr>
        <w:t>Includes 449,372 ordinary shares issuable upon the exercise of stock options granted by the Company, 46,439 restricted stock units (“RSUs”) awarded by the Company to directors, officers and other key employees and 126,726 performance share units (“PSUs”) awarded by the Company to Directors, officers and other key employees. Of the issued PSUs, performance conditions will determine how many of them vest and, if performance targets are exceeded, additional PSUs will be issued and vest in accordance with the terms of the relevant PSU award.</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Subsidiary undertakings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information required by the Companies Act in relation to subsidiary undertakings is presented in </w:t>
      </w:r>
      <w:r>
        <w:rPr>
          <w:rFonts w:ascii="Arial" w:cs="Arial" w:eastAsia="Arial" w:hAnsi="Arial"/>
          <w:sz w:val="13"/>
          <w:szCs w:val="13"/>
          <w:i w:val="1"/>
          <w:iCs w:val="1"/>
          <w:color w:val="auto"/>
        </w:rPr>
        <w:t>note 32 Subsidiary undertakings</w:t>
      </w:r>
      <w:r>
        <w:rPr>
          <w:rFonts w:ascii="Arial" w:cs="Arial" w:eastAsia="Arial" w:hAnsi="Arial"/>
          <w:sz w:val="13"/>
          <w:szCs w:val="13"/>
          <w:color w:val="auto"/>
        </w:rPr>
        <w:t xml:space="preserve"> to the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80"/>
          </w:cols>
          <w:pgMar w:left="300" w:top="887"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Political donations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The Group made no disclosable political donations in the period.</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Going concern</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Directors have a reasonable expectation that the Group has adequate resources to continue in operation for the foreseeable future. For this reason, the Group continues to adopt the going concern basis in preparing the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records</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The Directors are responsible for ensuring that adequate accounting records as outlined in Section 281-285 of the Companies Act, are kept by the Company. The Directors are also responsible for the preparation of the Annual Report. The Directors have appointed professionally qualified accounting personnel with appropriate expertise and have provided adequate resources to the finance function in order to ensure that those requirements are met. The accounting records of the Company are maintained at the Group’s principal executive offices at its registered office at Leopardstown, Dublin 18.</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Statement of relevant audit information</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Directors believe that they have taken all steps necessary to make themselves aware of any relevant audit information and have established that the Company's statutory auditors are aware of that information. In so far as they are aware, there is no relevant audit information of which the Company's statutory auditors are unaware.</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Disclosure of non-financial information</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European Union (Disclosure of Non-Financial and Diversity Information by certain large undertakings and groups) Regulations 2017 require disclosure of certain non-financial information by certain large undertakings and groups.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We have sought to address the requirements of the legislation in the sections following.</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 Model</w:t>
      </w:r>
    </w:p>
    <w:p>
      <w:pPr>
        <w:spacing w:after="0" w:line="153"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Our mission is to help our customers accelerate the development of drugs and devices that save lives and improve the quality of life. We help our customers deliver life-changing medicines by being innovative in our solutions, collaborative in how we work as teams, accountable for the results we achieve and committed to doing the right thing for our customers and the patients they serve.</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Our business model is described in the ‘Principal activities, business review and future developments’ section of the Directors’ Report.</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80"/>
          </w:cols>
          <w:pgMar w:left="300" w:top="887"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478790</wp:posOffset>
            </wp:positionV>
            <wp:extent cx="4473575" cy="25126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7357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Our core values underpin our mission and drive a culture and mind-set of ownership at ICON. “Own it @ ICON” is how we define our culture. Our culture of ownership connects us to the core values at the heart of the Company and helps us differentiate how we work with our customers to achieve their goals.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Our values are:</w:t>
      </w:r>
    </w:p>
    <w:p>
      <w:pPr>
        <w:spacing w:after="0" w:line="147" w:lineRule="exact"/>
        <w:rPr>
          <w:sz w:val="20"/>
          <w:szCs w:val="20"/>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Accountability &amp; delivery: We take pride in what we do</w:t>
      </w: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Collaboration: We are one team</w:t>
      </w: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Partnership: We partner with our customers</w:t>
      </w: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Integrity: We do the right thing</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Our values underpin how we work together to deliver on our mission to help our customers accelerate the development of drugs and devices that save lives and improve the quality of life. These values and our Code of Ethical Conduct, which underpins these values, form the core of everything we do. It applies to all officers, directors, employees, consultants and agents globally. All employees and temporary workers are mandated to complete global ethics training.</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Environmental matters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ICON is committed to delivering excellence and care to the communities in which we operate</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During 2019, ICON established an Environmental, Social, and Governance Committee ('ESG Committee'). The ESG Committee is chaired by the Chief Administrative Officer ('CAO') of the Group. The CAO is responsible for reporting to the ICON leadership team and Board on ESG matters.</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purpose of the ESG Committee is to support the Company's on-going commitment to the environment, social matters, health and safety, corporate social responsibility, corporate governance, sustainability and other public policy matters relevant to the Company.</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The ESG Committee is a cross-functional management committee of the Company with representation from facilities, corporate communications, finance, legal, investor relations and human resources departments. The Committee assists and supports executive management and the Board of the Company in;</w:t>
      </w:r>
    </w:p>
    <w:p>
      <w:pPr>
        <w:ind w:left="1020" w:hanging="251"/>
        <w:spacing w:after="0"/>
        <w:tabs>
          <w:tab w:leader="none" w:pos="1020" w:val="left"/>
        </w:tabs>
        <w:numPr>
          <w:ilvl w:val="0"/>
          <w:numId w:val="6"/>
        </w:numPr>
        <w:rPr>
          <w:rFonts w:ascii="Arial" w:cs="Arial" w:eastAsia="Arial" w:hAnsi="Arial"/>
          <w:sz w:val="13"/>
          <w:szCs w:val="13"/>
          <w:color w:val="auto"/>
        </w:rPr>
      </w:pPr>
      <w:r>
        <w:rPr>
          <w:rFonts w:ascii="Arial" w:cs="Arial" w:eastAsia="Arial" w:hAnsi="Arial"/>
          <w:sz w:val="13"/>
          <w:szCs w:val="13"/>
          <w:color w:val="auto"/>
        </w:rPr>
        <w:t>determining and setting the strategy relating to ESG matters and</w:t>
      </w:r>
    </w:p>
    <w:p>
      <w:pPr>
        <w:ind w:left="1020" w:hanging="251"/>
        <w:spacing w:after="0"/>
        <w:tabs>
          <w:tab w:leader="none" w:pos="1020" w:val="left"/>
        </w:tabs>
        <w:numPr>
          <w:ilvl w:val="0"/>
          <w:numId w:val="6"/>
        </w:numPr>
        <w:rPr>
          <w:rFonts w:ascii="Arial" w:cs="Arial" w:eastAsia="Arial" w:hAnsi="Arial"/>
          <w:sz w:val="13"/>
          <w:szCs w:val="13"/>
          <w:color w:val="auto"/>
        </w:rPr>
      </w:pPr>
      <w:r>
        <w:rPr>
          <w:rFonts w:ascii="Arial" w:cs="Arial" w:eastAsia="Arial" w:hAnsi="Arial"/>
          <w:sz w:val="13"/>
          <w:szCs w:val="13"/>
          <w:color w:val="auto"/>
        </w:rPr>
        <w:t>developing, implementing and monitoring initiatives and policies based on that strategy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80"/>
          </w:cols>
          <w:pgMar w:left="300" w:top="887"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ICON is committed to delivering excellence and care to the communities in which we operate. This includes conducting our business in an environmentally sustainable manner as set out in our Global Code of Ethical Conduct. We achieve this by managing and improving our environmental performance across all business activities. Our employees, directors, officers, contractors, and temporary workers are expected to support our sustainability objectives.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As a Clinical Research Organization, we recognize the impact of how we operate on the environment in the following key areas:</w:t>
      </w:r>
    </w:p>
    <w:p>
      <w:pPr>
        <w:spacing w:after="0" w:line="136" w:lineRule="exact"/>
        <w:rPr>
          <w:sz w:val="20"/>
          <w:szCs w:val="20"/>
          <w:color w:val="auto"/>
        </w:rPr>
      </w:pPr>
    </w:p>
    <w:p>
      <w:pPr>
        <w:ind w:left="1020" w:hanging="506"/>
        <w:spacing w:after="0"/>
        <w:tabs>
          <w:tab w:leader="none" w:pos="1020" w:val="left"/>
        </w:tabs>
        <w:numPr>
          <w:ilvl w:val="0"/>
          <w:numId w:val="7"/>
        </w:numPr>
        <w:rPr>
          <w:rFonts w:ascii="Arial" w:cs="Arial" w:eastAsia="Arial" w:hAnsi="Arial"/>
          <w:sz w:val="13"/>
          <w:szCs w:val="13"/>
          <w:color w:val="auto"/>
        </w:rPr>
      </w:pPr>
      <w:r>
        <w:rPr>
          <w:rFonts w:ascii="Arial" w:cs="Arial" w:eastAsia="Arial" w:hAnsi="Arial"/>
          <w:sz w:val="13"/>
          <w:szCs w:val="13"/>
          <w:color w:val="auto"/>
        </w:rPr>
        <w:t>energy use;</w:t>
      </w:r>
    </w:p>
    <w:p>
      <w:pPr>
        <w:ind w:left="1020" w:hanging="506"/>
        <w:spacing w:after="0"/>
        <w:tabs>
          <w:tab w:leader="none" w:pos="1020" w:val="left"/>
        </w:tabs>
        <w:numPr>
          <w:ilvl w:val="0"/>
          <w:numId w:val="7"/>
        </w:numPr>
        <w:rPr>
          <w:rFonts w:ascii="Arial" w:cs="Arial" w:eastAsia="Arial" w:hAnsi="Arial"/>
          <w:sz w:val="13"/>
          <w:szCs w:val="13"/>
          <w:color w:val="auto"/>
        </w:rPr>
      </w:pPr>
      <w:r>
        <w:rPr>
          <w:rFonts w:ascii="Arial" w:cs="Arial" w:eastAsia="Arial" w:hAnsi="Arial"/>
          <w:sz w:val="13"/>
          <w:szCs w:val="13"/>
          <w:color w:val="auto"/>
        </w:rPr>
        <w:t>waste generation;</w:t>
      </w:r>
    </w:p>
    <w:p>
      <w:pPr>
        <w:ind w:left="1020" w:hanging="506"/>
        <w:spacing w:after="0"/>
        <w:tabs>
          <w:tab w:leader="none" w:pos="1020" w:val="left"/>
        </w:tabs>
        <w:numPr>
          <w:ilvl w:val="0"/>
          <w:numId w:val="7"/>
        </w:numPr>
        <w:rPr>
          <w:rFonts w:ascii="Arial" w:cs="Arial" w:eastAsia="Arial" w:hAnsi="Arial"/>
          <w:sz w:val="13"/>
          <w:szCs w:val="13"/>
          <w:color w:val="auto"/>
        </w:rPr>
      </w:pPr>
      <w:r>
        <w:rPr>
          <w:rFonts w:ascii="Arial" w:cs="Arial" w:eastAsia="Arial" w:hAnsi="Arial"/>
          <w:sz w:val="13"/>
          <w:szCs w:val="13"/>
          <w:color w:val="auto"/>
        </w:rPr>
        <w:t>emissions to air/water;</w:t>
      </w:r>
    </w:p>
    <w:p>
      <w:pPr>
        <w:ind w:left="1020" w:hanging="506"/>
        <w:spacing w:after="0"/>
        <w:tabs>
          <w:tab w:leader="none" w:pos="1020" w:val="left"/>
        </w:tabs>
        <w:numPr>
          <w:ilvl w:val="0"/>
          <w:numId w:val="7"/>
        </w:numPr>
        <w:rPr>
          <w:rFonts w:ascii="Arial" w:cs="Arial" w:eastAsia="Arial" w:hAnsi="Arial"/>
          <w:sz w:val="13"/>
          <w:szCs w:val="13"/>
          <w:color w:val="auto"/>
        </w:rPr>
      </w:pPr>
      <w:r>
        <w:rPr>
          <w:rFonts w:ascii="Arial" w:cs="Arial" w:eastAsia="Arial" w:hAnsi="Arial"/>
          <w:sz w:val="13"/>
          <w:szCs w:val="13"/>
          <w:color w:val="auto"/>
        </w:rPr>
        <w:t>water use;</w:t>
      </w:r>
    </w:p>
    <w:p>
      <w:pPr>
        <w:ind w:left="1020" w:hanging="506"/>
        <w:spacing w:after="0"/>
        <w:tabs>
          <w:tab w:leader="none" w:pos="1020" w:val="left"/>
        </w:tabs>
        <w:numPr>
          <w:ilvl w:val="0"/>
          <w:numId w:val="7"/>
        </w:numPr>
        <w:rPr>
          <w:rFonts w:ascii="Arial" w:cs="Arial" w:eastAsia="Arial" w:hAnsi="Arial"/>
          <w:sz w:val="13"/>
          <w:szCs w:val="13"/>
          <w:color w:val="auto"/>
        </w:rPr>
      </w:pPr>
      <w:r>
        <w:rPr>
          <w:rFonts w:ascii="Arial" w:cs="Arial" w:eastAsia="Arial" w:hAnsi="Arial"/>
          <w:sz w:val="13"/>
          <w:szCs w:val="13"/>
          <w:color w:val="auto"/>
        </w:rPr>
        <w:t>transport; and</w:t>
      </w:r>
    </w:p>
    <w:p>
      <w:pPr>
        <w:ind w:left="1020" w:hanging="506"/>
        <w:spacing w:after="0"/>
        <w:tabs>
          <w:tab w:leader="none" w:pos="1020" w:val="left"/>
        </w:tabs>
        <w:numPr>
          <w:ilvl w:val="0"/>
          <w:numId w:val="7"/>
        </w:numPr>
        <w:rPr>
          <w:rFonts w:ascii="Arial" w:cs="Arial" w:eastAsia="Arial" w:hAnsi="Arial"/>
          <w:sz w:val="13"/>
          <w:szCs w:val="13"/>
          <w:color w:val="auto"/>
        </w:rPr>
      </w:pPr>
      <w:r>
        <w:rPr>
          <w:rFonts w:ascii="Arial" w:cs="Arial" w:eastAsia="Arial" w:hAnsi="Arial"/>
          <w:sz w:val="13"/>
          <w:szCs w:val="13"/>
          <w:color w:val="auto"/>
        </w:rPr>
        <w:t>procurement.</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Our Global Environmental Management Policy and Environmental Management Plan were approved during 2018. Our Environmental Management Plan and Performance Statement sets out the environmental actions and targets we will carry out to ensure compliance with our Global Environmental Management Policy and to engage our employees in supporting our objectives for continued improvement. Our Environmental Performance Statement is available to employees and our customers. The plan sets out our commitment to conducting our business in an environmentally sustainable manner by managing and improving our environmental performance across all business activities. Our plan sets out our initiatives and goals for the next four years.</w:t>
      </w:r>
    </w:p>
    <w:p>
      <w:pPr>
        <w:spacing w:after="0" w:line="13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Responsibilities for the implementation of our objectives and co-ordination of our sustainability efforts and reporting on progress to the executive leadership is led by our facilities team, reporting to our Global Chief Administrative Officer and General Counsel, with input from our procurement, global legal, corporate communications and human resources teams through our ESG Committee.</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track, calculate and report our carbon footprint and use the information available to continue to improve our processes and reduce our impact. We follow the Greenhouse Gas (GHG) Protocol Corporate Standard, which is the global corporate accounting and reporting standard for calculating carbon emissions. We have more than 80 facilities globally which operate in office buildings, where the primary energy consumption is electricity for light and heating, ventilation and air conditioning systems. Our central laboratories also operate laboratory instruments.</w:t>
      </w:r>
    </w:p>
    <w:p>
      <w:pPr>
        <w:spacing w:after="0" w:line="13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Where we have direct control over the buildings we operate, we ensure energy efficient lighting solutions. Where we do not have direct control over our facilities, we work with our landlords and other stakeholders to encourage energy efficient lighting solutions. We also work hard to extend the useful life of our equipment and ensure appropriate disposal of assets when decommissioned.</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people are expected to support our waste management and disposal programmes and one of the goals of our environmental management policy is to reduce our impact. During 2018 we commenced the development of a global waste management system, which has been maintained during 2019.</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3"/>
          <w:szCs w:val="13"/>
          <w:color w:val="auto"/>
        </w:rPr>
        <w:t>Reflecting our continued commitment to sustainable practices, we have included an annual 'sustainability month' in our calendar since 2017. The focus of the month is to promote best practices and highlight sustainable activities across all of our offices and locations. This focus together with the introduction of increased recycling facilities at our key sites contributed to our objectives to reduce waste during 2019. We continue to work to increase the number of our offices engaging in waste reduction strategies in all areas. We have replaced disposable coffee cups with reusable alternatives and developed objectives relating to reduced paper consumption through the use of electronic documents and signatures.</w:t>
      </w:r>
    </w:p>
    <w:p>
      <w:pPr>
        <w:spacing w:after="0" w:line="13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actively promote the use of technology and teleconferencing facilities in our efforts to reduce travel and commuting activities. During sustainability month, our people were encouraged to car share and utilize public transport. We include air travel miles in our carbon footprint monitoring.</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Our internal portals include a MyICON page on Environment and Sustainability which reflects policy, practice, promotions and updates on our commitment to sustainability.</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also require our suppliers to abide by our Global Supplier Code of Conduct which includes a commitment to comply with applicable environmental laws and regulations, our expectations around waste management and sustainable use of resources.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80"/>
          </w:cols>
          <w:pgMar w:left="300" w:top="887" w:right="31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Principal risks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Although the risks associated with environmental matters are actively monitored, ICON does not believe these risks meet the threshold of a principal risk for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Social and Employee matters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Corporate Social Responsibility ('CSR') initiatives are aligned with ICON’s values</w:t>
      </w:r>
    </w:p>
    <w:p>
      <w:pPr>
        <w:spacing w:after="0" w:line="162"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ICON supports a variety of CSR programmes. Our programmes aim to make a positive difference to the communities in which we work and live and also recognise the enthusiasm and creativity of our people in their efforts to give something back to their communities.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Our CSR activities are focused on two core areas:</w:t>
      </w:r>
    </w:p>
    <w:p>
      <w:pPr>
        <w:spacing w:after="0" w:line="136" w:lineRule="exact"/>
        <w:rPr>
          <w:sz w:val="20"/>
          <w:szCs w:val="20"/>
          <w:color w:val="auto"/>
        </w:rPr>
      </w:pP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Supporting education &amp; building closer ties between industry &amp; academia; and</w:t>
      </w: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Improving the welfare of people in the communities in which we live.</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Supporting education &amp; building closer ties between industry &amp; academia</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ICON is a strong supporter of bridging the ties between industry and academia and inspiring the next generation of business and scientific leaders.</w:t>
      </w:r>
    </w:p>
    <w:p>
      <w:pPr>
        <w:spacing w:after="0" w:line="121" w:lineRule="exact"/>
        <w:rPr>
          <w:sz w:val="20"/>
          <w:szCs w:val="20"/>
          <w:color w:val="auto"/>
        </w:rPr>
      </w:pPr>
    </w:p>
    <w:p>
      <w:pPr>
        <w:jc w:val="both"/>
        <w:ind w:left="520" w:hanging="260"/>
        <w:spacing w:after="0" w:line="249" w:lineRule="auto"/>
        <w:tabs>
          <w:tab w:leader="none" w:pos="511"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Benefactor through the Centuries of Trinity College Dublin </w:t>
      </w:r>
      <w:r>
        <w:rPr>
          <w:rFonts w:ascii="Arial" w:cs="Arial" w:eastAsia="Arial" w:hAnsi="Arial"/>
          <w:sz w:val="13"/>
          <w:szCs w:val="13"/>
          <w:color w:val="auto"/>
        </w:rPr>
        <w:t>- In February 2020, ICON was recognised as a benefactor of Trinity College Dublin in recognition of the creation of the ICON</w:t>
      </w:r>
      <w:r>
        <w:rPr>
          <w:rFonts w:ascii="Arial" w:cs="Arial" w:eastAsia="Arial" w:hAnsi="Arial"/>
          <w:sz w:val="13"/>
          <w:szCs w:val="13"/>
          <w:b w:val="1"/>
          <w:bCs w:val="1"/>
          <w:color w:val="auto"/>
        </w:rPr>
        <w:t xml:space="preserve"> </w:t>
      </w:r>
      <w:r>
        <w:rPr>
          <w:rFonts w:ascii="Arial" w:cs="Arial" w:eastAsia="Arial" w:hAnsi="Arial"/>
          <w:sz w:val="13"/>
          <w:szCs w:val="13"/>
          <w:color w:val="auto"/>
        </w:rPr>
        <w:t>McKeon Research Fellowship in Motor Neuron Disease in recognition of Declan McKeon, former Board member, acting Chairman, Lead Independent Director and Chair of the ICON Audit committee. The ICON-McKeon Research Fellow in MND will carry out research in the areas of machine-learning and artificial intelligence to derive insights from multimodal clinical, imaging neuro-electric signaling, in the context of the neurodegenerative disease of ALS.</w:t>
      </w:r>
    </w:p>
    <w:p>
      <w:pPr>
        <w:spacing w:after="0" w:line="111" w:lineRule="exact"/>
        <w:rPr>
          <w:rFonts w:ascii="Arial" w:cs="Arial" w:eastAsia="Arial" w:hAnsi="Arial"/>
          <w:sz w:val="13"/>
          <w:szCs w:val="13"/>
          <w:b w:val="1"/>
          <w:bCs w:val="1"/>
          <w:color w:val="auto"/>
        </w:rPr>
      </w:pPr>
    </w:p>
    <w:p>
      <w:pPr>
        <w:ind w:left="520" w:hanging="260"/>
        <w:spacing w:after="0" w:line="270" w:lineRule="auto"/>
        <w:tabs>
          <w:tab w:leader="none" w:pos="511"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Strategic Partnership with University College Dublin. </w:t>
      </w:r>
      <w:r>
        <w:rPr>
          <w:rFonts w:ascii="Arial" w:cs="Arial" w:eastAsia="Arial" w:hAnsi="Arial"/>
          <w:sz w:val="13"/>
          <w:szCs w:val="13"/>
          <w:color w:val="auto"/>
        </w:rPr>
        <w:t>ICON has been engaged in a strategic partnership with UCD since 2012, which has been heralded as a model for industry-academia</w:t>
      </w:r>
      <w:r>
        <w:rPr>
          <w:rFonts w:ascii="Arial" w:cs="Arial" w:eastAsia="Arial" w:hAnsi="Arial"/>
          <w:sz w:val="13"/>
          <w:szCs w:val="13"/>
          <w:b w:val="1"/>
          <w:bCs w:val="1"/>
          <w:color w:val="auto"/>
        </w:rPr>
        <w:t xml:space="preserve"> </w:t>
      </w:r>
      <w:r>
        <w:rPr>
          <w:rFonts w:ascii="Arial" w:cs="Arial" w:eastAsia="Arial" w:hAnsi="Arial"/>
          <w:sz w:val="13"/>
          <w:szCs w:val="13"/>
          <w:color w:val="auto"/>
        </w:rPr>
        <w:t>collaboration.</w:t>
      </w:r>
    </w:p>
    <w:p>
      <w:pPr>
        <w:spacing w:after="0" w:line="151" w:lineRule="exact"/>
        <w:rPr>
          <w:rFonts w:ascii="Arial" w:cs="Arial" w:eastAsia="Arial" w:hAnsi="Arial"/>
          <w:sz w:val="13"/>
          <w:szCs w:val="13"/>
          <w:b w:val="1"/>
          <w:bCs w:val="1"/>
          <w:color w:val="auto"/>
        </w:rPr>
      </w:pPr>
    </w:p>
    <w:p>
      <w:pPr>
        <w:ind w:left="520" w:hanging="260"/>
        <w:spacing w:after="0" w:line="312" w:lineRule="auto"/>
        <w:tabs>
          <w:tab w:leader="none" w:pos="511"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Scholarships supporting female GAA players. </w:t>
      </w:r>
      <w:r>
        <w:rPr>
          <w:rFonts w:ascii="Arial" w:cs="Arial" w:eastAsia="Arial" w:hAnsi="Arial"/>
          <w:sz w:val="12"/>
          <w:szCs w:val="12"/>
          <w:color w:val="auto"/>
        </w:rPr>
        <w:t>ICON has a partnership with the Women’s Gaelic Players Association, whereby we provide ICON-GPA Life Sciences Scholarships to inter-county football and camogie players engaged in undergraduate and post-graduate life sciences courses. ICON also provides mentoring to players to help them on their career journeys.</w:t>
      </w:r>
    </w:p>
    <w:p>
      <w:pPr>
        <w:spacing w:after="0" w:line="129" w:lineRule="exact"/>
        <w:rPr>
          <w:rFonts w:ascii="Arial" w:cs="Arial" w:eastAsia="Arial" w:hAnsi="Arial"/>
          <w:sz w:val="12"/>
          <w:szCs w:val="12"/>
          <w:b w:val="1"/>
          <w:bCs w:val="1"/>
          <w:color w:val="auto"/>
        </w:rPr>
      </w:pPr>
    </w:p>
    <w:p>
      <w:pPr>
        <w:jc w:val="both"/>
        <w:ind w:left="520" w:hanging="260"/>
        <w:spacing w:after="0" w:line="285" w:lineRule="auto"/>
        <w:tabs>
          <w:tab w:leader="none" w:pos="511" w:val="left"/>
        </w:tabs>
        <w:numPr>
          <w:ilvl w:val="0"/>
          <w:numId w:val="9"/>
        </w:numPr>
        <w:rPr>
          <w:rFonts w:ascii="Arial" w:cs="Arial" w:eastAsia="Arial" w:hAnsi="Arial"/>
          <w:sz w:val="12"/>
          <w:szCs w:val="12"/>
          <w:color w:val="auto"/>
        </w:rPr>
      </w:pPr>
      <w:r>
        <w:rPr>
          <w:rFonts w:ascii="Arial" w:cs="Arial" w:eastAsia="Arial" w:hAnsi="Arial"/>
          <w:sz w:val="12"/>
          <w:szCs w:val="12"/>
          <w:b w:val="1"/>
          <w:bCs w:val="1"/>
          <w:color w:val="auto"/>
        </w:rPr>
        <w:t xml:space="preserve">Partnership with Junior Achievement to inspire schoolchildren. </w:t>
      </w:r>
      <w:r>
        <w:rPr>
          <w:rFonts w:ascii="Arial" w:cs="Arial" w:eastAsia="Arial" w:hAnsi="Arial"/>
          <w:sz w:val="12"/>
          <w:szCs w:val="12"/>
          <w:color w:val="auto"/>
        </w:rPr>
        <w:t>ICON supports our people who take time out of their working day over a period of 5 weeks to deliver Junior Achievement</w:t>
      </w:r>
      <w:r>
        <w:rPr>
          <w:rFonts w:ascii="Arial" w:cs="Arial" w:eastAsia="Arial" w:hAnsi="Arial"/>
          <w:sz w:val="12"/>
          <w:szCs w:val="12"/>
          <w:b w:val="1"/>
          <w:bCs w:val="1"/>
          <w:color w:val="auto"/>
        </w:rPr>
        <w:t xml:space="preserve"> </w:t>
      </w:r>
      <w:r>
        <w:rPr>
          <w:rFonts w:ascii="Arial" w:cs="Arial" w:eastAsia="Arial" w:hAnsi="Arial"/>
          <w:sz w:val="12"/>
          <w:szCs w:val="12"/>
          <w:color w:val="auto"/>
        </w:rPr>
        <w:t>educational programmes. Junior Achievement encourages young people to remain in education and teaches them the skills they need to succeed in a changing world. Our volunteers teach primary and secondary level students valuable business, STEM and entrepreneurship skills that will stand them in good stead as they progress through education and beyond.</w:t>
      </w:r>
    </w:p>
    <w:p>
      <w:pPr>
        <w:spacing w:after="0" w:line="144" w:lineRule="exact"/>
        <w:rPr>
          <w:rFonts w:ascii="Arial" w:cs="Arial" w:eastAsia="Arial" w:hAnsi="Arial"/>
          <w:sz w:val="12"/>
          <w:szCs w:val="12"/>
          <w:color w:val="auto"/>
        </w:rPr>
      </w:pPr>
    </w:p>
    <w:p>
      <w:pPr>
        <w:ind w:left="520" w:hanging="260"/>
        <w:spacing w:after="0" w:line="270"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b w:val="1"/>
          <w:bCs w:val="1"/>
          <w:color w:val="auto"/>
        </w:rPr>
        <w:t>Science Gallery Founding Partner</w:t>
      </w:r>
      <w:r>
        <w:rPr>
          <w:rFonts w:ascii="Arial" w:cs="Arial" w:eastAsia="Arial" w:hAnsi="Arial"/>
          <w:sz w:val="13"/>
          <w:szCs w:val="13"/>
          <w:color w:val="auto"/>
        </w:rPr>
        <w:t>. ICON has been a lead corporate supporter of the Science Gallery at Trinity College Dublin since its inception in 2008. Science Gallery aims to inspire and</w:t>
      </w:r>
      <w:r>
        <w:rPr>
          <w:rFonts w:ascii="Arial" w:cs="Arial" w:eastAsia="Arial" w:hAnsi="Arial"/>
          <w:sz w:val="13"/>
          <w:szCs w:val="13"/>
          <w:b w:val="1"/>
          <w:bCs w:val="1"/>
          <w:color w:val="auto"/>
        </w:rPr>
        <w:t xml:space="preserve"> </w:t>
      </w:r>
      <w:r>
        <w:rPr>
          <w:rFonts w:ascii="Arial" w:cs="Arial" w:eastAsia="Arial" w:hAnsi="Arial"/>
          <w:sz w:val="13"/>
          <w:szCs w:val="13"/>
          <w:color w:val="auto"/>
        </w:rPr>
        <w:t>transform curious minds through engagement with science.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Improving the welfare of people in the communities in which we live</w:t>
      </w:r>
    </w:p>
    <w:p>
      <w:pPr>
        <w:spacing w:after="0" w:line="164"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ICON employees across the world are making a positive difference to their communities. We support causes that are important to our employees and have a number of programmes that support the welfare of people in our local communities. These include:</w:t>
      </w:r>
    </w:p>
    <w:p>
      <w:pPr>
        <w:spacing w:after="0" w:line="115" w:lineRule="exact"/>
        <w:rPr>
          <w:sz w:val="20"/>
          <w:szCs w:val="20"/>
          <w:color w:val="auto"/>
        </w:rPr>
      </w:pPr>
    </w:p>
    <w:p>
      <w:pPr>
        <w:ind w:left="520" w:hanging="260"/>
        <w:spacing w:after="0" w:line="270"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b w:val="1"/>
          <w:bCs w:val="1"/>
          <w:color w:val="auto"/>
        </w:rPr>
        <w:t xml:space="preserve">Corporate donations to employee-nominated charities. </w:t>
      </w:r>
      <w:r>
        <w:rPr>
          <w:rFonts w:ascii="Arial" w:cs="Arial" w:eastAsia="Arial" w:hAnsi="Arial"/>
          <w:sz w:val="13"/>
          <w:szCs w:val="13"/>
          <w:color w:val="auto"/>
        </w:rPr>
        <w:t>In 2019, ICON supported 10 charities across the world which are supporting people living in poverty, who are suffering from a</w:t>
      </w:r>
      <w:r>
        <w:rPr>
          <w:rFonts w:ascii="Arial" w:cs="Arial" w:eastAsia="Arial" w:hAnsi="Arial"/>
          <w:sz w:val="13"/>
          <w:szCs w:val="13"/>
          <w:b w:val="1"/>
          <w:bCs w:val="1"/>
          <w:color w:val="auto"/>
        </w:rPr>
        <w:t xml:space="preserve"> </w:t>
      </w:r>
      <w:r>
        <w:rPr>
          <w:rFonts w:ascii="Arial" w:cs="Arial" w:eastAsia="Arial" w:hAnsi="Arial"/>
          <w:sz w:val="13"/>
          <w:szCs w:val="13"/>
          <w:color w:val="auto"/>
        </w:rPr>
        <w:t>variety of diseases, are the victims of domestic violence, or natural disasters. Over the last five years, ICON has supported over 60 charities across the world.</w:t>
      </w:r>
    </w:p>
    <w:p>
      <w:pPr>
        <w:spacing w:after="0" w:line="151" w:lineRule="exact"/>
        <w:rPr>
          <w:rFonts w:ascii="Arial" w:cs="Arial" w:eastAsia="Arial" w:hAnsi="Arial"/>
          <w:sz w:val="13"/>
          <w:szCs w:val="13"/>
          <w:color w:val="auto"/>
        </w:rPr>
      </w:pPr>
    </w:p>
    <w:p>
      <w:pPr>
        <w:ind w:left="520" w:hanging="260"/>
        <w:spacing w:after="0" w:line="270"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b w:val="1"/>
          <w:bCs w:val="1"/>
          <w:color w:val="auto"/>
        </w:rPr>
        <w:t xml:space="preserve">Donations in support of employee fundraising. </w:t>
      </w:r>
      <w:r>
        <w:rPr>
          <w:rFonts w:ascii="Arial" w:cs="Arial" w:eastAsia="Arial" w:hAnsi="Arial"/>
          <w:sz w:val="13"/>
          <w:szCs w:val="13"/>
          <w:color w:val="auto"/>
        </w:rPr>
        <w:t>ICON employees raise significant amounts for a variety of charities each year through in-house fundraising events. ICON recognizes the</w:t>
      </w:r>
      <w:r>
        <w:rPr>
          <w:rFonts w:ascii="Arial" w:cs="Arial" w:eastAsia="Arial" w:hAnsi="Arial"/>
          <w:sz w:val="13"/>
          <w:szCs w:val="13"/>
          <w:b w:val="1"/>
          <w:bCs w:val="1"/>
          <w:color w:val="auto"/>
        </w:rPr>
        <w:t xml:space="preserve"> </w:t>
      </w:r>
      <w:r>
        <w:rPr>
          <w:rFonts w:ascii="Arial" w:cs="Arial" w:eastAsia="Arial" w:hAnsi="Arial"/>
          <w:sz w:val="13"/>
          <w:szCs w:val="13"/>
          <w:color w:val="auto"/>
        </w:rPr>
        <w:t>enormous effort and creativity of our employees who fundraise for causes that are important to them by supplementing monies raised through ICON’s Charitable Donation Programme.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80"/>
          </w:cols>
          <w:pgMar w:left="300" w:top="887" w:right="31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At the core of our strategy is our people</w:t>
      </w:r>
    </w:p>
    <w:p>
      <w:pPr>
        <w:spacing w:after="0" w:line="139" w:lineRule="exact"/>
        <w:rPr>
          <w:sz w:val="20"/>
          <w:szCs w:val="20"/>
          <w:color w:val="auto"/>
        </w:rPr>
      </w:pPr>
    </w:p>
    <w:p>
      <w:pPr>
        <w:spacing w:after="0" w:line="305" w:lineRule="auto"/>
        <w:rPr>
          <w:sz w:val="20"/>
          <w:szCs w:val="20"/>
          <w:color w:val="auto"/>
        </w:rPr>
      </w:pPr>
      <w:r>
        <w:rPr>
          <w:rFonts w:ascii="Arial" w:cs="Arial" w:eastAsia="Arial" w:hAnsi="Arial"/>
          <w:sz w:val="12"/>
          <w:szCs w:val="12"/>
          <w:color w:val="auto"/>
        </w:rPr>
        <w:t>As set-out above, one of our four strategic pillars is '</w:t>
      </w:r>
      <w:r>
        <w:rPr>
          <w:rFonts w:ascii="Arial" w:cs="Arial" w:eastAsia="Arial" w:hAnsi="Arial"/>
          <w:sz w:val="12"/>
          <w:szCs w:val="12"/>
          <w:i w:val="1"/>
          <w:iCs w:val="1"/>
          <w:color w:val="auto"/>
        </w:rPr>
        <w:t>Talent, Leadership Development and Culture</w:t>
      </w:r>
      <w:r>
        <w:rPr>
          <w:rFonts w:ascii="Arial" w:cs="Arial" w:eastAsia="Arial" w:hAnsi="Arial"/>
          <w:sz w:val="12"/>
          <w:szCs w:val="12"/>
          <w:color w:val="auto"/>
        </w:rPr>
        <w:t>'. Within ICON we have highly qualified and experienced teams, the majority of whom have third level educational qualifications. The need to develop and retain this expertise and talent within the organization is fundamental in enabling us to be the global CRO partner of choice for our customers.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training and development of our staff is a key focus for us</w:t>
      </w:r>
    </w:p>
    <w:p>
      <w:pPr>
        <w:spacing w:after="0" w:line="151"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We have a comprehensive curriculum in place to support our people in their roles. We have invested in creating an innovative learning environment delivered through ICON’s training and development group.</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All of our people are required to complete mandatory training in key areas which support our values and our way of working. They include (but are not limited to) the following areas:</w:t>
      </w:r>
    </w:p>
    <w:p>
      <w:pPr>
        <w:spacing w:after="0" w:line="136" w:lineRule="exact"/>
        <w:rPr>
          <w:sz w:val="20"/>
          <w:szCs w:val="20"/>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Global ethics compliance;</w:t>
      </w: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Data protection and procedures;</w:t>
      </w: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IT security;</w:t>
      </w: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Confidentiality and maintaining communications; and</w:t>
      </w: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Social media usage.</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have a well-established Graduate Development Programme for our clinical teams, which now runs in the US, China, Japan, Korea and also Australia where we take recent graduates and prepare them for careers in clinical monitoring and data management.</w:t>
      </w:r>
    </w:p>
    <w:p>
      <w:pPr>
        <w:spacing w:after="0" w:line="13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also have formed a collaboration with University College Dublin which enables ICON to provide customised management and development programmes for global employees. These programmes are focused on leadership development for those people in management roles and specific technical training in competencies that are core to our business, such as project and programme management and clinical research associate development.</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learning and development programmes are complemented by advanced people development practices which incorporate rigorous analytics based screening in the hiring process, global career frameworks, pay for performance aligned to our strategy, and on-going talent review and succession planning.</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Our leadership and talent programmes contribute to the enhanced retention of our employees, better project deliverables for our customers and the enhanced financial performance of the business.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3"/>
          <w:szCs w:val="13"/>
          <w:color w:val="auto"/>
        </w:rPr>
        <w:t>Individual development is supported through formal learning with our personal effectiveness series and via access to our Career Hub portal. Our people can access a wealth of learning materials including courses, resources, toolkits, library items and blogs to support the development of key competencies and improving their eligibility for future roles through these tools. Career Hub also allows employees to understand and explore possible career paths and career opportunities available to them across the organization and provides full transparency to all levels, skills and capabilities required for every role in ICON.</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ICON is proud of this investment in our people. This investment translated to approximately four days training for each person during 2019.</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We are also committed to supporting the career aspirations of our people. Approximately 30% of all roles are filled internally.</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As an organisation we are keen to hear directly from our employees</w:t>
      </w:r>
    </w:p>
    <w:p>
      <w:pPr>
        <w:spacing w:after="0" w:line="162"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Biennially we conduct a global employee engagement survey. Our most recent survey was conducted in October 2018 and had an 88% response rate. There are two key measures which we track closely. The first is Employee Engagement which scored well at 70%, and was on par with the General Industry benchmark. The second is Employee Enablement, which also scored at 70%, 3% above the General Industry benchmark. After each survey we engage in action planning with our people to address areas they have highlighted as important for improvement. The last five years have shown a positive trend for both our engagement and enablement scores. We completed an updated pulse survey during 2019 and a further global employee engagement survey will be completed in 2020.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80"/>
          </w:cols>
          <w:pgMar w:left="300" w:top="887"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Difference drives innovative thinking and is critical to our success</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believe difference drives innovative thinking, which is critical to our customers, and as a global company with approximately 14,650 employees in 40 countries, we encourage diversity of all kinds. We have grown rapidly, increasing our headcount by more than fifty percent over the past 7 years. As a truly global operation, we are deliberately structured as international teams so that we can support the delivery of our customers' clinical development programmes across multiple geographies. Recruitment, selection and promotion decisions are merit-based and in line with the principles of reaching a wider talent pool and equal opportunity.</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Building an inclusive workplace</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believe that difference drives innovative thinking and therefore is critical to our success. During 2019 we established the ICON Diversity &amp; Inclusion Steering Group. This Steering Group is comprised of six members of our Group executive team. The executive leaders are supported by senior members of our human resources group.</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At ICON, our leadership team sees diversity and inclusion in the workplace as at the core of how we work. We recognize the importance of ensuring it is built into every aspect of the talent and employee life cycle. The three core principles which are grounded in our values are;</w:t>
      </w:r>
    </w:p>
    <w:p>
      <w:pPr>
        <w:spacing w:after="0" w:line="168" w:lineRule="exact"/>
        <w:rPr>
          <w:sz w:val="20"/>
          <w:szCs w:val="20"/>
          <w:color w:val="auto"/>
        </w:rPr>
      </w:pPr>
    </w:p>
    <w:p>
      <w:pPr>
        <w:ind w:left="520" w:hanging="260"/>
        <w:spacing w:after="0" w:line="270" w:lineRule="auto"/>
        <w:tabs>
          <w:tab w:leader="none" w:pos="511"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 xml:space="preserve">Diversity </w:t>
      </w:r>
      <w:r>
        <w:rPr>
          <w:rFonts w:ascii="Arial" w:cs="Arial" w:eastAsia="Arial" w:hAnsi="Arial"/>
          <w:sz w:val="13"/>
          <w:szCs w:val="13"/>
          <w:color w:val="auto"/>
        </w:rPr>
        <w:t>- we value difference of gender, race, ethnicity, culture and experience. We believe diversity of thought is what drives high performing teams to create better solutions and deliver</w:t>
      </w:r>
      <w:r>
        <w:rPr>
          <w:rFonts w:ascii="Arial" w:cs="Arial" w:eastAsia="Arial" w:hAnsi="Arial"/>
          <w:sz w:val="13"/>
          <w:szCs w:val="13"/>
          <w:b w:val="1"/>
          <w:bCs w:val="1"/>
          <w:color w:val="auto"/>
        </w:rPr>
        <w:t xml:space="preserve"> </w:t>
      </w:r>
      <w:r>
        <w:rPr>
          <w:rFonts w:ascii="Arial" w:cs="Arial" w:eastAsia="Arial" w:hAnsi="Arial"/>
          <w:sz w:val="13"/>
          <w:szCs w:val="13"/>
          <w:color w:val="auto"/>
        </w:rPr>
        <w:t>better outcomes for our customers.</w:t>
      </w:r>
    </w:p>
    <w:p>
      <w:pPr>
        <w:spacing w:after="0" w:line="151" w:lineRule="exact"/>
        <w:rPr>
          <w:rFonts w:ascii="Arial" w:cs="Arial" w:eastAsia="Arial" w:hAnsi="Arial"/>
          <w:sz w:val="13"/>
          <w:szCs w:val="13"/>
          <w:color w:val="auto"/>
        </w:rPr>
      </w:pPr>
    </w:p>
    <w:p>
      <w:pPr>
        <w:ind w:left="520" w:hanging="260"/>
        <w:spacing w:after="0" w:line="270" w:lineRule="auto"/>
        <w:tabs>
          <w:tab w:leader="none" w:pos="511"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Equality </w:t>
      </w:r>
      <w:r>
        <w:rPr>
          <w:rFonts w:ascii="Arial" w:cs="Arial" w:eastAsia="Arial" w:hAnsi="Arial"/>
          <w:sz w:val="13"/>
          <w:szCs w:val="13"/>
          <w:color w:val="auto"/>
        </w:rPr>
        <w:t>- we ensure all employees are treated fairly and equitably with no barriers to career opportunities. We are committed to equal opportunities for all employees and reflect this in our</w:t>
      </w:r>
      <w:r>
        <w:rPr>
          <w:rFonts w:ascii="Arial" w:cs="Arial" w:eastAsia="Arial" w:hAnsi="Arial"/>
          <w:sz w:val="13"/>
          <w:szCs w:val="13"/>
          <w:b w:val="1"/>
          <w:bCs w:val="1"/>
          <w:color w:val="auto"/>
        </w:rPr>
        <w:t xml:space="preserve"> </w:t>
      </w:r>
      <w:r>
        <w:rPr>
          <w:rFonts w:ascii="Arial" w:cs="Arial" w:eastAsia="Arial" w:hAnsi="Arial"/>
          <w:sz w:val="13"/>
          <w:szCs w:val="13"/>
          <w:color w:val="auto"/>
        </w:rPr>
        <w:t>policies and practices.</w:t>
      </w:r>
    </w:p>
    <w:p>
      <w:pPr>
        <w:spacing w:after="0" w:line="151" w:lineRule="exact"/>
        <w:rPr>
          <w:rFonts w:ascii="Arial" w:cs="Arial" w:eastAsia="Arial" w:hAnsi="Arial"/>
          <w:sz w:val="13"/>
          <w:szCs w:val="13"/>
          <w:b w:val="1"/>
          <w:bCs w:val="1"/>
          <w:color w:val="auto"/>
        </w:rPr>
      </w:pPr>
    </w:p>
    <w:p>
      <w:pPr>
        <w:ind w:left="520" w:hanging="260"/>
        <w:spacing w:after="0" w:line="270" w:lineRule="auto"/>
        <w:tabs>
          <w:tab w:leader="none" w:pos="511"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 xml:space="preserve">Inclusion </w:t>
      </w:r>
      <w:r>
        <w:rPr>
          <w:rFonts w:ascii="Arial" w:cs="Arial" w:eastAsia="Arial" w:hAnsi="Arial"/>
          <w:sz w:val="13"/>
          <w:szCs w:val="13"/>
          <w:color w:val="auto"/>
        </w:rPr>
        <w:t>- we are a values-driven organisation that promotes dignity and respect in all interactions with our customers, our teams and each other. We take pride in our collaborative and</w:t>
      </w:r>
      <w:r>
        <w:rPr>
          <w:rFonts w:ascii="Arial" w:cs="Arial" w:eastAsia="Arial" w:hAnsi="Arial"/>
          <w:sz w:val="13"/>
          <w:szCs w:val="13"/>
          <w:b w:val="1"/>
          <w:bCs w:val="1"/>
          <w:color w:val="auto"/>
        </w:rPr>
        <w:t xml:space="preserve"> </w:t>
      </w:r>
      <w:r>
        <w:rPr>
          <w:rFonts w:ascii="Arial" w:cs="Arial" w:eastAsia="Arial" w:hAnsi="Arial"/>
          <w:sz w:val="13"/>
          <w:szCs w:val="13"/>
          <w:color w:val="auto"/>
        </w:rPr>
        <w:t>inclusive culture where everyone can bring their best selves to their work and deliver the best performance for our customers and patients.</w:t>
      </w:r>
    </w:p>
    <w:p>
      <w:pPr>
        <w:spacing w:after="0" w:line="168"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 Executive leadership group defined areas of focus for our Diversity &amp; Inclusion agenda for 2019, which continue into 2020 and against which success will be measured. These key areas of focus are around talent management, country level inclusion policies, reward, training, communications and a renewed focus on culture.</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Our immediate areas of focus around driving inclusion and diversity include:</w:t>
      </w:r>
    </w:p>
    <w:p>
      <w:pPr>
        <w:spacing w:after="0" w:line="174" w:lineRule="exact"/>
        <w:rPr>
          <w:sz w:val="20"/>
          <w:szCs w:val="20"/>
          <w:color w:val="auto"/>
        </w:rPr>
      </w:pPr>
    </w:p>
    <w:p>
      <w:pPr>
        <w:jc w:val="both"/>
        <w:ind w:left="840" w:hanging="262"/>
        <w:spacing w:after="0" w:line="254" w:lineRule="auto"/>
        <w:tabs>
          <w:tab w:leader="none" w:pos="831"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Training and Development </w:t>
      </w:r>
      <w:r>
        <w:rPr>
          <w:rFonts w:ascii="Arial" w:cs="Arial" w:eastAsia="Arial" w:hAnsi="Arial"/>
          <w:sz w:val="13"/>
          <w:szCs w:val="13"/>
          <w:color w:val="auto"/>
        </w:rPr>
        <w:t>- Under our Diversity and Inclusion Programme, we train all our people leaders to understand unconscious bias and similarity bias and also how to</w:t>
      </w:r>
      <w:r>
        <w:rPr>
          <w:rFonts w:ascii="Arial" w:cs="Arial" w:eastAsia="Arial" w:hAnsi="Arial"/>
          <w:sz w:val="13"/>
          <w:szCs w:val="13"/>
          <w:b w:val="1"/>
          <w:bCs w:val="1"/>
          <w:color w:val="auto"/>
        </w:rPr>
        <w:t xml:space="preserve"> </w:t>
      </w:r>
      <w:r>
        <w:rPr>
          <w:rFonts w:ascii="Arial" w:cs="Arial" w:eastAsia="Arial" w:hAnsi="Arial"/>
          <w:sz w:val="13"/>
          <w:szCs w:val="13"/>
          <w:color w:val="auto"/>
        </w:rPr>
        <w:t>encourage diversity of thought and foster inclusion in their teams. Our diversity and inclusion initiatives were launched at our Company wide Wake up to Culture day during 2019. The fundamentals will be embedded into all people leader programmes, and reflect the values upon which we assess performance behaviours.</w:t>
      </w:r>
    </w:p>
    <w:p>
      <w:pPr>
        <w:spacing w:after="0" w:line="161" w:lineRule="exact"/>
        <w:rPr>
          <w:rFonts w:ascii="Arial" w:cs="Arial" w:eastAsia="Arial" w:hAnsi="Arial"/>
          <w:sz w:val="13"/>
          <w:szCs w:val="13"/>
          <w:b w:val="1"/>
          <w:bCs w:val="1"/>
          <w:color w:val="auto"/>
        </w:rPr>
      </w:pPr>
    </w:p>
    <w:p>
      <w:pPr>
        <w:jc w:val="both"/>
        <w:ind w:left="840" w:hanging="262"/>
        <w:spacing w:after="0" w:line="244" w:lineRule="auto"/>
        <w:tabs>
          <w:tab w:leader="none" w:pos="831"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Talent </w:t>
      </w:r>
      <w:r>
        <w:rPr>
          <w:rFonts w:ascii="Arial" w:cs="Arial" w:eastAsia="Arial" w:hAnsi="Arial"/>
          <w:sz w:val="13"/>
          <w:szCs w:val="13"/>
          <w:color w:val="auto"/>
        </w:rPr>
        <w:t>- We recognise that more diversity in senior leadership increases organizational performance. In 2019 we launched our global Senior Director Leadership Programme in addition</w:t>
      </w:r>
      <w:r>
        <w:rPr>
          <w:rFonts w:ascii="Arial" w:cs="Arial" w:eastAsia="Arial" w:hAnsi="Arial"/>
          <w:sz w:val="13"/>
          <w:szCs w:val="13"/>
          <w:b w:val="1"/>
          <w:bCs w:val="1"/>
          <w:color w:val="auto"/>
        </w:rPr>
        <w:t xml:space="preserve"> </w:t>
      </w:r>
      <w:r>
        <w:rPr>
          <w:rFonts w:ascii="Arial" w:cs="Arial" w:eastAsia="Arial" w:hAnsi="Arial"/>
          <w:sz w:val="13"/>
          <w:szCs w:val="13"/>
          <w:color w:val="auto"/>
        </w:rPr>
        <w:t>to our Vice President High Potential programme for those people who have been identified as High Performing &amp; High Potential Leaders. These programmes focus on core organisational skills that will enable these individuals to increase their readiness for promotion, as well as create a strong internal network of senior leaders who feel empowered to take hold of their careers. These programmes will help build and support our development of a diverse and inclusive group of future leaders from within and complements existing senior level programmes already in existence in the organisation. Early in 2020, our top 100 employees attended 'Inclusive Leadership training'. This training will be rolled out to our wider employee group from 2020.</w:t>
      </w:r>
    </w:p>
    <w:p>
      <w:pPr>
        <w:spacing w:after="0" w:line="170" w:lineRule="exact"/>
        <w:rPr>
          <w:rFonts w:ascii="Arial" w:cs="Arial" w:eastAsia="Arial" w:hAnsi="Arial"/>
          <w:sz w:val="13"/>
          <w:szCs w:val="13"/>
          <w:b w:val="1"/>
          <w:bCs w:val="1"/>
          <w:color w:val="auto"/>
        </w:rPr>
      </w:pPr>
    </w:p>
    <w:p>
      <w:pPr>
        <w:jc w:val="both"/>
        <w:ind w:left="840" w:hanging="262"/>
        <w:spacing w:after="0" w:line="254" w:lineRule="auto"/>
        <w:tabs>
          <w:tab w:leader="none" w:pos="831"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Recruitment and progression - </w:t>
      </w:r>
      <w:r>
        <w:rPr>
          <w:rFonts w:ascii="Arial" w:cs="Arial" w:eastAsia="Arial" w:hAnsi="Arial"/>
          <w:sz w:val="13"/>
          <w:szCs w:val="13"/>
          <w:color w:val="auto"/>
        </w:rPr>
        <w:t>We continue to strive to source the best talent in our industry from across the world to fill the highly specialised roles required to help bring new drugs to</w:t>
      </w:r>
      <w:r>
        <w:rPr>
          <w:rFonts w:ascii="Arial" w:cs="Arial" w:eastAsia="Arial" w:hAnsi="Arial"/>
          <w:sz w:val="13"/>
          <w:szCs w:val="13"/>
          <w:b w:val="1"/>
          <w:bCs w:val="1"/>
          <w:color w:val="auto"/>
        </w:rPr>
        <w:t xml:space="preserve"> </w:t>
      </w:r>
      <w:r>
        <w:rPr>
          <w:rFonts w:ascii="Arial" w:cs="Arial" w:eastAsia="Arial" w:hAnsi="Arial"/>
          <w:sz w:val="13"/>
          <w:szCs w:val="13"/>
          <w:color w:val="auto"/>
        </w:rPr>
        <w:t>market. Our most senior roles are truly global in nature. Since 2018, we have mandated gender balanced short lists for senior leadership appointments across the organisation in all markets in which we are located.</w:t>
      </w:r>
    </w:p>
    <w:p>
      <w:pPr>
        <w:spacing w:after="0" w:line="161" w:lineRule="exact"/>
        <w:rPr>
          <w:rFonts w:ascii="Arial" w:cs="Arial" w:eastAsia="Arial" w:hAnsi="Arial"/>
          <w:sz w:val="13"/>
          <w:szCs w:val="13"/>
          <w:b w:val="1"/>
          <w:bCs w:val="1"/>
          <w:color w:val="auto"/>
        </w:rPr>
      </w:pPr>
    </w:p>
    <w:p>
      <w:pPr>
        <w:jc w:val="both"/>
        <w:ind w:left="840" w:hanging="262"/>
        <w:spacing w:after="0" w:line="249" w:lineRule="auto"/>
        <w:tabs>
          <w:tab w:leader="none" w:pos="831" w:val="left"/>
        </w:tabs>
        <w:numPr>
          <w:ilvl w:val="0"/>
          <w:numId w:val="13"/>
        </w:numPr>
        <w:rPr>
          <w:rFonts w:ascii="Arial" w:cs="Arial" w:eastAsia="Arial" w:hAnsi="Arial"/>
          <w:sz w:val="13"/>
          <w:szCs w:val="13"/>
          <w:color w:val="auto"/>
        </w:rPr>
      </w:pPr>
      <w:r>
        <w:rPr>
          <w:rFonts w:ascii="Arial" w:cs="Arial" w:eastAsia="Arial" w:hAnsi="Arial"/>
          <w:sz w:val="13"/>
          <w:szCs w:val="13"/>
          <w:b w:val="1"/>
          <w:bCs w:val="1"/>
          <w:color w:val="auto"/>
        </w:rPr>
        <w:t xml:space="preserve">Retention </w:t>
      </w:r>
      <w:r>
        <w:rPr>
          <w:rFonts w:ascii="Arial" w:cs="Arial" w:eastAsia="Arial" w:hAnsi="Arial"/>
          <w:sz w:val="13"/>
          <w:szCs w:val="13"/>
          <w:color w:val="auto"/>
        </w:rPr>
        <w:t>- We offer flexible working arrangements that help our people achieve balance. Approximately 45% of our employees work remotely. We also support and facilitate part time</w:t>
      </w:r>
      <w:r>
        <w:rPr>
          <w:rFonts w:ascii="Arial" w:cs="Arial" w:eastAsia="Arial" w:hAnsi="Arial"/>
          <w:sz w:val="13"/>
          <w:szCs w:val="13"/>
          <w:b w:val="1"/>
          <w:bCs w:val="1"/>
          <w:color w:val="auto"/>
        </w:rPr>
        <w:t xml:space="preserve"> </w:t>
      </w:r>
      <w:r>
        <w:rPr>
          <w:rFonts w:ascii="Arial" w:cs="Arial" w:eastAsia="Arial" w:hAnsi="Arial"/>
          <w:sz w:val="13"/>
          <w:szCs w:val="13"/>
          <w:color w:val="auto"/>
        </w:rPr>
        <w:t>working arrangements. Approximately 16% of our people work part-time. We have a bonus programme for all employees linked to individual and company performance and also operate a global recognition programme where peer to peer recognition and awards take place for employees who go the extra mile. We also recognise and reward employees who reach significant service milestones within the company.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80"/>
          </w:cols>
          <w:pgMar w:left="300" w:top="887"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840" w:hanging="262"/>
        <w:spacing w:after="0" w:line="249" w:lineRule="auto"/>
        <w:tabs>
          <w:tab w:leader="none" w:pos="831" w:val="left"/>
        </w:tabs>
        <w:numPr>
          <w:ilvl w:val="0"/>
          <w:numId w:val="14"/>
        </w:numPr>
        <w:rPr>
          <w:rFonts w:ascii="Arial" w:cs="Arial" w:eastAsia="Arial" w:hAnsi="Arial"/>
          <w:sz w:val="13"/>
          <w:szCs w:val="13"/>
          <w:color w:val="auto"/>
        </w:rPr>
      </w:pPr>
      <w:r>
        <w:rPr>
          <w:rFonts w:ascii="Arial" w:cs="Arial" w:eastAsia="Arial" w:hAnsi="Arial"/>
          <w:sz w:val="13"/>
          <w:szCs w:val="13"/>
          <w:b w:val="1"/>
          <w:bCs w:val="1"/>
          <w:color w:val="auto"/>
        </w:rPr>
        <w:t xml:space="preserve">Reward - </w:t>
      </w:r>
      <w:r>
        <w:rPr>
          <w:rFonts w:ascii="Arial" w:cs="Arial" w:eastAsia="Arial" w:hAnsi="Arial"/>
          <w:sz w:val="13"/>
          <w:szCs w:val="13"/>
          <w:color w:val="auto"/>
        </w:rPr>
        <w:t>The information relating to pay decisions is hosted through core technology, enabling our people leaders and employees direct access to information which informs and</w:t>
      </w:r>
      <w:r>
        <w:rPr>
          <w:rFonts w:ascii="Arial" w:cs="Arial" w:eastAsia="Arial" w:hAnsi="Arial"/>
          <w:sz w:val="13"/>
          <w:szCs w:val="13"/>
          <w:b w:val="1"/>
          <w:bCs w:val="1"/>
          <w:color w:val="auto"/>
        </w:rPr>
        <w:t xml:space="preserve"> </w:t>
      </w:r>
      <w:r>
        <w:rPr>
          <w:rFonts w:ascii="Arial" w:cs="Arial" w:eastAsia="Arial" w:hAnsi="Arial"/>
          <w:sz w:val="13"/>
          <w:szCs w:val="13"/>
          <w:color w:val="auto"/>
        </w:rPr>
        <w:t>supports equitable and consistent decision making. We have made significant investment in organisation design structures, tools and communications which ensures that we have a gender neutral approach to pay decisions. We pay male and female employees equally for the same or equivalent work. We have worked hard to structure our pay principles to ensure that gender is not a factor in how we deliver rewards.</w:t>
      </w:r>
    </w:p>
    <w:p>
      <w:pPr>
        <w:spacing w:after="0" w:line="164" w:lineRule="exact"/>
        <w:rPr>
          <w:rFonts w:ascii="Arial" w:cs="Arial" w:eastAsia="Arial" w:hAnsi="Arial"/>
          <w:sz w:val="13"/>
          <w:szCs w:val="13"/>
          <w:color w:val="auto"/>
        </w:rPr>
      </w:pPr>
    </w:p>
    <w:p>
      <w:pPr>
        <w:jc w:val="both"/>
        <w:ind w:left="840" w:hanging="262"/>
        <w:spacing w:after="0" w:line="276" w:lineRule="auto"/>
        <w:tabs>
          <w:tab w:leader="none" w:pos="831" w:val="left"/>
        </w:tabs>
        <w:numPr>
          <w:ilvl w:val="0"/>
          <w:numId w:val="14"/>
        </w:numPr>
        <w:rPr>
          <w:rFonts w:ascii="Arial" w:cs="Arial" w:eastAsia="Arial" w:hAnsi="Arial"/>
          <w:sz w:val="12"/>
          <w:szCs w:val="12"/>
          <w:color w:val="auto"/>
        </w:rPr>
      </w:pPr>
      <w:r>
        <w:rPr>
          <w:rFonts w:ascii="Arial" w:cs="Arial" w:eastAsia="Arial" w:hAnsi="Arial"/>
          <w:sz w:val="12"/>
          <w:szCs w:val="12"/>
          <w:b w:val="1"/>
          <w:bCs w:val="1"/>
          <w:color w:val="auto"/>
        </w:rPr>
        <w:t xml:space="preserve">Partnership with Trinity Centre for People with Intellectual Disabilities ('TCPID') </w:t>
      </w:r>
      <w:r>
        <w:rPr>
          <w:rFonts w:ascii="Arial" w:cs="Arial" w:eastAsia="Arial" w:hAnsi="Arial"/>
          <w:sz w:val="12"/>
          <w:szCs w:val="12"/>
          <w:color w:val="auto"/>
        </w:rPr>
        <w:t>- In 2019, we entered into a partnership with the Trinity Centre for people with intellectual</w:t>
      </w:r>
      <w:r>
        <w:rPr>
          <w:rFonts w:ascii="Arial" w:cs="Arial" w:eastAsia="Arial" w:hAnsi="Arial"/>
          <w:sz w:val="12"/>
          <w:szCs w:val="12"/>
          <w:b w:val="1"/>
          <w:bCs w:val="1"/>
          <w:color w:val="auto"/>
        </w:rPr>
        <w:t xml:space="preserve"> </w:t>
      </w:r>
      <w:r>
        <w:rPr>
          <w:rFonts w:ascii="Arial" w:cs="Arial" w:eastAsia="Arial" w:hAnsi="Arial"/>
          <w:sz w:val="12"/>
          <w:szCs w:val="12"/>
          <w:color w:val="auto"/>
        </w:rPr>
        <w:t>disabilities. The TCPID situated within the School of Education, Trinity College Dublin, aims to promote the inclusion of people with intellectual disabilities in education and society. The Centre provides people who have intellectual disabilities with the opportunity to participate in a higher education programme designed to enhance their capacity to fully participate in society as independent adults. The 2-year education programme includes work placements and internships to enable students to experience and participate in the work environment.</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Principal risks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employee matters refer to Appendix 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Human rights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ICON is committed to acting ethically and with integrity in all our business dealings</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are committed to human rights and the adoption and pursuit of compliance with the United Nations Guiding Principles on Human Rights. Our business model and our policies are intended to fully comply with applicable human rights legislation in the countries in which we operate. ICON’s Global Supplier Code of Conduct also addresses our zero tolerance stance to slavery and human trafficking. ICON is completely opposed to slavery and human trafficking and will not knowingly support or conduct business with any organisation involved in such activities. ICON does not employ anyone below the minimum employment age in the jurisdictions in which we operate.</w:t>
      </w:r>
    </w:p>
    <w:p>
      <w:pPr>
        <w:spacing w:after="0" w:line="13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 xml:space="preserve">In our Anti-Slavery and Human Trafficking Statement, we set out the measures we are taking to prevent modern slavery in our supply chains, in addition to our own operations. A copy of our Anti-Slavery and Human Trafficking Statement is available on our website at </w:t>
      </w:r>
      <w:r>
        <w:rPr>
          <w:rFonts w:ascii="Arial" w:cs="Arial" w:eastAsia="Arial" w:hAnsi="Arial"/>
          <w:sz w:val="13"/>
          <w:szCs w:val="13"/>
          <w:u w:val="single" w:color="auto"/>
          <w:color w:val="128474"/>
        </w:rPr>
        <w:t>https://investor.iconplc.com</w:t>
      </w:r>
      <w:r>
        <w:rPr>
          <w:rFonts w:ascii="Arial" w:cs="Arial" w:eastAsia="Arial" w:hAnsi="Arial"/>
          <w:sz w:val="13"/>
          <w:szCs w:val="13"/>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Principal Risks</w:t>
      </w:r>
    </w:p>
    <w:p>
      <w:pPr>
        <w:spacing w:after="0" w:line="162" w:lineRule="exact"/>
        <w:rPr>
          <w:sz w:val="20"/>
          <w:szCs w:val="20"/>
          <w:color w:val="auto"/>
        </w:rPr>
      </w:pPr>
    </w:p>
    <w:p>
      <w:pPr>
        <w:ind w:right="2080"/>
        <w:spacing w:after="0" w:line="465" w:lineRule="auto"/>
        <w:rPr>
          <w:sz w:val="20"/>
          <w:szCs w:val="20"/>
          <w:color w:val="auto"/>
        </w:rPr>
      </w:pPr>
      <w:r>
        <w:rPr>
          <w:rFonts w:ascii="Arial" w:cs="Arial" w:eastAsia="Arial" w:hAnsi="Arial"/>
          <w:sz w:val="13"/>
          <w:szCs w:val="13"/>
          <w:color w:val="auto"/>
        </w:rPr>
        <w:t xml:space="preserve">The risks associated with human rights abuses are actively monitored, however we do not believe these risks meet the threshold of a principal risk for our business. </w:t>
      </w:r>
      <w:r>
        <w:rPr>
          <w:rFonts w:ascii="Arial" w:cs="Arial" w:eastAsia="Arial" w:hAnsi="Arial"/>
          <w:sz w:val="13"/>
          <w:szCs w:val="13"/>
          <w:b w:val="1"/>
          <w:bCs w:val="1"/>
          <w:color w:val="auto"/>
        </w:rPr>
        <w:t>Anti-bribery and Corruption</w:t>
      </w:r>
    </w:p>
    <w:p>
      <w:pPr>
        <w:spacing w:after="0" w:line="4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Our anti-bribery/anti-corruption programme ('ABAC Programme') is a key element of our compliance policy framework, with principles and requirements based on the underlying principal that we do not tolerate bribery or any other form of corruption or fraud. ICON and all ICON directors, employees, consultants and agents (“Covered Persons”) must act in compliance with international laws and regulations relating to bribery, corruption and illicit payments including, the US Foreign Corrupt Practices Act and the UK Bribery Act 2010.</w:t>
      </w:r>
    </w:p>
    <w:p>
      <w:pPr>
        <w:spacing w:after="0" w:line="133"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April 2018, ICON was awarded the ISO 37001:2016 certification for its Anti-Bribery Management System having established, implemented, maintained, reviewed and improved an Anti-Bribery Management System that can prevent, detect and mitigate the risk of bribery. Our programme is designed to ensure our compliance with anti-corruption laws, including due diligence, training, policies, procedures, and internal controls.</w:t>
      </w:r>
    </w:p>
    <w:p>
      <w:pPr>
        <w:spacing w:after="0" w:line="14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 xml:space="preserve">There are a number of policies and codes that make up the ABAC Management system including the Global Code of Ethical Conduct, the Global Anti Corruption Compliance Policy, the Ethics Line Charter and the Global Supplier Code of Conduct (together “the Codes”). The Codes are available on our website at </w:t>
      </w:r>
      <w:r>
        <w:rPr>
          <w:rFonts w:ascii="Arial" w:cs="Arial" w:eastAsia="Arial" w:hAnsi="Arial"/>
          <w:sz w:val="13"/>
          <w:szCs w:val="13"/>
          <w:u w:val="single" w:color="auto"/>
          <w:color w:val="128474"/>
        </w:rPr>
        <w:t>https://investor.iconplc.com</w:t>
      </w:r>
      <w:r>
        <w:rPr>
          <w:rFonts w:ascii="Arial" w:cs="Arial" w:eastAsia="Arial" w:hAnsi="Arial"/>
          <w:sz w:val="13"/>
          <w:szCs w:val="13"/>
          <w:color w:val="auto"/>
        </w:rPr>
        <w:t>. All ICON employees are required to complete ICON’s annual Ethics online training, which incorporates the key principles of each of the Codes. The Global Code of Ethical Conduct addresses the core principles underpinning the behaviour required of all Covered Persons in our internal interactions with each other and our external dealings with patients, clients, health care professionals, regulators, investors, vendors and other third parties. Violations of the Codes may result in a variety of corrective actions and in some cases may result in disciplinary action up to and including termination of employment.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80"/>
          </w:cols>
          <w:pgMar w:left="300" w:top="887" w:right="31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Bribery and corruption remains a business risk as we conduct our business across the globe and enter into partnerships and collaborations. There is no certainty that all employees and third party business partners (including our vendors, suppliers, agents, contractors, and other partners) will comply with anti-bribery laws. When working with third parties, we are committed to working with only those who embrace high standards of ethical behaviour consistent with our own. Bribery and corruption risks are a focus of our third-party diligence and management process. We hold our suppliers accountable for meeting their contractual obligations with ICON, including commitments that are made with regard to our Global Supplier Code of Conduct and regulatory compliance. Contract non-compliance can result in termination of the business relationship with the supplier and exclusion from future business with ICON.</w:t>
      </w:r>
    </w:p>
    <w:p>
      <w:pPr>
        <w:spacing w:after="0" w:line="136" w:lineRule="exact"/>
        <w:rPr>
          <w:sz w:val="20"/>
          <w:szCs w:val="20"/>
          <w:color w:val="auto"/>
        </w:rPr>
      </w:pPr>
    </w:p>
    <w:p>
      <w:pPr>
        <w:jc w:val="both"/>
        <w:spacing w:after="0"/>
        <w:rPr>
          <w:sz w:val="20"/>
          <w:szCs w:val="20"/>
          <w:color w:val="auto"/>
        </w:rPr>
      </w:pPr>
      <w:r>
        <w:rPr>
          <w:rFonts w:ascii="Arial" w:cs="Arial" w:eastAsia="Arial" w:hAnsi="Arial"/>
          <w:sz w:val="13"/>
          <w:szCs w:val="13"/>
          <w:color w:val="auto"/>
        </w:rPr>
        <w:t>Suspected violations of the Codes may be reported on a confidential (or anonymous, where permitted) basis in accordance with our Ethics Line Charter through ICON’s Ethics Line. ICON has open door, anti-retaliation policies in place to encourage and protect individuals who raise a concern. Ethics line reports are reported to the Board of ICON plc as appropriate. The Internal Audit team conducts ABAC programme audits. Internal Audits focus on testing for compliance and design effectiveness of the overall ABAC programme, Internal Audit incorporates an assessment of ABAC measures in all audits, as appropriate. In this approach, bribery and corruption risks are incorporated into the risk assessment and scoping process of each audit.</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risks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 on risks relating to anti-corruption refer to Appendix A: Risk Factors on page 143.</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compliance statement</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Directors, in accordance with Section 225(2) of the Companies Act 2014, acknowledge that they are responsible for securing the Company’s compliance with its relevant obligations as defined within the Companies Act, 2014 (hereinafter called the relevant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The Directors confirm that:</w:t>
      </w:r>
    </w:p>
    <w:p>
      <w:pPr>
        <w:spacing w:after="0" w:line="189" w:lineRule="exact"/>
        <w:rPr>
          <w:sz w:val="20"/>
          <w:szCs w:val="20"/>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 compliance policy statement has been drawn up setting out the Company’s policies with regard to such compliance;</w:t>
      </w: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appropriate arrangements and structures that, in their opinion, are designed to secure material compliance with the Company’s relevant obligations, have been put in place; and</w:t>
      </w: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 review has been conducted, during the financial year, of the arrangements and structures that have been put in place to secure the Company’s compliance with the relevant obligations.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Auditor</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In accordance with Section 383(2) of the Companies Act 2014, KPMG, Chartered Accountants, will continue in office.</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 behalf of the Board</w:t>
      </w:r>
    </w:p>
    <w:p>
      <w:pPr>
        <w:sectPr>
          <w:pgSz w:w="11900" w:h="16838" w:orient="portrait"/>
          <w:cols w:equalWidth="0" w:num="1">
            <w:col w:w="11280"/>
          </w:cols>
          <w:pgMar w:left="300" w:top="887" w:right="319" w:bottom="1440" w:gutter="0" w:footer="0" w:header="0"/>
        </w:sect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Steve Cutler</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Rónán Murphy</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21 April 2020</w:t>
      </w:r>
    </w:p>
    <w:p>
      <w:pPr>
        <w:spacing w:after="0" w:line="41" w:lineRule="exact"/>
        <w:rPr>
          <w:sz w:val="20"/>
          <w:szCs w:val="20"/>
          <w:color w:val="auto"/>
        </w:rPr>
      </w:pPr>
    </w:p>
    <w:p>
      <w:pPr>
        <w:sectPr>
          <w:pgSz w:w="11900" w:h="16838" w:orient="portrait"/>
          <w:cols w:equalWidth="0" w:num="3">
            <w:col w:w="2720" w:space="720"/>
            <w:col w:w="2220" w:space="720"/>
            <w:col w:w="4900"/>
          </w:cols>
          <w:pgMar w:left="300" w:top="887" w:right="319" w:bottom="1440" w:gutter="0" w:footer="0" w:header="0"/>
          <w:type w:val="continuous"/>
        </w:sectPr>
      </w:pPr>
    </w:p>
    <w:p>
      <w:pPr>
        <w:ind w:left="20"/>
        <w:spacing w:after="0"/>
        <w:rPr>
          <w:sz w:val="20"/>
          <w:szCs w:val="20"/>
          <w:color w:val="auto"/>
        </w:rPr>
      </w:pPr>
      <w:r>
        <w:rPr>
          <w:rFonts w:ascii="Arial" w:cs="Arial" w:eastAsia="Arial" w:hAnsi="Arial"/>
          <w:sz w:val="12"/>
          <w:szCs w:val="12"/>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i w:val="1"/>
          <w:iCs w:val="1"/>
          <w:color w:val="auto"/>
        </w:rPr>
        <w:t>Director</w:t>
      </w:r>
    </w:p>
    <w:p>
      <w:pPr>
        <w:spacing w:after="0" w:line="200" w:lineRule="exact"/>
        <w:rPr>
          <w:sz w:val="20"/>
          <w:szCs w:val="20"/>
          <w:color w:val="auto"/>
        </w:rPr>
      </w:pPr>
    </w:p>
    <w:p>
      <w:pPr>
        <w:sectPr>
          <w:pgSz w:w="11900" w:h="16838" w:orient="portrait"/>
          <w:cols w:equalWidth="0" w:num="2">
            <w:col w:w="2720" w:space="720"/>
            <w:col w:w="7840"/>
          </w:cols>
          <w:pgMar w:left="300" w:top="887" w:right="31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80"/>
          </w:cols>
          <w:pgMar w:left="300" w:top="887" w:right="31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color w:val="auto"/>
        </w:rPr>
        <w:t>Statement of Directors’ Responsibilities in respect of the Directors’ report and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The directors are responsible for preparing the annual report and the Group and Company financial statements in accordance with applicable law and regulations.</w:t>
      </w:r>
    </w:p>
    <w:p>
      <w:pPr>
        <w:spacing w:after="0" w:line="126"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Company law requires the directors to prepare the Group and Company financial statements for each financial year. The directors have elected to prepare the Group and Company financial statements in accordance with IFRS as adopted by the EU and as applied in accordance with the Companies Act 2014.</w:t>
      </w:r>
    </w:p>
    <w:p>
      <w:pPr>
        <w:spacing w:after="0" w:line="120"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Under company law the directors must not approve the Group and Company financial statements unless they are satisfied that they give a true and fair view of the assets, liabilities and financial position of the Group and Company and of the Group’s profit or loss for that year. In preparing the Group and Company financial statements, the directors are required to:</w:t>
      </w:r>
    </w:p>
    <w:p>
      <w:pPr>
        <w:spacing w:after="0" w:line="120" w:lineRule="exact"/>
        <w:rPr>
          <w:sz w:val="20"/>
          <w:szCs w:val="20"/>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select suitable accounting policies and then apply them consistently;</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make judgements and estimates that are reasonable and prudent;</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state whether applicable Accounting Standards have been followed, subject to any material departures disclosed and explained in the financial statements;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assess the Group and Company’s ability to continue as a going concern, disclosing, as applicable, matters related to going concern; and</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use the going concern basis of accounting unless they either intend to liquidate the Group or Company or to cease operations, or have no realistic alternative but to do so.</w:t>
      </w:r>
    </w:p>
    <w:p>
      <w:pPr>
        <w:spacing w:after="0" w:line="84" w:lineRule="exact"/>
        <w:rPr>
          <w:sz w:val="20"/>
          <w:szCs w:val="20"/>
          <w:color w:val="auto"/>
        </w:rPr>
      </w:pPr>
    </w:p>
    <w:p>
      <w:pPr>
        <w:jc w:val="both"/>
        <w:ind w:left="260"/>
        <w:spacing w:after="0" w:line="239" w:lineRule="auto"/>
        <w:rPr>
          <w:sz w:val="20"/>
          <w:szCs w:val="20"/>
          <w:color w:val="auto"/>
        </w:rPr>
      </w:pPr>
      <w:r>
        <w:rPr>
          <w:rFonts w:ascii="Arial" w:cs="Arial" w:eastAsia="Arial" w:hAnsi="Arial"/>
          <w:sz w:val="13"/>
          <w:szCs w:val="13"/>
          <w:color w:val="auto"/>
        </w:rPr>
        <w:t>The directors are responsible for keeping adequate accounting records which disclose with reasonable accuracy at any time the assets, liabilities, financial position of the Group and Company and profit or loss of the Group and which enable them to ensure that the financial statements comply with the provision of the Companies Act 2014. They are responsible for such internal controls as they determine is necessary to enable the preparation of financial statements that are free from material misstatement, whether due to fraud or error, and have general responsible for safeguarding the assets of the Company and the Group, and hence for taking reasonable steps for the prevention and detection of fraud and other irregularities. The directors are also responsible for preparing a directors’ report that complies with the requirements of the Companies Act 2014.</w:t>
      </w:r>
    </w:p>
    <w:p>
      <w:pPr>
        <w:spacing w:after="0" w:line="126" w:lineRule="exact"/>
        <w:rPr>
          <w:sz w:val="20"/>
          <w:szCs w:val="20"/>
          <w:color w:val="auto"/>
        </w:rPr>
      </w:pPr>
    </w:p>
    <w:p>
      <w:pPr>
        <w:jc w:val="both"/>
        <w:ind w:left="260"/>
        <w:spacing w:after="0" w:line="244" w:lineRule="auto"/>
        <w:rPr>
          <w:sz w:val="20"/>
          <w:szCs w:val="20"/>
          <w:color w:val="auto"/>
        </w:rPr>
      </w:pPr>
      <w:r>
        <w:rPr>
          <w:rFonts w:ascii="Arial" w:cs="Arial" w:eastAsia="Arial" w:hAnsi="Arial"/>
          <w:sz w:val="13"/>
          <w:szCs w:val="13"/>
          <w:color w:val="auto"/>
        </w:rPr>
        <w:t>The directors are responsible for the maintenance and integrity of the corporate and financial information included on the Company's website. Legislation in the Republic of Ireland governing the preparation and dissemination of financial statements may differ from legislation in other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 behalf of the Board</w:t>
      </w:r>
    </w:p>
    <w:p>
      <w:pPr>
        <w:sectPr>
          <w:pgSz w:w="11900" w:h="16838" w:orient="portrait"/>
          <w:cols w:equalWidth="0" w:num="1">
            <w:col w:w="11280"/>
          </w:cols>
          <w:pgMar w:left="300" w:top="716" w:right="319" w:bottom="1440" w:gutter="0" w:footer="0" w:header="0"/>
        </w:sect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Steve Cutler</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Rónán Murphy</w:t>
      </w:r>
    </w:p>
    <w:p>
      <w:pPr>
        <w:spacing w:after="0" w:line="41" w:lineRule="exact"/>
        <w:rPr>
          <w:sz w:val="20"/>
          <w:szCs w:val="20"/>
          <w:color w:val="auto"/>
        </w:rPr>
      </w:pPr>
    </w:p>
    <w:p>
      <w:pPr>
        <w:sectPr>
          <w:pgSz w:w="11900" w:h="16838" w:orient="portrait"/>
          <w:cols w:equalWidth="0" w:num="2">
            <w:col w:w="2720" w:space="720"/>
            <w:col w:w="7840"/>
          </w:cols>
          <w:pgMar w:left="300" w:top="716" w:right="319" w:bottom="1440" w:gutter="0" w:footer="0" w:header="0"/>
          <w:type w:val="continuous"/>
        </w:sectPr>
      </w:pPr>
    </w:p>
    <w:p>
      <w:pPr>
        <w:ind w:left="20"/>
        <w:spacing w:after="0"/>
        <w:rPr>
          <w:sz w:val="20"/>
          <w:szCs w:val="20"/>
          <w:color w:val="auto"/>
        </w:rPr>
      </w:pPr>
      <w:r>
        <w:rPr>
          <w:rFonts w:ascii="Arial" w:cs="Arial" w:eastAsia="Arial" w:hAnsi="Arial"/>
          <w:sz w:val="12"/>
          <w:szCs w:val="12"/>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i w:val="1"/>
          <w:iCs w:val="1"/>
          <w:color w:val="auto"/>
        </w:rPr>
        <w:t>Director</w:t>
      </w:r>
    </w:p>
    <w:p>
      <w:pPr>
        <w:spacing w:after="0" w:line="200" w:lineRule="exact"/>
        <w:rPr>
          <w:sz w:val="20"/>
          <w:szCs w:val="20"/>
          <w:color w:val="auto"/>
        </w:rPr>
      </w:pPr>
    </w:p>
    <w:p>
      <w:pPr>
        <w:sectPr>
          <w:pgSz w:w="11900" w:h="16838" w:orient="portrait"/>
          <w:cols w:equalWidth="0" w:num="2">
            <w:col w:w="2720" w:space="720"/>
            <w:col w:w="7840"/>
          </w:cols>
          <w:pgMar w:left="300" w:top="716" w:right="319" w:bottom="1440" w:gutter="0" w:footer="0" w:header="0"/>
          <w:type w:val="continuous"/>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80"/>
          </w:cols>
          <w:pgMar w:left="300" w:top="716" w:right="31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color w:val="auto"/>
        </w:rPr>
        <w:t>Independent Auditor’s Report to the members of ICON plc</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Report on the audit of the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Opinion</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have audited the financial statements of ICON plc (‘the Company’) and subsidiaries (together, “the Group”) for the year ended 31 December 2019, set out on pages 28 to 138, which comprise the Consolidated Statement of Profit and Loss, Consolidated Statement of Comprehensive Income, Consolidated and Company Statements of Financial Position, Consolidated and Company Statements of Changes in Equity, Consolidated and Company Statements of Cash Flows and related notes, including the summary of significant accounting policies set out in note 1.The financial reporting framework that has been applied in their preparation is Irish Law and International Financial Reporting Standards (IFRS) as adopted by the European Union.</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In our opinion:</w:t>
      </w:r>
    </w:p>
    <w:p>
      <w:pPr>
        <w:spacing w:after="0" w:line="126" w:lineRule="exact"/>
        <w:rPr>
          <w:sz w:val="20"/>
          <w:szCs w:val="20"/>
          <w:color w:val="auto"/>
        </w:rPr>
      </w:pPr>
    </w:p>
    <w:p>
      <w:pPr>
        <w:ind w:left="260" w:hanging="255"/>
        <w:spacing w:after="0" w:line="244" w:lineRule="auto"/>
        <w:tabs>
          <w:tab w:leader="none" w:pos="251"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Consolidated Financial Statements give a true and fair view of the assets, liabilities and financial position of the Group as at 31 December 2019 and of the Group’s profit for the year then ended;</w:t>
      </w:r>
    </w:p>
    <w:p>
      <w:pPr>
        <w:spacing w:after="0" w:line="120" w:lineRule="exact"/>
        <w:rPr>
          <w:rFonts w:ascii="Arial" w:cs="Arial" w:eastAsia="Arial" w:hAnsi="Arial"/>
          <w:sz w:val="13"/>
          <w:szCs w:val="13"/>
          <w:color w:val="auto"/>
        </w:rPr>
      </w:pPr>
    </w:p>
    <w:p>
      <w:pPr>
        <w:ind w:left="260" w:hanging="255"/>
        <w:spacing w:after="0"/>
        <w:tabs>
          <w:tab w:leader="none" w:pos="2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Company Statement of Financial Position gives a true and fair view of the assets, liabilities and financial position of the Company as at 31 December 2019;</w:t>
      </w:r>
    </w:p>
    <w:p>
      <w:pPr>
        <w:spacing w:after="0" w:line="126" w:lineRule="exact"/>
        <w:rPr>
          <w:rFonts w:ascii="Arial" w:cs="Arial" w:eastAsia="Arial" w:hAnsi="Arial"/>
          <w:sz w:val="13"/>
          <w:szCs w:val="13"/>
          <w:color w:val="auto"/>
        </w:rPr>
      </w:pPr>
    </w:p>
    <w:p>
      <w:pPr>
        <w:ind w:left="260" w:hanging="255"/>
        <w:spacing w:after="0"/>
        <w:tabs>
          <w:tab w:leader="none" w:pos="2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Consolidated Financial Statements have been properly prepared in accordance with IFRS as adopted by the European Union;</w:t>
      </w:r>
    </w:p>
    <w:p>
      <w:pPr>
        <w:spacing w:after="0" w:line="126" w:lineRule="exact"/>
        <w:rPr>
          <w:rFonts w:ascii="Arial" w:cs="Arial" w:eastAsia="Arial" w:hAnsi="Arial"/>
          <w:sz w:val="13"/>
          <w:szCs w:val="13"/>
          <w:color w:val="auto"/>
        </w:rPr>
      </w:pPr>
    </w:p>
    <w:p>
      <w:pPr>
        <w:ind w:left="260" w:hanging="255"/>
        <w:spacing w:after="0" w:line="244" w:lineRule="auto"/>
        <w:tabs>
          <w:tab w:leader="none" w:pos="251"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Company Financial Statements have been properly prepared in accordance with IFRS as adopted by the European Union, as applied in accordance with the provisions of the Companies Act 2014; and</w:t>
      </w:r>
    </w:p>
    <w:p>
      <w:pPr>
        <w:spacing w:after="0" w:line="120" w:lineRule="exact"/>
        <w:rPr>
          <w:rFonts w:ascii="Arial" w:cs="Arial" w:eastAsia="Arial" w:hAnsi="Arial"/>
          <w:sz w:val="13"/>
          <w:szCs w:val="13"/>
          <w:color w:val="auto"/>
        </w:rPr>
      </w:pPr>
    </w:p>
    <w:p>
      <w:pPr>
        <w:ind w:left="260" w:hanging="255"/>
        <w:spacing w:after="0"/>
        <w:tabs>
          <w:tab w:leader="none" w:pos="2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Consolidated Financial Statements and Company Financial Statements have been properly prepared in accordance with the requirements of the Companies Act 2014.</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for opinion</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conducted our audit in accordance with International Standards on Auditing (Ireland) (ISAs (Ireland)) and applicable law. Our responsibilities under those standards are further described in the Auditor's responsibilities for the audit of the financial statements section of our report. We have fulfilled our ethical responsibilities under, and we remained independent of the Group in accordance with ethical requirements that are relevant to our audit of financial statements in Ireland, including the Ethical Standard issued by the Irish Auditing and Accounting Supervisory Authority (IAASA), as applied to listed entities.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We believe that the audit evidence we have obtained is sufficient and appropriate to provide a basis for our opinion.</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audit matters: our assessment of risks of material misstatement</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3"/>
          <w:szCs w:val="13"/>
          <w:color w:val="auto"/>
        </w:rPr>
        <w:t>Key audit matters are those matters that, in our professional judgment, were of most significance in the audit of the financial statements and include the most significant assessed risks of material misstatement (whether or not due to fraud) identified by us, including those which had the greatest effect on: the overall audit strategy; the allocation of resources in the audit; and directing the efforts of the engagement team. These matters were addressed in the context of our audit of the financial statements as a whole, and in forming our opinion thereon, and we do not provide a separate opinion on these matters.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In arriving at our audit opinion above, the key audit matter was as follows: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Evaluation of progress towards completion and realisable contract value related to revenue recognition for clinical trial service contracts</w:t>
      </w:r>
    </w:p>
    <w:p>
      <w:pPr>
        <w:spacing w:after="0" w:line="138"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As described in note 1, significant accounting policies, and in note 2, segmental information, the Group’s revenues were US $2,806 million for the year ended 31 December 2019 (2018: US$2,596 million). A significant portion of this revenue relates to clinical trial service revenue. Clinical trial service revenue is recognised over time using an input measure, being total project costs (inclusive of third-party costs).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key audit matter</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3"/>
          <w:szCs w:val="13"/>
          <w:color w:val="auto"/>
        </w:rPr>
        <w:t>Clinical trial service revenue is recognised using project costs incurred to date relative to total estimated costs to complete to measure progress towards satisfying the Company’s performance obligation. Contracts generally contain provisions for renegotiation in the event of changes in the scope, nature, duration or volume of services of the contract. Renegotiated amounts are recognised as revenue by revision to the total contract value arising as a result of the change order. Furthermore, the transaction price is determined by adjusting the contract or change order value to reflect a realisable contract value.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80"/>
          </w:cols>
          <w:pgMar w:left="300" w:top="907" w:right="31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identified the evaluation of progress towards completion and realisable contract value related to revenue recognition for clinical trial services contracts as a key audit matter. Complex and subjective auditor judgement was required to evaluate the Company’s estimate regarding the direct costs and costs that will be incurred by third parties to complete the contracts, based on historical experience and estimated realisable contract values on clinical trial service contracts.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How the matter was addressed in our audit</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Our audit procedures included, amongst others:</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tested the operarting effectiveness of certain internal controls over the Company’s revenue recognition for the clinical trial service contracts process. These included controls over the development of the estimated direct costs and costs that will be incurred by third parties to complete the contracts and estimated realisable contract values.</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We tested the estimated costs to complete and the realisable contract values for a sample of clinical trial service contracts, by evaluating:</w:t>
      </w:r>
    </w:p>
    <w:p>
      <w:pPr>
        <w:spacing w:after="0" w:line="126" w:lineRule="exact"/>
        <w:rPr>
          <w:sz w:val="20"/>
          <w:szCs w:val="20"/>
          <w:color w:val="auto"/>
        </w:rPr>
      </w:pPr>
    </w:p>
    <w:p>
      <w:pPr>
        <w:ind w:left="260" w:hanging="223"/>
        <w:spacing w:after="0" w:line="244" w:lineRule="auto"/>
        <w:tabs>
          <w:tab w:leader="none" w:pos="251" w:val="left"/>
        </w:tabs>
        <w:numPr>
          <w:ilvl w:val="0"/>
          <w:numId w:val="18"/>
        </w:numPr>
        <w:rPr>
          <w:rFonts w:ascii="Arial" w:cs="Arial" w:eastAsia="Arial" w:hAnsi="Arial"/>
          <w:sz w:val="13"/>
          <w:szCs w:val="13"/>
          <w:color w:val="auto"/>
        </w:rPr>
      </w:pPr>
      <w:r>
        <w:rPr>
          <w:rFonts w:ascii="Arial" w:cs="Arial" w:eastAsia="Arial" w:hAnsi="Arial"/>
          <w:sz w:val="13"/>
          <w:szCs w:val="13"/>
          <w:color w:val="auto"/>
        </w:rPr>
        <w:t>Actual direct costs incurred, both during the year and life-to-date, to assess the consistency with the estimated direct costs for that time period. We compared actual direct costs incurred to source timesheet data and hourly rates to underlying contractual terms;</w:t>
      </w:r>
    </w:p>
    <w:p>
      <w:pPr>
        <w:spacing w:after="0" w:line="120" w:lineRule="exact"/>
        <w:rPr>
          <w:rFonts w:ascii="Arial" w:cs="Arial" w:eastAsia="Arial" w:hAnsi="Arial"/>
          <w:sz w:val="13"/>
          <w:szCs w:val="13"/>
          <w:color w:val="auto"/>
        </w:rPr>
      </w:pPr>
    </w:p>
    <w:p>
      <w:pPr>
        <w:ind w:left="260" w:hanging="223"/>
        <w:spacing w:after="0"/>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Third-party costs incurred, to assess the consistency with the estimated third-party costs for that time period. We compared third-party costs incurred to invoices received;</w:t>
      </w:r>
    </w:p>
    <w:p>
      <w:pPr>
        <w:spacing w:after="0" w:line="126" w:lineRule="exact"/>
        <w:rPr>
          <w:rFonts w:ascii="Arial" w:cs="Arial" w:eastAsia="Arial" w:hAnsi="Arial"/>
          <w:sz w:val="13"/>
          <w:szCs w:val="13"/>
          <w:color w:val="auto"/>
        </w:rPr>
      </w:pPr>
    </w:p>
    <w:p>
      <w:pPr>
        <w:ind w:left="260" w:hanging="223"/>
        <w:spacing w:after="0" w:line="244" w:lineRule="auto"/>
        <w:tabs>
          <w:tab w:leader="none" w:pos="251" w:val="left"/>
        </w:tabs>
        <w:numPr>
          <w:ilvl w:val="0"/>
          <w:numId w:val="18"/>
        </w:numPr>
        <w:rPr>
          <w:rFonts w:ascii="Arial" w:cs="Arial" w:eastAsia="Arial" w:hAnsi="Arial"/>
          <w:sz w:val="13"/>
          <w:szCs w:val="13"/>
          <w:color w:val="auto"/>
        </w:rPr>
      </w:pPr>
      <w:r>
        <w:rPr>
          <w:rFonts w:ascii="Arial" w:cs="Arial" w:eastAsia="Arial" w:hAnsi="Arial"/>
          <w:sz w:val="13"/>
          <w:szCs w:val="13"/>
          <w:color w:val="auto"/>
        </w:rPr>
        <w:t>Findings from interviews with operational personnel of the Company to evaluate progress to date, the estimate of remaining costs to be incurred and factors impacting the amount of time and cost to complete the sampled contracts, including the assessment of the nature and complexity of the work to be performed;</w:t>
      </w:r>
    </w:p>
    <w:p>
      <w:pPr>
        <w:spacing w:after="0" w:line="120" w:lineRule="exact"/>
        <w:rPr>
          <w:rFonts w:ascii="Arial" w:cs="Arial" w:eastAsia="Arial" w:hAnsi="Arial"/>
          <w:sz w:val="13"/>
          <w:szCs w:val="13"/>
          <w:color w:val="auto"/>
        </w:rPr>
      </w:pPr>
    </w:p>
    <w:p>
      <w:pPr>
        <w:ind w:left="260" w:hanging="223"/>
        <w:spacing w:after="0"/>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Correspondence, if any, between the Company and the customer for the sampled contracts as part of our evaluation of contract progress;</w:t>
      </w:r>
    </w:p>
    <w:p>
      <w:pPr>
        <w:spacing w:after="0" w:line="126" w:lineRule="exact"/>
        <w:rPr>
          <w:rFonts w:ascii="Arial" w:cs="Arial" w:eastAsia="Arial" w:hAnsi="Arial"/>
          <w:sz w:val="13"/>
          <w:szCs w:val="13"/>
          <w:color w:val="auto"/>
        </w:rPr>
      </w:pPr>
    </w:p>
    <w:p>
      <w:pPr>
        <w:ind w:left="260" w:hanging="223"/>
        <w:spacing w:after="0"/>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Changes to estimated costs, including the amount and timing of the changes; and</w:t>
      </w:r>
    </w:p>
    <w:p>
      <w:pPr>
        <w:spacing w:after="0" w:line="126" w:lineRule="exact"/>
        <w:rPr>
          <w:rFonts w:ascii="Arial" w:cs="Arial" w:eastAsia="Arial" w:hAnsi="Arial"/>
          <w:sz w:val="13"/>
          <w:szCs w:val="13"/>
          <w:color w:val="auto"/>
        </w:rPr>
      </w:pPr>
    </w:p>
    <w:p>
      <w:pPr>
        <w:ind w:left="260" w:hanging="223"/>
        <w:spacing w:after="0" w:line="244" w:lineRule="auto"/>
        <w:tabs>
          <w:tab w:leader="none" w:pos="251"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basis for the realisable contract value assumptions and challenging these assumptions. We confirmed contract terms with customers and assessed the realisable contract values by comparing the assumptions to underlying records, including final contract invoices received.</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also evaluated the Company’s ability to accurately estimate costs to complete and realisable contract values, by comparing historical estimates developed at contract inception to actual results for a sample of contracts.</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procedures in respect of this risk were performed as planned. We found that the estimates and judgements used in determining the progress towards completion and realisable contract value related to revenue recognition for clinical trial services contracts were appropriate.</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Parent Company key audit matters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Due to the nature of the Parent Company’s activities, there are no key audit matters that we are required to communicate in accordance with ISAs (Ireland).</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application of materiality and an overview of the scope of our audit</w:t>
      </w:r>
    </w:p>
    <w:p>
      <w:pPr>
        <w:spacing w:after="0" w:line="13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Materiality for the Group Financial Statements as a whole was set at US$20 million (2018: US$17.5 million). Materiality for the Company Financial Statements was set at US$9.5 million (2018: US$8 million).</w:t>
      </w:r>
    </w:p>
    <w:p>
      <w:pPr>
        <w:spacing w:after="0" w:line="12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For the Group, materiality has been calculated as 5% of the benchmark of expected Group profit before tax (this estimated amount was based on earnings guidance available at the planning stage of the audit), which we have determined in our professional judgement, to be one of the principal benchmarks within the financial statements relevant to members of the Company in assessing the financial performance of the Group. For the Parent Company, materiality has been calculated based on 1% of the benchmark of total assets.</w:t>
      </w:r>
    </w:p>
    <w:p>
      <w:pPr>
        <w:spacing w:after="0" w:line="12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report to the Audit Committee all corrected and uncorrected audit misstatements we identified through our audit in excess of US$1.0 million (Group) and US$0.5 million (Company), in addition to other audit misstatements below that threshold that we believe warranted reporting on qualitative grounds.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80"/>
          </w:cols>
          <w:pgMar w:left="300" w:top="887" w:right="31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structure of the Group’s finance function is such that the majority of transactions and balances are accounted for by the central Group finance team. We performed comprehensive audit procedures, including those in relation to the significant risk set out above, on those transactions accounted for at Group level. Our audit covered 98% of total Group revenue and 98% of total Group assets, including 100% of the Parent Company’s revenue and total assets.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All audit procedures were undertaken by the Group audit team.</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nothing to report on going concern</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are required to report to you if we have concluded that the use of the going concern basis of accounting is inappropriate or there is an undisclosed material uncertainty that may cast significant doubt over the use of that basis for a period of at least twelve months from the date of approval of the financial statements. We have nothing to report in these respects.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information</w:t>
      </w:r>
    </w:p>
    <w:p>
      <w:pPr>
        <w:spacing w:after="0" w:line="13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directors are responsible for the other information presented in the Annual Report together with the financial statements. The other information comprises the information included in the directors’ report. The financial statements and our auditor’s report thereon do not comprise part of the other information. Our opinion on the financial statements does not cover the other information and, accordingly, we do not express an audit opinion or, except as explicitly stated below, any form of assurance conclusion thereon.</w:t>
      </w:r>
    </w:p>
    <w:p>
      <w:pPr>
        <w:spacing w:after="0" w:line="12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responsibility is to read the other information and, in doing so, consider whether, based on our financial statements audit work, the information therein is materially misstated or inconsistent with the financial statements or our audit knowledge. Based solely on that work we have not identified material misstatements in the other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Based solely on our work on the other information, we report that, in those parts of the directors’ report specified for our consideration:</w:t>
      </w:r>
    </w:p>
    <w:p>
      <w:pPr>
        <w:spacing w:after="0" w:line="126" w:lineRule="exact"/>
        <w:rPr>
          <w:sz w:val="20"/>
          <w:szCs w:val="20"/>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have not identified material misstatements in the directors’ report;</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 our opinion, the information given in the directors’ report is consistent with the financial statements;</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 our opinion, the directors’ report has been prepared in accordance with the Companies Act 2014.</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opinions on other matters prescribed by the Companies Act 2014 are unmodified</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We have obtained all the information and explanations which we consider necessary for the purpose of our audit.</w:t>
      </w:r>
    </w:p>
    <w:p>
      <w:pPr>
        <w:spacing w:after="0" w:line="11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our opinion, the accounting records of the Company were sufficient to permit the financial statements to be readily and properly audited and the Company’s financial statements are in agreement with the accounting records.</w:t>
      </w: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nothing to report on other matters on which we are required to report by exception</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The Companies Act 2014 requires us to report to you if, in our opinion, the disclosures of directors’ remuneration and transactions required by Sections 305 to 312 of the Act are not made.</w:t>
      </w:r>
    </w:p>
    <w:p>
      <w:pPr>
        <w:spacing w:after="0" w:line="11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Companies Act 2014 also requires us to report to you if, in our opinion, the Company has not provided the information required by section 5(2) to (7) of the European Union (Disclosure of Non-Financial and Diversity Information by certain large undertakings and groups) Regulations 2017 for the year ended 31 December 2018 as required by the European Union (Disclosure of Non-Financial and Diversity Information by certain large undertakings and groups) (amendment) Regulations 2018.</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Respective responsibilities and restrictions on use</w:t>
      </w: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Directors’ responsibilities</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13"/>
          <w:szCs w:val="13"/>
          <w:color w:val="auto"/>
        </w:rPr>
        <w:t>As explained more fully in their statement set out on page 23, the directors are responsible for: the preparation of the financial statements including being satisfied that they give a true and fair view; such internal control as they determine is necessary to enable the preparation of financial statements that are free from material misstatement, whether due to fraud or error; assessing the Group and Company’s ability to continue as a going concern, disclosing, as applicable, matters related to going concern; and using the going concern basis of accounting unless they either intend to liquidate the Group or Company or to cease operations, or have no realistic alternative but to do so.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80"/>
          </w:cols>
          <w:pgMar w:left="300" w:top="887" w:right="31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Auditor’s responsibilities for the audit of the financial statements</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13"/>
          <w:szCs w:val="13"/>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ISAs (Ireland)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 statements.</w:t>
      </w:r>
    </w:p>
    <w:p>
      <w:pPr>
        <w:spacing w:after="0" w:line="123" w:lineRule="exact"/>
        <w:rPr>
          <w:sz w:val="20"/>
          <w:szCs w:val="20"/>
          <w:color w:val="auto"/>
        </w:rPr>
      </w:pPr>
    </w:p>
    <w:p>
      <w:pPr>
        <w:ind w:right="3800"/>
        <w:spacing w:after="0" w:line="244" w:lineRule="auto"/>
        <w:rPr>
          <w:sz w:val="20"/>
          <w:szCs w:val="20"/>
          <w:color w:val="auto"/>
        </w:rPr>
      </w:pPr>
      <w:r>
        <w:rPr>
          <w:rFonts w:ascii="Arial" w:cs="Arial" w:eastAsia="Arial" w:hAnsi="Arial"/>
          <w:sz w:val="13"/>
          <w:szCs w:val="13"/>
          <w:color w:val="auto"/>
        </w:rPr>
        <w:t xml:space="preserve">A fuller description of our responsibilities is provided on IAASA’s website at </w:t>
      </w:r>
      <w:r>
        <w:rPr>
          <w:rFonts w:ascii="Arial" w:cs="Arial" w:eastAsia="Arial" w:hAnsi="Arial"/>
          <w:sz w:val="13"/>
          <w:szCs w:val="13"/>
          <w:u w:val="single" w:color="auto"/>
          <w:color w:val="0563C1"/>
        </w:rPr>
        <w:t>https://www.iaasa.ie/getmedia/b2389013-1cf6-458b-9b8f-a98202dc9c3a/Description_of_auditors_responsiblities_for_audit.pdf</w:t>
      </w:r>
      <w:r>
        <w:rPr>
          <w:rFonts w:ascii="Arial" w:cs="Arial" w:eastAsia="Arial" w:hAnsi="Arial"/>
          <w:sz w:val="13"/>
          <w:szCs w:val="13"/>
          <w:color w:val="000000"/>
        </w:rPr>
        <w:t>.</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purpose of our audit work and to whom we owe our responsibilities</w:t>
      </w:r>
    </w:p>
    <w:p>
      <w:pPr>
        <w:spacing w:after="0" w:line="13"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Our report is made solely to the Company’s members, as a body, in accordance with Section 391 of the Companies Act 2014.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our report, or for the opinions we have formed.</w:t>
      </w:r>
    </w:p>
    <w:p>
      <w:pPr>
        <w:sectPr>
          <w:pgSz w:w="11900" w:h="16838" w:orient="portrait"/>
          <w:cols w:equalWidth="0" w:num="1">
            <w:col w:w="11280"/>
          </w:cols>
          <w:pgMar w:left="300" w:top="88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Emer McGrath</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and on behalf of</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KPMG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2"/>
          <w:szCs w:val="12"/>
          <w:color w:val="auto"/>
        </w:rPr>
        <w:t>April 22, 2020</w:t>
      </w:r>
    </w:p>
    <w:p>
      <w:pPr>
        <w:spacing w:after="0" w:line="309" w:lineRule="exact"/>
        <w:rPr>
          <w:sz w:val="20"/>
          <w:szCs w:val="20"/>
          <w:color w:val="auto"/>
        </w:rPr>
      </w:pPr>
    </w:p>
    <w:p>
      <w:pPr>
        <w:sectPr>
          <w:pgSz w:w="11900" w:h="16838" w:orient="portrait"/>
          <w:cols w:equalWidth="0" w:num="2">
            <w:col w:w="1200" w:space="20"/>
            <w:col w:w="10060"/>
          </w:cols>
          <w:pgMar w:left="300" w:top="887" w:right="319" w:bottom="1440" w:gutter="0" w:footer="0" w:header="0"/>
          <w:type w:val="continuous"/>
        </w:sectPr>
      </w:pPr>
    </w:p>
    <w:p>
      <w:pPr>
        <w:spacing w:after="0" w:line="236" w:lineRule="auto"/>
        <w:rPr>
          <w:sz w:val="20"/>
          <w:szCs w:val="20"/>
          <w:color w:val="auto"/>
        </w:rPr>
      </w:pPr>
      <w:r>
        <w:rPr>
          <w:rFonts w:ascii="Arial" w:cs="Arial" w:eastAsia="Arial" w:hAnsi="Arial"/>
          <w:sz w:val="13"/>
          <w:szCs w:val="13"/>
          <w:b w:val="1"/>
          <w:bCs w:val="1"/>
          <w:color w:val="auto"/>
        </w:rPr>
        <w:t>Chartered Accountants, Statutory Audit Firm</w:t>
      </w:r>
    </w:p>
    <w:p>
      <w:pPr>
        <w:spacing w:after="0"/>
        <w:rPr>
          <w:sz w:val="20"/>
          <w:szCs w:val="20"/>
          <w:color w:val="auto"/>
        </w:rPr>
      </w:pPr>
      <w:r>
        <w:rPr>
          <w:rFonts w:ascii="Arial" w:cs="Arial" w:eastAsia="Arial" w:hAnsi="Arial"/>
          <w:sz w:val="13"/>
          <w:szCs w:val="13"/>
          <w:i w:val="1"/>
          <w:iCs w:val="1"/>
          <w:color w:val="auto"/>
        </w:rPr>
        <w:t>1 Stokes Place</w:t>
      </w:r>
    </w:p>
    <w:p>
      <w:pPr>
        <w:spacing w:after="0"/>
        <w:rPr>
          <w:sz w:val="20"/>
          <w:szCs w:val="20"/>
          <w:color w:val="auto"/>
        </w:rPr>
      </w:pPr>
      <w:r>
        <w:rPr>
          <w:rFonts w:ascii="Arial" w:cs="Arial" w:eastAsia="Arial" w:hAnsi="Arial"/>
          <w:sz w:val="13"/>
          <w:szCs w:val="13"/>
          <w:i w:val="1"/>
          <w:iCs w:val="1"/>
          <w:color w:val="auto"/>
        </w:rPr>
        <w:t>St. Stephen’s Green</w:t>
      </w:r>
    </w:p>
    <w:p>
      <w:pPr>
        <w:spacing w:after="0"/>
        <w:rPr>
          <w:sz w:val="20"/>
          <w:szCs w:val="20"/>
          <w:color w:val="auto"/>
        </w:rPr>
      </w:pPr>
      <w:r>
        <w:rPr>
          <w:rFonts w:ascii="Arial" w:cs="Arial" w:eastAsia="Arial" w:hAnsi="Arial"/>
          <w:sz w:val="13"/>
          <w:szCs w:val="13"/>
          <w:i w:val="1"/>
          <w:iCs w:val="1"/>
          <w:color w:val="auto"/>
        </w:rPr>
        <w:t>Dublin 2</w:t>
      </w:r>
    </w:p>
    <w:p>
      <w:pPr>
        <w:spacing w:after="0"/>
        <w:rPr>
          <w:sz w:val="20"/>
          <w:szCs w:val="20"/>
          <w:color w:val="auto"/>
        </w:rPr>
      </w:pPr>
      <w:r>
        <w:rPr>
          <w:rFonts w:ascii="Arial" w:cs="Arial" w:eastAsia="Arial" w:hAnsi="Arial"/>
          <w:sz w:val="13"/>
          <w:szCs w:val="13"/>
          <w:i w:val="1"/>
          <w:iCs w:val="1"/>
          <w:color w:val="auto"/>
        </w:rPr>
        <w:t>Ireland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80"/>
          </w:cols>
          <w:pgMar w:left="300" w:top="887" w:right="31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color w:val="auto"/>
        </w:rPr>
        <w:t>Consolidated Statement of Profit and Loss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580" w:type="dxa"/>
            <w:vAlign w:val="bottom"/>
            <w:shd w:val="clear" w:color="auto" w:fill="CCEEFF"/>
          </w:tcPr>
          <w:p>
            <w:pPr>
              <w:spacing w:after="0"/>
              <w:rPr>
                <w:sz w:val="13"/>
                <w:szCs w:val="13"/>
                <w:color w:val="auto"/>
              </w:rPr>
            </w:pPr>
          </w:p>
        </w:tc>
        <w:tc>
          <w:tcPr>
            <w:tcW w:w="540" w:type="dxa"/>
            <w:vAlign w:val="bottom"/>
            <w:tcBorders>
              <w:right w:val="single" w:sz="8" w:color="auto"/>
            </w:tcBorders>
            <w:shd w:val="clear" w:color="auto" w:fill="CCEEFF"/>
          </w:tcPr>
          <w:p>
            <w:pPr>
              <w:spacing w:after="0"/>
              <w:rPr>
                <w:sz w:val="13"/>
                <w:szCs w:val="13"/>
                <w:color w:val="auto"/>
              </w:rPr>
            </w:pPr>
          </w:p>
        </w:tc>
        <w:tc>
          <w:tcPr>
            <w:tcW w:w="2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w:t>
            </w:r>
          </w:p>
        </w:tc>
        <w:tc>
          <w:tcPr>
            <w:tcW w:w="25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31 December</w:t>
            </w:r>
          </w:p>
        </w:tc>
        <w:tc>
          <w:tcPr>
            <w:tcW w:w="15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2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84"/>
        </w:trPr>
        <w:tc>
          <w:tcPr>
            <w:tcW w:w="2580" w:type="dxa"/>
            <w:vAlign w:val="bottom"/>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2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2019</w:t>
            </w:r>
          </w:p>
        </w:tc>
        <w:tc>
          <w:tcPr>
            <w:tcW w:w="25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2018</w:t>
            </w:r>
          </w:p>
        </w:tc>
        <w:tc>
          <w:tcPr>
            <w:tcW w:w="15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c>
          <w:tcPr>
            <w:tcW w:w="2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71"/>
        </w:trPr>
        <w:tc>
          <w:tcPr>
            <w:tcW w:w="25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2520" w:type="dxa"/>
            <w:vAlign w:val="bottom"/>
          </w:tcPr>
          <w:p>
            <w:pPr>
              <w:jc w:val="right"/>
              <w:ind w:right="456"/>
              <w:spacing w:after="0"/>
              <w:rPr>
                <w:sz w:val="20"/>
                <w:szCs w:val="20"/>
                <w:color w:val="auto"/>
              </w:rPr>
            </w:pPr>
            <w:r>
              <w:rPr>
                <w:rFonts w:ascii="Arial" w:cs="Arial" w:eastAsia="Arial" w:hAnsi="Arial"/>
                <w:sz w:val="13"/>
                <w:szCs w:val="13"/>
                <w:color w:val="auto"/>
              </w:rPr>
              <w:t>Excluding</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(Note 8)</w:t>
            </w:r>
          </w:p>
        </w:tc>
        <w:tc>
          <w:tcPr>
            <w:tcW w:w="20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Including</w:t>
            </w:r>
          </w:p>
        </w:tc>
      </w:tr>
      <w:tr>
        <w:trPr>
          <w:trHeight w:val="161"/>
        </w:trPr>
        <w:tc>
          <w:tcPr>
            <w:tcW w:w="258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right w:val="single" w:sz="8" w:color="auto"/>
            </w:tcBorders>
          </w:tcPr>
          <w:p>
            <w:pPr>
              <w:spacing w:after="0"/>
              <w:rPr>
                <w:sz w:val="13"/>
                <w:szCs w:val="13"/>
                <w:color w:val="auto"/>
              </w:rPr>
            </w:pPr>
          </w:p>
        </w:tc>
        <w:tc>
          <w:tcPr>
            <w:tcW w:w="2080" w:type="dxa"/>
            <w:vAlign w:val="bottom"/>
            <w:tcBorders>
              <w:bottom w:val="single" w:sz="8" w:color="auto"/>
              <w:right w:val="single" w:sz="8" w:color="auto"/>
            </w:tcBorders>
          </w:tcPr>
          <w:p>
            <w:pPr>
              <w:spacing w:after="0"/>
              <w:rPr>
                <w:sz w:val="13"/>
                <w:szCs w:val="13"/>
                <w:color w:val="auto"/>
              </w:rPr>
            </w:pPr>
          </w:p>
        </w:tc>
        <w:tc>
          <w:tcPr>
            <w:tcW w:w="25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Exceptional items</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Exceptional items</w:t>
            </w:r>
          </w:p>
        </w:tc>
        <w:tc>
          <w:tcPr>
            <w:tcW w:w="2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Exceptional items</w:t>
            </w:r>
          </w:p>
        </w:tc>
      </w:tr>
      <w:tr>
        <w:trPr>
          <w:trHeight w:val="189"/>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Continuing Operations</w:t>
            </w:r>
          </w:p>
        </w:tc>
        <w:tc>
          <w:tcPr>
            <w:tcW w:w="5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i w:val="1"/>
                <w:iCs w:val="1"/>
                <w:color w:val="auto"/>
              </w:rPr>
              <w:t>Note</w:t>
            </w:r>
          </w:p>
        </w:tc>
        <w:tc>
          <w:tcPr>
            <w:tcW w:w="2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25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$’000</w:t>
            </w:r>
          </w:p>
        </w:tc>
        <w:tc>
          <w:tcPr>
            <w:tcW w:w="15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2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27"/>
        </w:trPr>
        <w:tc>
          <w:tcPr>
            <w:tcW w:w="258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2040" w:type="dxa"/>
            <w:vAlign w:val="bottom"/>
            <w:tcBorders>
              <w:right w:val="single" w:sz="8" w:color="auto"/>
            </w:tcBorders>
          </w:tcPr>
          <w:p>
            <w:pPr>
              <w:spacing w:after="0"/>
              <w:rPr>
                <w:sz w:val="11"/>
                <w:szCs w:val="11"/>
                <w:color w:val="auto"/>
              </w:rPr>
            </w:pPr>
          </w:p>
        </w:tc>
      </w:tr>
      <w:tr>
        <w:trPr>
          <w:trHeight w:val="191"/>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540" w:type="dxa"/>
            <w:vAlign w:val="bottom"/>
            <w:tcBorders>
              <w:right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i w:val="1"/>
                <w:iCs w:val="1"/>
                <w:color w:val="auto"/>
              </w:rPr>
              <w:t>2</w:t>
            </w:r>
          </w:p>
        </w:tc>
        <w:tc>
          <w:tcPr>
            <w:tcW w:w="2080" w:type="dxa"/>
            <w:vAlign w:val="bottom"/>
            <w:tcBorders>
              <w:right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2,805,839</w:t>
            </w:r>
          </w:p>
        </w:tc>
        <w:tc>
          <w:tcPr>
            <w:tcW w:w="252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rPr>
              <w:t>2,595,777</w:t>
            </w:r>
          </w:p>
        </w:tc>
        <w:tc>
          <w:tcPr>
            <w:tcW w:w="1540" w:type="dxa"/>
            <w:vAlign w:val="bottom"/>
            <w:tcBorders>
              <w:right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2040" w:type="dxa"/>
            <w:vAlign w:val="bottom"/>
            <w:tcBorders>
              <w:right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2,595,777</w:t>
            </w:r>
          </w:p>
        </w:tc>
      </w:tr>
      <w:tr>
        <w:trPr>
          <w:trHeight w:val="127"/>
        </w:trPr>
        <w:tc>
          <w:tcPr>
            <w:tcW w:w="258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2040" w:type="dxa"/>
            <w:vAlign w:val="bottom"/>
            <w:tcBorders>
              <w:right w:val="single" w:sz="8" w:color="auto"/>
            </w:tcBorders>
          </w:tcPr>
          <w:p>
            <w:pPr>
              <w:spacing w:after="0"/>
              <w:rPr>
                <w:sz w:val="11"/>
                <w:szCs w:val="11"/>
                <w:color w:val="auto"/>
              </w:rPr>
            </w:pPr>
          </w:p>
        </w:tc>
      </w:tr>
      <w:tr>
        <w:trPr>
          <w:trHeight w:val="191"/>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 costs</w:t>
            </w:r>
          </w:p>
        </w:tc>
        <w:tc>
          <w:tcPr>
            <w:tcW w:w="540" w:type="dxa"/>
            <w:vAlign w:val="bottom"/>
            <w:tcBorders>
              <w:right w:val="single" w:sz="8" w:color="auto"/>
            </w:tcBorders>
            <w:shd w:val="clear" w:color="auto" w:fill="CCEEFF"/>
          </w:tcPr>
          <w:p>
            <w:pPr>
              <w:spacing w:after="0"/>
              <w:rPr>
                <w:sz w:val="16"/>
                <w:szCs w:val="16"/>
                <w:color w:val="auto"/>
              </w:rPr>
            </w:pPr>
          </w:p>
        </w:tc>
        <w:tc>
          <w:tcPr>
            <w:tcW w:w="2080" w:type="dxa"/>
            <w:vAlign w:val="bottom"/>
            <w:tcBorders>
              <w:right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(1,973,621)</w:t>
            </w:r>
          </w:p>
        </w:tc>
        <w:tc>
          <w:tcPr>
            <w:tcW w:w="252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(1,816,270)</w:t>
            </w:r>
          </w:p>
        </w:tc>
        <w:tc>
          <w:tcPr>
            <w:tcW w:w="154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(10,017)</w:t>
            </w:r>
          </w:p>
        </w:tc>
        <w:tc>
          <w:tcPr>
            <w:tcW w:w="204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(1,826,287)</w:t>
            </w:r>
          </w:p>
        </w:tc>
      </w:tr>
      <w:tr>
        <w:trPr>
          <w:trHeight w:val="183"/>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operating expenses</w:t>
            </w:r>
          </w:p>
        </w:tc>
        <w:tc>
          <w:tcPr>
            <w:tcW w:w="540" w:type="dxa"/>
            <w:vAlign w:val="bottom"/>
            <w:tcBorders>
              <w:bottom w:val="single" w:sz="8" w:color="auto"/>
              <w:right w:val="single" w:sz="8" w:color="auto"/>
            </w:tcBorders>
          </w:tcPr>
          <w:p>
            <w:pPr>
              <w:spacing w:after="0"/>
              <w:rPr>
                <w:sz w:val="15"/>
                <w:szCs w:val="15"/>
                <w:color w:val="auto"/>
              </w:rPr>
            </w:pPr>
          </w:p>
        </w:tc>
        <w:tc>
          <w:tcPr>
            <w:tcW w:w="2080" w:type="dxa"/>
            <w:vAlign w:val="bottom"/>
            <w:tcBorders>
              <w:bottom w:val="single" w:sz="8" w:color="auto"/>
              <w:right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(396,087)</w:t>
            </w:r>
          </w:p>
        </w:tc>
        <w:tc>
          <w:tcPr>
            <w:tcW w:w="252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(389,899)</w:t>
            </w:r>
          </w:p>
        </w:tc>
        <w:tc>
          <w:tcPr>
            <w:tcW w:w="1540" w:type="dxa"/>
            <w:vAlign w:val="bottom"/>
            <w:tcBorders>
              <w:bottom w:val="single" w:sz="8" w:color="auto"/>
              <w:right w:val="single" w:sz="8" w:color="auto"/>
            </w:tcBorders>
          </w:tcPr>
          <w:p>
            <w:pPr>
              <w:jc w:val="right"/>
              <w:ind w:right="56"/>
              <w:spacing w:after="0"/>
              <w:rPr>
                <w:sz w:val="20"/>
                <w:szCs w:val="20"/>
                <w:color w:val="auto"/>
              </w:rPr>
            </w:pPr>
            <w:r>
              <w:rPr>
                <w:rFonts w:ascii="Arial" w:cs="Arial" w:eastAsia="Arial" w:hAnsi="Arial"/>
                <w:sz w:val="13"/>
                <w:szCs w:val="13"/>
                <w:color w:val="auto"/>
              </w:rPr>
              <w:t>(2,473)</w:t>
            </w:r>
          </w:p>
        </w:tc>
        <w:tc>
          <w:tcPr>
            <w:tcW w:w="2040" w:type="dxa"/>
            <w:vAlign w:val="bottom"/>
            <w:tcBorders>
              <w:bottom w:val="single" w:sz="8" w:color="auto"/>
              <w:right w:val="single" w:sz="8" w:color="auto"/>
            </w:tcBorders>
          </w:tcPr>
          <w:p>
            <w:pPr>
              <w:jc w:val="right"/>
              <w:ind w:right="56"/>
              <w:spacing w:after="0"/>
              <w:rPr>
                <w:sz w:val="20"/>
                <w:szCs w:val="20"/>
                <w:color w:val="auto"/>
              </w:rPr>
            </w:pPr>
            <w:r>
              <w:rPr>
                <w:rFonts w:ascii="Arial" w:cs="Arial" w:eastAsia="Arial" w:hAnsi="Arial"/>
                <w:sz w:val="13"/>
                <w:szCs w:val="13"/>
                <w:color w:val="auto"/>
              </w:rPr>
              <w:t>(392,372)</w:t>
            </w:r>
          </w:p>
        </w:tc>
      </w:tr>
      <w:tr>
        <w:trPr>
          <w:trHeight w:val="189"/>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profit</w:t>
            </w:r>
          </w:p>
        </w:tc>
        <w:tc>
          <w:tcPr>
            <w:tcW w:w="540" w:type="dxa"/>
            <w:vAlign w:val="bottom"/>
            <w:tcBorders>
              <w:right w:val="single" w:sz="8" w:color="auto"/>
            </w:tcBorders>
            <w:shd w:val="clear" w:color="auto" w:fill="CCEEFF"/>
          </w:tcPr>
          <w:p>
            <w:pPr>
              <w:spacing w:after="0"/>
              <w:rPr>
                <w:sz w:val="16"/>
                <w:szCs w:val="16"/>
                <w:color w:val="auto"/>
              </w:rPr>
            </w:pPr>
          </w:p>
        </w:tc>
        <w:tc>
          <w:tcPr>
            <w:tcW w:w="2080" w:type="dxa"/>
            <w:vAlign w:val="bottom"/>
            <w:tcBorders>
              <w:right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436,131</w:t>
            </w:r>
          </w:p>
        </w:tc>
        <w:tc>
          <w:tcPr>
            <w:tcW w:w="252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rPr>
              <w:t>389,608</w:t>
            </w:r>
          </w:p>
        </w:tc>
        <w:tc>
          <w:tcPr>
            <w:tcW w:w="154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(12,490)</w:t>
            </w:r>
          </w:p>
        </w:tc>
        <w:tc>
          <w:tcPr>
            <w:tcW w:w="2040" w:type="dxa"/>
            <w:vAlign w:val="bottom"/>
            <w:tcBorders>
              <w:right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377,118</w:t>
            </w:r>
          </w:p>
        </w:tc>
      </w:tr>
      <w:tr>
        <w:trPr>
          <w:trHeight w:val="127"/>
        </w:trPr>
        <w:tc>
          <w:tcPr>
            <w:tcW w:w="258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2040" w:type="dxa"/>
            <w:vAlign w:val="bottom"/>
            <w:tcBorders>
              <w:right w:val="single" w:sz="8" w:color="auto"/>
            </w:tcBorders>
          </w:tcPr>
          <w:p>
            <w:pPr>
              <w:spacing w:after="0"/>
              <w:rPr>
                <w:sz w:val="11"/>
                <w:szCs w:val="11"/>
                <w:color w:val="auto"/>
              </w:rPr>
            </w:pPr>
          </w:p>
        </w:tc>
      </w:tr>
      <w:tr>
        <w:trPr>
          <w:trHeight w:val="191"/>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Financing income</w:t>
            </w:r>
          </w:p>
        </w:tc>
        <w:tc>
          <w:tcPr>
            <w:tcW w:w="5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i w:val="1"/>
                <w:iCs w:val="1"/>
                <w:color w:val="auto"/>
              </w:rPr>
              <w:t>4</w:t>
            </w:r>
          </w:p>
        </w:tc>
        <w:tc>
          <w:tcPr>
            <w:tcW w:w="2080" w:type="dxa"/>
            <w:vAlign w:val="bottom"/>
            <w:tcBorders>
              <w:right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6,859</w:t>
            </w:r>
          </w:p>
        </w:tc>
        <w:tc>
          <w:tcPr>
            <w:tcW w:w="252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rPr>
              <w:t>4,759</w:t>
            </w:r>
          </w:p>
        </w:tc>
        <w:tc>
          <w:tcPr>
            <w:tcW w:w="1540" w:type="dxa"/>
            <w:vAlign w:val="bottom"/>
            <w:tcBorders>
              <w:right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2040" w:type="dxa"/>
            <w:vAlign w:val="bottom"/>
            <w:tcBorders>
              <w:right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4,759</w:t>
            </w:r>
          </w:p>
        </w:tc>
      </w:tr>
      <w:tr>
        <w:trPr>
          <w:trHeight w:val="183"/>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Financing expense</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i w:val="1"/>
                <w:iCs w:val="1"/>
                <w:color w:val="auto"/>
              </w:rPr>
              <w:t>5</w:t>
            </w:r>
          </w:p>
        </w:tc>
        <w:tc>
          <w:tcPr>
            <w:tcW w:w="2080" w:type="dxa"/>
            <w:vAlign w:val="bottom"/>
            <w:tcBorders>
              <w:bottom w:val="single" w:sz="8" w:color="auto"/>
              <w:right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(24,625)</w:t>
            </w:r>
          </w:p>
        </w:tc>
        <w:tc>
          <w:tcPr>
            <w:tcW w:w="252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(13,502)</w:t>
            </w:r>
          </w:p>
        </w:tc>
        <w:tc>
          <w:tcPr>
            <w:tcW w:w="1540" w:type="dxa"/>
            <w:vAlign w:val="bottom"/>
            <w:tcBorders>
              <w:bottom w:val="single" w:sz="8" w:color="auto"/>
              <w:right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2040" w:type="dxa"/>
            <w:vAlign w:val="bottom"/>
            <w:tcBorders>
              <w:bottom w:val="single" w:sz="8" w:color="auto"/>
              <w:right w:val="single" w:sz="8" w:color="auto"/>
            </w:tcBorders>
          </w:tcPr>
          <w:p>
            <w:pPr>
              <w:jc w:val="right"/>
              <w:ind w:right="56"/>
              <w:spacing w:after="0"/>
              <w:rPr>
                <w:sz w:val="20"/>
                <w:szCs w:val="20"/>
                <w:color w:val="auto"/>
              </w:rPr>
            </w:pPr>
            <w:r>
              <w:rPr>
                <w:rFonts w:ascii="Arial" w:cs="Arial" w:eastAsia="Arial" w:hAnsi="Arial"/>
                <w:sz w:val="13"/>
                <w:szCs w:val="13"/>
                <w:color w:val="auto"/>
              </w:rPr>
              <w:t>(13,502)</w:t>
            </w:r>
          </w:p>
        </w:tc>
      </w:tr>
      <w:tr>
        <w:trPr>
          <w:trHeight w:val="115"/>
        </w:trPr>
        <w:tc>
          <w:tcPr>
            <w:tcW w:w="2580" w:type="dxa"/>
            <w:vAlign w:val="bottom"/>
            <w:shd w:val="clear" w:color="auto" w:fill="CCEEFF"/>
          </w:tcPr>
          <w:p>
            <w:pPr>
              <w:spacing w:after="0"/>
              <w:rPr>
                <w:sz w:val="9"/>
                <w:szCs w:val="9"/>
                <w:color w:val="auto"/>
              </w:rPr>
            </w:pPr>
          </w:p>
        </w:tc>
        <w:tc>
          <w:tcPr>
            <w:tcW w:w="540" w:type="dxa"/>
            <w:vAlign w:val="bottom"/>
            <w:tcBorders>
              <w:right w:val="single" w:sz="8" w:color="auto"/>
            </w:tcBorders>
            <w:shd w:val="clear" w:color="auto" w:fill="CCEEFF"/>
          </w:tcPr>
          <w:p>
            <w:pPr>
              <w:spacing w:after="0"/>
              <w:rPr>
                <w:sz w:val="9"/>
                <w:szCs w:val="9"/>
                <w:color w:val="auto"/>
              </w:rPr>
            </w:pPr>
          </w:p>
        </w:tc>
        <w:tc>
          <w:tcPr>
            <w:tcW w:w="2080" w:type="dxa"/>
            <w:vAlign w:val="bottom"/>
            <w:tcBorders>
              <w:right w:val="single" w:sz="8" w:color="auto"/>
            </w:tcBorders>
            <w:shd w:val="clear" w:color="auto" w:fill="CCEEFF"/>
          </w:tcPr>
          <w:p>
            <w:pPr>
              <w:spacing w:after="0"/>
              <w:rPr>
                <w:sz w:val="9"/>
                <w:szCs w:val="9"/>
                <w:color w:val="auto"/>
              </w:rPr>
            </w:pPr>
          </w:p>
        </w:tc>
        <w:tc>
          <w:tcPr>
            <w:tcW w:w="2520" w:type="dxa"/>
            <w:vAlign w:val="bottom"/>
            <w:shd w:val="clear" w:color="auto" w:fill="CCEEFF"/>
          </w:tcPr>
          <w:p>
            <w:pPr>
              <w:spacing w:after="0"/>
              <w:rPr>
                <w:sz w:val="9"/>
                <w:szCs w:val="9"/>
                <w:color w:val="auto"/>
              </w:rPr>
            </w:pPr>
          </w:p>
        </w:tc>
        <w:tc>
          <w:tcPr>
            <w:tcW w:w="1540" w:type="dxa"/>
            <w:vAlign w:val="bottom"/>
            <w:tcBorders>
              <w:right w:val="single" w:sz="8" w:color="auto"/>
            </w:tcBorders>
            <w:shd w:val="clear" w:color="auto" w:fill="CCEEFF"/>
          </w:tcPr>
          <w:p>
            <w:pPr>
              <w:spacing w:after="0"/>
              <w:rPr>
                <w:sz w:val="9"/>
                <w:szCs w:val="9"/>
                <w:color w:val="auto"/>
              </w:rPr>
            </w:pPr>
          </w:p>
        </w:tc>
        <w:tc>
          <w:tcPr>
            <w:tcW w:w="2040" w:type="dxa"/>
            <w:vAlign w:val="bottom"/>
            <w:tcBorders>
              <w:right w:val="single" w:sz="8" w:color="auto"/>
            </w:tcBorders>
            <w:shd w:val="clear" w:color="auto" w:fill="CCEEFF"/>
          </w:tcPr>
          <w:p>
            <w:pPr>
              <w:spacing w:after="0"/>
              <w:rPr>
                <w:sz w:val="9"/>
                <w:szCs w:val="9"/>
                <w:color w:val="auto"/>
              </w:rPr>
            </w:pPr>
          </w:p>
        </w:tc>
      </w:tr>
      <w:tr>
        <w:trPr>
          <w:trHeight w:val="183"/>
        </w:trPr>
        <w:tc>
          <w:tcPr>
            <w:tcW w:w="2580" w:type="dxa"/>
            <w:vAlign w:val="bottom"/>
          </w:tcPr>
          <w:p>
            <w:pPr>
              <w:ind w:left="20"/>
              <w:spacing w:after="0"/>
              <w:rPr>
                <w:sz w:val="20"/>
                <w:szCs w:val="20"/>
                <w:color w:val="auto"/>
              </w:rPr>
            </w:pPr>
            <w:r>
              <w:rPr>
                <w:rFonts w:ascii="Arial" w:cs="Arial" w:eastAsia="Arial" w:hAnsi="Arial"/>
                <w:sz w:val="13"/>
                <w:szCs w:val="13"/>
                <w:b w:val="1"/>
                <w:bCs w:val="1"/>
                <w:color w:val="auto"/>
              </w:rPr>
              <w:t>Profit before taxation</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i w:val="1"/>
                <w:iCs w:val="1"/>
                <w:color w:val="auto"/>
              </w:rPr>
              <w:t>3</w:t>
            </w:r>
          </w:p>
        </w:tc>
        <w:tc>
          <w:tcPr>
            <w:tcW w:w="2080" w:type="dxa"/>
            <w:vAlign w:val="bottom"/>
            <w:tcBorders>
              <w:right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418,365</w:t>
            </w:r>
          </w:p>
        </w:tc>
        <w:tc>
          <w:tcPr>
            <w:tcW w:w="2520" w:type="dxa"/>
            <w:vAlign w:val="bottom"/>
          </w:tcPr>
          <w:p>
            <w:pPr>
              <w:jc w:val="right"/>
              <w:ind w:right="596"/>
              <w:spacing w:after="0"/>
              <w:rPr>
                <w:sz w:val="20"/>
                <w:szCs w:val="20"/>
                <w:color w:val="auto"/>
              </w:rPr>
            </w:pPr>
            <w:r>
              <w:rPr>
                <w:rFonts w:ascii="Arial" w:cs="Arial" w:eastAsia="Arial" w:hAnsi="Arial"/>
                <w:sz w:val="13"/>
                <w:szCs w:val="13"/>
                <w:color w:val="auto"/>
              </w:rPr>
              <w:t>380,865</w:t>
            </w:r>
          </w:p>
        </w:tc>
        <w:tc>
          <w:tcPr>
            <w:tcW w:w="1540" w:type="dxa"/>
            <w:vAlign w:val="bottom"/>
            <w:tcBorders>
              <w:right w:val="single" w:sz="8" w:color="auto"/>
            </w:tcBorders>
          </w:tcPr>
          <w:p>
            <w:pPr>
              <w:jc w:val="right"/>
              <w:ind w:right="56"/>
              <w:spacing w:after="0"/>
              <w:rPr>
                <w:sz w:val="20"/>
                <w:szCs w:val="20"/>
                <w:color w:val="auto"/>
              </w:rPr>
            </w:pPr>
            <w:r>
              <w:rPr>
                <w:rFonts w:ascii="Arial" w:cs="Arial" w:eastAsia="Arial" w:hAnsi="Arial"/>
                <w:sz w:val="13"/>
                <w:szCs w:val="13"/>
                <w:color w:val="auto"/>
              </w:rPr>
              <w:t>(12,490)</w:t>
            </w:r>
          </w:p>
        </w:tc>
        <w:tc>
          <w:tcPr>
            <w:tcW w:w="2040" w:type="dxa"/>
            <w:vAlign w:val="bottom"/>
            <w:tcBorders>
              <w:right w:val="single" w:sz="8" w:color="auto"/>
            </w:tcBorders>
          </w:tcPr>
          <w:p>
            <w:pPr>
              <w:jc w:val="right"/>
              <w:ind w:right="96"/>
              <w:spacing w:after="0"/>
              <w:rPr>
                <w:sz w:val="20"/>
                <w:szCs w:val="20"/>
                <w:color w:val="auto"/>
              </w:rPr>
            </w:pPr>
            <w:r>
              <w:rPr>
                <w:rFonts w:ascii="Arial" w:cs="Arial" w:eastAsia="Arial" w:hAnsi="Arial"/>
                <w:sz w:val="13"/>
                <w:szCs w:val="13"/>
                <w:color w:val="auto"/>
              </w:rPr>
              <w:t>368,375</w:t>
            </w:r>
          </w:p>
        </w:tc>
      </w:tr>
      <w:tr>
        <w:trPr>
          <w:trHeight w:val="191"/>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5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i w:val="1"/>
                <w:iCs w:val="1"/>
                <w:color w:val="auto"/>
              </w:rPr>
              <w:t>6</w:t>
            </w:r>
          </w:p>
        </w:tc>
        <w:tc>
          <w:tcPr>
            <w:tcW w:w="2080" w:type="dxa"/>
            <w:vAlign w:val="bottom"/>
            <w:tcBorders>
              <w:bottom w:val="single" w:sz="8" w:color="auto"/>
              <w:right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(57,332)</w:t>
            </w:r>
          </w:p>
        </w:tc>
        <w:tc>
          <w:tcPr>
            <w:tcW w:w="252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(47,011)</w:t>
            </w:r>
          </w:p>
        </w:tc>
        <w:tc>
          <w:tcPr>
            <w:tcW w:w="1540" w:type="dxa"/>
            <w:vAlign w:val="bottom"/>
            <w:tcBorders>
              <w:bottom w:val="single" w:sz="8" w:color="auto"/>
              <w:right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1,453</w:t>
            </w:r>
          </w:p>
        </w:tc>
        <w:tc>
          <w:tcPr>
            <w:tcW w:w="2040" w:type="dxa"/>
            <w:vAlign w:val="bottom"/>
            <w:tcBorders>
              <w:bottom w:val="single" w:sz="8" w:color="auto"/>
              <w:right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(45,558)</w:t>
            </w:r>
          </w:p>
        </w:tc>
      </w:tr>
      <w:tr>
        <w:trPr>
          <w:trHeight w:val="115"/>
        </w:trPr>
        <w:tc>
          <w:tcPr>
            <w:tcW w:w="258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2080" w:type="dxa"/>
            <w:vAlign w:val="bottom"/>
            <w:tcBorders>
              <w:right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r>
      <w:tr>
        <w:trPr>
          <w:trHeight w:val="192"/>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Profit for the financial year</w:t>
            </w:r>
          </w:p>
        </w:tc>
        <w:tc>
          <w:tcPr>
            <w:tcW w:w="540" w:type="dxa"/>
            <w:vAlign w:val="bottom"/>
            <w:tcBorders>
              <w:bottom w:val="single" w:sz="8" w:color="auto"/>
              <w:right w:val="single" w:sz="8" w:color="auto"/>
            </w:tcBorders>
            <w:shd w:val="clear" w:color="auto" w:fill="CCEEFF"/>
          </w:tcPr>
          <w:p>
            <w:pPr>
              <w:spacing w:after="0"/>
              <w:rPr>
                <w:sz w:val="16"/>
                <w:szCs w:val="16"/>
                <w:color w:val="auto"/>
              </w:rPr>
            </w:pPr>
          </w:p>
        </w:tc>
        <w:tc>
          <w:tcPr>
            <w:tcW w:w="2080" w:type="dxa"/>
            <w:vAlign w:val="bottom"/>
            <w:tcBorders>
              <w:bottom w:val="single" w:sz="8" w:color="auto"/>
              <w:right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361,033</w:t>
            </w:r>
          </w:p>
        </w:tc>
        <w:tc>
          <w:tcPr>
            <w:tcW w:w="252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color w:val="auto"/>
              </w:rPr>
              <w:t>333,854</w:t>
            </w:r>
          </w:p>
        </w:tc>
        <w:tc>
          <w:tcPr>
            <w:tcW w:w="1540" w:type="dxa"/>
            <w:vAlign w:val="bottom"/>
            <w:tcBorders>
              <w:bottom w:val="single" w:sz="8" w:color="auto"/>
              <w:right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(11,037)</w:t>
            </w:r>
          </w:p>
        </w:tc>
        <w:tc>
          <w:tcPr>
            <w:tcW w:w="2040" w:type="dxa"/>
            <w:vAlign w:val="bottom"/>
            <w:tcBorders>
              <w:bottom w:val="single" w:sz="8" w:color="auto"/>
              <w:right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322,817</w:t>
            </w:r>
          </w:p>
        </w:tc>
      </w:tr>
      <w:tr>
        <w:trPr>
          <w:trHeight w:val="117"/>
        </w:trPr>
        <w:tc>
          <w:tcPr>
            <w:tcW w:w="25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2520" w:type="dxa"/>
            <w:vAlign w:val="bottom"/>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2040" w:type="dxa"/>
            <w:vAlign w:val="bottom"/>
            <w:tcBorders>
              <w:right w:val="single" w:sz="8" w:color="auto"/>
            </w:tcBorders>
          </w:tcPr>
          <w:p>
            <w:pPr>
              <w:spacing w:after="0"/>
              <w:rPr>
                <w:sz w:val="10"/>
                <w:szCs w:val="10"/>
                <w:color w:val="auto"/>
              </w:rPr>
            </w:pPr>
          </w:p>
        </w:tc>
      </w:tr>
      <w:tr>
        <w:trPr>
          <w:trHeight w:val="155"/>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Profit for the financial year is</w:t>
            </w:r>
          </w:p>
        </w:tc>
        <w:tc>
          <w:tcPr>
            <w:tcW w:w="540" w:type="dxa"/>
            <w:vAlign w:val="bottom"/>
            <w:tcBorders>
              <w:right w:val="single" w:sz="8" w:color="auto"/>
            </w:tcBorders>
            <w:shd w:val="clear" w:color="auto" w:fill="CCEEFF"/>
          </w:tcPr>
          <w:p>
            <w:pPr>
              <w:spacing w:after="0"/>
              <w:rPr>
                <w:sz w:val="13"/>
                <w:szCs w:val="13"/>
                <w:color w:val="auto"/>
              </w:rPr>
            </w:pPr>
          </w:p>
        </w:tc>
        <w:tc>
          <w:tcPr>
            <w:tcW w:w="2080" w:type="dxa"/>
            <w:vAlign w:val="bottom"/>
            <w:tcBorders>
              <w:right w:val="single" w:sz="8" w:color="auto"/>
            </w:tcBorders>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1540" w:type="dxa"/>
            <w:vAlign w:val="bottom"/>
            <w:tcBorders>
              <w:right w:val="single" w:sz="8" w:color="auto"/>
            </w:tcBorders>
            <w:shd w:val="clear" w:color="auto" w:fill="CCEEFF"/>
          </w:tcPr>
          <w:p>
            <w:pPr>
              <w:spacing w:after="0"/>
              <w:rPr>
                <w:sz w:val="13"/>
                <w:szCs w:val="13"/>
                <w:color w:val="auto"/>
              </w:rPr>
            </w:pPr>
          </w:p>
        </w:tc>
        <w:tc>
          <w:tcPr>
            <w:tcW w:w="2040" w:type="dxa"/>
            <w:vAlign w:val="bottom"/>
            <w:tcBorders>
              <w:right w:val="single" w:sz="8" w:color="auto"/>
            </w:tcBorders>
            <w:shd w:val="clear" w:color="auto" w:fill="CCEEFF"/>
          </w:tcPr>
          <w:p>
            <w:pPr>
              <w:spacing w:after="0"/>
              <w:rPr>
                <w:sz w:val="13"/>
                <w:szCs w:val="13"/>
                <w:color w:val="auto"/>
              </w:rPr>
            </w:pPr>
          </w:p>
        </w:tc>
      </w:tr>
      <w:tr>
        <w:trPr>
          <w:trHeight w:val="184"/>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attributable to:</w:t>
            </w:r>
          </w:p>
        </w:tc>
        <w:tc>
          <w:tcPr>
            <w:tcW w:w="540" w:type="dxa"/>
            <w:vAlign w:val="bottom"/>
            <w:tcBorders>
              <w:right w:val="single" w:sz="8" w:color="auto"/>
            </w:tcBorders>
            <w:shd w:val="clear" w:color="auto" w:fill="CCEEFF"/>
          </w:tcPr>
          <w:p>
            <w:pPr>
              <w:spacing w:after="0"/>
              <w:rPr>
                <w:sz w:val="16"/>
                <w:szCs w:val="16"/>
                <w:color w:val="auto"/>
              </w:rPr>
            </w:pPr>
          </w:p>
        </w:tc>
        <w:tc>
          <w:tcPr>
            <w:tcW w:w="2080" w:type="dxa"/>
            <w:vAlign w:val="bottom"/>
            <w:tcBorders>
              <w:right w:val="single" w:sz="8" w:color="auto"/>
            </w:tcBorders>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540" w:type="dxa"/>
            <w:vAlign w:val="bottom"/>
            <w:tcBorders>
              <w:right w:val="single" w:sz="8" w:color="auto"/>
            </w:tcBorders>
            <w:shd w:val="clear" w:color="auto" w:fill="CCEEFF"/>
          </w:tcPr>
          <w:p>
            <w:pPr>
              <w:spacing w:after="0"/>
              <w:rPr>
                <w:sz w:val="16"/>
                <w:szCs w:val="16"/>
                <w:color w:val="auto"/>
              </w:rPr>
            </w:pPr>
          </w:p>
        </w:tc>
        <w:tc>
          <w:tcPr>
            <w:tcW w:w="2040" w:type="dxa"/>
            <w:vAlign w:val="bottom"/>
            <w:tcBorders>
              <w:right w:val="single" w:sz="8" w:color="auto"/>
            </w:tcBorders>
            <w:shd w:val="clear" w:color="auto" w:fill="CCEEFF"/>
          </w:tcPr>
          <w:p>
            <w:pPr>
              <w:spacing w:after="0"/>
              <w:rPr>
                <w:sz w:val="16"/>
                <w:szCs w:val="16"/>
                <w:color w:val="auto"/>
              </w:rPr>
            </w:pPr>
          </w:p>
        </w:tc>
      </w:tr>
      <w:tr>
        <w:trPr>
          <w:trHeight w:val="127"/>
        </w:trPr>
        <w:tc>
          <w:tcPr>
            <w:tcW w:w="258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2040" w:type="dxa"/>
            <w:vAlign w:val="bottom"/>
            <w:tcBorders>
              <w:right w:val="single" w:sz="8" w:color="auto"/>
            </w:tcBorders>
          </w:tcPr>
          <w:p>
            <w:pPr>
              <w:spacing w:after="0"/>
              <w:rPr>
                <w:sz w:val="11"/>
                <w:szCs w:val="11"/>
                <w:color w:val="auto"/>
              </w:rPr>
            </w:pPr>
          </w:p>
        </w:tc>
      </w:tr>
      <w:tr>
        <w:trPr>
          <w:trHeight w:val="340"/>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Owners of the Company</w:t>
            </w:r>
          </w:p>
        </w:tc>
        <w:tc>
          <w:tcPr>
            <w:tcW w:w="5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i w:val="1"/>
                <w:iCs w:val="1"/>
                <w:color w:val="auto"/>
              </w:rPr>
              <w:t>25</w:t>
            </w:r>
          </w:p>
        </w:tc>
        <w:tc>
          <w:tcPr>
            <w:tcW w:w="2080" w:type="dxa"/>
            <w:vAlign w:val="bottom"/>
            <w:tcBorders>
              <w:right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359,163</w:t>
            </w:r>
          </w:p>
        </w:tc>
        <w:tc>
          <w:tcPr>
            <w:tcW w:w="252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rPr>
              <w:t>333,854</w:t>
            </w:r>
          </w:p>
        </w:tc>
        <w:tc>
          <w:tcPr>
            <w:tcW w:w="154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(11,037)</w:t>
            </w:r>
          </w:p>
        </w:tc>
        <w:tc>
          <w:tcPr>
            <w:tcW w:w="2040" w:type="dxa"/>
            <w:vAlign w:val="bottom"/>
            <w:tcBorders>
              <w:right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322,817</w:t>
            </w:r>
          </w:p>
        </w:tc>
      </w:tr>
      <w:tr>
        <w:trPr>
          <w:trHeight w:val="183"/>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Noncontrolling interest</w:t>
            </w:r>
          </w:p>
        </w:tc>
        <w:tc>
          <w:tcPr>
            <w:tcW w:w="540" w:type="dxa"/>
            <w:vAlign w:val="bottom"/>
            <w:tcBorders>
              <w:bottom w:val="single" w:sz="8" w:color="auto"/>
              <w:right w:val="single" w:sz="8" w:color="auto"/>
            </w:tcBorders>
          </w:tcPr>
          <w:p>
            <w:pPr>
              <w:jc w:val="right"/>
              <w:ind w:right="96"/>
              <w:spacing w:after="0"/>
              <w:rPr>
                <w:sz w:val="20"/>
                <w:szCs w:val="20"/>
                <w:color w:val="auto"/>
              </w:rPr>
            </w:pPr>
            <w:r>
              <w:rPr>
                <w:rFonts w:ascii="Arial" w:cs="Arial" w:eastAsia="Arial" w:hAnsi="Arial"/>
                <w:sz w:val="13"/>
                <w:szCs w:val="13"/>
                <w:i w:val="1"/>
                <w:iCs w:val="1"/>
                <w:color w:val="auto"/>
              </w:rPr>
              <w:t>25</w:t>
            </w:r>
          </w:p>
        </w:tc>
        <w:tc>
          <w:tcPr>
            <w:tcW w:w="2080" w:type="dxa"/>
            <w:vAlign w:val="bottom"/>
            <w:tcBorders>
              <w:bottom w:val="single" w:sz="8" w:color="auto"/>
              <w:right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1,870</w:t>
            </w:r>
          </w:p>
        </w:tc>
        <w:tc>
          <w:tcPr>
            <w:tcW w:w="252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right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2040" w:type="dxa"/>
            <w:vAlign w:val="bottom"/>
            <w:tcBorders>
              <w:bottom w:val="single" w:sz="8" w:color="auto"/>
              <w:right w:val="single" w:sz="8" w:color="auto"/>
            </w:tcBorders>
          </w:tcPr>
          <w:p>
            <w:pPr>
              <w:jc w:val="right"/>
              <w:ind w:right="96"/>
              <w:spacing w:after="0"/>
              <w:rPr>
                <w:sz w:val="20"/>
                <w:szCs w:val="20"/>
                <w:color w:val="auto"/>
              </w:rPr>
            </w:pPr>
            <w:r>
              <w:rPr>
                <w:rFonts w:ascii="Arial" w:cs="Arial" w:eastAsia="Arial" w:hAnsi="Arial"/>
                <w:sz w:val="13"/>
                <w:szCs w:val="13"/>
                <w:color w:val="auto"/>
              </w:rPr>
              <w:t>—</w:t>
            </w:r>
          </w:p>
        </w:tc>
      </w:tr>
      <w:tr>
        <w:trPr>
          <w:trHeight w:val="153"/>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Profit for the financial year attributable</w:t>
            </w:r>
          </w:p>
        </w:tc>
        <w:tc>
          <w:tcPr>
            <w:tcW w:w="540" w:type="dxa"/>
            <w:vAlign w:val="bottom"/>
            <w:tcBorders>
              <w:right w:val="single" w:sz="8" w:color="auto"/>
            </w:tcBorders>
            <w:shd w:val="clear" w:color="auto" w:fill="CCEEFF"/>
          </w:tcPr>
          <w:p>
            <w:pPr>
              <w:spacing w:after="0"/>
              <w:rPr>
                <w:sz w:val="13"/>
                <w:szCs w:val="13"/>
                <w:color w:val="auto"/>
              </w:rPr>
            </w:pPr>
          </w:p>
        </w:tc>
        <w:tc>
          <w:tcPr>
            <w:tcW w:w="2080" w:type="dxa"/>
            <w:vAlign w:val="bottom"/>
            <w:tcBorders>
              <w:right w:val="single" w:sz="8" w:color="auto"/>
            </w:tcBorders>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1540" w:type="dxa"/>
            <w:vAlign w:val="bottom"/>
            <w:tcBorders>
              <w:right w:val="single" w:sz="8" w:color="auto"/>
            </w:tcBorders>
            <w:shd w:val="clear" w:color="auto" w:fill="CCEEFF"/>
          </w:tcPr>
          <w:p>
            <w:pPr>
              <w:spacing w:after="0"/>
              <w:rPr>
                <w:sz w:val="13"/>
                <w:szCs w:val="13"/>
                <w:color w:val="auto"/>
              </w:rPr>
            </w:pPr>
          </w:p>
        </w:tc>
        <w:tc>
          <w:tcPr>
            <w:tcW w:w="2040" w:type="dxa"/>
            <w:vAlign w:val="bottom"/>
            <w:tcBorders>
              <w:right w:val="single" w:sz="8" w:color="auto"/>
            </w:tcBorders>
            <w:shd w:val="clear" w:color="auto" w:fill="CCEEFF"/>
          </w:tcPr>
          <w:p>
            <w:pPr>
              <w:spacing w:after="0"/>
              <w:rPr>
                <w:sz w:val="13"/>
                <w:szCs w:val="13"/>
                <w:color w:val="auto"/>
              </w:rPr>
            </w:pPr>
          </w:p>
        </w:tc>
      </w:tr>
      <w:tr>
        <w:trPr>
          <w:trHeight w:val="185"/>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 the Group</w:t>
            </w:r>
          </w:p>
        </w:tc>
        <w:tc>
          <w:tcPr>
            <w:tcW w:w="540" w:type="dxa"/>
            <w:vAlign w:val="bottom"/>
            <w:tcBorders>
              <w:bottom w:val="single" w:sz="8" w:color="auto"/>
              <w:right w:val="single" w:sz="8" w:color="auto"/>
            </w:tcBorders>
            <w:shd w:val="clear" w:color="auto" w:fill="CCEEFF"/>
          </w:tcPr>
          <w:p>
            <w:pPr>
              <w:spacing w:after="0"/>
              <w:rPr>
                <w:sz w:val="16"/>
                <w:szCs w:val="16"/>
                <w:color w:val="auto"/>
              </w:rPr>
            </w:pPr>
          </w:p>
        </w:tc>
        <w:tc>
          <w:tcPr>
            <w:tcW w:w="2080" w:type="dxa"/>
            <w:vAlign w:val="bottom"/>
            <w:tcBorders>
              <w:bottom w:val="single" w:sz="8" w:color="auto"/>
              <w:right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361,033</w:t>
            </w:r>
          </w:p>
        </w:tc>
        <w:tc>
          <w:tcPr>
            <w:tcW w:w="252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color w:val="auto"/>
              </w:rPr>
              <w:t>333,854</w:t>
            </w:r>
          </w:p>
        </w:tc>
        <w:tc>
          <w:tcPr>
            <w:tcW w:w="1540" w:type="dxa"/>
            <w:vAlign w:val="bottom"/>
            <w:tcBorders>
              <w:bottom w:val="single" w:sz="8" w:color="auto"/>
              <w:right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(11,037)</w:t>
            </w:r>
          </w:p>
        </w:tc>
        <w:tc>
          <w:tcPr>
            <w:tcW w:w="2040" w:type="dxa"/>
            <w:vAlign w:val="bottom"/>
            <w:tcBorders>
              <w:bottom w:val="single" w:sz="8" w:color="auto"/>
              <w:right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322,817</w:t>
            </w:r>
          </w:p>
        </w:tc>
      </w:tr>
      <w:tr>
        <w:trPr>
          <w:trHeight w:val="117"/>
        </w:trPr>
        <w:tc>
          <w:tcPr>
            <w:tcW w:w="25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2520" w:type="dxa"/>
            <w:vAlign w:val="bottom"/>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2040" w:type="dxa"/>
            <w:vAlign w:val="bottom"/>
            <w:tcBorders>
              <w:right w:val="single" w:sz="8" w:color="auto"/>
            </w:tcBorders>
          </w:tcPr>
          <w:p>
            <w:pPr>
              <w:spacing w:after="0"/>
              <w:rPr>
                <w:sz w:val="10"/>
                <w:szCs w:val="10"/>
                <w:color w:val="auto"/>
              </w:rPr>
            </w:pPr>
          </w:p>
        </w:tc>
      </w:tr>
      <w:tr>
        <w:trPr>
          <w:trHeight w:val="191"/>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Earnings per ordinary share</w:t>
            </w:r>
          </w:p>
        </w:tc>
        <w:tc>
          <w:tcPr>
            <w:tcW w:w="540" w:type="dxa"/>
            <w:vAlign w:val="bottom"/>
            <w:tcBorders>
              <w:right w:val="single" w:sz="8" w:color="auto"/>
            </w:tcBorders>
            <w:shd w:val="clear" w:color="auto" w:fill="CCEEFF"/>
          </w:tcPr>
          <w:p>
            <w:pPr>
              <w:spacing w:after="0"/>
              <w:rPr>
                <w:sz w:val="16"/>
                <w:szCs w:val="16"/>
                <w:color w:val="auto"/>
              </w:rPr>
            </w:pPr>
          </w:p>
        </w:tc>
        <w:tc>
          <w:tcPr>
            <w:tcW w:w="2080" w:type="dxa"/>
            <w:vAlign w:val="bottom"/>
            <w:tcBorders>
              <w:right w:val="single" w:sz="8" w:color="auto"/>
            </w:tcBorders>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540" w:type="dxa"/>
            <w:vAlign w:val="bottom"/>
            <w:tcBorders>
              <w:right w:val="single" w:sz="8" w:color="auto"/>
            </w:tcBorders>
            <w:shd w:val="clear" w:color="auto" w:fill="CCEEFF"/>
          </w:tcPr>
          <w:p>
            <w:pPr>
              <w:spacing w:after="0"/>
              <w:rPr>
                <w:sz w:val="16"/>
                <w:szCs w:val="16"/>
                <w:color w:val="auto"/>
              </w:rPr>
            </w:pPr>
          </w:p>
        </w:tc>
        <w:tc>
          <w:tcPr>
            <w:tcW w:w="2040" w:type="dxa"/>
            <w:vAlign w:val="bottom"/>
            <w:tcBorders>
              <w:right w:val="single" w:sz="8" w:color="auto"/>
            </w:tcBorders>
            <w:shd w:val="clear" w:color="auto" w:fill="CCEEFF"/>
          </w:tcPr>
          <w:p>
            <w:pPr>
              <w:spacing w:after="0"/>
              <w:rPr>
                <w:sz w:val="16"/>
                <w:szCs w:val="16"/>
                <w:color w:val="auto"/>
              </w:rPr>
            </w:pPr>
          </w:p>
        </w:tc>
      </w:tr>
      <w:tr>
        <w:trPr>
          <w:trHeight w:val="192"/>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Basic</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i w:val="1"/>
                <w:iCs w:val="1"/>
                <w:color w:val="auto"/>
              </w:rPr>
              <w:t>7</w:t>
            </w:r>
          </w:p>
        </w:tc>
        <w:tc>
          <w:tcPr>
            <w:tcW w:w="2080" w:type="dxa"/>
            <w:vAlign w:val="bottom"/>
            <w:tcBorders>
              <w:bottom w:val="single" w:sz="8" w:color="auto"/>
              <w:right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6.70</w:t>
            </w:r>
          </w:p>
        </w:tc>
        <w:tc>
          <w:tcPr>
            <w:tcW w:w="2520" w:type="dxa"/>
            <w:vAlign w:val="bottom"/>
            <w:tcBorders>
              <w:bottom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2040" w:type="dxa"/>
            <w:vAlign w:val="bottom"/>
            <w:tcBorders>
              <w:bottom w:val="single" w:sz="8" w:color="auto"/>
              <w:right w:val="single" w:sz="8" w:color="auto"/>
            </w:tcBorders>
          </w:tcPr>
          <w:p>
            <w:pPr>
              <w:jc w:val="right"/>
              <w:ind w:right="96"/>
              <w:spacing w:after="0"/>
              <w:rPr>
                <w:sz w:val="20"/>
                <w:szCs w:val="20"/>
                <w:color w:val="auto"/>
              </w:rPr>
            </w:pPr>
            <w:r>
              <w:rPr>
                <w:rFonts w:ascii="Arial" w:cs="Arial" w:eastAsia="Arial" w:hAnsi="Arial"/>
                <w:sz w:val="13"/>
                <w:szCs w:val="13"/>
                <w:color w:val="auto"/>
              </w:rPr>
              <w:t>5.96</w:t>
            </w:r>
          </w:p>
        </w:tc>
      </w:tr>
      <w:tr>
        <w:trPr>
          <w:trHeight w:val="117"/>
        </w:trPr>
        <w:tc>
          <w:tcPr>
            <w:tcW w:w="258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2080" w:type="dxa"/>
            <w:vAlign w:val="bottom"/>
            <w:tcBorders>
              <w:right w:val="single" w:sz="8" w:color="auto"/>
            </w:tcBorders>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c>
          <w:tcPr>
            <w:tcW w:w="1540" w:type="dxa"/>
            <w:vAlign w:val="bottom"/>
            <w:tcBorders>
              <w:right w:val="single" w:sz="8" w:color="auto"/>
            </w:tcBorders>
            <w:shd w:val="clear" w:color="auto" w:fill="CCEEFF"/>
          </w:tcPr>
          <w:p>
            <w:pPr>
              <w:spacing w:after="0"/>
              <w:rPr>
                <w:sz w:val="10"/>
                <w:szCs w:val="10"/>
                <w:color w:val="auto"/>
              </w:rPr>
            </w:pPr>
          </w:p>
        </w:tc>
        <w:tc>
          <w:tcPr>
            <w:tcW w:w="2040" w:type="dxa"/>
            <w:vAlign w:val="bottom"/>
            <w:tcBorders>
              <w:right w:val="single" w:sz="8" w:color="auto"/>
            </w:tcBorders>
            <w:shd w:val="clear" w:color="auto" w:fill="CCEEFF"/>
          </w:tcPr>
          <w:p>
            <w:pPr>
              <w:spacing w:after="0"/>
              <w:rPr>
                <w:sz w:val="10"/>
                <w:szCs w:val="10"/>
                <w:color w:val="auto"/>
              </w:rPr>
            </w:pPr>
          </w:p>
        </w:tc>
      </w:tr>
      <w:tr>
        <w:trPr>
          <w:trHeight w:val="192"/>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Diluted</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i w:val="1"/>
                <w:iCs w:val="1"/>
                <w:color w:val="auto"/>
              </w:rPr>
              <w:t>7</w:t>
            </w:r>
          </w:p>
        </w:tc>
        <w:tc>
          <w:tcPr>
            <w:tcW w:w="2080" w:type="dxa"/>
            <w:vAlign w:val="bottom"/>
            <w:tcBorders>
              <w:bottom w:val="single" w:sz="8" w:color="auto"/>
              <w:right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6.64</w:t>
            </w:r>
          </w:p>
        </w:tc>
        <w:tc>
          <w:tcPr>
            <w:tcW w:w="2520" w:type="dxa"/>
            <w:vAlign w:val="bottom"/>
            <w:tcBorders>
              <w:bottom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2040" w:type="dxa"/>
            <w:vAlign w:val="bottom"/>
            <w:tcBorders>
              <w:bottom w:val="single" w:sz="8" w:color="auto"/>
              <w:right w:val="single" w:sz="8" w:color="auto"/>
            </w:tcBorders>
          </w:tcPr>
          <w:p>
            <w:pPr>
              <w:jc w:val="right"/>
              <w:ind w:right="96"/>
              <w:spacing w:after="0"/>
              <w:rPr>
                <w:sz w:val="20"/>
                <w:szCs w:val="20"/>
                <w:color w:val="auto"/>
              </w:rPr>
            </w:pPr>
            <w:r>
              <w:rPr>
                <w:rFonts w:ascii="Arial" w:cs="Arial" w:eastAsia="Arial" w:hAnsi="Arial"/>
                <w:sz w:val="13"/>
                <w:szCs w:val="13"/>
                <w:color w:val="auto"/>
              </w:rPr>
              <w:t>5.90</w:t>
            </w:r>
          </w:p>
        </w:tc>
      </w:tr>
      <w:tr>
        <w:trPr>
          <w:trHeight w:val="420"/>
        </w:trPr>
        <w:tc>
          <w:tcPr>
            <w:tcW w:w="2580" w:type="dxa"/>
            <w:vAlign w:val="bottom"/>
          </w:tcPr>
          <w:p>
            <w:pPr>
              <w:spacing w:after="0"/>
              <w:rPr>
                <w:sz w:val="20"/>
                <w:szCs w:val="20"/>
                <w:color w:val="auto"/>
              </w:rPr>
            </w:pPr>
            <w:r>
              <w:rPr>
                <w:rFonts w:ascii="Arial" w:cs="Arial" w:eastAsia="Arial" w:hAnsi="Arial"/>
                <w:sz w:val="13"/>
                <w:szCs w:val="13"/>
                <w:b w:val="1"/>
                <w:bCs w:val="1"/>
                <w:color w:val="auto"/>
              </w:rPr>
              <w:t>On behalf of the Board</w:t>
            </w:r>
          </w:p>
        </w:tc>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56"/>
        </w:trPr>
        <w:tc>
          <w:tcPr>
            <w:tcW w:w="2580" w:type="dxa"/>
            <w:vAlign w:val="bottom"/>
          </w:tcPr>
          <w:p>
            <w:pPr>
              <w:ind w:left="20"/>
              <w:spacing w:after="0"/>
              <w:rPr>
                <w:sz w:val="20"/>
                <w:szCs w:val="20"/>
                <w:color w:val="auto"/>
              </w:rPr>
            </w:pPr>
            <w:r>
              <w:rPr>
                <w:rFonts w:ascii="Arial" w:cs="Arial" w:eastAsia="Arial" w:hAnsi="Arial"/>
                <w:sz w:val="13"/>
                <w:szCs w:val="13"/>
                <w:color w:val="auto"/>
              </w:rPr>
              <w:t>Steve Cutler</w:t>
            </w:r>
          </w:p>
        </w:tc>
        <w:tc>
          <w:tcPr>
            <w:tcW w:w="540" w:type="dxa"/>
            <w:vAlign w:val="bottom"/>
          </w:tcPr>
          <w:p>
            <w:pPr>
              <w:spacing w:after="0"/>
              <w:rPr>
                <w:sz w:val="24"/>
                <w:szCs w:val="24"/>
                <w:color w:val="auto"/>
              </w:rPr>
            </w:pPr>
          </w:p>
        </w:tc>
        <w:tc>
          <w:tcPr>
            <w:tcW w:w="2080" w:type="dxa"/>
            <w:vAlign w:val="bottom"/>
          </w:tcPr>
          <w:p>
            <w:pPr>
              <w:ind w:left="320"/>
              <w:spacing w:after="0"/>
              <w:rPr>
                <w:sz w:val="20"/>
                <w:szCs w:val="20"/>
                <w:color w:val="auto"/>
              </w:rPr>
            </w:pPr>
            <w:r>
              <w:rPr>
                <w:rFonts w:ascii="Arial" w:cs="Arial" w:eastAsia="Arial" w:hAnsi="Arial"/>
                <w:sz w:val="13"/>
                <w:szCs w:val="13"/>
                <w:color w:val="auto"/>
              </w:rPr>
              <w:t>Rónán Murphy</w:t>
            </w:r>
          </w:p>
        </w:tc>
        <w:tc>
          <w:tcPr>
            <w:tcW w:w="2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1"/>
        </w:trPr>
        <w:tc>
          <w:tcPr>
            <w:tcW w:w="2580" w:type="dxa"/>
            <w:vAlign w:val="bottom"/>
          </w:tcPr>
          <w:p>
            <w:pPr>
              <w:ind w:left="20"/>
              <w:spacing w:after="0"/>
              <w:rPr>
                <w:sz w:val="20"/>
                <w:szCs w:val="20"/>
                <w:color w:val="auto"/>
              </w:rPr>
            </w:pPr>
            <w:r>
              <w:rPr>
                <w:rFonts w:ascii="Arial" w:cs="Arial" w:eastAsia="Arial" w:hAnsi="Arial"/>
                <w:sz w:val="13"/>
                <w:szCs w:val="13"/>
                <w:i w:val="1"/>
                <w:iCs w:val="1"/>
                <w:color w:val="auto"/>
              </w:rPr>
              <w:t>Chief Executive Officer</w:t>
            </w:r>
          </w:p>
        </w:tc>
        <w:tc>
          <w:tcPr>
            <w:tcW w:w="540" w:type="dxa"/>
            <w:vAlign w:val="bottom"/>
          </w:tcPr>
          <w:p>
            <w:pPr>
              <w:spacing w:after="0"/>
              <w:rPr>
                <w:sz w:val="16"/>
                <w:szCs w:val="16"/>
                <w:color w:val="auto"/>
              </w:rPr>
            </w:pPr>
          </w:p>
        </w:tc>
        <w:tc>
          <w:tcPr>
            <w:tcW w:w="2080" w:type="dxa"/>
            <w:vAlign w:val="bottom"/>
          </w:tcPr>
          <w:p>
            <w:pPr>
              <w:ind w:left="320"/>
              <w:spacing w:after="0"/>
              <w:rPr>
                <w:sz w:val="20"/>
                <w:szCs w:val="20"/>
                <w:color w:val="auto"/>
              </w:rPr>
            </w:pPr>
            <w:r>
              <w:rPr>
                <w:rFonts w:ascii="Arial" w:cs="Arial" w:eastAsia="Arial" w:hAnsi="Arial"/>
                <w:sz w:val="13"/>
                <w:szCs w:val="13"/>
                <w:i w:val="1"/>
                <w:iCs w:val="1"/>
                <w:color w:val="auto"/>
              </w:rPr>
              <w:t>Director</w:t>
            </w:r>
          </w:p>
        </w:tc>
        <w:tc>
          <w:tcPr>
            <w:tcW w:w="2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40" w:type="dxa"/>
            <w:vAlign w:val="bottom"/>
          </w:tcPr>
          <w:p>
            <w:pPr>
              <w:spacing w:after="0"/>
              <w:rPr>
                <w:sz w:val="16"/>
                <w:szCs w:val="16"/>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300"/>
          </w:cols>
          <w:pgMar w:left="300" w:top="716" w:right="29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Consolidated Statement of Comprehensive Income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6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764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3"/>
                <w:szCs w:val="13"/>
                <w:b w:val="1"/>
                <w:bCs w:val="1"/>
                <w:i w:val="1"/>
                <w:iCs w:val="1"/>
                <w:color w:val="auto"/>
              </w:rPr>
              <w:t>Note</w:t>
            </w:r>
          </w:p>
        </w:tc>
        <w:tc>
          <w:tcPr>
            <w:tcW w:w="1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74"/>
        </w:trPr>
        <w:tc>
          <w:tcPr>
            <w:tcW w:w="7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w:t>
            </w:r>
          </w:p>
        </w:tc>
        <w:tc>
          <w:tcPr>
            <w:tcW w:w="53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02"/>
        </w:trPr>
        <w:tc>
          <w:tcPr>
            <w:tcW w:w="34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1"/>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Items that will not be reclassified to profit or loss:</w:t>
            </w:r>
          </w:p>
        </w:tc>
        <w:tc>
          <w:tcPr>
            <w:tcW w:w="53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3"/>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Re-measurement of defined benefit liability</w:t>
            </w:r>
          </w:p>
        </w:tc>
        <w:tc>
          <w:tcPr>
            <w:tcW w:w="53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i w:val="1"/>
                <w:iCs w:val="1"/>
                <w:color w:val="auto"/>
              </w:rPr>
              <w:t>10</w:t>
            </w:r>
          </w:p>
        </w:tc>
        <w:tc>
          <w:tcPr>
            <w:tcW w:w="14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(2,407)</w:t>
            </w: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2,640</w:t>
            </w:r>
          </w:p>
        </w:tc>
      </w:tr>
      <w:tr>
        <w:trPr>
          <w:trHeight w:val="189"/>
        </w:trPr>
        <w:tc>
          <w:tcPr>
            <w:tcW w:w="3420" w:type="dxa"/>
            <w:vAlign w:val="bottom"/>
            <w:shd w:val="clear" w:color="auto" w:fill="CCEEFF"/>
          </w:tcPr>
          <w:p>
            <w:pPr>
              <w:spacing w:after="0"/>
              <w:rPr>
                <w:sz w:val="16"/>
                <w:szCs w:val="16"/>
                <w:color w:val="auto"/>
              </w:rPr>
            </w:pPr>
          </w:p>
        </w:tc>
        <w:tc>
          <w:tcPr>
            <w:tcW w:w="53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3"/>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items that will not be reclassified to profit or loss</w:t>
            </w:r>
          </w:p>
        </w:tc>
        <w:tc>
          <w:tcPr>
            <w:tcW w:w="5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(2,407)</w:t>
            </w: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2,640</w:t>
            </w:r>
          </w:p>
        </w:tc>
      </w:tr>
      <w:tr>
        <w:trPr>
          <w:trHeight w:val="189"/>
        </w:trPr>
        <w:tc>
          <w:tcPr>
            <w:tcW w:w="3420" w:type="dxa"/>
            <w:vAlign w:val="bottom"/>
            <w:shd w:val="clear" w:color="auto" w:fill="CCEEFF"/>
          </w:tcPr>
          <w:p>
            <w:pPr>
              <w:spacing w:after="0"/>
              <w:rPr>
                <w:sz w:val="16"/>
                <w:szCs w:val="16"/>
                <w:color w:val="auto"/>
              </w:rPr>
            </w:pPr>
          </w:p>
        </w:tc>
        <w:tc>
          <w:tcPr>
            <w:tcW w:w="53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3"/>
        </w:trPr>
        <w:tc>
          <w:tcPr>
            <w:tcW w:w="8760" w:type="dxa"/>
            <w:vAlign w:val="bottom"/>
            <w:gridSpan w:val="2"/>
          </w:tcPr>
          <w:p>
            <w:pPr>
              <w:ind w:left="20"/>
              <w:spacing w:after="0"/>
              <w:rPr>
                <w:sz w:val="20"/>
                <w:szCs w:val="20"/>
                <w:color w:val="auto"/>
              </w:rPr>
            </w:pPr>
            <w:r>
              <w:rPr>
                <w:rFonts w:ascii="Arial" w:cs="Arial" w:eastAsia="Arial" w:hAnsi="Arial"/>
                <w:sz w:val="13"/>
                <w:szCs w:val="13"/>
                <w:b w:val="1"/>
                <w:bCs w:val="1"/>
                <w:color w:val="auto"/>
              </w:rPr>
              <w:t>Items that are or may be reclassified subsequently to profit or loss, net of tax:</w:t>
            </w:r>
          </w:p>
        </w:tc>
        <w:tc>
          <w:tcPr>
            <w:tcW w:w="14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9"/>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differences</w:t>
            </w:r>
          </w:p>
        </w:tc>
        <w:tc>
          <w:tcPr>
            <w:tcW w:w="5340" w:type="dxa"/>
            <w:vAlign w:val="bottom"/>
            <w:shd w:val="clear" w:color="auto" w:fill="CCEEFF"/>
          </w:tcPr>
          <w:p>
            <w:pPr>
              <w:jc w:val="right"/>
              <w:ind w:right="376"/>
              <w:spacing w:after="0"/>
              <w:rPr>
                <w:sz w:val="20"/>
                <w:szCs w:val="20"/>
                <w:color w:val="auto"/>
              </w:rPr>
            </w:pPr>
            <w:r>
              <w:rPr>
                <w:rFonts w:ascii="Arial" w:cs="Arial" w:eastAsia="Arial" w:hAnsi="Arial"/>
                <w:sz w:val="13"/>
                <w:szCs w:val="13"/>
                <w:i w:val="1"/>
                <w:iCs w:val="1"/>
                <w:color w:val="auto"/>
              </w:rPr>
              <w:t>25</w:t>
            </w:r>
          </w:p>
        </w:tc>
        <w:tc>
          <w:tcPr>
            <w:tcW w:w="14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(1,313)</w:t>
            </w: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(26,522)</w:t>
            </w:r>
          </w:p>
        </w:tc>
      </w:tr>
      <w:tr>
        <w:trPr>
          <w:trHeight w:val="183"/>
        </w:trPr>
        <w:tc>
          <w:tcPr>
            <w:tcW w:w="3420" w:type="dxa"/>
            <w:vAlign w:val="bottom"/>
          </w:tcPr>
          <w:p>
            <w:pPr>
              <w:ind w:left="20"/>
              <w:spacing w:after="0"/>
              <w:rPr>
                <w:sz w:val="20"/>
                <w:szCs w:val="20"/>
                <w:color w:val="auto"/>
              </w:rPr>
            </w:pPr>
            <w:r>
              <w:rPr>
                <w:rFonts w:ascii="Arial" w:cs="Arial" w:eastAsia="Arial" w:hAnsi="Arial"/>
                <w:sz w:val="13"/>
                <w:szCs w:val="13"/>
                <w:color w:val="auto"/>
              </w:rPr>
              <w:t>Currency impact on long-term funding</w:t>
            </w:r>
          </w:p>
        </w:tc>
        <w:tc>
          <w:tcPr>
            <w:tcW w:w="5340" w:type="dxa"/>
            <w:vAlign w:val="bottom"/>
          </w:tcPr>
          <w:p>
            <w:pPr>
              <w:jc w:val="right"/>
              <w:ind w:right="376"/>
              <w:spacing w:after="0"/>
              <w:rPr>
                <w:sz w:val="20"/>
                <w:szCs w:val="20"/>
                <w:color w:val="auto"/>
              </w:rPr>
            </w:pPr>
            <w:r>
              <w:rPr>
                <w:rFonts w:ascii="Arial" w:cs="Arial" w:eastAsia="Arial" w:hAnsi="Arial"/>
                <w:sz w:val="13"/>
                <w:szCs w:val="13"/>
                <w:i w:val="1"/>
                <w:iCs w:val="1"/>
                <w:color w:val="auto"/>
              </w:rPr>
              <w:t>25</w:t>
            </w:r>
          </w:p>
        </w:tc>
        <w:tc>
          <w:tcPr>
            <w:tcW w:w="1440" w:type="dxa"/>
            <w:vAlign w:val="bottom"/>
          </w:tcPr>
          <w:p>
            <w:pPr>
              <w:jc w:val="right"/>
              <w:ind w:right="436"/>
              <w:spacing w:after="0"/>
              <w:rPr>
                <w:sz w:val="20"/>
                <w:szCs w:val="20"/>
                <w:color w:val="auto"/>
              </w:rPr>
            </w:pPr>
            <w:r>
              <w:rPr>
                <w:rFonts w:ascii="Arial" w:cs="Arial" w:eastAsia="Arial" w:hAnsi="Arial"/>
                <w:sz w:val="13"/>
                <w:szCs w:val="13"/>
                <w:b w:val="1"/>
                <w:bCs w:val="1"/>
                <w:color w:val="auto"/>
              </w:rPr>
              <w:t>(2,710)</w:t>
            </w: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(4,834)</w:t>
            </w:r>
          </w:p>
        </w:tc>
      </w:tr>
      <w:tr>
        <w:trPr>
          <w:trHeight w:val="199"/>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Unrealised capital gain/(loss) on investments</w:t>
            </w:r>
          </w:p>
        </w:tc>
        <w:tc>
          <w:tcPr>
            <w:tcW w:w="5340" w:type="dxa"/>
            <w:vAlign w:val="bottom"/>
            <w:shd w:val="clear" w:color="auto" w:fill="CCEEFF"/>
          </w:tcPr>
          <w:p>
            <w:pPr>
              <w:jc w:val="right"/>
              <w:ind w:right="376"/>
              <w:spacing w:after="0"/>
              <w:rPr>
                <w:sz w:val="20"/>
                <w:szCs w:val="20"/>
                <w:color w:val="auto"/>
              </w:rPr>
            </w:pPr>
            <w:r>
              <w:rPr>
                <w:rFonts w:ascii="Arial" w:cs="Arial" w:eastAsia="Arial" w:hAnsi="Arial"/>
                <w:sz w:val="13"/>
                <w:szCs w:val="13"/>
                <w:i w:val="1"/>
                <w:iCs w:val="1"/>
                <w:color w:val="auto"/>
              </w:rPr>
              <w:t>25</w:t>
            </w:r>
          </w:p>
        </w:tc>
        <w:tc>
          <w:tcPr>
            <w:tcW w:w="144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681</w:t>
            </w: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(155)</w:t>
            </w:r>
          </w:p>
        </w:tc>
      </w:tr>
      <w:tr>
        <w:trPr>
          <w:trHeight w:val="183"/>
        </w:trPr>
        <w:tc>
          <w:tcPr>
            <w:tcW w:w="3420" w:type="dxa"/>
            <w:vAlign w:val="bottom"/>
          </w:tcPr>
          <w:p>
            <w:pPr>
              <w:ind w:left="20"/>
              <w:spacing w:after="0"/>
              <w:rPr>
                <w:sz w:val="20"/>
                <w:szCs w:val="20"/>
                <w:color w:val="auto"/>
              </w:rPr>
            </w:pPr>
            <w:r>
              <w:rPr>
                <w:rFonts w:ascii="Arial" w:cs="Arial" w:eastAsia="Arial" w:hAnsi="Arial"/>
                <w:sz w:val="13"/>
                <w:szCs w:val="13"/>
                <w:color w:val="auto"/>
              </w:rPr>
              <w:t>Amortisation of interest rate hedge</w:t>
            </w:r>
          </w:p>
        </w:tc>
        <w:tc>
          <w:tcPr>
            <w:tcW w:w="5340" w:type="dxa"/>
            <w:vAlign w:val="bottom"/>
          </w:tcPr>
          <w:p>
            <w:pPr>
              <w:jc w:val="right"/>
              <w:ind w:right="376"/>
              <w:spacing w:after="0"/>
              <w:rPr>
                <w:sz w:val="20"/>
                <w:szCs w:val="20"/>
                <w:color w:val="auto"/>
              </w:rPr>
            </w:pPr>
            <w:r>
              <w:rPr>
                <w:rFonts w:ascii="Arial" w:cs="Arial" w:eastAsia="Arial" w:hAnsi="Arial"/>
                <w:sz w:val="13"/>
                <w:szCs w:val="13"/>
                <w:i w:val="1"/>
                <w:iCs w:val="1"/>
                <w:color w:val="auto"/>
              </w:rPr>
              <w:t>25</w:t>
            </w:r>
          </w:p>
        </w:tc>
        <w:tc>
          <w:tcPr>
            <w:tcW w:w="1440" w:type="dxa"/>
            <w:vAlign w:val="bottom"/>
          </w:tcPr>
          <w:p>
            <w:pPr>
              <w:jc w:val="right"/>
              <w:ind w:right="436"/>
              <w:spacing w:after="0"/>
              <w:rPr>
                <w:sz w:val="20"/>
                <w:szCs w:val="20"/>
                <w:color w:val="auto"/>
              </w:rPr>
            </w:pPr>
            <w:r>
              <w:rPr>
                <w:rFonts w:ascii="Arial" w:cs="Arial" w:eastAsia="Arial" w:hAnsi="Arial"/>
                <w:sz w:val="13"/>
                <w:szCs w:val="13"/>
                <w:b w:val="1"/>
                <w:bCs w:val="1"/>
                <w:color w:val="auto"/>
              </w:rPr>
              <w:t>(923)</w:t>
            </w: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(923)</w:t>
            </w:r>
          </w:p>
        </w:tc>
      </w:tr>
      <w:tr>
        <w:trPr>
          <w:trHeight w:val="191"/>
        </w:trPr>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98"/>
              </w:rPr>
              <w:t>Cash flow hedges - effective portion of changes in fair value</w:t>
            </w:r>
          </w:p>
        </w:tc>
        <w:tc>
          <w:tcPr>
            <w:tcW w:w="53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i w:val="1"/>
                <w:iCs w:val="1"/>
                <w:color w:val="auto"/>
              </w:rPr>
              <w:t>25</w:t>
            </w:r>
          </w:p>
        </w:tc>
        <w:tc>
          <w:tcPr>
            <w:tcW w:w="14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(1,036)</w:t>
            </w:r>
          </w:p>
        </w:tc>
      </w:tr>
      <w:tr>
        <w:trPr>
          <w:trHeight w:val="189"/>
        </w:trPr>
        <w:tc>
          <w:tcPr>
            <w:tcW w:w="34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3"/>
        </w:trPr>
        <w:tc>
          <w:tcPr>
            <w:tcW w:w="87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items that are or may be reclassified to profit or loss</w:t>
            </w:r>
          </w:p>
        </w:tc>
        <w:tc>
          <w:tcPr>
            <w:tcW w:w="14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(4,265)</w:t>
            </w: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(33,470)</w:t>
            </w:r>
          </w:p>
        </w:tc>
      </w:tr>
      <w:tr>
        <w:trPr>
          <w:trHeight w:val="189"/>
        </w:trPr>
        <w:tc>
          <w:tcPr>
            <w:tcW w:w="34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 for the year, net of tax</w:t>
            </w:r>
          </w:p>
        </w:tc>
        <w:tc>
          <w:tcPr>
            <w:tcW w:w="534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(6,672)</w:t>
            </w: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(30,830)</w:t>
            </w:r>
          </w:p>
        </w:tc>
      </w:tr>
      <w:tr>
        <w:trPr>
          <w:trHeight w:val="183"/>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Profit for the financial year</w:t>
            </w:r>
          </w:p>
        </w:tc>
        <w:tc>
          <w:tcPr>
            <w:tcW w:w="5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361,033</w:t>
            </w: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322,817</w:t>
            </w:r>
          </w:p>
        </w:tc>
      </w:tr>
      <w:tr>
        <w:trPr>
          <w:trHeight w:val="189"/>
        </w:trPr>
        <w:tc>
          <w:tcPr>
            <w:tcW w:w="3420" w:type="dxa"/>
            <w:vAlign w:val="bottom"/>
            <w:shd w:val="clear" w:color="auto" w:fill="CCEEFF"/>
          </w:tcPr>
          <w:p>
            <w:pPr>
              <w:spacing w:after="0"/>
              <w:rPr>
                <w:sz w:val="16"/>
                <w:szCs w:val="16"/>
                <w:color w:val="auto"/>
              </w:rPr>
            </w:pPr>
          </w:p>
        </w:tc>
        <w:tc>
          <w:tcPr>
            <w:tcW w:w="53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2"/>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comprehensive income for the financial year</w:t>
            </w:r>
          </w:p>
        </w:tc>
        <w:tc>
          <w:tcPr>
            <w:tcW w:w="5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354,361</w:t>
            </w: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291,987</w:t>
            </w:r>
          </w:p>
        </w:tc>
      </w:tr>
      <w:tr>
        <w:trPr>
          <w:trHeight w:val="191"/>
        </w:trPr>
        <w:tc>
          <w:tcPr>
            <w:tcW w:w="3420" w:type="dxa"/>
            <w:vAlign w:val="bottom"/>
            <w:shd w:val="clear" w:color="auto" w:fill="CCEEFF"/>
          </w:tcPr>
          <w:p>
            <w:pPr>
              <w:spacing w:after="0"/>
              <w:rPr>
                <w:sz w:val="16"/>
                <w:szCs w:val="16"/>
                <w:color w:val="auto"/>
              </w:rPr>
            </w:pPr>
          </w:p>
        </w:tc>
        <w:tc>
          <w:tcPr>
            <w:tcW w:w="53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3"/>
        </w:trPr>
        <w:tc>
          <w:tcPr>
            <w:tcW w:w="3420" w:type="dxa"/>
            <w:vAlign w:val="bottom"/>
          </w:tcPr>
          <w:p>
            <w:pPr>
              <w:ind w:left="20"/>
              <w:spacing w:after="0"/>
              <w:rPr>
                <w:sz w:val="20"/>
                <w:szCs w:val="20"/>
                <w:color w:val="auto"/>
              </w:rPr>
            </w:pPr>
            <w:r>
              <w:rPr>
                <w:rFonts w:ascii="Arial" w:cs="Arial" w:eastAsia="Arial" w:hAnsi="Arial"/>
                <w:sz w:val="13"/>
                <w:szCs w:val="13"/>
                <w:b w:val="1"/>
                <w:bCs w:val="1"/>
                <w:color w:val="auto"/>
              </w:rPr>
              <w:t>Attributable to:</w:t>
            </w:r>
          </w:p>
        </w:tc>
        <w:tc>
          <w:tcPr>
            <w:tcW w:w="5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9"/>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holders of the Company</w:t>
            </w:r>
          </w:p>
        </w:tc>
        <w:tc>
          <w:tcPr>
            <w:tcW w:w="53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352,491</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291,987</w:t>
            </w:r>
          </w:p>
        </w:tc>
      </w:tr>
      <w:tr>
        <w:trPr>
          <w:trHeight w:val="192"/>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Noncontrolling interest</w:t>
            </w:r>
          </w:p>
        </w:tc>
        <w:tc>
          <w:tcPr>
            <w:tcW w:w="5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1,870</w:t>
            </w: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w:t>
            </w:r>
          </w:p>
        </w:tc>
      </w:tr>
      <w:tr>
        <w:trPr>
          <w:trHeight w:val="191"/>
        </w:trPr>
        <w:tc>
          <w:tcPr>
            <w:tcW w:w="3420" w:type="dxa"/>
            <w:vAlign w:val="bottom"/>
            <w:shd w:val="clear" w:color="auto" w:fill="CCEEFF"/>
          </w:tcPr>
          <w:p>
            <w:pPr>
              <w:spacing w:after="0"/>
              <w:rPr>
                <w:sz w:val="16"/>
                <w:szCs w:val="16"/>
                <w:color w:val="auto"/>
              </w:rPr>
            </w:pPr>
          </w:p>
        </w:tc>
        <w:tc>
          <w:tcPr>
            <w:tcW w:w="53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2"/>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comprehensive income for the financial year</w:t>
            </w:r>
          </w:p>
        </w:tc>
        <w:tc>
          <w:tcPr>
            <w:tcW w:w="5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354,361</w:t>
            </w: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291,987</w:t>
            </w:r>
          </w:p>
        </w:tc>
      </w:tr>
      <w:tr>
        <w:trPr>
          <w:trHeight w:val="420"/>
        </w:trPr>
        <w:tc>
          <w:tcPr>
            <w:tcW w:w="3420" w:type="dxa"/>
            <w:vAlign w:val="bottom"/>
          </w:tcPr>
          <w:p>
            <w:pPr>
              <w:spacing w:after="0"/>
              <w:rPr>
                <w:sz w:val="20"/>
                <w:szCs w:val="20"/>
                <w:color w:val="auto"/>
              </w:rPr>
            </w:pPr>
            <w:r>
              <w:rPr>
                <w:rFonts w:ascii="Arial" w:cs="Arial" w:eastAsia="Arial" w:hAnsi="Arial"/>
                <w:sz w:val="13"/>
                <w:szCs w:val="13"/>
                <w:b w:val="1"/>
                <w:bCs w:val="1"/>
                <w:color w:val="auto"/>
              </w:rPr>
              <w:t>On behalf of the Board</w:t>
            </w:r>
          </w:p>
        </w:tc>
        <w:tc>
          <w:tcPr>
            <w:tcW w:w="5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6"/>
        </w:trPr>
        <w:tc>
          <w:tcPr>
            <w:tcW w:w="3420" w:type="dxa"/>
            <w:vAlign w:val="bottom"/>
          </w:tcPr>
          <w:p>
            <w:pPr>
              <w:ind w:left="20"/>
              <w:spacing w:after="0"/>
              <w:rPr>
                <w:sz w:val="20"/>
                <w:szCs w:val="20"/>
                <w:color w:val="auto"/>
              </w:rPr>
            </w:pPr>
            <w:r>
              <w:rPr>
                <w:rFonts w:ascii="Arial" w:cs="Arial" w:eastAsia="Arial" w:hAnsi="Arial"/>
                <w:sz w:val="13"/>
                <w:szCs w:val="13"/>
                <w:color w:val="auto"/>
              </w:rPr>
              <w:t>Steve Cutler</w:t>
            </w:r>
          </w:p>
        </w:tc>
        <w:tc>
          <w:tcPr>
            <w:tcW w:w="5340" w:type="dxa"/>
            <w:vAlign w:val="bottom"/>
          </w:tcPr>
          <w:p>
            <w:pPr>
              <w:ind w:left="20"/>
              <w:spacing w:after="0"/>
              <w:rPr>
                <w:sz w:val="20"/>
                <w:szCs w:val="20"/>
                <w:color w:val="auto"/>
              </w:rPr>
            </w:pPr>
            <w:r>
              <w:rPr>
                <w:rFonts w:ascii="Arial" w:cs="Arial" w:eastAsia="Arial" w:hAnsi="Arial"/>
                <w:sz w:val="13"/>
                <w:szCs w:val="13"/>
                <w:color w:val="auto"/>
              </w:rPr>
              <w:t>Rónán Murphy</w:t>
            </w: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1"/>
        </w:trPr>
        <w:tc>
          <w:tcPr>
            <w:tcW w:w="3420" w:type="dxa"/>
            <w:vAlign w:val="bottom"/>
          </w:tcPr>
          <w:p>
            <w:pPr>
              <w:ind w:left="20"/>
              <w:spacing w:after="0"/>
              <w:rPr>
                <w:sz w:val="20"/>
                <w:szCs w:val="20"/>
                <w:color w:val="auto"/>
              </w:rPr>
            </w:pPr>
            <w:r>
              <w:rPr>
                <w:rFonts w:ascii="Arial" w:cs="Arial" w:eastAsia="Arial" w:hAnsi="Arial"/>
                <w:sz w:val="13"/>
                <w:szCs w:val="13"/>
                <w:i w:val="1"/>
                <w:iCs w:val="1"/>
                <w:color w:val="auto"/>
              </w:rPr>
              <w:t>Chief Executive Officer</w:t>
            </w:r>
          </w:p>
        </w:tc>
        <w:tc>
          <w:tcPr>
            <w:tcW w:w="5340" w:type="dxa"/>
            <w:vAlign w:val="bottom"/>
          </w:tcPr>
          <w:p>
            <w:pPr>
              <w:ind w:left="20"/>
              <w:spacing w:after="0"/>
              <w:rPr>
                <w:sz w:val="20"/>
                <w:szCs w:val="20"/>
                <w:color w:val="auto"/>
              </w:rPr>
            </w:pPr>
            <w:r>
              <w:rPr>
                <w:rFonts w:ascii="Arial" w:cs="Arial" w:eastAsia="Arial" w:hAnsi="Arial"/>
                <w:sz w:val="13"/>
                <w:szCs w:val="13"/>
                <w:i w:val="1"/>
                <w:iCs w:val="1"/>
                <w:color w:val="auto"/>
              </w:rPr>
              <w:t>Director</w:t>
            </w:r>
          </w:p>
        </w:tc>
        <w:tc>
          <w:tcPr>
            <w:tcW w:w="1440" w:type="dxa"/>
            <w:vAlign w:val="bottom"/>
          </w:tcPr>
          <w:p>
            <w:pPr>
              <w:spacing w:after="0"/>
              <w:rPr>
                <w:sz w:val="16"/>
                <w:szCs w:val="16"/>
                <w:color w:val="auto"/>
              </w:rPr>
            </w:pPr>
          </w:p>
        </w:tc>
        <w:tc>
          <w:tcPr>
            <w:tcW w:w="1080" w:type="dxa"/>
            <w:vAlign w:val="bottom"/>
          </w:tcPr>
          <w:p>
            <w:pPr>
              <w:spacing w:after="0"/>
              <w:rPr>
                <w:sz w:val="16"/>
                <w:szCs w:val="16"/>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80"/>
          </w:cols>
          <w:pgMar w:left="300" w:top="716" w:right="31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Consolidated Statement of Financial Position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 at 31 December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80" w:type="dxa"/>
            <w:vAlign w:val="bottom"/>
            <w:shd w:val="clear" w:color="auto" w:fill="CCEEFF"/>
          </w:tcPr>
          <w:p>
            <w:pPr>
              <w:spacing w:after="0"/>
              <w:rPr>
                <w:sz w:val="13"/>
                <w:szCs w:val="13"/>
                <w:color w:val="auto"/>
              </w:rPr>
            </w:pPr>
          </w:p>
        </w:tc>
        <w:tc>
          <w:tcPr>
            <w:tcW w:w="3540" w:type="dxa"/>
            <w:vAlign w:val="bottom"/>
            <w:shd w:val="clear" w:color="auto" w:fill="CCEEFF"/>
          </w:tcPr>
          <w:p>
            <w:pPr>
              <w:spacing w:after="0"/>
              <w:rPr>
                <w:sz w:val="13"/>
                <w:szCs w:val="13"/>
                <w:color w:val="auto"/>
              </w:rPr>
            </w:pPr>
          </w:p>
        </w:tc>
        <w:tc>
          <w:tcPr>
            <w:tcW w:w="1740" w:type="dxa"/>
            <w:vAlign w:val="bottom"/>
            <w:vMerge w:val="restart"/>
            <w:shd w:val="clear" w:color="auto" w:fill="CCEEFF"/>
          </w:tcPr>
          <w:p>
            <w:pPr>
              <w:ind w:left="1120"/>
              <w:spacing w:after="0"/>
              <w:rPr>
                <w:sz w:val="20"/>
                <w:szCs w:val="20"/>
                <w:color w:val="auto"/>
              </w:rPr>
            </w:pPr>
            <w:r>
              <w:rPr>
                <w:rFonts w:ascii="Arial" w:cs="Arial" w:eastAsia="Arial" w:hAnsi="Arial"/>
                <w:sz w:val="13"/>
                <w:szCs w:val="13"/>
                <w:b w:val="1"/>
                <w:bCs w:val="1"/>
                <w:i w:val="1"/>
                <w:iCs w:val="1"/>
                <w:color w:val="auto"/>
              </w:rPr>
              <w:t>Note</w:t>
            </w:r>
          </w:p>
        </w:tc>
        <w:tc>
          <w:tcPr>
            <w:tcW w:w="148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0" w:type="dxa"/>
            <w:vAlign w:val="bottom"/>
          </w:tcPr>
          <w:p>
            <w:pPr>
              <w:spacing w:after="0"/>
              <w:rPr>
                <w:sz w:val="1"/>
                <w:szCs w:val="1"/>
                <w:color w:val="auto"/>
              </w:rPr>
            </w:pPr>
          </w:p>
        </w:tc>
      </w:tr>
      <w:tr>
        <w:trPr>
          <w:trHeight w:val="95"/>
        </w:trPr>
        <w:tc>
          <w:tcPr>
            <w:tcW w:w="3380" w:type="dxa"/>
            <w:vAlign w:val="bottom"/>
            <w:shd w:val="clear" w:color="auto" w:fill="CCEEFF"/>
          </w:tcPr>
          <w:p>
            <w:pPr>
              <w:spacing w:after="0"/>
              <w:rPr>
                <w:sz w:val="8"/>
                <w:szCs w:val="8"/>
                <w:color w:val="auto"/>
              </w:rPr>
            </w:pPr>
          </w:p>
        </w:tc>
        <w:tc>
          <w:tcPr>
            <w:tcW w:w="3540" w:type="dxa"/>
            <w:vAlign w:val="bottom"/>
            <w:shd w:val="clear" w:color="auto" w:fill="CCEEFF"/>
          </w:tcPr>
          <w:p>
            <w:pPr>
              <w:spacing w:after="0"/>
              <w:rPr>
                <w:sz w:val="8"/>
                <w:szCs w:val="8"/>
                <w:color w:val="auto"/>
              </w:rPr>
            </w:pPr>
          </w:p>
        </w:tc>
        <w:tc>
          <w:tcPr>
            <w:tcW w:w="1740" w:type="dxa"/>
            <w:vAlign w:val="bottom"/>
            <w:vMerge w:val="continue"/>
            <w:shd w:val="clear" w:color="auto" w:fill="CCEEFF"/>
          </w:tcPr>
          <w:p>
            <w:pPr>
              <w:spacing w:after="0"/>
              <w:rPr>
                <w:sz w:val="8"/>
                <w:szCs w:val="8"/>
                <w:color w:val="auto"/>
              </w:rPr>
            </w:pPr>
          </w:p>
        </w:tc>
        <w:tc>
          <w:tcPr>
            <w:tcW w:w="1480" w:type="dxa"/>
            <w:vAlign w:val="bottom"/>
            <w:vMerge w:val="restart"/>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82"/>
        </w:trPr>
        <w:tc>
          <w:tcPr>
            <w:tcW w:w="3380" w:type="dxa"/>
            <w:vAlign w:val="bottom"/>
            <w:tcBorders>
              <w:bottom w:val="single" w:sz="8" w:color="auto"/>
            </w:tcBorders>
            <w:shd w:val="clear" w:color="auto" w:fill="CCEEFF"/>
          </w:tcPr>
          <w:p>
            <w:pPr>
              <w:spacing w:after="0"/>
              <w:rPr>
                <w:sz w:val="7"/>
                <w:szCs w:val="7"/>
                <w:color w:val="auto"/>
              </w:rPr>
            </w:pPr>
          </w:p>
        </w:tc>
        <w:tc>
          <w:tcPr>
            <w:tcW w:w="3540" w:type="dxa"/>
            <w:vAlign w:val="bottom"/>
            <w:tcBorders>
              <w:bottom w:val="single" w:sz="8" w:color="auto"/>
            </w:tcBorders>
            <w:shd w:val="clear" w:color="auto" w:fill="CCEEFF"/>
          </w:tcPr>
          <w:p>
            <w:pPr>
              <w:spacing w:after="0"/>
              <w:rPr>
                <w:sz w:val="7"/>
                <w:szCs w:val="7"/>
                <w:color w:val="auto"/>
              </w:rPr>
            </w:pPr>
          </w:p>
        </w:tc>
        <w:tc>
          <w:tcPr>
            <w:tcW w:w="1740" w:type="dxa"/>
            <w:vAlign w:val="bottom"/>
            <w:tcBorders>
              <w:bottom w:val="single" w:sz="8" w:color="auto"/>
            </w:tcBorders>
            <w:shd w:val="clear" w:color="auto" w:fill="CCEEFF"/>
          </w:tcPr>
          <w:p>
            <w:pPr>
              <w:spacing w:after="0"/>
              <w:rPr>
                <w:sz w:val="7"/>
                <w:szCs w:val="7"/>
                <w:color w:val="auto"/>
              </w:rPr>
            </w:pPr>
          </w:p>
        </w:tc>
        <w:tc>
          <w:tcPr>
            <w:tcW w:w="1480" w:type="dxa"/>
            <w:vAlign w:val="bottom"/>
            <w:tcBorders>
              <w:bottom w:val="single" w:sz="8" w:color="auto"/>
            </w:tcBorders>
            <w:vMerge w:val="continue"/>
            <w:shd w:val="clear" w:color="auto" w:fill="CCEEFF"/>
          </w:tcPr>
          <w:p>
            <w:pPr>
              <w:spacing w:after="0"/>
              <w:rPr>
                <w:sz w:val="7"/>
                <w:szCs w:val="7"/>
                <w:color w:val="auto"/>
              </w:rPr>
            </w:pPr>
          </w:p>
        </w:tc>
        <w:tc>
          <w:tcPr>
            <w:tcW w:w="114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3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8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assets</w:t>
            </w:r>
          </w:p>
        </w:tc>
        <w:tc>
          <w:tcPr>
            <w:tcW w:w="35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38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3540" w:type="dxa"/>
            <w:vAlign w:val="bottom"/>
          </w:tcPr>
          <w:p>
            <w:pPr>
              <w:spacing w:after="0"/>
              <w:rPr>
                <w:sz w:val="15"/>
                <w:szCs w:val="15"/>
                <w:color w:val="auto"/>
              </w:rPr>
            </w:pPr>
          </w:p>
        </w:tc>
        <w:tc>
          <w:tcPr>
            <w:tcW w:w="1740" w:type="dxa"/>
            <w:vAlign w:val="bottom"/>
          </w:tcPr>
          <w:p>
            <w:pPr>
              <w:jc w:val="right"/>
              <w:ind w:right="276"/>
              <w:spacing w:after="0"/>
              <w:rPr>
                <w:sz w:val="20"/>
                <w:szCs w:val="20"/>
                <w:color w:val="auto"/>
              </w:rPr>
            </w:pPr>
            <w:r>
              <w:rPr>
                <w:rFonts w:ascii="Arial" w:cs="Arial" w:eastAsia="Arial" w:hAnsi="Arial"/>
                <w:sz w:val="13"/>
                <w:szCs w:val="13"/>
                <w:i w:val="1"/>
                <w:iCs w:val="1"/>
                <w:color w:val="auto"/>
              </w:rPr>
              <w:t>12</w:t>
            </w:r>
          </w:p>
        </w:tc>
        <w:tc>
          <w:tcPr>
            <w:tcW w:w="1480" w:type="dxa"/>
            <w:vAlign w:val="bottom"/>
          </w:tcPr>
          <w:p>
            <w:pPr>
              <w:jc w:val="right"/>
              <w:ind w:right="416"/>
              <w:spacing w:after="0"/>
              <w:rPr>
                <w:sz w:val="20"/>
                <w:szCs w:val="20"/>
                <w:color w:val="auto"/>
              </w:rPr>
            </w:pPr>
            <w:r>
              <w:rPr>
                <w:rFonts w:ascii="Arial" w:cs="Arial" w:eastAsia="Arial" w:hAnsi="Arial"/>
                <w:sz w:val="13"/>
                <w:szCs w:val="13"/>
                <w:b w:val="1"/>
                <w:bCs w:val="1"/>
                <w:color w:val="auto"/>
              </w:rPr>
              <w:t>104,257</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103,710</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Right-of-use assets</w:t>
            </w:r>
          </w:p>
        </w:tc>
        <w:tc>
          <w:tcPr>
            <w:tcW w:w="3540" w:type="dxa"/>
            <w:vAlign w:val="bottom"/>
            <w:shd w:val="clear" w:color="auto" w:fill="CCEEFF"/>
          </w:tcPr>
          <w:p>
            <w:pPr>
              <w:spacing w:after="0"/>
              <w:rPr>
                <w:sz w:val="17"/>
                <w:szCs w:val="17"/>
                <w:color w:val="auto"/>
              </w:rPr>
            </w:pPr>
          </w:p>
        </w:tc>
        <w:tc>
          <w:tcPr>
            <w:tcW w:w="1740" w:type="dxa"/>
            <w:vAlign w:val="bottom"/>
            <w:shd w:val="clear" w:color="auto" w:fill="CCEEFF"/>
          </w:tcPr>
          <w:p>
            <w:pPr>
              <w:ind w:left="1120"/>
              <w:spacing w:after="0"/>
              <w:rPr>
                <w:sz w:val="20"/>
                <w:szCs w:val="20"/>
                <w:color w:val="auto"/>
              </w:rPr>
            </w:pPr>
            <w:r>
              <w:rPr>
                <w:rFonts w:ascii="Arial" w:cs="Arial" w:eastAsia="Arial" w:hAnsi="Arial"/>
                <w:sz w:val="13"/>
                <w:szCs w:val="13"/>
                <w:i w:val="1"/>
                <w:iCs w:val="1"/>
                <w:color w:val="auto"/>
              </w:rPr>
              <w:t>27</w:t>
            </w:r>
          </w:p>
        </w:tc>
        <w:tc>
          <w:tcPr>
            <w:tcW w:w="148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103,962</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3"/>
        </w:trPr>
        <w:tc>
          <w:tcPr>
            <w:tcW w:w="3380" w:type="dxa"/>
            <w:vAlign w:val="bottom"/>
          </w:tcPr>
          <w:p>
            <w:pPr>
              <w:ind w:left="20"/>
              <w:spacing w:after="0"/>
              <w:rPr>
                <w:sz w:val="20"/>
                <w:szCs w:val="20"/>
                <w:color w:val="auto"/>
              </w:rPr>
            </w:pPr>
            <w:r>
              <w:rPr>
                <w:rFonts w:ascii="Arial" w:cs="Arial" w:eastAsia="Arial" w:hAnsi="Arial"/>
                <w:sz w:val="13"/>
                <w:szCs w:val="13"/>
                <w:color w:val="auto"/>
              </w:rPr>
              <w:t>Intangible assets – goodwill and other</w:t>
            </w:r>
          </w:p>
        </w:tc>
        <w:tc>
          <w:tcPr>
            <w:tcW w:w="3540" w:type="dxa"/>
            <w:vAlign w:val="bottom"/>
          </w:tcPr>
          <w:p>
            <w:pPr>
              <w:spacing w:after="0"/>
              <w:rPr>
                <w:sz w:val="15"/>
                <w:szCs w:val="15"/>
                <w:color w:val="auto"/>
              </w:rPr>
            </w:pPr>
          </w:p>
        </w:tc>
        <w:tc>
          <w:tcPr>
            <w:tcW w:w="1740" w:type="dxa"/>
            <w:vAlign w:val="bottom"/>
          </w:tcPr>
          <w:p>
            <w:pPr>
              <w:jc w:val="right"/>
              <w:ind w:right="276"/>
              <w:spacing w:after="0"/>
              <w:rPr>
                <w:sz w:val="20"/>
                <w:szCs w:val="20"/>
                <w:color w:val="auto"/>
              </w:rPr>
            </w:pPr>
            <w:r>
              <w:rPr>
                <w:rFonts w:ascii="Arial" w:cs="Arial" w:eastAsia="Arial" w:hAnsi="Arial"/>
                <w:sz w:val="13"/>
                <w:szCs w:val="13"/>
                <w:i w:val="1"/>
                <w:iCs w:val="1"/>
                <w:color w:val="auto"/>
              </w:rPr>
              <w:t>13</w:t>
            </w:r>
          </w:p>
        </w:tc>
        <w:tc>
          <w:tcPr>
            <w:tcW w:w="1480" w:type="dxa"/>
            <w:vAlign w:val="bottom"/>
          </w:tcPr>
          <w:p>
            <w:pPr>
              <w:jc w:val="right"/>
              <w:ind w:right="416"/>
              <w:spacing w:after="0"/>
              <w:rPr>
                <w:sz w:val="20"/>
                <w:szCs w:val="20"/>
                <w:color w:val="auto"/>
              </w:rPr>
            </w:pPr>
            <w:r>
              <w:rPr>
                <w:rFonts w:ascii="Arial" w:cs="Arial" w:eastAsia="Arial" w:hAnsi="Arial"/>
                <w:sz w:val="13"/>
                <w:szCs w:val="13"/>
                <w:b w:val="1"/>
                <w:bCs w:val="1"/>
                <w:color w:val="auto"/>
              </w:rPr>
              <w:t>1,025,903</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879,283</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non-current assets</w:t>
            </w:r>
          </w:p>
        </w:tc>
        <w:tc>
          <w:tcPr>
            <w:tcW w:w="354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17</w:t>
            </w:r>
          </w:p>
        </w:tc>
        <w:tc>
          <w:tcPr>
            <w:tcW w:w="148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24,741</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20,778</w:t>
            </w:r>
          </w:p>
        </w:tc>
        <w:tc>
          <w:tcPr>
            <w:tcW w:w="0" w:type="dxa"/>
            <w:vAlign w:val="bottom"/>
          </w:tcPr>
          <w:p>
            <w:pPr>
              <w:spacing w:after="0"/>
              <w:rPr>
                <w:sz w:val="1"/>
                <w:szCs w:val="1"/>
                <w:color w:val="auto"/>
              </w:rPr>
            </w:pPr>
          </w:p>
        </w:tc>
      </w:tr>
      <w:tr>
        <w:trPr>
          <w:trHeight w:val="183"/>
        </w:trPr>
        <w:tc>
          <w:tcPr>
            <w:tcW w:w="3380" w:type="dxa"/>
            <w:vAlign w:val="bottom"/>
          </w:tcPr>
          <w:p>
            <w:pPr>
              <w:ind w:left="20"/>
              <w:spacing w:after="0"/>
              <w:rPr>
                <w:sz w:val="20"/>
                <w:szCs w:val="20"/>
                <w:color w:val="auto"/>
              </w:rPr>
            </w:pPr>
            <w:r>
              <w:rPr>
                <w:rFonts w:ascii="Arial" w:cs="Arial" w:eastAsia="Arial" w:hAnsi="Arial"/>
                <w:sz w:val="13"/>
                <w:szCs w:val="13"/>
                <w:color w:val="auto"/>
              </w:rPr>
              <w:t>Financial assets</w:t>
            </w:r>
          </w:p>
        </w:tc>
        <w:tc>
          <w:tcPr>
            <w:tcW w:w="3540" w:type="dxa"/>
            <w:vAlign w:val="bottom"/>
          </w:tcPr>
          <w:p>
            <w:pPr>
              <w:spacing w:after="0"/>
              <w:rPr>
                <w:sz w:val="15"/>
                <w:szCs w:val="15"/>
                <w:color w:val="auto"/>
              </w:rPr>
            </w:pPr>
          </w:p>
        </w:tc>
        <w:tc>
          <w:tcPr>
            <w:tcW w:w="1740" w:type="dxa"/>
            <w:vAlign w:val="bottom"/>
          </w:tcPr>
          <w:p>
            <w:pPr>
              <w:ind w:left="1120"/>
              <w:spacing w:after="0"/>
              <w:rPr>
                <w:sz w:val="20"/>
                <w:szCs w:val="20"/>
                <w:color w:val="auto"/>
              </w:rPr>
            </w:pPr>
            <w:r>
              <w:rPr>
                <w:rFonts w:ascii="Arial" w:cs="Arial" w:eastAsia="Arial" w:hAnsi="Arial"/>
                <w:sz w:val="13"/>
                <w:szCs w:val="13"/>
                <w:i w:val="1"/>
                <w:iCs w:val="1"/>
                <w:color w:val="auto"/>
              </w:rPr>
              <w:t>18</w:t>
            </w:r>
          </w:p>
        </w:tc>
        <w:tc>
          <w:tcPr>
            <w:tcW w:w="1480" w:type="dxa"/>
            <w:vAlign w:val="bottom"/>
          </w:tcPr>
          <w:p>
            <w:pPr>
              <w:jc w:val="right"/>
              <w:ind w:right="416"/>
              <w:spacing w:after="0"/>
              <w:rPr>
                <w:sz w:val="20"/>
                <w:szCs w:val="20"/>
                <w:color w:val="auto"/>
              </w:rPr>
            </w:pPr>
            <w:r>
              <w:rPr>
                <w:rFonts w:ascii="Arial" w:cs="Arial" w:eastAsia="Arial" w:hAnsi="Arial"/>
                <w:sz w:val="13"/>
                <w:szCs w:val="13"/>
                <w:b w:val="1"/>
                <w:bCs w:val="1"/>
                <w:color w:val="auto"/>
              </w:rPr>
              <w:t>10,053</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6,963</w:t>
            </w:r>
          </w:p>
        </w:tc>
        <w:tc>
          <w:tcPr>
            <w:tcW w:w="0" w:type="dxa"/>
            <w:vAlign w:val="bottom"/>
          </w:tcPr>
          <w:p>
            <w:pPr>
              <w:spacing w:after="0"/>
              <w:rPr>
                <w:sz w:val="1"/>
                <w:szCs w:val="1"/>
                <w:color w:val="auto"/>
              </w:rPr>
            </w:pPr>
          </w:p>
        </w:tc>
      </w:tr>
      <w:tr>
        <w:trPr>
          <w:trHeight w:val="191"/>
        </w:trPr>
        <w:tc>
          <w:tcPr>
            <w:tcW w:w="3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Deferred tax assets</w:t>
            </w:r>
          </w:p>
        </w:tc>
        <w:tc>
          <w:tcPr>
            <w:tcW w:w="354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6</w:t>
            </w:r>
          </w:p>
        </w:tc>
        <w:tc>
          <w:tcPr>
            <w:tcW w:w="14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34,755</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31,665</w:t>
            </w:r>
          </w:p>
        </w:tc>
        <w:tc>
          <w:tcPr>
            <w:tcW w:w="0" w:type="dxa"/>
            <w:vAlign w:val="bottom"/>
          </w:tcPr>
          <w:p>
            <w:pPr>
              <w:spacing w:after="0"/>
              <w:rPr>
                <w:sz w:val="1"/>
                <w:szCs w:val="1"/>
                <w:color w:val="auto"/>
              </w:rPr>
            </w:pPr>
          </w:p>
        </w:tc>
      </w:tr>
      <w:tr>
        <w:trPr>
          <w:trHeight w:val="182"/>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non-current assets</w:t>
            </w:r>
          </w:p>
        </w:tc>
        <w:tc>
          <w:tcPr>
            <w:tcW w:w="35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1,303,671</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1,042,399</w:t>
            </w:r>
          </w:p>
        </w:tc>
        <w:tc>
          <w:tcPr>
            <w:tcW w:w="0" w:type="dxa"/>
            <w:vAlign w:val="bottom"/>
          </w:tcPr>
          <w:p>
            <w:pPr>
              <w:spacing w:after="0"/>
              <w:rPr>
                <w:sz w:val="1"/>
                <w:szCs w:val="1"/>
                <w:color w:val="auto"/>
              </w:rPr>
            </w:pPr>
          </w:p>
        </w:tc>
      </w:tr>
      <w:tr>
        <w:trPr>
          <w:trHeight w:val="189"/>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assets</w:t>
            </w:r>
          </w:p>
        </w:tc>
        <w:tc>
          <w:tcPr>
            <w:tcW w:w="35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80" w:type="dxa"/>
            <w:vAlign w:val="bottom"/>
          </w:tcPr>
          <w:p>
            <w:pPr>
              <w:ind w:left="20"/>
              <w:spacing w:after="0"/>
              <w:rPr>
                <w:sz w:val="20"/>
                <w:szCs w:val="20"/>
                <w:color w:val="auto"/>
              </w:rPr>
            </w:pPr>
            <w:r>
              <w:rPr>
                <w:rFonts w:ascii="Arial" w:cs="Arial" w:eastAsia="Arial" w:hAnsi="Arial"/>
                <w:sz w:val="13"/>
                <w:szCs w:val="13"/>
                <w:color w:val="auto"/>
              </w:rPr>
              <w:t>Inventories</w:t>
            </w:r>
          </w:p>
        </w:tc>
        <w:tc>
          <w:tcPr>
            <w:tcW w:w="3540" w:type="dxa"/>
            <w:vAlign w:val="bottom"/>
          </w:tcPr>
          <w:p>
            <w:pPr>
              <w:spacing w:after="0"/>
              <w:rPr>
                <w:sz w:val="15"/>
                <w:szCs w:val="15"/>
                <w:color w:val="auto"/>
              </w:rPr>
            </w:pPr>
          </w:p>
        </w:tc>
        <w:tc>
          <w:tcPr>
            <w:tcW w:w="1740" w:type="dxa"/>
            <w:vAlign w:val="bottom"/>
          </w:tcPr>
          <w:p>
            <w:pPr>
              <w:jc w:val="right"/>
              <w:ind w:right="276"/>
              <w:spacing w:after="0"/>
              <w:rPr>
                <w:sz w:val="20"/>
                <w:szCs w:val="20"/>
                <w:color w:val="auto"/>
              </w:rPr>
            </w:pPr>
            <w:r>
              <w:rPr>
                <w:rFonts w:ascii="Arial" w:cs="Arial" w:eastAsia="Arial" w:hAnsi="Arial"/>
                <w:sz w:val="13"/>
                <w:szCs w:val="13"/>
                <w:i w:val="1"/>
                <w:iCs w:val="1"/>
                <w:color w:val="auto"/>
              </w:rPr>
              <w:t>15</w:t>
            </w:r>
          </w:p>
        </w:tc>
        <w:tc>
          <w:tcPr>
            <w:tcW w:w="1480" w:type="dxa"/>
            <w:vAlign w:val="bottom"/>
          </w:tcPr>
          <w:p>
            <w:pPr>
              <w:jc w:val="right"/>
              <w:ind w:right="416"/>
              <w:spacing w:after="0"/>
              <w:rPr>
                <w:sz w:val="20"/>
                <w:szCs w:val="20"/>
                <w:color w:val="auto"/>
              </w:rPr>
            </w:pPr>
            <w:r>
              <w:rPr>
                <w:rFonts w:ascii="Arial" w:cs="Arial" w:eastAsia="Arial" w:hAnsi="Arial"/>
                <w:sz w:val="13"/>
                <w:szCs w:val="13"/>
                <w:b w:val="1"/>
                <w:bCs w:val="1"/>
                <w:color w:val="auto"/>
              </w:rPr>
              <w:t>3,181</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2,274</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w:t>
            </w:r>
          </w:p>
        </w:tc>
        <w:tc>
          <w:tcPr>
            <w:tcW w:w="354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16</w:t>
            </w:r>
          </w:p>
        </w:tc>
        <w:tc>
          <w:tcPr>
            <w:tcW w:w="148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527,708</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414,791</w:t>
            </w:r>
          </w:p>
        </w:tc>
        <w:tc>
          <w:tcPr>
            <w:tcW w:w="0" w:type="dxa"/>
            <w:vAlign w:val="bottom"/>
          </w:tcPr>
          <w:p>
            <w:pPr>
              <w:spacing w:after="0"/>
              <w:rPr>
                <w:sz w:val="1"/>
                <w:szCs w:val="1"/>
                <w:color w:val="auto"/>
              </w:rPr>
            </w:pPr>
          </w:p>
        </w:tc>
      </w:tr>
      <w:tr>
        <w:trPr>
          <w:trHeight w:val="183"/>
        </w:trPr>
        <w:tc>
          <w:tcPr>
            <w:tcW w:w="3380" w:type="dxa"/>
            <w:vAlign w:val="bottom"/>
          </w:tcPr>
          <w:p>
            <w:pPr>
              <w:ind w:left="20"/>
              <w:spacing w:after="0"/>
              <w:rPr>
                <w:sz w:val="20"/>
                <w:szCs w:val="20"/>
                <w:color w:val="auto"/>
              </w:rPr>
            </w:pPr>
            <w:r>
              <w:rPr>
                <w:rFonts w:ascii="Arial" w:cs="Arial" w:eastAsia="Arial" w:hAnsi="Arial"/>
                <w:sz w:val="13"/>
                <w:szCs w:val="13"/>
                <w:color w:val="auto"/>
              </w:rPr>
              <w:t>Unbilled revenue</w:t>
            </w:r>
          </w:p>
        </w:tc>
        <w:tc>
          <w:tcPr>
            <w:tcW w:w="3540" w:type="dxa"/>
            <w:vAlign w:val="bottom"/>
          </w:tcPr>
          <w:p>
            <w:pPr>
              <w:spacing w:after="0"/>
              <w:rPr>
                <w:sz w:val="15"/>
                <w:szCs w:val="15"/>
                <w:color w:val="auto"/>
              </w:rPr>
            </w:pPr>
          </w:p>
        </w:tc>
        <w:tc>
          <w:tcPr>
            <w:tcW w:w="1740" w:type="dxa"/>
            <w:vAlign w:val="bottom"/>
          </w:tcPr>
          <w:p>
            <w:pPr>
              <w:jc w:val="right"/>
              <w:ind w:right="276"/>
              <w:spacing w:after="0"/>
              <w:rPr>
                <w:sz w:val="20"/>
                <w:szCs w:val="20"/>
                <w:color w:val="auto"/>
              </w:rPr>
            </w:pPr>
            <w:r>
              <w:rPr>
                <w:rFonts w:ascii="Arial" w:cs="Arial" w:eastAsia="Arial" w:hAnsi="Arial"/>
                <w:sz w:val="13"/>
                <w:szCs w:val="13"/>
                <w:i w:val="1"/>
                <w:iCs w:val="1"/>
                <w:color w:val="auto"/>
              </w:rPr>
              <w:t>16</w:t>
            </w:r>
          </w:p>
        </w:tc>
        <w:tc>
          <w:tcPr>
            <w:tcW w:w="1480" w:type="dxa"/>
            <w:vAlign w:val="bottom"/>
          </w:tcPr>
          <w:p>
            <w:pPr>
              <w:jc w:val="right"/>
              <w:ind w:right="416"/>
              <w:spacing w:after="0"/>
              <w:rPr>
                <w:sz w:val="20"/>
                <w:szCs w:val="20"/>
                <w:color w:val="auto"/>
              </w:rPr>
            </w:pPr>
            <w:r>
              <w:rPr>
                <w:rFonts w:ascii="Arial" w:cs="Arial" w:eastAsia="Arial" w:hAnsi="Arial"/>
                <w:sz w:val="13"/>
                <w:szCs w:val="13"/>
                <w:b w:val="1"/>
                <w:bCs w:val="1"/>
                <w:color w:val="auto"/>
              </w:rPr>
              <w:t>422,769</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362,926</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assets</w:t>
            </w:r>
          </w:p>
        </w:tc>
        <w:tc>
          <w:tcPr>
            <w:tcW w:w="354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17</w:t>
            </w:r>
          </w:p>
        </w:tc>
        <w:tc>
          <w:tcPr>
            <w:tcW w:w="148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70,325</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68,734</w:t>
            </w:r>
          </w:p>
        </w:tc>
        <w:tc>
          <w:tcPr>
            <w:tcW w:w="0" w:type="dxa"/>
            <w:vAlign w:val="bottom"/>
          </w:tcPr>
          <w:p>
            <w:pPr>
              <w:spacing w:after="0"/>
              <w:rPr>
                <w:sz w:val="1"/>
                <w:szCs w:val="1"/>
                <w:color w:val="auto"/>
              </w:rPr>
            </w:pPr>
          </w:p>
        </w:tc>
      </w:tr>
      <w:tr>
        <w:trPr>
          <w:trHeight w:val="183"/>
        </w:trPr>
        <w:tc>
          <w:tcPr>
            <w:tcW w:w="3380" w:type="dxa"/>
            <w:vAlign w:val="bottom"/>
          </w:tcPr>
          <w:p>
            <w:pPr>
              <w:ind w:left="20"/>
              <w:spacing w:after="0"/>
              <w:rPr>
                <w:sz w:val="20"/>
                <w:szCs w:val="20"/>
                <w:color w:val="auto"/>
              </w:rPr>
            </w:pPr>
            <w:r>
              <w:rPr>
                <w:rFonts w:ascii="Arial" w:cs="Arial" w:eastAsia="Arial" w:hAnsi="Arial"/>
                <w:sz w:val="13"/>
                <w:szCs w:val="13"/>
                <w:color w:val="auto"/>
              </w:rPr>
              <w:t>Current taxes receivable</w:t>
            </w:r>
          </w:p>
        </w:tc>
        <w:tc>
          <w:tcPr>
            <w:tcW w:w="3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80" w:type="dxa"/>
            <w:vAlign w:val="bottom"/>
          </w:tcPr>
          <w:p>
            <w:pPr>
              <w:jc w:val="right"/>
              <w:ind w:right="416"/>
              <w:spacing w:after="0"/>
              <w:rPr>
                <w:sz w:val="20"/>
                <w:szCs w:val="20"/>
                <w:color w:val="auto"/>
              </w:rPr>
            </w:pPr>
            <w:r>
              <w:rPr>
                <w:rFonts w:ascii="Arial" w:cs="Arial" w:eastAsia="Arial" w:hAnsi="Arial"/>
                <w:sz w:val="13"/>
                <w:szCs w:val="13"/>
                <w:b w:val="1"/>
                <w:bCs w:val="1"/>
                <w:color w:val="auto"/>
              </w:rPr>
              <w:t>40,989</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39,468</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asset investments</w:t>
            </w:r>
          </w:p>
        </w:tc>
        <w:tc>
          <w:tcPr>
            <w:tcW w:w="354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18</w:t>
            </w:r>
          </w:p>
        </w:tc>
        <w:tc>
          <w:tcPr>
            <w:tcW w:w="148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49,628</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59,910</w:t>
            </w:r>
          </w:p>
        </w:tc>
        <w:tc>
          <w:tcPr>
            <w:tcW w:w="0" w:type="dxa"/>
            <w:vAlign w:val="bottom"/>
          </w:tcPr>
          <w:p>
            <w:pPr>
              <w:spacing w:after="0"/>
              <w:rPr>
                <w:sz w:val="1"/>
                <w:szCs w:val="1"/>
                <w:color w:val="auto"/>
              </w:rPr>
            </w:pPr>
          </w:p>
        </w:tc>
      </w:tr>
      <w:tr>
        <w:trPr>
          <w:trHeight w:val="183"/>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Cash and cash equivalents</w:t>
            </w:r>
          </w:p>
        </w:tc>
        <w:tc>
          <w:tcPr>
            <w:tcW w:w="35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i w:val="1"/>
                <w:iCs w:val="1"/>
                <w:color w:val="auto"/>
              </w:rPr>
              <w:t>19</w:t>
            </w:r>
          </w:p>
        </w:tc>
        <w:tc>
          <w:tcPr>
            <w:tcW w:w="14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520,309</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395,851</w:t>
            </w:r>
          </w:p>
        </w:tc>
        <w:tc>
          <w:tcPr>
            <w:tcW w:w="0" w:type="dxa"/>
            <w:vAlign w:val="bottom"/>
          </w:tcPr>
          <w:p>
            <w:pPr>
              <w:spacing w:after="0"/>
              <w:rPr>
                <w:sz w:val="1"/>
                <w:szCs w:val="1"/>
                <w:color w:val="auto"/>
              </w:rPr>
            </w:pPr>
          </w:p>
        </w:tc>
      </w:tr>
      <w:tr>
        <w:trPr>
          <w:trHeight w:val="182"/>
        </w:trPr>
        <w:tc>
          <w:tcPr>
            <w:tcW w:w="3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current assets</w:t>
            </w:r>
          </w:p>
        </w:tc>
        <w:tc>
          <w:tcPr>
            <w:tcW w:w="354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1,634,909</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1,343,954</w:t>
            </w:r>
          </w:p>
        </w:tc>
        <w:tc>
          <w:tcPr>
            <w:tcW w:w="0" w:type="dxa"/>
            <w:vAlign w:val="bottom"/>
          </w:tcPr>
          <w:p>
            <w:pPr>
              <w:spacing w:after="0"/>
              <w:rPr>
                <w:sz w:val="1"/>
                <w:szCs w:val="1"/>
                <w:color w:val="auto"/>
              </w:rPr>
            </w:pPr>
          </w:p>
        </w:tc>
      </w:tr>
      <w:tr>
        <w:trPr>
          <w:trHeight w:val="190"/>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assets</w:t>
            </w:r>
          </w:p>
        </w:tc>
        <w:tc>
          <w:tcPr>
            <w:tcW w:w="35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2,938,580</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2,386,353</w:t>
            </w:r>
          </w:p>
        </w:tc>
        <w:tc>
          <w:tcPr>
            <w:tcW w:w="0" w:type="dxa"/>
            <w:vAlign w:val="bottom"/>
          </w:tcPr>
          <w:p>
            <w:pPr>
              <w:spacing w:after="0"/>
              <w:rPr>
                <w:sz w:val="1"/>
                <w:szCs w:val="1"/>
                <w:color w:val="auto"/>
              </w:rPr>
            </w:pPr>
          </w:p>
        </w:tc>
      </w:tr>
      <w:tr>
        <w:trPr>
          <w:trHeight w:val="191"/>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w:t>
            </w:r>
          </w:p>
        </w:tc>
        <w:tc>
          <w:tcPr>
            <w:tcW w:w="35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80" w:type="dxa"/>
            <w:vAlign w:val="bottom"/>
          </w:tcPr>
          <w:p>
            <w:pPr>
              <w:ind w:left="20"/>
              <w:spacing w:after="0"/>
              <w:rPr>
                <w:sz w:val="20"/>
                <w:szCs w:val="20"/>
                <w:color w:val="auto"/>
              </w:rPr>
            </w:pPr>
            <w:r>
              <w:rPr>
                <w:rFonts w:ascii="Arial" w:cs="Arial" w:eastAsia="Arial" w:hAnsi="Arial"/>
                <w:sz w:val="13"/>
                <w:szCs w:val="13"/>
                <w:color w:val="auto"/>
              </w:rPr>
              <w:t>Share capital</w:t>
            </w:r>
          </w:p>
        </w:tc>
        <w:tc>
          <w:tcPr>
            <w:tcW w:w="3540" w:type="dxa"/>
            <w:vAlign w:val="bottom"/>
          </w:tcPr>
          <w:p>
            <w:pPr>
              <w:spacing w:after="0"/>
              <w:rPr>
                <w:sz w:val="15"/>
                <w:szCs w:val="15"/>
                <w:color w:val="auto"/>
              </w:rPr>
            </w:pPr>
          </w:p>
        </w:tc>
        <w:tc>
          <w:tcPr>
            <w:tcW w:w="1740" w:type="dxa"/>
            <w:vAlign w:val="bottom"/>
          </w:tcPr>
          <w:p>
            <w:pPr>
              <w:jc w:val="right"/>
              <w:ind w:right="276"/>
              <w:spacing w:after="0"/>
              <w:rPr>
                <w:sz w:val="20"/>
                <w:szCs w:val="20"/>
                <w:color w:val="auto"/>
              </w:rPr>
            </w:pPr>
            <w:r>
              <w:rPr>
                <w:rFonts w:ascii="Arial" w:cs="Arial" w:eastAsia="Arial" w:hAnsi="Arial"/>
                <w:sz w:val="13"/>
                <w:szCs w:val="13"/>
                <w:i w:val="1"/>
                <w:iCs w:val="1"/>
                <w:color w:val="auto"/>
              </w:rPr>
              <w:t>24</w:t>
            </w:r>
          </w:p>
        </w:tc>
        <w:tc>
          <w:tcPr>
            <w:tcW w:w="1480" w:type="dxa"/>
            <w:vAlign w:val="bottom"/>
          </w:tcPr>
          <w:p>
            <w:pPr>
              <w:jc w:val="right"/>
              <w:ind w:right="416"/>
              <w:spacing w:after="0"/>
              <w:rPr>
                <w:sz w:val="20"/>
                <w:szCs w:val="20"/>
                <w:color w:val="auto"/>
              </w:rPr>
            </w:pPr>
            <w:r>
              <w:rPr>
                <w:rFonts w:ascii="Arial" w:cs="Arial" w:eastAsia="Arial" w:hAnsi="Arial"/>
                <w:sz w:val="13"/>
                <w:szCs w:val="13"/>
                <w:b w:val="1"/>
                <w:bCs w:val="1"/>
                <w:color w:val="auto"/>
              </w:rPr>
              <w:t>4,635</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4,658</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premium</w:t>
            </w:r>
          </w:p>
        </w:tc>
        <w:tc>
          <w:tcPr>
            <w:tcW w:w="35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305,228</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283,629</w:t>
            </w:r>
          </w:p>
        </w:tc>
        <w:tc>
          <w:tcPr>
            <w:tcW w:w="0" w:type="dxa"/>
            <w:vAlign w:val="bottom"/>
          </w:tcPr>
          <w:p>
            <w:pPr>
              <w:spacing w:after="0"/>
              <w:rPr>
                <w:sz w:val="1"/>
                <w:szCs w:val="1"/>
                <w:color w:val="auto"/>
              </w:rPr>
            </w:pPr>
          </w:p>
        </w:tc>
      </w:tr>
      <w:tr>
        <w:trPr>
          <w:trHeight w:val="183"/>
        </w:trPr>
        <w:tc>
          <w:tcPr>
            <w:tcW w:w="3380" w:type="dxa"/>
            <w:vAlign w:val="bottom"/>
          </w:tcPr>
          <w:p>
            <w:pPr>
              <w:ind w:left="20"/>
              <w:spacing w:after="0"/>
              <w:rPr>
                <w:sz w:val="20"/>
                <w:szCs w:val="20"/>
                <w:color w:val="auto"/>
              </w:rPr>
            </w:pPr>
            <w:r>
              <w:rPr>
                <w:rFonts w:ascii="Arial" w:cs="Arial" w:eastAsia="Arial" w:hAnsi="Arial"/>
                <w:sz w:val="13"/>
                <w:szCs w:val="13"/>
                <w:color w:val="auto"/>
              </w:rPr>
              <w:t>Other undenominated capital</w:t>
            </w:r>
          </w:p>
        </w:tc>
        <w:tc>
          <w:tcPr>
            <w:tcW w:w="3540" w:type="dxa"/>
            <w:vAlign w:val="bottom"/>
          </w:tcPr>
          <w:p>
            <w:pPr>
              <w:spacing w:after="0"/>
              <w:rPr>
                <w:sz w:val="15"/>
                <w:szCs w:val="15"/>
                <w:color w:val="auto"/>
              </w:rPr>
            </w:pPr>
          </w:p>
        </w:tc>
        <w:tc>
          <w:tcPr>
            <w:tcW w:w="1740" w:type="dxa"/>
            <w:vAlign w:val="bottom"/>
          </w:tcPr>
          <w:p>
            <w:pPr>
              <w:jc w:val="right"/>
              <w:ind w:right="276"/>
              <w:spacing w:after="0"/>
              <w:rPr>
                <w:sz w:val="20"/>
                <w:szCs w:val="20"/>
                <w:color w:val="auto"/>
              </w:rPr>
            </w:pPr>
            <w:r>
              <w:rPr>
                <w:rFonts w:ascii="Arial" w:cs="Arial" w:eastAsia="Arial" w:hAnsi="Arial"/>
                <w:sz w:val="13"/>
                <w:szCs w:val="13"/>
                <w:i w:val="1"/>
                <w:iCs w:val="1"/>
                <w:color w:val="auto"/>
              </w:rPr>
              <w:t>25</w:t>
            </w:r>
          </w:p>
        </w:tc>
        <w:tc>
          <w:tcPr>
            <w:tcW w:w="1480" w:type="dxa"/>
            <w:vAlign w:val="bottom"/>
          </w:tcPr>
          <w:p>
            <w:pPr>
              <w:jc w:val="right"/>
              <w:ind w:right="416"/>
              <w:spacing w:after="0"/>
              <w:rPr>
                <w:sz w:val="20"/>
                <w:szCs w:val="20"/>
                <w:color w:val="auto"/>
              </w:rPr>
            </w:pPr>
            <w:r>
              <w:rPr>
                <w:rFonts w:ascii="Arial" w:cs="Arial" w:eastAsia="Arial" w:hAnsi="Arial"/>
                <w:sz w:val="13"/>
                <w:szCs w:val="13"/>
                <w:b w:val="1"/>
                <w:bCs w:val="1"/>
                <w:color w:val="auto"/>
              </w:rPr>
              <w:t>1,052</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983</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 reserve</w:t>
            </w:r>
          </w:p>
        </w:tc>
        <w:tc>
          <w:tcPr>
            <w:tcW w:w="354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25</w:t>
            </w:r>
          </w:p>
        </w:tc>
        <w:tc>
          <w:tcPr>
            <w:tcW w:w="148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174,230</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173,326</w:t>
            </w:r>
          </w:p>
        </w:tc>
        <w:tc>
          <w:tcPr>
            <w:tcW w:w="0" w:type="dxa"/>
            <w:vAlign w:val="bottom"/>
          </w:tcPr>
          <w:p>
            <w:pPr>
              <w:spacing w:after="0"/>
              <w:rPr>
                <w:sz w:val="1"/>
                <w:szCs w:val="1"/>
                <w:color w:val="auto"/>
              </w:rPr>
            </w:pPr>
          </w:p>
        </w:tc>
      </w:tr>
      <w:tr>
        <w:trPr>
          <w:trHeight w:val="183"/>
        </w:trPr>
        <w:tc>
          <w:tcPr>
            <w:tcW w:w="3380" w:type="dxa"/>
            <w:vAlign w:val="bottom"/>
          </w:tcPr>
          <w:p>
            <w:pPr>
              <w:ind w:left="20"/>
              <w:spacing w:after="0"/>
              <w:rPr>
                <w:sz w:val="20"/>
                <w:szCs w:val="20"/>
                <w:color w:val="auto"/>
              </w:rPr>
            </w:pPr>
            <w:r>
              <w:rPr>
                <w:rFonts w:ascii="Arial" w:cs="Arial" w:eastAsia="Arial" w:hAnsi="Arial"/>
                <w:sz w:val="13"/>
                <w:szCs w:val="13"/>
                <w:color w:val="auto"/>
              </w:rPr>
              <w:t>Other reserves</w:t>
            </w:r>
          </w:p>
        </w:tc>
        <w:tc>
          <w:tcPr>
            <w:tcW w:w="3540" w:type="dxa"/>
            <w:vAlign w:val="bottom"/>
          </w:tcPr>
          <w:p>
            <w:pPr>
              <w:spacing w:after="0"/>
              <w:rPr>
                <w:sz w:val="15"/>
                <w:szCs w:val="15"/>
                <w:color w:val="auto"/>
              </w:rPr>
            </w:pPr>
          </w:p>
        </w:tc>
        <w:tc>
          <w:tcPr>
            <w:tcW w:w="1740" w:type="dxa"/>
            <w:vAlign w:val="bottom"/>
          </w:tcPr>
          <w:p>
            <w:pPr>
              <w:jc w:val="right"/>
              <w:ind w:right="276"/>
              <w:spacing w:after="0"/>
              <w:rPr>
                <w:sz w:val="20"/>
                <w:szCs w:val="20"/>
                <w:color w:val="auto"/>
              </w:rPr>
            </w:pPr>
            <w:r>
              <w:rPr>
                <w:rFonts w:ascii="Arial" w:cs="Arial" w:eastAsia="Arial" w:hAnsi="Arial"/>
                <w:sz w:val="13"/>
                <w:szCs w:val="13"/>
                <w:i w:val="1"/>
                <w:iCs w:val="1"/>
                <w:color w:val="auto"/>
              </w:rPr>
              <w:t>25</w:t>
            </w:r>
          </w:p>
        </w:tc>
        <w:tc>
          <w:tcPr>
            <w:tcW w:w="1480" w:type="dxa"/>
            <w:vAlign w:val="bottom"/>
          </w:tcPr>
          <w:p>
            <w:pPr>
              <w:jc w:val="right"/>
              <w:ind w:right="416"/>
              <w:spacing w:after="0"/>
              <w:rPr>
                <w:sz w:val="20"/>
                <w:szCs w:val="20"/>
                <w:color w:val="auto"/>
              </w:rPr>
            </w:pPr>
            <w:r>
              <w:rPr>
                <w:rFonts w:ascii="Arial" w:cs="Arial" w:eastAsia="Arial" w:hAnsi="Arial"/>
                <w:sz w:val="13"/>
                <w:szCs w:val="13"/>
                <w:b w:val="1"/>
                <w:bCs w:val="1"/>
                <w:color w:val="auto"/>
              </w:rPr>
              <w:t>10,874</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11,868</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translation reserve</w:t>
            </w:r>
          </w:p>
        </w:tc>
        <w:tc>
          <w:tcPr>
            <w:tcW w:w="354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25</w:t>
            </w:r>
          </w:p>
        </w:tc>
        <w:tc>
          <w:tcPr>
            <w:tcW w:w="148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(71,492)</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(67,469)</w:t>
            </w:r>
          </w:p>
        </w:tc>
        <w:tc>
          <w:tcPr>
            <w:tcW w:w="0" w:type="dxa"/>
            <w:vAlign w:val="bottom"/>
          </w:tcPr>
          <w:p>
            <w:pPr>
              <w:spacing w:after="0"/>
              <w:rPr>
                <w:sz w:val="1"/>
                <w:szCs w:val="1"/>
                <w:color w:val="auto"/>
              </w:rPr>
            </w:pPr>
          </w:p>
        </w:tc>
      </w:tr>
      <w:tr>
        <w:trPr>
          <w:trHeight w:val="183"/>
        </w:trPr>
        <w:tc>
          <w:tcPr>
            <w:tcW w:w="3380" w:type="dxa"/>
            <w:vAlign w:val="bottom"/>
          </w:tcPr>
          <w:p>
            <w:pPr>
              <w:ind w:left="20"/>
              <w:spacing w:after="0"/>
              <w:rPr>
                <w:sz w:val="20"/>
                <w:szCs w:val="20"/>
                <w:color w:val="auto"/>
              </w:rPr>
            </w:pPr>
            <w:r>
              <w:rPr>
                <w:rFonts w:ascii="Arial" w:cs="Arial" w:eastAsia="Arial" w:hAnsi="Arial"/>
                <w:sz w:val="13"/>
                <w:szCs w:val="13"/>
                <w:color w:val="auto"/>
              </w:rPr>
              <w:t>Current asset investments - fair value reserve</w:t>
            </w:r>
          </w:p>
        </w:tc>
        <w:tc>
          <w:tcPr>
            <w:tcW w:w="3540" w:type="dxa"/>
            <w:vAlign w:val="bottom"/>
          </w:tcPr>
          <w:p>
            <w:pPr>
              <w:spacing w:after="0"/>
              <w:rPr>
                <w:sz w:val="15"/>
                <w:szCs w:val="15"/>
                <w:color w:val="auto"/>
              </w:rPr>
            </w:pPr>
          </w:p>
        </w:tc>
        <w:tc>
          <w:tcPr>
            <w:tcW w:w="1740" w:type="dxa"/>
            <w:vAlign w:val="bottom"/>
          </w:tcPr>
          <w:p>
            <w:pPr>
              <w:jc w:val="right"/>
              <w:ind w:right="276"/>
              <w:spacing w:after="0"/>
              <w:rPr>
                <w:sz w:val="20"/>
                <w:szCs w:val="20"/>
                <w:color w:val="auto"/>
              </w:rPr>
            </w:pPr>
            <w:r>
              <w:rPr>
                <w:rFonts w:ascii="Arial" w:cs="Arial" w:eastAsia="Arial" w:hAnsi="Arial"/>
                <w:sz w:val="13"/>
                <w:szCs w:val="13"/>
                <w:i w:val="1"/>
                <w:iCs w:val="1"/>
                <w:color w:val="auto"/>
              </w:rPr>
              <w:t>25</w:t>
            </w:r>
          </w:p>
        </w:tc>
        <w:tc>
          <w:tcPr>
            <w:tcW w:w="1480" w:type="dxa"/>
            <w:vAlign w:val="bottom"/>
          </w:tcPr>
          <w:p>
            <w:pPr>
              <w:jc w:val="right"/>
              <w:ind w:right="416"/>
              <w:spacing w:after="0"/>
              <w:rPr>
                <w:sz w:val="20"/>
                <w:szCs w:val="20"/>
                <w:color w:val="auto"/>
              </w:rPr>
            </w:pPr>
            <w:r>
              <w:rPr>
                <w:rFonts w:ascii="Arial" w:cs="Arial" w:eastAsia="Arial" w:hAnsi="Arial"/>
                <w:sz w:val="13"/>
                <w:szCs w:val="13"/>
                <w:b w:val="1"/>
                <w:bCs w:val="1"/>
                <w:color w:val="auto"/>
              </w:rPr>
              <w:t>231</w:t>
            </w: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(450)</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Put option in noncontrolling interest shares</w:t>
            </w:r>
          </w:p>
        </w:tc>
        <w:tc>
          <w:tcPr>
            <w:tcW w:w="354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25</w:t>
            </w:r>
          </w:p>
        </w:tc>
        <w:tc>
          <w:tcPr>
            <w:tcW w:w="148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(38,482)</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Retained earnings</w:t>
            </w:r>
          </w:p>
        </w:tc>
        <w:tc>
          <w:tcPr>
            <w:tcW w:w="35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i w:val="1"/>
                <w:iCs w:val="1"/>
                <w:color w:val="auto"/>
              </w:rPr>
              <w:t>25</w:t>
            </w:r>
          </w:p>
        </w:tc>
        <w:tc>
          <w:tcPr>
            <w:tcW w:w="14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1,220,871</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979,834</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99"/>
              </w:rPr>
              <w:t>Total equity attributable to the owners of the Company</w:t>
            </w:r>
          </w:p>
        </w:tc>
        <w:tc>
          <w:tcPr>
            <w:tcW w:w="354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1,607,147</w:t>
            </w:r>
          </w:p>
        </w:tc>
        <w:tc>
          <w:tcPr>
            <w:tcW w:w="11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Noncontrolling interest</w:t>
            </w:r>
          </w:p>
        </w:tc>
        <w:tc>
          <w:tcPr>
            <w:tcW w:w="35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i w:val="1"/>
                <w:iCs w:val="1"/>
                <w:color w:val="auto"/>
              </w:rPr>
              <w:t>25</w:t>
            </w:r>
          </w:p>
        </w:tc>
        <w:tc>
          <w:tcPr>
            <w:tcW w:w="14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34,462</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69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 attributable to the owners of the Company and noncontrolling interest</w:t>
            </w:r>
          </w:p>
        </w:tc>
        <w:tc>
          <w:tcPr>
            <w:tcW w:w="17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1,641,609</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1,386,379</w:t>
            </w:r>
          </w:p>
        </w:tc>
        <w:tc>
          <w:tcPr>
            <w:tcW w:w="0" w:type="dxa"/>
            <w:vAlign w:val="bottom"/>
          </w:tcPr>
          <w:p>
            <w:pPr>
              <w:spacing w:after="0"/>
              <w:rPr>
                <w:sz w:val="1"/>
                <w:szCs w:val="1"/>
                <w:color w:val="auto"/>
              </w:rPr>
            </w:pPr>
          </w:p>
        </w:tc>
      </w:tr>
      <w:tr>
        <w:trPr>
          <w:trHeight w:val="18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3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35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380" w:type="dxa"/>
            <w:vAlign w:val="bottom"/>
          </w:tcPr>
          <w:p>
            <w:pPr>
              <w:ind w:left="20"/>
              <w:spacing w:after="0"/>
              <w:rPr>
                <w:sz w:val="20"/>
                <w:szCs w:val="20"/>
                <w:color w:val="auto"/>
              </w:rPr>
            </w:pPr>
            <w:r>
              <w:rPr>
                <w:rFonts w:ascii="Arial" w:cs="Arial" w:eastAsia="Arial" w:hAnsi="Arial"/>
                <w:sz w:val="13"/>
                <w:szCs w:val="13"/>
                <w:color w:val="auto"/>
              </w:rPr>
              <w:t>Non-current bank credit lines and loan facilities</w:t>
            </w:r>
          </w:p>
        </w:tc>
        <w:tc>
          <w:tcPr>
            <w:tcW w:w="3540" w:type="dxa"/>
            <w:vAlign w:val="bottom"/>
          </w:tcPr>
          <w:p>
            <w:pPr>
              <w:spacing w:after="0"/>
              <w:rPr>
                <w:sz w:val="15"/>
                <w:szCs w:val="15"/>
                <w:color w:val="auto"/>
              </w:rPr>
            </w:pPr>
          </w:p>
        </w:tc>
        <w:tc>
          <w:tcPr>
            <w:tcW w:w="1740" w:type="dxa"/>
            <w:vAlign w:val="bottom"/>
          </w:tcPr>
          <w:p>
            <w:pPr>
              <w:jc w:val="right"/>
              <w:ind w:right="276"/>
              <w:spacing w:after="0"/>
              <w:rPr>
                <w:sz w:val="20"/>
                <w:szCs w:val="20"/>
                <w:color w:val="auto"/>
              </w:rPr>
            </w:pPr>
            <w:r>
              <w:rPr>
                <w:rFonts w:ascii="Arial" w:cs="Arial" w:eastAsia="Arial" w:hAnsi="Arial"/>
                <w:sz w:val="13"/>
                <w:szCs w:val="13"/>
                <w:i w:val="1"/>
                <w:iCs w:val="1"/>
                <w:color w:val="auto"/>
              </w:rPr>
              <w:t>23</w:t>
            </w:r>
          </w:p>
        </w:tc>
        <w:tc>
          <w:tcPr>
            <w:tcW w:w="1480" w:type="dxa"/>
            <w:vAlign w:val="bottom"/>
          </w:tcPr>
          <w:p>
            <w:pPr>
              <w:jc w:val="right"/>
              <w:ind w:right="416"/>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349,264</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lease liabilities</w:t>
            </w:r>
          </w:p>
        </w:tc>
        <w:tc>
          <w:tcPr>
            <w:tcW w:w="354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27</w:t>
            </w:r>
          </w:p>
        </w:tc>
        <w:tc>
          <w:tcPr>
            <w:tcW w:w="148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76,593</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3"/>
        </w:trPr>
        <w:tc>
          <w:tcPr>
            <w:tcW w:w="3380" w:type="dxa"/>
            <w:vAlign w:val="bottom"/>
          </w:tcPr>
          <w:p>
            <w:pPr>
              <w:ind w:left="20"/>
              <w:spacing w:after="0"/>
              <w:rPr>
                <w:sz w:val="20"/>
                <w:szCs w:val="20"/>
                <w:color w:val="auto"/>
              </w:rPr>
            </w:pPr>
            <w:r>
              <w:rPr>
                <w:rFonts w:ascii="Arial" w:cs="Arial" w:eastAsia="Arial" w:hAnsi="Arial"/>
                <w:sz w:val="13"/>
                <w:szCs w:val="13"/>
                <w:color w:val="auto"/>
              </w:rPr>
              <w:t>Non-current other liabilities</w:t>
            </w:r>
          </w:p>
        </w:tc>
        <w:tc>
          <w:tcPr>
            <w:tcW w:w="3540" w:type="dxa"/>
            <w:vAlign w:val="bottom"/>
          </w:tcPr>
          <w:p>
            <w:pPr>
              <w:spacing w:after="0"/>
              <w:rPr>
                <w:sz w:val="15"/>
                <w:szCs w:val="15"/>
                <w:color w:val="auto"/>
              </w:rPr>
            </w:pPr>
          </w:p>
        </w:tc>
        <w:tc>
          <w:tcPr>
            <w:tcW w:w="1740" w:type="dxa"/>
            <w:vAlign w:val="bottom"/>
          </w:tcPr>
          <w:p>
            <w:pPr>
              <w:jc w:val="right"/>
              <w:ind w:right="276"/>
              <w:spacing w:after="0"/>
              <w:rPr>
                <w:sz w:val="20"/>
                <w:szCs w:val="20"/>
                <w:color w:val="auto"/>
              </w:rPr>
            </w:pPr>
            <w:r>
              <w:rPr>
                <w:rFonts w:ascii="Arial" w:cs="Arial" w:eastAsia="Arial" w:hAnsi="Arial"/>
                <w:sz w:val="13"/>
                <w:szCs w:val="13"/>
                <w:i w:val="1"/>
                <w:iCs w:val="1"/>
                <w:color w:val="auto"/>
              </w:rPr>
              <w:t>20</w:t>
            </w:r>
          </w:p>
        </w:tc>
        <w:tc>
          <w:tcPr>
            <w:tcW w:w="1480" w:type="dxa"/>
            <w:vAlign w:val="bottom"/>
          </w:tcPr>
          <w:p>
            <w:pPr>
              <w:jc w:val="right"/>
              <w:ind w:right="416"/>
              <w:spacing w:after="0"/>
              <w:rPr>
                <w:sz w:val="20"/>
                <w:szCs w:val="20"/>
                <w:color w:val="auto"/>
              </w:rPr>
            </w:pPr>
            <w:r>
              <w:rPr>
                <w:rFonts w:ascii="Arial" w:cs="Arial" w:eastAsia="Arial" w:hAnsi="Arial"/>
                <w:sz w:val="13"/>
                <w:szCs w:val="13"/>
                <w:b w:val="1"/>
                <w:bCs w:val="1"/>
                <w:color w:val="auto"/>
              </w:rPr>
              <w:t>17,899</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13,022</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provisions</w:t>
            </w:r>
          </w:p>
        </w:tc>
        <w:tc>
          <w:tcPr>
            <w:tcW w:w="354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21</w:t>
            </w:r>
          </w:p>
        </w:tc>
        <w:tc>
          <w:tcPr>
            <w:tcW w:w="148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405</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1,301</w:t>
            </w:r>
          </w:p>
        </w:tc>
        <w:tc>
          <w:tcPr>
            <w:tcW w:w="0" w:type="dxa"/>
            <w:vAlign w:val="bottom"/>
          </w:tcPr>
          <w:p>
            <w:pPr>
              <w:spacing w:after="0"/>
              <w:rPr>
                <w:sz w:val="1"/>
                <w:szCs w:val="1"/>
                <w:color w:val="auto"/>
              </w:rPr>
            </w:pPr>
          </w:p>
        </w:tc>
      </w:tr>
      <w:tr>
        <w:trPr>
          <w:trHeight w:val="183"/>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Deferred tax liabilities</w:t>
            </w:r>
          </w:p>
        </w:tc>
        <w:tc>
          <w:tcPr>
            <w:tcW w:w="35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i w:val="1"/>
                <w:iCs w:val="1"/>
                <w:color w:val="auto"/>
              </w:rPr>
              <w:t>6</w:t>
            </w:r>
          </w:p>
        </w:tc>
        <w:tc>
          <w:tcPr>
            <w:tcW w:w="14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9,296</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8,213</w:t>
            </w:r>
          </w:p>
        </w:tc>
        <w:tc>
          <w:tcPr>
            <w:tcW w:w="0" w:type="dxa"/>
            <w:vAlign w:val="bottom"/>
          </w:tcPr>
          <w:p>
            <w:pPr>
              <w:spacing w:after="0"/>
              <w:rPr>
                <w:sz w:val="1"/>
                <w:szCs w:val="1"/>
                <w:color w:val="auto"/>
              </w:rPr>
            </w:pPr>
          </w:p>
        </w:tc>
      </w:tr>
      <w:tr>
        <w:trPr>
          <w:trHeight w:val="182"/>
        </w:trPr>
        <w:tc>
          <w:tcPr>
            <w:tcW w:w="3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non-current liabilities</w:t>
            </w:r>
          </w:p>
        </w:tc>
        <w:tc>
          <w:tcPr>
            <w:tcW w:w="354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104,193</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371,800</w:t>
            </w:r>
          </w:p>
        </w:tc>
        <w:tc>
          <w:tcPr>
            <w:tcW w:w="0" w:type="dxa"/>
            <w:vAlign w:val="bottom"/>
          </w:tcPr>
          <w:p>
            <w:pPr>
              <w:spacing w:after="0"/>
              <w:rPr>
                <w:sz w:val="1"/>
                <w:szCs w:val="1"/>
                <w:color w:val="auto"/>
              </w:rPr>
            </w:pPr>
          </w:p>
        </w:tc>
      </w:tr>
      <w:tr>
        <w:trPr>
          <w:trHeight w:val="182"/>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3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35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24,050</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13,288</w:t>
            </w:r>
          </w:p>
        </w:tc>
        <w:tc>
          <w:tcPr>
            <w:tcW w:w="0" w:type="dxa"/>
            <w:vAlign w:val="bottom"/>
          </w:tcPr>
          <w:p>
            <w:pPr>
              <w:spacing w:after="0"/>
              <w:rPr>
                <w:sz w:val="1"/>
                <w:szCs w:val="1"/>
                <w:color w:val="auto"/>
              </w:rPr>
            </w:pPr>
          </w:p>
        </w:tc>
      </w:tr>
      <w:tr>
        <w:trPr>
          <w:trHeight w:val="183"/>
        </w:trPr>
        <w:tc>
          <w:tcPr>
            <w:tcW w:w="3380" w:type="dxa"/>
            <w:vAlign w:val="bottom"/>
          </w:tcPr>
          <w:p>
            <w:pPr>
              <w:ind w:left="20"/>
              <w:spacing w:after="0"/>
              <w:rPr>
                <w:sz w:val="20"/>
                <w:szCs w:val="20"/>
                <w:color w:val="auto"/>
              </w:rPr>
            </w:pPr>
            <w:r>
              <w:rPr>
                <w:rFonts w:ascii="Arial" w:cs="Arial" w:eastAsia="Arial" w:hAnsi="Arial"/>
                <w:sz w:val="13"/>
                <w:szCs w:val="13"/>
                <w:color w:val="auto"/>
              </w:rPr>
              <w:t>Unearned revenue</w:t>
            </w:r>
          </w:p>
        </w:tc>
        <w:tc>
          <w:tcPr>
            <w:tcW w:w="3540" w:type="dxa"/>
            <w:vAlign w:val="bottom"/>
          </w:tcPr>
          <w:p>
            <w:pPr>
              <w:spacing w:after="0"/>
              <w:rPr>
                <w:sz w:val="15"/>
                <w:szCs w:val="15"/>
                <w:color w:val="auto"/>
              </w:rPr>
            </w:pPr>
          </w:p>
        </w:tc>
        <w:tc>
          <w:tcPr>
            <w:tcW w:w="1740" w:type="dxa"/>
            <w:vAlign w:val="bottom"/>
          </w:tcPr>
          <w:p>
            <w:pPr>
              <w:ind w:left="1120"/>
              <w:spacing w:after="0"/>
              <w:rPr>
                <w:sz w:val="20"/>
                <w:szCs w:val="20"/>
                <w:color w:val="auto"/>
              </w:rPr>
            </w:pPr>
            <w:r>
              <w:rPr>
                <w:rFonts w:ascii="Arial" w:cs="Arial" w:eastAsia="Arial" w:hAnsi="Arial"/>
                <w:sz w:val="13"/>
                <w:szCs w:val="13"/>
                <w:i w:val="1"/>
                <w:iCs w:val="1"/>
                <w:color w:val="auto"/>
              </w:rPr>
              <w:t>16</w:t>
            </w:r>
          </w:p>
        </w:tc>
        <w:tc>
          <w:tcPr>
            <w:tcW w:w="1480" w:type="dxa"/>
            <w:vAlign w:val="bottom"/>
          </w:tcPr>
          <w:p>
            <w:pPr>
              <w:jc w:val="right"/>
              <w:ind w:right="416"/>
              <w:spacing w:after="0"/>
              <w:rPr>
                <w:sz w:val="20"/>
                <w:szCs w:val="20"/>
                <w:color w:val="auto"/>
              </w:rPr>
            </w:pPr>
            <w:r>
              <w:rPr>
                <w:rFonts w:ascii="Arial" w:cs="Arial" w:eastAsia="Arial" w:hAnsi="Arial"/>
                <w:sz w:val="13"/>
                <w:szCs w:val="13"/>
                <w:b w:val="1"/>
                <w:bCs w:val="1"/>
                <w:color w:val="auto"/>
              </w:rPr>
              <w:t>366,988</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274,468</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and other liabilities</w:t>
            </w:r>
          </w:p>
        </w:tc>
        <w:tc>
          <w:tcPr>
            <w:tcW w:w="354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276"/>
              <w:spacing w:after="0"/>
              <w:rPr>
                <w:sz w:val="20"/>
                <w:szCs w:val="20"/>
                <w:color w:val="auto"/>
              </w:rPr>
            </w:pPr>
            <w:r>
              <w:rPr>
                <w:rFonts w:ascii="Arial" w:cs="Arial" w:eastAsia="Arial" w:hAnsi="Arial"/>
                <w:sz w:val="13"/>
                <w:szCs w:val="13"/>
                <w:i w:val="1"/>
                <w:iCs w:val="1"/>
                <w:color w:val="auto"/>
              </w:rPr>
              <w:t>20</w:t>
            </w:r>
          </w:p>
        </w:tc>
        <w:tc>
          <w:tcPr>
            <w:tcW w:w="148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422,036</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309,943</w:t>
            </w:r>
          </w:p>
        </w:tc>
        <w:tc>
          <w:tcPr>
            <w:tcW w:w="0" w:type="dxa"/>
            <w:vAlign w:val="bottom"/>
          </w:tcPr>
          <w:p>
            <w:pPr>
              <w:spacing w:after="0"/>
              <w:rPr>
                <w:sz w:val="1"/>
                <w:szCs w:val="1"/>
                <w:color w:val="auto"/>
              </w:rPr>
            </w:pPr>
          </w:p>
        </w:tc>
      </w:tr>
      <w:tr>
        <w:trPr>
          <w:trHeight w:val="183"/>
        </w:trPr>
        <w:tc>
          <w:tcPr>
            <w:tcW w:w="3380" w:type="dxa"/>
            <w:vAlign w:val="bottom"/>
          </w:tcPr>
          <w:p>
            <w:pPr>
              <w:ind w:left="20"/>
              <w:spacing w:after="0"/>
              <w:rPr>
                <w:sz w:val="20"/>
                <w:szCs w:val="20"/>
                <w:color w:val="auto"/>
              </w:rPr>
            </w:pPr>
            <w:r>
              <w:rPr>
                <w:rFonts w:ascii="Arial" w:cs="Arial" w:eastAsia="Arial" w:hAnsi="Arial"/>
                <w:sz w:val="13"/>
                <w:szCs w:val="13"/>
                <w:color w:val="auto"/>
              </w:rPr>
              <w:t>Provisions</w:t>
            </w:r>
          </w:p>
        </w:tc>
        <w:tc>
          <w:tcPr>
            <w:tcW w:w="3540" w:type="dxa"/>
            <w:vAlign w:val="bottom"/>
          </w:tcPr>
          <w:p>
            <w:pPr>
              <w:spacing w:after="0"/>
              <w:rPr>
                <w:sz w:val="15"/>
                <w:szCs w:val="15"/>
                <w:color w:val="auto"/>
              </w:rPr>
            </w:pPr>
          </w:p>
        </w:tc>
        <w:tc>
          <w:tcPr>
            <w:tcW w:w="1740" w:type="dxa"/>
            <w:vAlign w:val="bottom"/>
          </w:tcPr>
          <w:p>
            <w:pPr>
              <w:jc w:val="right"/>
              <w:ind w:right="276"/>
              <w:spacing w:after="0"/>
              <w:rPr>
                <w:sz w:val="20"/>
                <w:szCs w:val="20"/>
                <w:color w:val="auto"/>
              </w:rPr>
            </w:pPr>
            <w:r>
              <w:rPr>
                <w:rFonts w:ascii="Arial" w:cs="Arial" w:eastAsia="Arial" w:hAnsi="Arial"/>
                <w:sz w:val="13"/>
                <w:szCs w:val="13"/>
                <w:i w:val="1"/>
                <w:iCs w:val="1"/>
                <w:color w:val="auto"/>
              </w:rPr>
              <w:t>21</w:t>
            </w:r>
          </w:p>
        </w:tc>
        <w:tc>
          <w:tcPr>
            <w:tcW w:w="1480" w:type="dxa"/>
            <w:vAlign w:val="bottom"/>
          </w:tcPr>
          <w:p>
            <w:pPr>
              <w:jc w:val="right"/>
              <w:ind w:right="416"/>
              <w:spacing w:after="0"/>
              <w:rPr>
                <w:sz w:val="20"/>
                <w:szCs w:val="20"/>
                <w:color w:val="auto"/>
              </w:rPr>
            </w:pPr>
            <w:r>
              <w:rPr>
                <w:rFonts w:ascii="Arial" w:cs="Arial" w:eastAsia="Arial" w:hAnsi="Arial"/>
                <w:sz w:val="13"/>
                <w:szCs w:val="13"/>
                <w:b w:val="1"/>
                <w:bCs w:val="1"/>
                <w:color w:val="auto"/>
              </w:rPr>
              <w:t>3,732</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7,200</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tax payable</w:t>
            </w:r>
          </w:p>
        </w:tc>
        <w:tc>
          <w:tcPr>
            <w:tcW w:w="35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26,332</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23,275</w:t>
            </w:r>
          </w:p>
        </w:tc>
        <w:tc>
          <w:tcPr>
            <w:tcW w:w="0" w:type="dxa"/>
            <w:vAlign w:val="bottom"/>
          </w:tcPr>
          <w:p>
            <w:pPr>
              <w:spacing w:after="0"/>
              <w:rPr>
                <w:sz w:val="1"/>
                <w:szCs w:val="1"/>
                <w:color w:val="auto"/>
              </w:rPr>
            </w:pPr>
          </w:p>
        </w:tc>
      </w:tr>
      <w:tr>
        <w:trPr>
          <w:trHeight w:val="183"/>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Current bank credit lines and loan facilities</w:t>
            </w:r>
          </w:p>
        </w:tc>
        <w:tc>
          <w:tcPr>
            <w:tcW w:w="35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ind w:left="1120"/>
              <w:spacing w:after="0"/>
              <w:rPr>
                <w:sz w:val="20"/>
                <w:szCs w:val="20"/>
                <w:color w:val="auto"/>
              </w:rPr>
            </w:pPr>
            <w:r>
              <w:rPr>
                <w:rFonts w:ascii="Arial" w:cs="Arial" w:eastAsia="Arial" w:hAnsi="Arial"/>
                <w:sz w:val="13"/>
                <w:szCs w:val="13"/>
                <w:i w:val="1"/>
                <w:iCs w:val="1"/>
                <w:color w:val="auto"/>
              </w:rPr>
              <w:t>23</w:t>
            </w:r>
          </w:p>
        </w:tc>
        <w:tc>
          <w:tcPr>
            <w:tcW w:w="14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349,640</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0"/>
        </w:trPr>
        <w:tc>
          <w:tcPr>
            <w:tcW w:w="3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current liabilities</w:t>
            </w:r>
          </w:p>
        </w:tc>
        <w:tc>
          <w:tcPr>
            <w:tcW w:w="354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1,192,778</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628,174</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liabilities</w:t>
            </w:r>
          </w:p>
        </w:tc>
        <w:tc>
          <w:tcPr>
            <w:tcW w:w="35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1,296,971</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999,974</w:t>
            </w:r>
          </w:p>
        </w:tc>
        <w:tc>
          <w:tcPr>
            <w:tcW w:w="0" w:type="dxa"/>
            <w:vAlign w:val="bottom"/>
          </w:tcPr>
          <w:p>
            <w:pPr>
              <w:spacing w:after="0"/>
              <w:rPr>
                <w:sz w:val="1"/>
                <w:szCs w:val="1"/>
                <w:color w:val="auto"/>
              </w:rPr>
            </w:pPr>
          </w:p>
        </w:tc>
      </w:tr>
      <w:tr>
        <w:trPr>
          <w:trHeight w:val="192"/>
        </w:trPr>
        <w:tc>
          <w:tcPr>
            <w:tcW w:w="69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 attributable to the owners of the company and noncontrolling interest and liabilities</w:t>
            </w:r>
          </w:p>
        </w:tc>
        <w:tc>
          <w:tcPr>
            <w:tcW w:w="17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2,938,580</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2,386,353</w:t>
            </w:r>
          </w:p>
        </w:tc>
        <w:tc>
          <w:tcPr>
            <w:tcW w:w="0" w:type="dxa"/>
            <w:vAlign w:val="bottom"/>
          </w:tcPr>
          <w:p>
            <w:pPr>
              <w:spacing w:after="0"/>
              <w:rPr>
                <w:sz w:val="1"/>
                <w:szCs w:val="1"/>
                <w:color w:val="auto"/>
              </w:rPr>
            </w:pPr>
          </w:p>
        </w:tc>
      </w:tr>
      <w:tr>
        <w:trPr>
          <w:trHeight w:val="420"/>
        </w:trPr>
        <w:tc>
          <w:tcPr>
            <w:tcW w:w="3380" w:type="dxa"/>
            <w:vAlign w:val="bottom"/>
          </w:tcPr>
          <w:p>
            <w:pPr>
              <w:spacing w:after="0"/>
              <w:rPr>
                <w:sz w:val="20"/>
                <w:szCs w:val="20"/>
                <w:color w:val="auto"/>
              </w:rPr>
            </w:pPr>
            <w:r>
              <w:rPr>
                <w:rFonts w:ascii="Arial" w:cs="Arial" w:eastAsia="Arial" w:hAnsi="Arial"/>
                <w:sz w:val="13"/>
                <w:szCs w:val="13"/>
                <w:b w:val="1"/>
                <w:bCs w:val="1"/>
                <w:color w:val="auto"/>
              </w:rPr>
              <w:t>On behalf of the Board</w:t>
            </w:r>
          </w:p>
        </w:tc>
        <w:tc>
          <w:tcPr>
            <w:tcW w:w="3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380" w:type="dxa"/>
            <w:vAlign w:val="bottom"/>
          </w:tcPr>
          <w:p>
            <w:pPr>
              <w:ind w:left="20"/>
              <w:spacing w:after="0"/>
              <w:rPr>
                <w:sz w:val="20"/>
                <w:szCs w:val="20"/>
                <w:color w:val="auto"/>
              </w:rPr>
            </w:pPr>
            <w:r>
              <w:rPr>
                <w:rFonts w:ascii="Arial" w:cs="Arial" w:eastAsia="Arial" w:hAnsi="Arial"/>
                <w:sz w:val="13"/>
                <w:szCs w:val="13"/>
                <w:color w:val="auto"/>
              </w:rPr>
              <w:t>Steve Cutler</w:t>
            </w:r>
          </w:p>
        </w:tc>
        <w:tc>
          <w:tcPr>
            <w:tcW w:w="3540" w:type="dxa"/>
            <w:vAlign w:val="bottom"/>
          </w:tcPr>
          <w:p>
            <w:pPr>
              <w:ind w:left="60"/>
              <w:spacing w:after="0"/>
              <w:rPr>
                <w:sz w:val="20"/>
                <w:szCs w:val="20"/>
                <w:color w:val="auto"/>
              </w:rPr>
            </w:pPr>
            <w:r>
              <w:rPr>
                <w:rFonts w:ascii="Arial" w:cs="Arial" w:eastAsia="Arial" w:hAnsi="Arial"/>
                <w:sz w:val="13"/>
                <w:szCs w:val="13"/>
                <w:color w:val="auto"/>
              </w:rPr>
              <w:t>Rónán Murphy</w:t>
            </w:r>
          </w:p>
        </w:tc>
        <w:tc>
          <w:tcPr>
            <w:tcW w:w="17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3380" w:type="dxa"/>
            <w:vAlign w:val="bottom"/>
          </w:tcPr>
          <w:p>
            <w:pPr>
              <w:ind w:left="20"/>
              <w:spacing w:after="0"/>
              <w:rPr>
                <w:sz w:val="20"/>
                <w:szCs w:val="20"/>
                <w:color w:val="auto"/>
              </w:rPr>
            </w:pPr>
            <w:r>
              <w:rPr>
                <w:rFonts w:ascii="Arial" w:cs="Arial" w:eastAsia="Arial" w:hAnsi="Arial"/>
                <w:sz w:val="13"/>
                <w:szCs w:val="13"/>
                <w:i w:val="1"/>
                <w:iCs w:val="1"/>
                <w:color w:val="auto"/>
              </w:rPr>
              <w:t>Chief Executive Officer</w:t>
            </w:r>
          </w:p>
        </w:tc>
        <w:tc>
          <w:tcPr>
            <w:tcW w:w="3540" w:type="dxa"/>
            <w:vAlign w:val="bottom"/>
          </w:tcPr>
          <w:p>
            <w:pPr>
              <w:ind w:left="60"/>
              <w:spacing w:after="0"/>
              <w:rPr>
                <w:sz w:val="20"/>
                <w:szCs w:val="20"/>
                <w:color w:val="auto"/>
              </w:rPr>
            </w:pPr>
            <w:r>
              <w:rPr>
                <w:rFonts w:ascii="Arial" w:cs="Arial" w:eastAsia="Arial" w:hAnsi="Arial"/>
                <w:sz w:val="13"/>
                <w:szCs w:val="13"/>
                <w:i w:val="1"/>
                <w:iCs w:val="1"/>
                <w:color w:val="auto"/>
              </w:rPr>
              <w:t>Director</w:t>
            </w:r>
          </w:p>
        </w:tc>
        <w:tc>
          <w:tcPr>
            <w:tcW w:w="1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00" w:top="716" w:right="31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80"/>
          </w:cols>
          <w:pgMar w:left="300" w:top="716" w:right="31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color w:val="auto"/>
        </w:rPr>
        <w:t>Consolidated Statement of Changes in Equity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04"/>
        </w:trPr>
        <w:tc>
          <w:tcPr>
            <w:tcW w:w="22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8"/>
                <w:szCs w:val="8"/>
                <w:b w:val="1"/>
                <w:bCs w:val="1"/>
                <w:color w:val="auto"/>
              </w:rPr>
              <w:t>Financial assets at</w:t>
            </w:r>
          </w:p>
        </w:tc>
        <w:tc>
          <w:tcPr>
            <w:tcW w:w="7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r>
      <w:tr>
        <w:trPr>
          <w:trHeight w:val="95"/>
        </w:trPr>
        <w:tc>
          <w:tcPr>
            <w:tcW w:w="22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8"/>
                <w:szCs w:val="8"/>
                <w:b w:val="1"/>
                <w:bCs w:val="1"/>
                <w:color w:val="auto"/>
              </w:rPr>
              <w:t>fair value through</w:t>
            </w:r>
          </w:p>
        </w:tc>
        <w:tc>
          <w:tcPr>
            <w:tcW w:w="7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r>
      <w:tr>
        <w:trPr>
          <w:trHeight w:val="95"/>
        </w:trPr>
        <w:tc>
          <w:tcPr>
            <w:tcW w:w="22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8"/>
                <w:szCs w:val="8"/>
                <w:b w:val="1"/>
                <w:bCs w:val="1"/>
                <w:color w:val="auto"/>
              </w:rPr>
              <w:t>Other</w:t>
            </w:r>
          </w:p>
        </w:tc>
        <w:tc>
          <w:tcPr>
            <w:tcW w:w="720" w:type="dxa"/>
            <w:vAlign w:val="bottom"/>
            <w:shd w:val="clear" w:color="auto" w:fill="CCEEFF"/>
          </w:tcPr>
          <w:p>
            <w:pPr>
              <w:jc w:val="right"/>
              <w:ind w:right="98"/>
              <w:spacing w:after="0"/>
              <w:rPr>
                <w:sz w:val="20"/>
                <w:szCs w:val="20"/>
                <w:color w:val="auto"/>
              </w:rPr>
            </w:pPr>
            <w:r>
              <w:rPr>
                <w:rFonts w:ascii="Arial" w:cs="Arial" w:eastAsia="Arial" w:hAnsi="Arial"/>
                <w:sz w:val="8"/>
                <w:szCs w:val="8"/>
                <w:b w:val="1"/>
                <w:bCs w:val="1"/>
                <w:color w:val="auto"/>
              </w:rPr>
              <w:t>Share-based</w:t>
            </w:r>
          </w:p>
        </w:tc>
        <w:tc>
          <w:tcPr>
            <w:tcW w:w="6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8"/>
                <w:szCs w:val="8"/>
                <w:b w:val="1"/>
                <w:bCs w:val="1"/>
                <w:color w:val="auto"/>
              </w:rPr>
              <w:t>other</w:t>
            </w:r>
          </w:p>
        </w:tc>
        <w:tc>
          <w:tcPr>
            <w:tcW w:w="70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Put option in</w:t>
            </w:r>
          </w:p>
        </w:tc>
        <w:tc>
          <w:tcPr>
            <w:tcW w:w="6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r>
      <w:tr>
        <w:trPr>
          <w:trHeight w:val="95"/>
        </w:trPr>
        <w:tc>
          <w:tcPr>
            <w:tcW w:w="228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98"/>
              <w:spacing w:after="0"/>
              <w:rPr>
                <w:sz w:val="20"/>
                <w:szCs w:val="20"/>
                <w:color w:val="auto"/>
              </w:rPr>
            </w:pPr>
            <w:r>
              <w:rPr>
                <w:rFonts w:ascii="Arial" w:cs="Arial" w:eastAsia="Arial" w:hAnsi="Arial"/>
                <w:sz w:val="8"/>
                <w:szCs w:val="8"/>
                <w:b w:val="1"/>
                <w:bCs w:val="1"/>
                <w:color w:val="auto"/>
              </w:rPr>
              <w:t>Number</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8"/>
                <w:szCs w:val="8"/>
                <w:b w:val="1"/>
                <w:bCs w:val="1"/>
                <w:color w:val="auto"/>
              </w:rPr>
              <w:t>Share</w:t>
            </w:r>
          </w:p>
        </w:tc>
        <w:tc>
          <w:tcPr>
            <w:tcW w:w="640" w:type="dxa"/>
            <w:vAlign w:val="bottom"/>
            <w:shd w:val="clear" w:color="auto" w:fill="CCEEFF"/>
          </w:tcPr>
          <w:p>
            <w:pPr>
              <w:jc w:val="right"/>
              <w:ind w:right="78"/>
              <w:spacing w:after="0"/>
              <w:rPr>
                <w:sz w:val="20"/>
                <w:szCs w:val="20"/>
                <w:color w:val="auto"/>
              </w:rPr>
            </w:pPr>
            <w:r>
              <w:rPr>
                <w:rFonts w:ascii="Arial" w:cs="Arial" w:eastAsia="Arial" w:hAnsi="Arial"/>
                <w:sz w:val="8"/>
                <w:szCs w:val="8"/>
                <w:b w:val="1"/>
                <w:bCs w:val="1"/>
                <w:color w:val="auto"/>
              </w:rPr>
              <w:t>Share</w:t>
            </w: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8"/>
                <w:szCs w:val="8"/>
                <w:b w:val="1"/>
                <w:bCs w:val="1"/>
                <w:color w:val="auto"/>
              </w:rPr>
              <w:t>Undenominated</w:t>
            </w:r>
          </w:p>
        </w:tc>
        <w:tc>
          <w:tcPr>
            <w:tcW w:w="720" w:type="dxa"/>
            <w:vAlign w:val="bottom"/>
            <w:shd w:val="clear" w:color="auto" w:fill="CCEEFF"/>
          </w:tcPr>
          <w:p>
            <w:pPr>
              <w:jc w:val="right"/>
              <w:ind w:right="98"/>
              <w:spacing w:after="0"/>
              <w:rPr>
                <w:sz w:val="20"/>
                <w:szCs w:val="20"/>
                <w:color w:val="auto"/>
              </w:rPr>
            </w:pPr>
            <w:r>
              <w:rPr>
                <w:rFonts w:ascii="Arial" w:cs="Arial" w:eastAsia="Arial" w:hAnsi="Arial"/>
                <w:sz w:val="8"/>
                <w:szCs w:val="8"/>
                <w:b w:val="1"/>
                <w:bCs w:val="1"/>
                <w:color w:val="auto"/>
              </w:rPr>
              <w:t>Payment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8"/>
                <w:szCs w:val="8"/>
                <w:b w:val="1"/>
                <w:bCs w:val="1"/>
                <w:color w:val="auto"/>
              </w:rPr>
              <w:t>Other</w:t>
            </w: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8"/>
                <w:szCs w:val="8"/>
                <w:b w:val="1"/>
                <w:bCs w:val="1"/>
                <w:color w:val="auto"/>
              </w:rPr>
              <w:t>Currency</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8"/>
                <w:szCs w:val="8"/>
                <w:b w:val="1"/>
                <w:bCs w:val="1"/>
                <w:color w:val="auto"/>
              </w:rPr>
              <w:t>comprehensive</w:t>
            </w:r>
          </w:p>
        </w:tc>
        <w:tc>
          <w:tcPr>
            <w:tcW w:w="70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noncontrolling</w:t>
            </w: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8"/>
                <w:szCs w:val="8"/>
                <w:b w:val="1"/>
                <w:bCs w:val="1"/>
                <w:color w:val="auto"/>
              </w:rPr>
              <w:t>Retained</w:t>
            </w:r>
          </w:p>
        </w:tc>
        <w:tc>
          <w:tcPr>
            <w:tcW w:w="68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8"/>
                <w:szCs w:val="8"/>
                <w:b w:val="1"/>
                <w:bCs w:val="1"/>
                <w:color w:val="auto"/>
              </w:rPr>
              <w:t>Noncontrolling</w:t>
            </w:r>
          </w:p>
        </w:tc>
        <w:tc>
          <w:tcPr>
            <w:tcW w:w="620" w:type="dxa"/>
            <w:vAlign w:val="bottom"/>
            <w:shd w:val="clear" w:color="auto" w:fill="CCEEFF"/>
          </w:tcPr>
          <w:p>
            <w:pPr>
              <w:spacing w:after="0"/>
              <w:rPr>
                <w:sz w:val="8"/>
                <w:szCs w:val="8"/>
                <w:color w:val="auto"/>
              </w:rPr>
            </w:pPr>
          </w:p>
        </w:tc>
      </w:tr>
      <w:tr>
        <w:trPr>
          <w:trHeight w:val="129"/>
        </w:trPr>
        <w:tc>
          <w:tcPr>
            <w:tcW w:w="22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98"/>
              <w:spacing w:after="0"/>
              <w:rPr>
                <w:sz w:val="20"/>
                <w:szCs w:val="20"/>
                <w:color w:val="auto"/>
              </w:rPr>
            </w:pPr>
            <w:r>
              <w:rPr>
                <w:rFonts w:ascii="Arial" w:cs="Arial" w:eastAsia="Arial" w:hAnsi="Arial"/>
                <w:sz w:val="8"/>
                <w:szCs w:val="8"/>
                <w:b w:val="1"/>
                <w:bCs w:val="1"/>
                <w:color w:val="auto"/>
              </w:rPr>
              <w:t>of shares</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8"/>
                <w:szCs w:val="8"/>
                <w:b w:val="1"/>
                <w:bCs w:val="1"/>
                <w:color w:val="auto"/>
              </w:rPr>
              <w:t>Capital</w:t>
            </w:r>
          </w:p>
        </w:tc>
        <w:tc>
          <w:tcPr>
            <w:tcW w:w="640" w:type="dxa"/>
            <w:vAlign w:val="bottom"/>
            <w:shd w:val="clear" w:color="auto" w:fill="CCEEFF"/>
          </w:tcPr>
          <w:p>
            <w:pPr>
              <w:jc w:val="right"/>
              <w:ind w:right="78"/>
              <w:spacing w:after="0"/>
              <w:rPr>
                <w:sz w:val="20"/>
                <w:szCs w:val="20"/>
                <w:color w:val="auto"/>
              </w:rPr>
            </w:pPr>
            <w:r>
              <w:rPr>
                <w:rFonts w:ascii="Arial" w:cs="Arial" w:eastAsia="Arial" w:hAnsi="Arial"/>
                <w:sz w:val="8"/>
                <w:szCs w:val="8"/>
                <w:b w:val="1"/>
                <w:bCs w:val="1"/>
                <w:color w:val="auto"/>
              </w:rPr>
              <w:t>Premium</w:t>
            </w: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8"/>
                <w:szCs w:val="8"/>
                <w:b w:val="1"/>
                <w:bCs w:val="1"/>
                <w:color w:val="auto"/>
              </w:rPr>
              <w:t>Capital</w:t>
            </w:r>
          </w:p>
        </w:tc>
        <w:tc>
          <w:tcPr>
            <w:tcW w:w="720" w:type="dxa"/>
            <w:vAlign w:val="bottom"/>
            <w:shd w:val="clear" w:color="auto" w:fill="CCEEFF"/>
          </w:tcPr>
          <w:p>
            <w:pPr>
              <w:jc w:val="right"/>
              <w:ind w:right="98"/>
              <w:spacing w:after="0"/>
              <w:rPr>
                <w:sz w:val="20"/>
                <w:szCs w:val="20"/>
                <w:color w:val="auto"/>
              </w:rPr>
            </w:pPr>
            <w:r>
              <w:rPr>
                <w:rFonts w:ascii="Arial" w:cs="Arial" w:eastAsia="Arial" w:hAnsi="Arial"/>
                <w:sz w:val="8"/>
                <w:szCs w:val="8"/>
                <w:b w:val="1"/>
                <w:bCs w:val="1"/>
                <w:color w:val="auto"/>
              </w:rPr>
              <w:t>Reserve</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8"/>
                <w:szCs w:val="8"/>
                <w:b w:val="1"/>
                <w:bCs w:val="1"/>
                <w:color w:val="auto"/>
              </w:rPr>
              <w:t>Reserves</w:t>
            </w: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Reserve</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8"/>
                <w:szCs w:val="8"/>
                <w:b w:val="1"/>
                <w:bCs w:val="1"/>
                <w:color w:val="auto"/>
              </w:rPr>
              <w:t>income reserve</w:t>
            </w:r>
          </w:p>
        </w:tc>
        <w:tc>
          <w:tcPr>
            <w:tcW w:w="70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interest shares</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8"/>
                <w:szCs w:val="8"/>
                <w:b w:val="1"/>
                <w:bCs w:val="1"/>
                <w:color w:val="auto"/>
              </w:rPr>
              <w:t>Earnings</w:t>
            </w: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8"/>
                <w:szCs w:val="8"/>
                <w:b w:val="1"/>
                <w:bCs w:val="1"/>
                <w:color w:val="auto"/>
              </w:rPr>
              <w:t>Sub total</w:t>
            </w: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8"/>
                <w:szCs w:val="8"/>
                <w:b w:val="1"/>
                <w:bCs w:val="1"/>
                <w:color w:val="auto"/>
              </w:rPr>
              <w:t>interest</w:t>
            </w: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Total</w:t>
            </w:r>
          </w:p>
        </w:tc>
      </w:tr>
      <w:tr>
        <w:trPr>
          <w:trHeight w:val="129"/>
        </w:trPr>
        <w:tc>
          <w:tcPr>
            <w:tcW w:w="22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b w:val="1"/>
                <w:bCs w:val="1"/>
                <w:color w:val="auto"/>
              </w:rPr>
              <w:t>$’000</w:t>
            </w: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b w:val="1"/>
                <w:bCs w:val="1"/>
                <w:color w:val="auto"/>
              </w:rPr>
              <w:t>$’000</w:t>
            </w: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$’000</w:t>
            </w:r>
          </w:p>
        </w:tc>
        <w:tc>
          <w:tcPr>
            <w:tcW w:w="72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b w:val="1"/>
                <w:bCs w:val="1"/>
                <w:color w:val="auto"/>
              </w:rPr>
              <w:t>$’000</w:t>
            </w:r>
          </w:p>
        </w:tc>
        <w:tc>
          <w:tcPr>
            <w:tcW w:w="62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b w:val="1"/>
                <w:bCs w:val="1"/>
                <w:color w:val="auto"/>
              </w:rPr>
              <w:t>$’000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$’000</w:t>
            </w: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b w:val="1"/>
                <w:bCs w:val="1"/>
                <w:color w:val="auto"/>
              </w:rPr>
              <w:t>$’000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$’000</w:t>
            </w: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b w:val="1"/>
                <w:bCs w:val="1"/>
                <w:color w:val="auto"/>
              </w:rPr>
              <w:t>$’000</w:t>
            </w: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b w:val="1"/>
                <w:bCs w:val="1"/>
                <w:color w:val="auto"/>
              </w:rPr>
              <w:t>$’000</w:t>
            </w: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b w:val="1"/>
                <w:bCs w:val="1"/>
                <w:color w:val="auto"/>
              </w:rPr>
              <w:t>$’000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$’000</w:t>
            </w:r>
          </w:p>
        </w:tc>
      </w:tr>
      <w:tr>
        <w:trPr>
          <w:trHeight w:val="138"/>
        </w:trPr>
        <w:tc>
          <w:tcPr>
            <w:tcW w:w="2280" w:type="dxa"/>
            <w:vAlign w:val="bottom"/>
            <w:shd w:val="clear" w:color="auto" w:fill="CCEEFF"/>
          </w:tcPr>
          <w:p>
            <w:pPr>
              <w:ind w:left="20"/>
              <w:spacing w:after="0"/>
              <w:rPr>
                <w:sz w:val="20"/>
                <w:szCs w:val="20"/>
                <w:color w:val="auto"/>
              </w:rPr>
            </w:pPr>
            <w:r>
              <w:rPr>
                <w:rFonts w:ascii="Arial" w:cs="Arial" w:eastAsia="Arial" w:hAnsi="Arial"/>
                <w:sz w:val="8"/>
                <w:szCs w:val="8"/>
                <w:color w:val="auto"/>
              </w:rPr>
              <w:t>Balance at 1 January 2019</w:t>
            </w:r>
          </w:p>
        </w:tc>
        <w:tc>
          <w:tcPr>
            <w:tcW w:w="780" w:type="dxa"/>
            <w:vAlign w:val="bottom"/>
            <w:shd w:val="clear" w:color="auto" w:fill="CCEEFF"/>
          </w:tcPr>
          <w:p>
            <w:pPr>
              <w:jc w:val="right"/>
              <w:ind w:right="218"/>
              <w:spacing w:after="0"/>
              <w:rPr>
                <w:sz w:val="20"/>
                <w:szCs w:val="20"/>
                <w:color w:val="auto"/>
              </w:rPr>
            </w:pPr>
            <w:r>
              <w:rPr>
                <w:rFonts w:ascii="Arial" w:cs="Arial" w:eastAsia="Arial" w:hAnsi="Arial"/>
                <w:sz w:val="8"/>
                <w:szCs w:val="8"/>
                <w:b w:val="1"/>
                <w:bCs w:val="1"/>
                <w:color w:val="auto"/>
              </w:rPr>
              <w:t>53,971,706</w:t>
            </w:r>
          </w:p>
        </w:tc>
        <w:tc>
          <w:tcPr>
            <w:tcW w:w="560" w:type="dxa"/>
            <w:vAlign w:val="bottom"/>
            <w:shd w:val="clear" w:color="auto" w:fill="CCEEFF"/>
          </w:tcPr>
          <w:p>
            <w:pPr>
              <w:jc w:val="right"/>
              <w:ind w:right="158"/>
              <w:spacing w:after="0"/>
              <w:rPr>
                <w:sz w:val="20"/>
                <w:szCs w:val="20"/>
                <w:color w:val="auto"/>
              </w:rPr>
            </w:pPr>
            <w:r>
              <w:rPr>
                <w:rFonts w:ascii="Arial" w:cs="Arial" w:eastAsia="Arial" w:hAnsi="Arial"/>
                <w:sz w:val="8"/>
                <w:szCs w:val="8"/>
                <w:b w:val="1"/>
                <w:bCs w:val="1"/>
                <w:color w:val="auto"/>
              </w:rPr>
              <w:t>4,658</w:t>
            </w:r>
          </w:p>
        </w:tc>
        <w:tc>
          <w:tcPr>
            <w:tcW w:w="640" w:type="dxa"/>
            <w:vAlign w:val="bottom"/>
            <w:shd w:val="clear" w:color="auto" w:fill="CCEEFF"/>
          </w:tcPr>
          <w:p>
            <w:pPr>
              <w:jc w:val="right"/>
              <w:ind w:right="198"/>
              <w:spacing w:after="0"/>
              <w:rPr>
                <w:sz w:val="20"/>
                <w:szCs w:val="20"/>
                <w:color w:val="auto"/>
              </w:rPr>
            </w:pPr>
            <w:r>
              <w:rPr>
                <w:rFonts w:ascii="Arial" w:cs="Arial" w:eastAsia="Arial" w:hAnsi="Arial"/>
                <w:sz w:val="8"/>
                <w:szCs w:val="8"/>
                <w:b w:val="1"/>
                <w:bCs w:val="1"/>
                <w:color w:val="auto"/>
              </w:rPr>
              <w:t>283,629</w:t>
            </w:r>
          </w:p>
        </w:tc>
        <w:tc>
          <w:tcPr>
            <w:tcW w:w="820" w:type="dxa"/>
            <w:vAlign w:val="bottom"/>
            <w:shd w:val="clear" w:color="auto" w:fill="CCEEFF"/>
          </w:tcPr>
          <w:p>
            <w:pPr>
              <w:jc w:val="right"/>
              <w:ind w:right="138"/>
              <w:spacing w:after="0"/>
              <w:rPr>
                <w:sz w:val="20"/>
                <w:szCs w:val="20"/>
                <w:color w:val="auto"/>
              </w:rPr>
            </w:pPr>
            <w:r>
              <w:rPr>
                <w:rFonts w:ascii="Arial" w:cs="Arial" w:eastAsia="Arial" w:hAnsi="Arial"/>
                <w:sz w:val="8"/>
                <w:szCs w:val="8"/>
                <w:b w:val="1"/>
                <w:bCs w:val="1"/>
                <w:color w:val="auto"/>
              </w:rPr>
              <w:t>983</w:t>
            </w:r>
          </w:p>
        </w:tc>
        <w:tc>
          <w:tcPr>
            <w:tcW w:w="720" w:type="dxa"/>
            <w:vAlign w:val="bottom"/>
            <w:shd w:val="clear" w:color="auto" w:fill="CCEEFF"/>
          </w:tcPr>
          <w:p>
            <w:pPr>
              <w:jc w:val="right"/>
              <w:ind w:right="218"/>
              <w:spacing w:after="0"/>
              <w:rPr>
                <w:sz w:val="20"/>
                <w:szCs w:val="20"/>
                <w:color w:val="auto"/>
              </w:rPr>
            </w:pPr>
            <w:r>
              <w:rPr>
                <w:rFonts w:ascii="Arial" w:cs="Arial" w:eastAsia="Arial" w:hAnsi="Arial"/>
                <w:sz w:val="8"/>
                <w:szCs w:val="8"/>
                <w:b w:val="1"/>
                <w:bCs w:val="1"/>
                <w:color w:val="auto"/>
              </w:rPr>
              <w:t>173,326</w:t>
            </w:r>
          </w:p>
        </w:tc>
        <w:tc>
          <w:tcPr>
            <w:tcW w:w="620" w:type="dxa"/>
            <w:vAlign w:val="bottom"/>
            <w:shd w:val="clear" w:color="auto" w:fill="CCEEFF"/>
          </w:tcPr>
          <w:p>
            <w:pPr>
              <w:jc w:val="right"/>
              <w:ind w:right="198"/>
              <w:spacing w:after="0"/>
              <w:rPr>
                <w:sz w:val="20"/>
                <w:szCs w:val="20"/>
                <w:color w:val="auto"/>
              </w:rPr>
            </w:pPr>
            <w:r>
              <w:rPr>
                <w:rFonts w:ascii="Arial" w:cs="Arial" w:eastAsia="Arial" w:hAnsi="Arial"/>
                <w:sz w:val="8"/>
                <w:szCs w:val="8"/>
                <w:b w:val="1"/>
                <w:bCs w:val="1"/>
                <w:color w:val="auto"/>
              </w:rPr>
              <w:t>11,868</w:t>
            </w:r>
          </w:p>
        </w:tc>
        <w:tc>
          <w:tcPr>
            <w:tcW w:w="580" w:type="dxa"/>
            <w:vAlign w:val="bottom"/>
            <w:shd w:val="clear" w:color="auto" w:fill="CCEEFF"/>
          </w:tcPr>
          <w:p>
            <w:pPr>
              <w:jc w:val="right"/>
              <w:ind w:right="98"/>
              <w:spacing w:after="0"/>
              <w:rPr>
                <w:sz w:val="20"/>
                <w:szCs w:val="20"/>
                <w:color w:val="auto"/>
              </w:rPr>
            </w:pPr>
            <w:r>
              <w:rPr>
                <w:rFonts w:ascii="Arial" w:cs="Arial" w:eastAsia="Arial" w:hAnsi="Arial"/>
                <w:sz w:val="8"/>
                <w:szCs w:val="8"/>
                <w:b w:val="1"/>
                <w:bCs w:val="1"/>
                <w:color w:val="auto"/>
              </w:rPr>
              <w:t>(67,469)</w:t>
            </w:r>
          </w:p>
        </w:tc>
        <w:tc>
          <w:tcPr>
            <w:tcW w:w="880" w:type="dxa"/>
            <w:vAlign w:val="bottom"/>
            <w:shd w:val="clear" w:color="auto" w:fill="CCEEFF"/>
          </w:tcPr>
          <w:p>
            <w:pPr>
              <w:jc w:val="right"/>
              <w:ind w:right="138"/>
              <w:spacing w:after="0"/>
              <w:rPr>
                <w:sz w:val="20"/>
                <w:szCs w:val="20"/>
                <w:color w:val="auto"/>
              </w:rPr>
            </w:pPr>
            <w:r>
              <w:rPr>
                <w:rFonts w:ascii="Arial" w:cs="Arial" w:eastAsia="Arial" w:hAnsi="Arial"/>
                <w:sz w:val="8"/>
                <w:szCs w:val="8"/>
                <w:b w:val="1"/>
                <w:bCs w:val="1"/>
                <w:color w:val="auto"/>
              </w:rPr>
              <w:t>(450)</w:t>
            </w: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8"/>
                <w:szCs w:val="8"/>
                <w:b w:val="1"/>
                <w:bCs w:val="1"/>
                <w:color w:val="auto"/>
              </w:rPr>
              <w:t>—</w:t>
            </w:r>
          </w:p>
        </w:tc>
        <w:tc>
          <w:tcPr>
            <w:tcW w:w="600" w:type="dxa"/>
            <w:vAlign w:val="bottom"/>
            <w:shd w:val="clear" w:color="auto" w:fill="CCEEFF"/>
          </w:tcPr>
          <w:p>
            <w:pPr>
              <w:jc w:val="right"/>
              <w:ind w:right="158"/>
              <w:spacing w:after="0"/>
              <w:rPr>
                <w:sz w:val="20"/>
                <w:szCs w:val="20"/>
                <w:color w:val="auto"/>
              </w:rPr>
            </w:pPr>
            <w:r>
              <w:rPr>
                <w:rFonts w:ascii="Arial" w:cs="Arial" w:eastAsia="Arial" w:hAnsi="Arial"/>
                <w:sz w:val="8"/>
                <w:szCs w:val="8"/>
                <w:b w:val="1"/>
                <w:bCs w:val="1"/>
                <w:color w:val="auto"/>
              </w:rPr>
              <w:t>979,834</w:t>
            </w:r>
          </w:p>
        </w:tc>
        <w:tc>
          <w:tcPr>
            <w:tcW w:w="680" w:type="dxa"/>
            <w:vAlign w:val="bottom"/>
            <w:shd w:val="clear" w:color="auto" w:fill="CCEEFF"/>
          </w:tcPr>
          <w:p>
            <w:pPr>
              <w:jc w:val="right"/>
              <w:ind w:right="178"/>
              <w:spacing w:after="0"/>
              <w:rPr>
                <w:sz w:val="20"/>
                <w:szCs w:val="20"/>
                <w:color w:val="auto"/>
              </w:rPr>
            </w:pPr>
            <w:r>
              <w:rPr>
                <w:rFonts w:ascii="Arial" w:cs="Arial" w:eastAsia="Arial" w:hAnsi="Arial"/>
                <w:sz w:val="8"/>
                <w:szCs w:val="8"/>
                <w:b w:val="1"/>
                <w:bCs w:val="1"/>
                <w:color w:val="auto"/>
              </w:rPr>
              <w:t>1,386,379</w:t>
            </w:r>
          </w:p>
        </w:tc>
        <w:tc>
          <w:tcPr>
            <w:tcW w:w="800" w:type="dxa"/>
            <w:vAlign w:val="bottom"/>
            <w:shd w:val="clear" w:color="auto" w:fill="CCEEFF"/>
          </w:tcPr>
          <w:p>
            <w:pPr>
              <w:jc w:val="right"/>
              <w:ind w:right="178"/>
              <w:spacing w:after="0"/>
              <w:rPr>
                <w:sz w:val="20"/>
                <w:szCs w:val="20"/>
                <w:color w:val="auto"/>
              </w:rPr>
            </w:pPr>
            <w:r>
              <w:rPr>
                <w:rFonts w:ascii="Arial" w:cs="Arial" w:eastAsia="Arial" w:hAnsi="Arial"/>
                <w:sz w:val="8"/>
                <w:szCs w:val="8"/>
                <w:b w:val="1"/>
                <w:bCs w:val="1"/>
                <w:color w:val="auto"/>
              </w:rPr>
              <w:t>—</w:t>
            </w:r>
          </w:p>
        </w:tc>
        <w:tc>
          <w:tcPr>
            <w:tcW w:w="620" w:type="dxa"/>
            <w:vAlign w:val="bottom"/>
            <w:shd w:val="clear" w:color="auto" w:fill="CCEEFF"/>
          </w:tcPr>
          <w:p>
            <w:pPr>
              <w:jc w:val="right"/>
              <w:ind w:right="78"/>
              <w:spacing w:after="0"/>
              <w:rPr>
                <w:sz w:val="20"/>
                <w:szCs w:val="20"/>
                <w:color w:val="auto"/>
              </w:rPr>
            </w:pPr>
            <w:r>
              <w:rPr>
                <w:rFonts w:ascii="Arial" w:cs="Arial" w:eastAsia="Arial" w:hAnsi="Arial"/>
                <w:sz w:val="8"/>
                <w:szCs w:val="8"/>
                <w:b w:val="1"/>
                <w:bCs w:val="1"/>
                <w:color w:val="auto"/>
              </w:rPr>
              <w:t>1,386,379</w:t>
            </w:r>
          </w:p>
        </w:tc>
      </w:tr>
      <w:tr>
        <w:trPr>
          <w:trHeight w:val="129"/>
        </w:trPr>
        <w:tc>
          <w:tcPr>
            <w:tcW w:w="2280" w:type="dxa"/>
            <w:vAlign w:val="bottom"/>
          </w:tcPr>
          <w:p>
            <w:pPr>
              <w:ind w:left="20"/>
              <w:spacing w:after="0"/>
              <w:rPr>
                <w:sz w:val="20"/>
                <w:szCs w:val="20"/>
                <w:color w:val="auto"/>
              </w:rPr>
            </w:pPr>
            <w:r>
              <w:rPr>
                <w:rFonts w:ascii="Arial" w:cs="Arial" w:eastAsia="Arial" w:hAnsi="Arial"/>
                <w:sz w:val="8"/>
                <w:szCs w:val="8"/>
                <w:color w:val="auto"/>
              </w:rPr>
              <w:t>Profit for the year attributable to the Group</w:t>
            </w:r>
          </w:p>
        </w:tc>
        <w:tc>
          <w:tcPr>
            <w:tcW w:w="780" w:type="dxa"/>
            <w:vAlign w:val="bottom"/>
          </w:tcPr>
          <w:p>
            <w:pPr>
              <w:jc w:val="right"/>
              <w:ind w:right="218"/>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64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820" w:type="dxa"/>
            <w:vAlign w:val="bottom"/>
          </w:tcPr>
          <w:p>
            <w:pPr>
              <w:jc w:val="right"/>
              <w:ind w:right="138"/>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218"/>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118"/>
              <w:spacing w:after="0"/>
              <w:rPr>
                <w:sz w:val="20"/>
                <w:szCs w:val="20"/>
                <w:color w:val="auto"/>
              </w:rPr>
            </w:pPr>
            <w:r>
              <w:rPr>
                <w:rFonts w:ascii="Arial" w:cs="Arial" w:eastAsia="Arial" w:hAnsi="Arial"/>
                <w:sz w:val="8"/>
                <w:szCs w:val="8"/>
                <w:color w:val="auto"/>
              </w:rPr>
              <w:t>—</w:t>
            </w:r>
          </w:p>
        </w:tc>
        <w:tc>
          <w:tcPr>
            <w:tcW w:w="88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600" w:type="dxa"/>
            <w:vAlign w:val="bottom"/>
          </w:tcPr>
          <w:p>
            <w:pPr>
              <w:jc w:val="right"/>
              <w:ind w:right="158"/>
              <w:spacing w:after="0"/>
              <w:rPr>
                <w:sz w:val="20"/>
                <w:szCs w:val="20"/>
                <w:color w:val="auto"/>
              </w:rPr>
            </w:pPr>
            <w:r>
              <w:rPr>
                <w:rFonts w:ascii="Arial" w:cs="Arial" w:eastAsia="Arial" w:hAnsi="Arial"/>
                <w:sz w:val="8"/>
                <w:szCs w:val="8"/>
                <w:color w:val="auto"/>
              </w:rPr>
              <w:t>359,163</w:t>
            </w:r>
          </w:p>
        </w:tc>
        <w:tc>
          <w:tcPr>
            <w:tcW w:w="680" w:type="dxa"/>
            <w:vAlign w:val="bottom"/>
          </w:tcPr>
          <w:p>
            <w:pPr>
              <w:jc w:val="right"/>
              <w:ind w:right="178"/>
              <w:spacing w:after="0"/>
              <w:rPr>
                <w:sz w:val="20"/>
                <w:szCs w:val="20"/>
                <w:color w:val="auto"/>
              </w:rPr>
            </w:pPr>
            <w:r>
              <w:rPr>
                <w:rFonts w:ascii="Arial" w:cs="Arial" w:eastAsia="Arial" w:hAnsi="Arial"/>
                <w:sz w:val="8"/>
                <w:szCs w:val="8"/>
                <w:color w:val="auto"/>
              </w:rPr>
              <w:t>359,163</w:t>
            </w:r>
          </w:p>
        </w:tc>
        <w:tc>
          <w:tcPr>
            <w:tcW w:w="80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78"/>
              <w:spacing w:after="0"/>
              <w:rPr>
                <w:sz w:val="20"/>
                <w:szCs w:val="20"/>
                <w:color w:val="auto"/>
              </w:rPr>
            </w:pPr>
            <w:r>
              <w:rPr>
                <w:rFonts w:ascii="Arial" w:cs="Arial" w:eastAsia="Arial" w:hAnsi="Arial"/>
                <w:sz w:val="8"/>
                <w:szCs w:val="8"/>
                <w:color w:val="auto"/>
              </w:rPr>
              <w:t>359,163</w:t>
            </w:r>
          </w:p>
        </w:tc>
      </w:tr>
      <w:tr>
        <w:trPr>
          <w:trHeight w:val="123"/>
        </w:trPr>
        <w:tc>
          <w:tcPr>
            <w:tcW w:w="2280" w:type="dxa"/>
            <w:vAlign w:val="bottom"/>
            <w:shd w:val="clear" w:color="auto" w:fill="CCEEFF"/>
          </w:tcPr>
          <w:p>
            <w:pPr>
              <w:ind w:left="20"/>
              <w:spacing w:after="0"/>
              <w:rPr>
                <w:sz w:val="20"/>
                <w:szCs w:val="20"/>
                <w:color w:val="auto"/>
              </w:rPr>
            </w:pPr>
            <w:r>
              <w:rPr>
                <w:rFonts w:ascii="Arial" w:cs="Arial" w:eastAsia="Arial" w:hAnsi="Arial"/>
                <w:sz w:val="8"/>
                <w:szCs w:val="8"/>
                <w:color w:val="auto"/>
              </w:rPr>
              <w:t>Profit for the year attributable to redeemable noncontrolling</w:t>
            </w:r>
          </w:p>
        </w:tc>
        <w:tc>
          <w:tcPr>
            <w:tcW w:w="7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19"/>
        </w:trPr>
        <w:tc>
          <w:tcPr>
            <w:tcW w:w="2280" w:type="dxa"/>
            <w:vAlign w:val="bottom"/>
            <w:shd w:val="clear" w:color="auto" w:fill="CCEEFF"/>
          </w:tcPr>
          <w:p>
            <w:pPr>
              <w:ind w:left="20"/>
              <w:spacing w:after="0"/>
              <w:rPr>
                <w:sz w:val="20"/>
                <w:szCs w:val="20"/>
                <w:color w:val="auto"/>
              </w:rPr>
            </w:pPr>
            <w:r>
              <w:rPr>
                <w:rFonts w:ascii="Arial" w:cs="Arial" w:eastAsia="Arial" w:hAnsi="Arial"/>
                <w:sz w:val="8"/>
                <w:szCs w:val="8"/>
                <w:color w:val="auto"/>
              </w:rPr>
              <w:t>interest</w:t>
            </w:r>
          </w:p>
        </w:tc>
        <w:tc>
          <w:tcPr>
            <w:tcW w:w="78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8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w:t>
            </w:r>
          </w:p>
        </w:tc>
        <w:tc>
          <w:tcPr>
            <w:tcW w:w="72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580" w:type="dxa"/>
            <w:vAlign w:val="bottom"/>
            <w:shd w:val="clear" w:color="auto" w:fill="CCEEFF"/>
          </w:tcPr>
          <w:p>
            <w:pPr>
              <w:jc w:val="right"/>
              <w:ind w:right="118"/>
              <w:spacing w:after="0"/>
              <w:rPr>
                <w:sz w:val="20"/>
                <w:szCs w:val="20"/>
                <w:color w:val="auto"/>
              </w:rPr>
            </w:pPr>
            <w:r>
              <w:rPr>
                <w:rFonts w:ascii="Arial" w:cs="Arial" w:eastAsia="Arial" w:hAnsi="Arial"/>
                <w:sz w:val="8"/>
                <w:szCs w:val="8"/>
                <w:color w:val="auto"/>
              </w:rPr>
              <w:t>—</w:t>
            </w:r>
          </w:p>
        </w:tc>
        <w:tc>
          <w:tcPr>
            <w:tcW w:w="88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68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80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1,870</w:t>
            </w:r>
          </w:p>
        </w:tc>
        <w:tc>
          <w:tcPr>
            <w:tcW w:w="6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1,870</w:t>
            </w:r>
          </w:p>
        </w:tc>
      </w:tr>
      <w:tr>
        <w:trPr>
          <w:trHeight w:val="129"/>
        </w:trPr>
        <w:tc>
          <w:tcPr>
            <w:tcW w:w="2280" w:type="dxa"/>
            <w:vAlign w:val="bottom"/>
          </w:tcPr>
          <w:p>
            <w:pPr>
              <w:ind w:left="20"/>
              <w:spacing w:after="0"/>
              <w:rPr>
                <w:sz w:val="20"/>
                <w:szCs w:val="20"/>
                <w:color w:val="auto"/>
              </w:rPr>
            </w:pPr>
            <w:r>
              <w:rPr>
                <w:rFonts w:ascii="Arial" w:cs="Arial" w:eastAsia="Arial" w:hAnsi="Arial"/>
                <w:sz w:val="8"/>
                <w:szCs w:val="8"/>
                <w:b w:val="1"/>
                <w:bCs w:val="1"/>
                <w:color w:val="auto"/>
              </w:rPr>
              <w:t>Other Comprehensive Income:</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7"/>
        </w:trPr>
        <w:tc>
          <w:tcPr>
            <w:tcW w:w="2280" w:type="dxa"/>
            <w:vAlign w:val="bottom"/>
            <w:shd w:val="clear" w:color="auto" w:fill="CCEEFF"/>
          </w:tcPr>
          <w:p>
            <w:pPr>
              <w:ind w:left="20"/>
              <w:spacing w:after="0"/>
              <w:rPr>
                <w:sz w:val="20"/>
                <w:szCs w:val="20"/>
                <w:color w:val="auto"/>
              </w:rPr>
            </w:pPr>
            <w:r>
              <w:rPr>
                <w:rFonts w:ascii="Arial" w:cs="Arial" w:eastAsia="Arial" w:hAnsi="Arial"/>
                <w:sz w:val="8"/>
                <w:szCs w:val="8"/>
                <w:color w:val="auto"/>
              </w:rPr>
              <w:t>Foreign currency translation</w:t>
            </w:r>
          </w:p>
        </w:tc>
        <w:tc>
          <w:tcPr>
            <w:tcW w:w="78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8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w:t>
            </w:r>
          </w:p>
        </w:tc>
        <w:tc>
          <w:tcPr>
            <w:tcW w:w="72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580" w:type="dxa"/>
            <w:vAlign w:val="bottom"/>
            <w:shd w:val="clear" w:color="auto" w:fill="CCEEFF"/>
          </w:tcPr>
          <w:p>
            <w:pPr>
              <w:jc w:val="right"/>
              <w:ind w:right="98"/>
              <w:spacing w:after="0"/>
              <w:rPr>
                <w:sz w:val="20"/>
                <w:szCs w:val="20"/>
                <w:color w:val="auto"/>
              </w:rPr>
            </w:pPr>
            <w:r>
              <w:rPr>
                <w:rFonts w:ascii="Arial" w:cs="Arial" w:eastAsia="Arial" w:hAnsi="Arial"/>
                <w:sz w:val="8"/>
                <w:szCs w:val="8"/>
                <w:color w:val="auto"/>
              </w:rPr>
              <w:t>(1,313)</w:t>
            </w:r>
          </w:p>
        </w:tc>
        <w:tc>
          <w:tcPr>
            <w:tcW w:w="88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68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(1,313)</w:t>
            </w:r>
          </w:p>
        </w:tc>
        <w:tc>
          <w:tcPr>
            <w:tcW w:w="80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(1,313)</w:t>
            </w:r>
          </w:p>
        </w:tc>
      </w:tr>
      <w:tr>
        <w:trPr>
          <w:trHeight w:val="129"/>
        </w:trPr>
        <w:tc>
          <w:tcPr>
            <w:tcW w:w="2280" w:type="dxa"/>
            <w:vAlign w:val="bottom"/>
          </w:tcPr>
          <w:p>
            <w:pPr>
              <w:ind w:left="20"/>
              <w:spacing w:after="0"/>
              <w:rPr>
                <w:sz w:val="20"/>
                <w:szCs w:val="20"/>
                <w:color w:val="auto"/>
              </w:rPr>
            </w:pPr>
            <w:r>
              <w:rPr>
                <w:rFonts w:ascii="Arial" w:cs="Arial" w:eastAsia="Arial" w:hAnsi="Arial"/>
                <w:sz w:val="8"/>
                <w:szCs w:val="8"/>
                <w:color w:val="auto"/>
              </w:rPr>
              <w:t>Currency impact on long-term funding</w:t>
            </w:r>
          </w:p>
        </w:tc>
        <w:tc>
          <w:tcPr>
            <w:tcW w:w="780" w:type="dxa"/>
            <w:vAlign w:val="bottom"/>
          </w:tcPr>
          <w:p>
            <w:pPr>
              <w:jc w:val="right"/>
              <w:ind w:right="218"/>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64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820" w:type="dxa"/>
            <w:vAlign w:val="bottom"/>
          </w:tcPr>
          <w:p>
            <w:pPr>
              <w:jc w:val="right"/>
              <w:ind w:right="138"/>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218"/>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98"/>
              <w:spacing w:after="0"/>
              <w:rPr>
                <w:sz w:val="20"/>
                <w:szCs w:val="20"/>
                <w:color w:val="auto"/>
              </w:rPr>
            </w:pPr>
            <w:r>
              <w:rPr>
                <w:rFonts w:ascii="Arial" w:cs="Arial" w:eastAsia="Arial" w:hAnsi="Arial"/>
                <w:sz w:val="8"/>
                <w:szCs w:val="8"/>
                <w:color w:val="auto"/>
              </w:rPr>
              <w:t>(2,710)</w:t>
            </w:r>
          </w:p>
        </w:tc>
        <w:tc>
          <w:tcPr>
            <w:tcW w:w="88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60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680" w:type="dxa"/>
            <w:vAlign w:val="bottom"/>
          </w:tcPr>
          <w:p>
            <w:pPr>
              <w:jc w:val="right"/>
              <w:ind w:right="138"/>
              <w:spacing w:after="0"/>
              <w:rPr>
                <w:sz w:val="20"/>
                <w:szCs w:val="20"/>
                <w:color w:val="auto"/>
              </w:rPr>
            </w:pPr>
            <w:r>
              <w:rPr>
                <w:rFonts w:ascii="Arial" w:cs="Arial" w:eastAsia="Arial" w:hAnsi="Arial"/>
                <w:sz w:val="8"/>
                <w:szCs w:val="8"/>
                <w:color w:val="auto"/>
              </w:rPr>
              <w:t>(2,710)</w:t>
            </w:r>
          </w:p>
        </w:tc>
        <w:tc>
          <w:tcPr>
            <w:tcW w:w="80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58"/>
              <w:spacing w:after="0"/>
              <w:rPr>
                <w:sz w:val="20"/>
                <w:szCs w:val="20"/>
                <w:color w:val="auto"/>
              </w:rPr>
            </w:pPr>
            <w:r>
              <w:rPr>
                <w:rFonts w:ascii="Arial" w:cs="Arial" w:eastAsia="Arial" w:hAnsi="Arial"/>
                <w:sz w:val="8"/>
                <w:szCs w:val="8"/>
                <w:color w:val="auto"/>
              </w:rPr>
              <w:t>(2,710)</w:t>
            </w:r>
          </w:p>
        </w:tc>
      </w:tr>
      <w:tr>
        <w:trPr>
          <w:trHeight w:val="147"/>
        </w:trPr>
        <w:tc>
          <w:tcPr>
            <w:tcW w:w="2280" w:type="dxa"/>
            <w:vAlign w:val="bottom"/>
            <w:shd w:val="clear" w:color="auto" w:fill="CCEEFF"/>
          </w:tcPr>
          <w:p>
            <w:pPr>
              <w:ind w:left="20"/>
              <w:spacing w:after="0"/>
              <w:rPr>
                <w:sz w:val="20"/>
                <w:szCs w:val="20"/>
                <w:color w:val="auto"/>
              </w:rPr>
            </w:pPr>
            <w:r>
              <w:rPr>
                <w:rFonts w:ascii="Arial" w:cs="Arial" w:eastAsia="Arial" w:hAnsi="Arial"/>
                <w:sz w:val="8"/>
                <w:szCs w:val="8"/>
                <w:color w:val="auto"/>
              </w:rPr>
              <w:t>Cash flow hedge</w:t>
            </w:r>
          </w:p>
        </w:tc>
        <w:tc>
          <w:tcPr>
            <w:tcW w:w="78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8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w:t>
            </w:r>
          </w:p>
        </w:tc>
        <w:tc>
          <w:tcPr>
            <w:tcW w:w="72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580" w:type="dxa"/>
            <w:vAlign w:val="bottom"/>
            <w:shd w:val="clear" w:color="auto" w:fill="CCEEFF"/>
          </w:tcPr>
          <w:p>
            <w:pPr>
              <w:jc w:val="right"/>
              <w:ind w:right="118"/>
              <w:spacing w:after="0"/>
              <w:rPr>
                <w:sz w:val="20"/>
                <w:szCs w:val="20"/>
                <w:color w:val="auto"/>
              </w:rPr>
            </w:pPr>
            <w:r>
              <w:rPr>
                <w:rFonts w:ascii="Arial" w:cs="Arial" w:eastAsia="Arial" w:hAnsi="Arial"/>
                <w:sz w:val="8"/>
                <w:szCs w:val="8"/>
                <w:color w:val="auto"/>
              </w:rPr>
              <w:t>—</w:t>
            </w:r>
          </w:p>
        </w:tc>
        <w:tc>
          <w:tcPr>
            <w:tcW w:w="88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68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80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r>
      <w:tr>
        <w:trPr>
          <w:trHeight w:val="129"/>
        </w:trPr>
        <w:tc>
          <w:tcPr>
            <w:tcW w:w="2280" w:type="dxa"/>
            <w:vAlign w:val="bottom"/>
          </w:tcPr>
          <w:p>
            <w:pPr>
              <w:ind w:left="20"/>
              <w:spacing w:after="0"/>
              <w:rPr>
                <w:sz w:val="20"/>
                <w:szCs w:val="20"/>
                <w:color w:val="auto"/>
              </w:rPr>
            </w:pPr>
            <w:r>
              <w:rPr>
                <w:rFonts w:ascii="Arial" w:cs="Arial" w:eastAsia="Arial" w:hAnsi="Arial"/>
                <w:sz w:val="8"/>
                <w:szCs w:val="8"/>
                <w:color w:val="auto"/>
              </w:rPr>
              <w:t>Unrealised fair value movements on investments</w:t>
            </w:r>
          </w:p>
        </w:tc>
        <w:tc>
          <w:tcPr>
            <w:tcW w:w="780" w:type="dxa"/>
            <w:vAlign w:val="bottom"/>
          </w:tcPr>
          <w:p>
            <w:pPr>
              <w:jc w:val="right"/>
              <w:ind w:right="218"/>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64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820" w:type="dxa"/>
            <w:vAlign w:val="bottom"/>
          </w:tcPr>
          <w:p>
            <w:pPr>
              <w:jc w:val="right"/>
              <w:ind w:right="138"/>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218"/>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118"/>
              <w:spacing w:after="0"/>
              <w:rPr>
                <w:sz w:val="20"/>
                <w:szCs w:val="20"/>
                <w:color w:val="auto"/>
              </w:rPr>
            </w:pPr>
            <w:r>
              <w:rPr>
                <w:rFonts w:ascii="Arial" w:cs="Arial" w:eastAsia="Arial" w:hAnsi="Arial"/>
                <w:sz w:val="8"/>
                <w:szCs w:val="8"/>
                <w:color w:val="auto"/>
              </w:rPr>
              <w:t>—</w:t>
            </w:r>
          </w:p>
        </w:tc>
        <w:tc>
          <w:tcPr>
            <w:tcW w:w="880" w:type="dxa"/>
            <w:vAlign w:val="bottom"/>
          </w:tcPr>
          <w:p>
            <w:pPr>
              <w:jc w:val="right"/>
              <w:ind w:right="158"/>
              <w:spacing w:after="0"/>
              <w:rPr>
                <w:sz w:val="20"/>
                <w:szCs w:val="20"/>
                <w:color w:val="auto"/>
              </w:rPr>
            </w:pPr>
            <w:r>
              <w:rPr>
                <w:rFonts w:ascii="Arial" w:cs="Arial" w:eastAsia="Arial" w:hAnsi="Arial"/>
                <w:sz w:val="8"/>
                <w:szCs w:val="8"/>
                <w:color w:val="auto"/>
              </w:rPr>
              <w:t>681</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60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680" w:type="dxa"/>
            <w:vAlign w:val="bottom"/>
          </w:tcPr>
          <w:p>
            <w:pPr>
              <w:jc w:val="right"/>
              <w:ind w:right="178"/>
              <w:spacing w:after="0"/>
              <w:rPr>
                <w:sz w:val="20"/>
                <w:szCs w:val="20"/>
                <w:color w:val="auto"/>
              </w:rPr>
            </w:pPr>
            <w:r>
              <w:rPr>
                <w:rFonts w:ascii="Arial" w:cs="Arial" w:eastAsia="Arial" w:hAnsi="Arial"/>
                <w:sz w:val="8"/>
                <w:szCs w:val="8"/>
                <w:color w:val="auto"/>
              </w:rPr>
              <w:t>681</w:t>
            </w:r>
          </w:p>
        </w:tc>
        <w:tc>
          <w:tcPr>
            <w:tcW w:w="80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78"/>
              <w:spacing w:after="0"/>
              <w:rPr>
                <w:sz w:val="20"/>
                <w:szCs w:val="20"/>
                <w:color w:val="auto"/>
              </w:rPr>
            </w:pPr>
            <w:r>
              <w:rPr>
                <w:rFonts w:ascii="Arial" w:cs="Arial" w:eastAsia="Arial" w:hAnsi="Arial"/>
                <w:sz w:val="8"/>
                <w:szCs w:val="8"/>
                <w:color w:val="auto"/>
              </w:rPr>
              <w:t>681</w:t>
            </w:r>
          </w:p>
        </w:tc>
      </w:tr>
      <w:tr>
        <w:trPr>
          <w:trHeight w:val="147"/>
        </w:trPr>
        <w:tc>
          <w:tcPr>
            <w:tcW w:w="2280" w:type="dxa"/>
            <w:vAlign w:val="bottom"/>
            <w:shd w:val="clear" w:color="auto" w:fill="CCEEFF"/>
          </w:tcPr>
          <w:p>
            <w:pPr>
              <w:ind w:left="20"/>
              <w:spacing w:after="0"/>
              <w:rPr>
                <w:sz w:val="20"/>
                <w:szCs w:val="20"/>
                <w:color w:val="auto"/>
              </w:rPr>
            </w:pPr>
            <w:r>
              <w:rPr>
                <w:rFonts w:ascii="Arial" w:cs="Arial" w:eastAsia="Arial" w:hAnsi="Arial"/>
                <w:sz w:val="8"/>
                <w:szCs w:val="8"/>
                <w:color w:val="auto"/>
              </w:rPr>
              <w:t>Re-measurement of defined benefit liability</w:t>
            </w:r>
          </w:p>
        </w:tc>
        <w:tc>
          <w:tcPr>
            <w:tcW w:w="78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8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w:t>
            </w:r>
          </w:p>
        </w:tc>
        <w:tc>
          <w:tcPr>
            <w:tcW w:w="72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580" w:type="dxa"/>
            <w:vAlign w:val="bottom"/>
            <w:shd w:val="clear" w:color="auto" w:fill="CCEEFF"/>
          </w:tcPr>
          <w:p>
            <w:pPr>
              <w:jc w:val="right"/>
              <w:ind w:right="118"/>
              <w:spacing w:after="0"/>
              <w:rPr>
                <w:sz w:val="20"/>
                <w:szCs w:val="20"/>
                <w:color w:val="auto"/>
              </w:rPr>
            </w:pPr>
            <w:r>
              <w:rPr>
                <w:rFonts w:ascii="Arial" w:cs="Arial" w:eastAsia="Arial" w:hAnsi="Arial"/>
                <w:sz w:val="8"/>
                <w:szCs w:val="8"/>
                <w:color w:val="auto"/>
              </w:rPr>
              <w:t>—</w:t>
            </w:r>
          </w:p>
        </w:tc>
        <w:tc>
          <w:tcPr>
            <w:tcW w:w="88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(2,407)</w:t>
            </w:r>
          </w:p>
        </w:tc>
        <w:tc>
          <w:tcPr>
            <w:tcW w:w="68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(2,407)</w:t>
            </w:r>
          </w:p>
        </w:tc>
        <w:tc>
          <w:tcPr>
            <w:tcW w:w="80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(2,407)</w:t>
            </w:r>
          </w:p>
        </w:tc>
      </w:tr>
      <w:tr>
        <w:trPr>
          <w:trHeight w:val="129"/>
        </w:trPr>
        <w:tc>
          <w:tcPr>
            <w:tcW w:w="2280" w:type="dxa"/>
            <w:vAlign w:val="bottom"/>
          </w:tcPr>
          <w:p>
            <w:pPr>
              <w:ind w:left="20"/>
              <w:spacing w:after="0"/>
              <w:rPr>
                <w:sz w:val="20"/>
                <w:szCs w:val="20"/>
                <w:color w:val="auto"/>
              </w:rPr>
            </w:pPr>
            <w:r>
              <w:rPr>
                <w:rFonts w:ascii="Arial" w:cs="Arial" w:eastAsia="Arial" w:hAnsi="Arial"/>
                <w:sz w:val="8"/>
                <w:szCs w:val="8"/>
                <w:color w:val="auto"/>
              </w:rPr>
              <w:t>Tax benefit on defined benefit pension contributions</w:t>
            </w:r>
          </w:p>
        </w:tc>
        <w:tc>
          <w:tcPr>
            <w:tcW w:w="780" w:type="dxa"/>
            <w:vAlign w:val="bottom"/>
          </w:tcPr>
          <w:p>
            <w:pPr>
              <w:jc w:val="right"/>
              <w:ind w:right="218"/>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64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820" w:type="dxa"/>
            <w:vAlign w:val="bottom"/>
          </w:tcPr>
          <w:p>
            <w:pPr>
              <w:jc w:val="right"/>
              <w:ind w:right="138"/>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218"/>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118"/>
              <w:spacing w:after="0"/>
              <w:rPr>
                <w:sz w:val="20"/>
                <w:szCs w:val="20"/>
                <w:color w:val="auto"/>
              </w:rPr>
            </w:pPr>
            <w:r>
              <w:rPr>
                <w:rFonts w:ascii="Arial" w:cs="Arial" w:eastAsia="Arial" w:hAnsi="Arial"/>
                <w:sz w:val="8"/>
                <w:szCs w:val="8"/>
                <w:color w:val="auto"/>
              </w:rPr>
              <w:t>—</w:t>
            </w:r>
          </w:p>
        </w:tc>
        <w:tc>
          <w:tcPr>
            <w:tcW w:w="88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60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68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38"/>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8"/>
                <w:szCs w:val="8"/>
                <w:color w:val="auto"/>
              </w:rPr>
              <w:t>Amortisation of interest rate hedge</w:t>
            </w:r>
          </w:p>
        </w:tc>
        <w:tc>
          <w:tcPr>
            <w:tcW w:w="78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8"/>
                <w:szCs w:val="8"/>
                <w:color w:val="auto"/>
              </w:rPr>
              <w:t>—</w:t>
            </w:r>
          </w:p>
        </w:tc>
        <w:tc>
          <w:tcPr>
            <w:tcW w:w="56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6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8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8"/>
                <w:szCs w:val="8"/>
                <w:color w:val="auto"/>
              </w:rPr>
              <w:t>(923)</w:t>
            </w:r>
          </w:p>
        </w:tc>
        <w:tc>
          <w:tcPr>
            <w:tcW w:w="5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8"/>
                <w:szCs w:val="8"/>
                <w:color w:val="auto"/>
              </w:rPr>
              <w:t>—</w:t>
            </w:r>
          </w:p>
        </w:tc>
        <w:tc>
          <w:tcPr>
            <w:tcW w:w="88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7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w:t>
            </w:r>
          </w:p>
        </w:tc>
        <w:tc>
          <w:tcPr>
            <w:tcW w:w="60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6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8"/>
                <w:szCs w:val="8"/>
                <w:color w:val="auto"/>
              </w:rPr>
              <w:t>(923)</w:t>
            </w:r>
          </w:p>
        </w:tc>
        <w:tc>
          <w:tcPr>
            <w:tcW w:w="8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(923)</w:t>
            </w:r>
          </w:p>
        </w:tc>
      </w:tr>
      <w:tr>
        <w:trPr>
          <w:trHeight w:val="12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Total other comprehensive income</w:t>
            </w: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8"/>
                <w:szCs w:val="8"/>
                <w:color w:val="auto"/>
              </w:rPr>
              <w:t>—</w:t>
            </w:r>
          </w:p>
        </w:tc>
        <w:tc>
          <w:tcPr>
            <w:tcW w:w="56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color w:val="auto"/>
              </w:rPr>
              <w:t>—</w:t>
            </w: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8"/>
                <w:szCs w:val="8"/>
                <w:color w:val="auto"/>
              </w:rPr>
              <w:t>—</w:t>
            </w:r>
          </w:p>
        </w:tc>
        <w:tc>
          <w:tcPr>
            <w:tcW w:w="820" w:type="dxa"/>
            <w:vAlign w:val="bottom"/>
            <w:tcBorders>
              <w:bottom w:val="single" w:sz="8" w:color="auto"/>
            </w:tcBorders>
          </w:tcPr>
          <w:p>
            <w:pPr>
              <w:jc w:val="right"/>
              <w:ind w:right="138"/>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color w:val="auto"/>
              </w:rPr>
              <w:t>(923)</w:t>
            </w: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color w:val="auto"/>
              </w:rPr>
              <w:t>(4,023)</w:t>
            </w:r>
          </w:p>
        </w:tc>
        <w:tc>
          <w:tcPr>
            <w:tcW w:w="88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color w:val="auto"/>
              </w:rPr>
              <w:t>681</w:t>
            </w:r>
          </w:p>
        </w:tc>
        <w:tc>
          <w:tcPr>
            <w:tcW w:w="7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600" w:type="dxa"/>
            <w:vAlign w:val="bottom"/>
            <w:tcBorders>
              <w:bottom w:val="single" w:sz="8" w:color="auto"/>
            </w:tcBorders>
          </w:tcPr>
          <w:p>
            <w:pPr>
              <w:jc w:val="right"/>
              <w:ind w:right="138"/>
              <w:spacing w:after="0"/>
              <w:rPr>
                <w:sz w:val="20"/>
                <w:szCs w:val="20"/>
                <w:color w:val="auto"/>
              </w:rPr>
            </w:pPr>
            <w:r>
              <w:rPr>
                <w:rFonts w:ascii="Arial" w:cs="Arial" w:eastAsia="Arial" w:hAnsi="Arial"/>
                <w:sz w:val="8"/>
                <w:szCs w:val="8"/>
                <w:color w:val="auto"/>
              </w:rPr>
              <w:t>(2,407)</w:t>
            </w:r>
          </w:p>
        </w:tc>
        <w:tc>
          <w:tcPr>
            <w:tcW w:w="680" w:type="dxa"/>
            <w:vAlign w:val="bottom"/>
            <w:tcBorders>
              <w:bottom w:val="single" w:sz="8" w:color="auto"/>
            </w:tcBorders>
          </w:tcPr>
          <w:p>
            <w:pPr>
              <w:jc w:val="right"/>
              <w:ind w:right="138"/>
              <w:spacing w:after="0"/>
              <w:rPr>
                <w:sz w:val="20"/>
                <w:szCs w:val="20"/>
                <w:color w:val="auto"/>
              </w:rPr>
            </w:pPr>
            <w:r>
              <w:rPr>
                <w:rFonts w:ascii="Arial" w:cs="Arial" w:eastAsia="Arial" w:hAnsi="Arial"/>
                <w:sz w:val="8"/>
                <w:szCs w:val="8"/>
                <w:color w:val="auto"/>
              </w:rPr>
              <w:t>(6,672)</w:t>
            </w: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(6,672)</w:t>
            </w:r>
          </w:p>
        </w:tc>
      </w:tr>
      <w:tr>
        <w:trPr>
          <w:trHeight w:val="129"/>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8"/>
                <w:szCs w:val="8"/>
                <w:color w:val="auto"/>
              </w:rPr>
              <w:t>Total comprehensive income for the year</w:t>
            </w:r>
          </w:p>
        </w:tc>
        <w:tc>
          <w:tcPr>
            <w:tcW w:w="78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8"/>
                <w:szCs w:val="8"/>
                <w:color w:val="auto"/>
              </w:rPr>
              <w:t>—</w:t>
            </w:r>
          </w:p>
        </w:tc>
        <w:tc>
          <w:tcPr>
            <w:tcW w:w="56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6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8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8"/>
                <w:szCs w:val="8"/>
                <w:color w:val="auto"/>
              </w:rPr>
              <w:t>(923)</w:t>
            </w:r>
          </w:p>
        </w:tc>
        <w:tc>
          <w:tcPr>
            <w:tcW w:w="5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rPr>
              <w:t>(4,023)</w:t>
            </w:r>
          </w:p>
        </w:tc>
        <w:tc>
          <w:tcPr>
            <w:tcW w:w="88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8"/>
                <w:szCs w:val="8"/>
                <w:color w:val="auto"/>
              </w:rPr>
              <w:t>681</w:t>
            </w:r>
          </w:p>
        </w:tc>
        <w:tc>
          <w:tcPr>
            <w:tcW w:w="7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w:t>
            </w:r>
          </w:p>
        </w:tc>
        <w:tc>
          <w:tcPr>
            <w:tcW w:w="60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8"/>
                <w:szCs w:val="8"/>
                <w:color w:val="auto"/>
              </w:rPr>
              <w:t>356,756</w:t>
            </w:r>
          </w:p>
        </w:tc>
        <w:tc>
          <w:tcPr>
            <w:tcW w:w="68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8"/>
                <w:szCs w:val="8"/>
                <w:color w:val="auto"/>
              </w:rPr>
              <w:t>352,491</w:t>
            </w:r>
          </w:p>
        </w:tc>
        <w:tc>
          <w:tcPr>
            <w:tcW w:w="8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8"/>
                <w:szCs w:val="8"/>
                <w:color w:val="auto"/>
              </w:rPr>
              <w:t>1,870</w:t>
            </w:r>
          </w:p>
        </w:tc>
        <w:tc>
          <w:tcPr>
            <w:tcW w:w="6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354,361</w:t>
            </w:r>
          </w:p>
        </w:tc>
      </w:tr>
      <w:tr>
        <w:trPr>
          <w:trHeight w:val="129"/>
        </w:trPr>
        <w:tc>
          <w:tcPr>
            <w:tcW w:w="2280" w:type="dxa"/>
            <w:vAlign w:val="bottom"/>
          </w:tcPr>
          <w:p>
            <w:pPr>
              <w:ind w:left="20"/>
              <w:spacing w:after="0"/>
              <w:rPr>
                <w:sz w:val="20"/>
                <w:szCs w:val="20"/>
                <w:color w:val="auto"/>
              </w:rPr>
            </w:pPr>
            <w:r>
              <w:rPr>
                <w:rFonts w:ascii="Arial" w:cs="Arial" w:eastAsia="Arial" w:hAnsi="Arial"/>
                <w:sz w:val="8"/>
                <w:szCs w:val="8"/>
                <w:b w:val="1"/>
                <w:bCs w:val="1"/>
                <w:color w:val="auto"/>
              </w:rPr>
              <w:t>Transactions with owners, recorded directly in equity</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7"/>
        </w:trPr>
        <w:tc>
          <w:tcPr>
            <w:tcW w:w="2280" w:type="dxa"/>
            <w:vAlign w:val="bottom"/>
            <w:shd w:val="clear" w:color="auto" w:fill="CCEEFF"/>
          </w:tcPr>
          <w:p>
            <w:pPr>
              <w:ind w:left="20"/>
              <w:spacing w:after="0"/>
              <w:rPr>
                <w:sz w:val="20"/>
                <w:szCs w:val="20"/>
                <w:color w:val="auto"/>
              </w:rPr>
            </w:pPr>
            <w:r>
              <w:rPr>
                <w:rFonts w:ascii="Arial" w:cs="Arial" w:eastAsia="Arial" w:hAnsi="Arial"/>
                <w:sz w:val="8"/>
                <w:szCs w:val="8"/>
                <w:color w:val="auto"/>
              </w:rPr>
              <w:t>Share-based payment</w:t>
            </w:r>
          </w:p>
        </w:tc>
        <w:tc>
          <w:tcPr>
            <w:tcW w:w="78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8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w:t>
            </w:r>
          </w:p>
        </w:tc>
        <w:tc>
          <w:tcPr>
            <w:tcW w:w="72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rPr>
              <w:t>25,800</w:t>
            </w:r>
          </w:p>
        </w:tc>
        <w:tc>
          <w:tcPr>
            <w:tcW w:w="62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580" w:type="dxa"/>
            <w:vAlign w:val="bottom"/>
            <w:shd w:val="clear" w:color="auto" w:fill="CCEEFF"/>
          </w:tcPr>
          <w:p>
            <w:pPr>
              <w:jc w:val="right"/>
              <w:ind w:right="118"/>
              <w:spacing w:after="0"/>
              <w:rPr>
                <w:sz w:val="20"/>
                <w:szCs w:val="20"/>
                <w:color w:val="auto"/>
              </w:rPr>
            </w:pPr>
            <w:r>
              <w:rPr>
                <w:rFonts w:ascii="Arial" w:cs="Arial" w:eastAsia="Arial" w:hAnsi="Arial"/>
                <w:sz w:val="8"/>
                <w:szCs w:val="8"/>
                <w:color w:val="auto"/>
              </w:rPr>
              <w:t>—</w:t>
            </w:r>
          </w:p>
        </w:tc>
        <w:tc>
          <w:tcPr>
            <w:tcW w:w="88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68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25,800</w:t>
            </w:r>
          </w:p>
        </w:tc>
        <w:tc>
          <w:tcPr>
            <w:tcW w:w="80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25,800</w:t>
            </w:r>
          </w:p>
        </w:tc>
      </w:tr>
      <w:tr>
        <w:trPr>
          <w:trHeight w:val="129"/>
        </w:trPr>
        <w:tc>
          <w:tcPr>
            <w:tcW w:w="2280" w:type="dxa"/>
            <w:vAlign w:val="bottom"/>
          </w:tcPr>
          <w:p>
            <w:pPr>
              <w:ind w:left="20"/>
              <w:spacing w:after="0"/>
              <w:rPr>
                <w:sz w:val="20"/>
                <w:szCs w:val="20"/>
                <w:color w:val="auto"/>
              </w:rPr>
            </w:pPr>
            <w:r>
              <w:rPr>
                <w:rFonts w:ascii="Arial" w:cs="Arial" w:eastAsia="Arial" w:hAnsi="Arial"/>
                <w:sz w:val="8"/>
                <w:szCs w:val="8"/>
                <w:color w:val="auto"/>
              </w:rPr>
              <w:t>Exercise of share options</w:t>
            </w:r>
          </w:p>
        </w:tc>
        <w:tc>
          <w:tcPr>
            <w:tcW w:w="780" w:type="dxa"/>
            <w:vAlign w:val="bottom"/>
          </w:tcPr>
          <w:p>
            <w:pPr>
              <w:jc w:val="right"/>
              <w:ind w:right="218"/>
              <w:spacing w:after="0"/>
              <w:rPr>
                <w:sz w:val="20"/>
                <w:szCs w:val="20"/>
                <w:color w:val="auto"/>
              </w:rPr>
            </w:pPr>
            <w:r>
              <w:rPr>
                <w:rFonts w:ascii="Arial" w:cs="Arial" w:eastAsia="Arial" w:hAnsi="Arial"/>
                <w:sz w:val="8"/>
                <w:szCs w:val="8"/>
                <w:color w:val="auto"/>
              </w:rPr>
              <w:t>329,870</w:t>
            </w:r>
          </w:p>
        </w:tc>
        <w:tc>
          <w:tcPr>
            <w:tcW w:w="560" w:type="dxa"/>
            <w:vAlign w:val="bottom"/>
          </w:tcPr>
          <w:p>
            <w:pPr>
              <w:jc w:val="right"/>
              <w:ind w:right="158"/>
              <w:spacing w:after="0"/>
              <w:rPr>
                <w:sz w:val="20"/>
                <w:szCs w:val="20"/>
                <w:color w:val="auto"/>
              </w:rPr>
            </w:pPr>
            <w:r>
              <w:rPr>
                <w:rFonts w:ascii="Arial" w:cs="Arial" w:eastAsia="Arial" w:hAnsi="Arial"/>
                <w:sz w:val="8"/>
                <w:szCs w:val="8"/>
                <w:color w:val="auto"/>
              </w:rPr>
              <w:t>22</w:t>
            </w:r>
          </w:p>
        </w:tc>
        <w:tc>
          <w:tcPr>
            <w:tcW w:w="640" w:type="dxa"/>
            <w:vAlign w:val="bottom"/>
          </w:tcPr>
          <w:p>
            <w:pPr>
              <w:jc w:val="right"/>
              <w:ind w:right="198"/>
              <w:spacing w:after="0"/>
              <w:rPr>
                <w:sz w:val="20"/>
                <w:szCs w:val="20"/>
                <w:color w:val="auto"/>
              </w:rPr>
            </w:pPr>
            <w:r>
              <w:rPr>
                <w:rFonts w:ascii="Arial" w:cs="Arial" w:eastAsia="Arial" w:hAnsi="Arial"/>
                <w:sz w:val="8"/>
                <w:szCs w:val="8"/>
                <w:color w:val="auto"/>
              </w:rPr>
              <w:t>21,599</w:t>
            </w:r>
          </w:p>
        </w:tc>
        <w:tc>
          <w:tcPr>
            <w:tcW w:w="820" w:type="dxa"/>
            <w:vAlign w:val="bottom"/>
          </w:tcPr>
          <w:p>
            <w:pPr>
              <w:jc w:val="right"/>
              <w:ind w:right="138"/>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218"/>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118"/>
              <w:spacing w:after="0"/>
              <w:rPr>
                <w:sz w:val="20"/>
                <w:szCs w:val="20"/>
                <w:color w:val="auto"/>
              </w:rPr>
            </w:pPr>
            <w:r>
              <w:rPr>
                <w:rFonts w:ascii="Arial" w:cs="Arial" w:eastAsia="Arial" w:hAnsi="Arial"/>
                <w:sz w:val="8"/>
                <w:szCs w:val="8"/>
                <w:color w:val="auto"/>
              </w:rPr>
              <w:t>—</w:t>
            </w:r>
          </w:p>
        </w:tc>
        <w:tc>
          <w:tcPr>
            <w:tcW w:w="88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60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680" w:type="dxa"/>
            <w:vAlign w:val="bottom"/>
          </w:tcPr>
          <w:p>
            <w:pPr>
              <w:jc w:val="right"/>
              <w:ind w:right="178"/>
              <w:spacing w:after="0"/>
              <w:rPr>
                <w:sz w:val="20"/>
                <w:szCs w:val="20"/>
                <w:color w:val="auto"/>
              </w:rPr>
            </w:pPr>
            <w:r>
              <w:rPr>
                <w:rFonts w:ascii="Arial" w:cs="Arial" w:eastAsia="Arial" w:hAnsi="Arial"/>
                <w:sz w:val="8"/>
                <w:szCs w:val="8"/>
                <w:color w:val="auto"/>
              </w:rPr>
              <w:t>21,621</w:t>
            </w:r>
          </w:p>
        </w:tc>
        <w:tc>
          <w:tcPr>
            <w:tcW w:w="80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78"/>
              <w:spacing w:after="0"/>
              <w:rPr>
                <w:sz w:val="20"/>
                <w:szCs w:val="20"/>
                <w:color w:val="auto"/>
              </w:rPr>
            </w:pPr>
            <w:r>
              <w:rPr>
                <w:rFonts w:ascii="Arial" w:cs="Arial" w:eastAsia="Arial" w:hAnsi="Arial"/>
                <w:sz w:val="8"/>
                <w:szCs w:val="8"/>
                <w:color w:val="auto"/>
              </w:rPr>
              <w:t>21,621</w:t>
            </w:r>
          </w:p>
        </w:tc>
      </w:tr>
      <w:tr>
        <w:trPr>
          <w:trHeight w:val="147"/>
        </w:trPr>
        <w:tc>
          <w:tcPr>
            <w:tcW w:w="2280" w:type="dxa"/>
            <w:vAlign w:val="bottom"/>
            <w:shd w:val="clear" w:color="auto" w:fill="CCEEFF"/>
          </w:tcPr>
          <w:p>
            <w:pPr>
              <w:ind w:left="20"/>
              <w:spacing w:after="0"/>
              <w:rPr>
                <w:sz w:val="20"/>
                <w:szCs w:val="20"/>
                <w:color w:val="auto"/>
              </w:rPr>
            </w:pPr>
            <w:r>
              <w:rPr>
                <w:rFonts w:ascii="Arial" w:cs="Arial" w:eastAsia="Arial" w:hAnsi="Arial"/>
                <w:sz w:val="8"/>
                <w:szCs w:val="8"/>
                <w:color w:val="auto"/>
              </w:rPr>
              <w:t>Transfer of exercised and expired share–based awards</w:t>
            </w:r>
          </w:p>
        </w:tc>
        <w:tc>
          <w:tcPr>
            <w:tcW w:w="78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8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w:t>
            </w:r>
          </w:p>
        </w:tc>
        <w:tc>
          <w:tcPr>
            <w:tcW w:w="72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(31,261)</w:t>
            </w:r>
          </w:p>
        </w:tc>
        <w:tc>
          <w:tcPr>
            <w:tcW w:w="62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580" w:type="dxa"/>
            <w:vAlign w:val="bottom"/>
            <w:shd w:val="clear" w:color="auto" w:fill="CCEEFF"/>
          </w:tcPr>
          <w:p>
            <w:pPr>
              <w:jc w:val="right"/>
              <w:ind w:right="118"/>
              <w:spacing w:after="0"/>
              <w:rPr>
                <w:sz w:val="20"/>
                <w:szCs w:val="20"/>
                <w:color w:val="auto"/>
              </w:rPr>
            </w:pPr>
            <w:r>
              <w:rPr>
                <w:rFonts w:ascii="Arial" w:cs="Arial" w:eastAsia="Arial" w:hAnsi="Arial"/>
                <w:sz w:val="8"/>
                <w:szCs w:val="8"/>
                <w:color w:val="auto"/>
              </w:rPr>
              <w:t>—</w:t>
            </w:r>
          </w:p>
        </w:tc>
        <w:tc>
          <w:tcPr>
            <w:tcW w:w="88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31,261</w:t>
            </w:r>
          </w:p>
        </w:tc>
        <w:tc>
          <w:tcPr>
            <w:tcW w:w="68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80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r>
      <w:tr>
        <w:trPr>
          <w:trHeight w:val="129"/>
        </w:trPr>
        <w:tc>
          <w:tcPr>
            <w:tcW w:w="2280" w:type="dxa"/>
            <w:vAlign w:val="bottom"/>
          </w:tcPr>
          <w:p>
            <w:pPr>
              <w:ind w:left="20"/>
              <w:spacing w:after="0"/>
              <w:rPr>
                <w:sz w:val="20"/>
                <w:szCs w:val="20"/>
                <w:color w:val="auto"/>
              </w:rPr>
            </w:pPr>
            <w:r>
              <w:rPr>
                <w:rFonts w:ascii="Arial" w:cs="Arial" w:eastAsia="Arial" w:hAnsi="Arial"/>
                <w:sz w:val="8"/>
                <w:szCs w:val="8"/>
                <w:color w:val="auto"/>
              </w:rPr>
              <w:t>Issue of restricted share units/ performance share units</w:t>
            </w:r>
          </w:p>
        </w:tc>
        <w:tc>
          <w:tcPr>
            <w:tcW w:w="780" w:type="dxa"/>
            <w:vAlign w:val="bottom"/>
          </w:tcPr>
          <w:p>
            <w:pPr>
              <w:jc w:val="right"/>
              <w:ind w:right="218"/>
              <w:spacing w:after="0"/>
              <w:rPr>
                <w:sz w:val="20"/>
                <w:szCs w:val="20"/>
                <w:color w:val="auto"/>
              </w:rPr>
            </w:pPr>
            <w:r>
              <w:rPr>
                <w:rFonts w:ascii="Arial" w:cs="Arial" w:eastAsia="Arial" w:hAnsi="Arial"/>
                <w:sz w:val="8"/>
                <w:szCs w:val="8"/>
                <w:color w:val="auto"/>
              </w:rPr>
              <w:t>355,730</w:t>
            </w:r>
          </w:p>
        </w:tc>
        <w:tc>
          <w:tcPr>
            <w:tcW w:w="560" w:type="dxa"/>
            <w:vAlign w:val="bottom"/>
          </w:tcPr>
          <w:p>
            <w:pPr>
              <w:jc w:val="right"/>
              <w:ind w:right="158"/>
              <w:spacing w:after="0"/>
              <w:rPr>
                <w:sz w:val="20"/>
                <w:szCs w:val="20"/>
                <w:color w:val="auto"/>
              </w:rPr>
            </w:pPr>
            <w:r>
              <w:rPr>
                <w:rFonts w:ascii="Arial" w:cs="Arial" w:eastAsia="Arial" w:hAnsi="Arial"/>
                <w:sz w:val="8"/>
                <w:szCs w:val="8"/>
                <w:color w:val="auto"/>
              </w:rPr>
              <w:t>24</w:t>
            </w:r>
          </w:p>
        </w:tc>
        <w:tc>
          <w:tcPr>
            <w:tcW w:w="64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820" w:type="dxa"/>
            <w:vAlign w:val="bottom"/>
          </w:tcPr>
          <w:p>
            <w:pPr>
              <w:jc w:val="right"/>
              <w:ind w:right="138"/>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218"/>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118"/>
              <w:spacing w:after="0"/>
              <w:rPr>
                <w:sz w:val="20"/>
                <w:szCs w:val="20"/>
                <w:color w:val="auto"/>
              </w:rPr>
            </w:pPr>
            <w:r>
              <w:rPr>
                <w:rFonts w:ascii="Arial" w:cs="Arial" w:eastAsia="Arial" w:hAnsi="Arial"/>
                <w:sz w:val="8"/>
                <w:szCs w:val="8"/>
                <w:color w:val="auto"/>
              </w:rPr>
              <w:t>—</w:t>
            </w:r>
          </w:p>
        </w:tc>
        <w:tc>
          <w:tcPr>
            <w:tcW w:w="88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60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680" w:type="dxa"/>
            <w:vAlign w:val="bottom"/>
          </w:tcPr>
          <w:p>
            <w:pPr>
              <w:jc w:val="right"/>
              <w:ind w:right="178"/>
              <w:spacing w:after="0"/>
              <w:rPr>
                <w:sz w:val="20"/>
                <w:szCs w:val="20"/>
                <w:color w:val="auto"/>
              </w:rPr>
            </w:pPr>
            <w:r>
              <w:rPr>
                <w:rFonts w:ascii="Arial" w:cs="Arial" w:eastAsia="Arial" w:hAnsi="Arial"/>
                <w:sz w:val="8"/>
                <w:szCs w:val="8"/>
                <w:color w:val="auto"/>
              </w:rPr>
              <w:t>24</w:t>
            </w:r>
          </w:p>
        </w:tc>
        <w:tc>
          <w:tcPr>
            <w:tcW w:w="80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78"/>
              <w:spacing w:after="0"/>
              <w:rPr>
                <w:sz w:val="20"/>
                <w:szCs w:val="20"/>
                <w:color w:val="auto"/>
              </w:rPr>
            </w:pPr>
            <w:r>
              <w:rPr>
                <w:rFonts w:ascii="Arial" w:cs="Arial" w:eastAsia="Arial" w:hAnsi="Arial"/>
                <w:sz w:val="8"/>
                <w:szCs w:val="8"/>
                <w:color w:val="auto"/>
              </w:rPr>
              <w:t>24</w:t>
            </w:r>
          </w:p>
        </w:tc>
      </w:tr>
      <w:tr>
        <w:trPr>
          <w:trHeight w:val="147"/>
        </w:trPr>
        <w:tc>
          <w:tcPr>
            <w:tcW w:w="2280" w:type="dxa"/>
            <w:vAlign w:val="bottom"/>
            <w:shd w:val="clear" w:color="auto" w:fill="CCEEFF"/>
          </w:tcPr>
          <w:p>
            <w:pPr>
              <w:ind w:left="20"/>
              <w:spacing w:after="0"/>
              <w:rPr>
                <w:sz w:val="20"/>
                <w:szCs w:val="20"/>
                <w:color w:val="auto"/>
              </w:rPr>
            </w:pPr>
            <w:r>
              <w:rPr>
                <w:rFonts w:ascii="Arial" w:cs="Arial" w:eastAsia="Arial" w:hAnsi="Arial"/>
                <w:sz w:val="8"/>
                <w:szCs w:val="8"/>
                <w:color w:val="auto"/>
              </w:rPr>
              <w:t>Share issue costs</w:t>
            </w:r>
          </w:p>
        </w:tc>
        <w:tc>
          <w:tcPr>
            <w:tcW w:w="78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8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w:t>
            </w:r>
          </w:p>
        </w:tc>
        <w:tc>
          <w:tcPr>
            <w:tcW w:w="72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580" w:type="dxa"/>
            <w:vAlign w:val="bottom"/>
            <w:shd w:val="clear" w:color="auto" w:fill="CCEEFF"/>
          </w:tcPr>
          <w:p>
            <w:pPr>
              <w:jc w:val="right"/>
              <w:ind w:right="118"/>
              <w:spacing w:after="0"/>
              <w:rPr>
                <w:sz w:val="20"/>
                <w:szCs w:val="20"/>
                <w:color w:val="auto"/>
              </w:rPr>
            </w:pPr>
            <w:r>
              <w:rPr>
                <w:rFonts w:ascii="Arial" w:cs="Arial" w:eastAsia="Arial" w:hAnsi="Arial"/>
                <w:sz w:val="8"/>
                <w:szCs w:val="8"/>
                <w:color w:val="auto"/>
              </w:rPr>
              <w:t>—</w:t>
            </w:r>
          </w:p>
        </w:tc>
        <w:tc>
          <w:tcPr>
            <w:tcW w:w="88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(13)</w:t>
            </w:r>
          </w:p>
        </w:tc>
        <w:tc>
          <w:tcPr>
            <w:tcW w:w="68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(13)</w:t>
            </w:r>
          </w:p>
        </w:tc>
        <w:tc>
          <w:tcPr>
            <w:tcW w:w="80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(13)</w:t>
            </w:r>
          </w:p>
        </w:tc>
      </w:tr>
      <w:tr>
        <w:trPr>
          <w:trHeight w:val="129"/>
        </w:trPr>
        <w:tc>
          <w:tcPr>
            <w:tcW w:w="2280" w:type="dxa"/>
            <w:vAlign w:val="bottom"/>
          </w:tcPr>
          <w:p>
            <w:pPr>
              <w:ind w:left="20"/>
              <w:spacing w:after="0"/>
              <w:rPr>
                <w:sz w:val="20"/>
                <w:szCs w:val="20"/>
                <w:color w:val="auto"/>
              </w:rPr>
            </w:pPr>
            <w:r>
              <w:rPr>
                <w:rFonts w:ascii="Arial" w:cs="Arial" w:eastAsia="Arial" w:hAnsi="Arial"/>
                <w:sz w:val="8"/>
                <w:szCs w:val="8"/>
                <w:color w:val="auto"/>
              </w:rPr>
              <w:t>Repurchase of ordinary shares</w:t>
            </w:r>
          </w:p>
        </w:tc>
        <w:tc>
          <w:tcPr>
            <w:tcW w:w="780" w:type="dxa"/>
            <w:vAlign w:val="bottom"/>
          </w:tcPr>
          <w:p>
            <w:pPr>
              <w:jc w:val="right"/>
              <w:ind w:right="198"/>
              <w:spacing w:after="0"/>
              <w:rPr>
                <w:sz w:val="20"/>
                <w:szCs w:val="20"/>
                <w:color w:val="auto"/>
              </w:rPr>
            </w:pPr>
            <w:r>
              <w:rPr>
                <w:rFonts w:ascii="Arial" w:cs="Arial" w:eastAsia="Arial" w:hAnsi="Arial"/>
                <w:sz w:val="8"/>
                <w:szCs w:val="8"/>
                <w:color w:val="auto"/>
              </w:rPr>
              <w:t>(1,035,100)</w:t>
            </w:r>
          </w:p>
        </w:tc>
        <w:tc>
          <w:tcPr>
            <w:tcW w:w="560" w:type="dxa"/>
            <w:vAlign w:val="bottom"/>
          </w:tcPr>
          <w:p>
            <w:pPr>
              <w:jc w:val="right"/>
              <w:ind w:right="138"/>
              <w:spacing w:after="0"/>
              <w:rPr>
                <w:sz w:val="20"/>
                <w:szCs w:val="20"/>
                <w:color w:val="auto"/>
              </w:rPr>
            </w:pPr>
            <w:r>
              <w:rPr>
                <w:rFonts w:ascii="Arial" w:cs="Arial" w:eastAsia="Arial" w:hAnsi="Arial"/>
                <w:sz w:val="8"/>
                <w:szCs w:val="8"/>
                <w:color w:val="auto"/>
              </w:rPr>
              <w:t>(69)</w:t>
            </w:r>
          </w:p>
        </w:tc>
        <w:tc>
          <w:tcPr>
            <w:tcW w:w="64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820" w:type="dxa"/>
            <w:vAlign w:val="bottom"/>
          </w:tcPr>
          <w:p>
            <w:pPr>
              <w:jc w:val="right"/>
              <w:ind w:right="138"/>
              <w:spacing w:after="0"/>
              <w:rPr>
                <w:sz w:val="20"/>
                <w:szCs w:val="20"/>
                <w:color w:val="auto"/>
              </w:rPr>
            </w:pPr>
            <w:r>
              <w:rPr>
                <w:rFonts w:ascii="Arial" w:cs="Arial" w:eastAsia="Arial" w:hAnsi="Arial"/>
                <w:sz w:val="8"/>
                <w:szCs w:val="8"/>
                <w:color w:val="auto"/>
              </w:rPr>
              <w:t>69</w:t>
            </w:r>
          </w:p>
        </w:tc>
        <w:tc>
          <w:tcPr>
            <w:tcW w:w="720" w:type="dxa"/>
            <w:vAlign w:val="bottom"/>
          </w:tcPr>
          <w:p>
            <w:pPr>
              <w:jc w:val="right"/>
              <w:ind w:right="218"/>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118"/>
              <w:spacing w:after="0"/>
              <w:rPr>
                <w:sz w:val="20"/>
                <w:szCs w:val="20"/>
                <w:color w:val="auto"/>
              </w:rPr>
            </w:pPr>
            <w:r>
              <w:rPr>
                <w:rFonts w:ascii="Arial" w:cs="Arial" w:eastAsia="Arial" w:hAnsi="Arial"/>
                <w:sz w:val="8"/>
                <w:szCs w:val="8"/>
                <w:color w:val="auto"/>
              </w:rPr>
              <w:t>—</w:t>
            </w:r>
          </w:p>
        </w:tc>
        <w:tc>
          <w:tcPr>
            <w:tcW w:w="88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600" w:type="dxa"/>
            <w:vAlign w:val="bottom"/>
          </w:tcPr>
          <w:p>
            <w:pPr>
              <w:jc w:val="right"/>
              <w:ind w:right="138"/>
              <w:spacing w:after="0"/>
              <w:rPr>
                <w:sz w:val="20"/>
                <w:szCs w:val="20"/>
                <w:color w:val="auto"/>
              </w:rPr>
            </w:pPr>
            <w:r>
              <w:rPr>
                <w:rFonts w:ascii="Arial" w:cs="Arial" w:eastAsia="Arial" w:hAnsi="Arial"/>
                <w:sz w:val="8"/>
                <w:szCs w:val="8"/>
                <w:color w:val="auto"/>
              </w:rPr>
              <w:t>(146,931)</w:t>
            </w:r>
          </w:p>
        </w:tc>
        <w:tc>
          <w:tcPr>
            <w:tcW w:w="680" w:type="dxa"/>
            <w:vAlign w:val="bottom"/>
          </w:tcPr>
          <w:p>
            <w:pPr>
              <w:jc w:val="right"/>
              <w:ind w:right="138"/>
              <w:spacing w:after="0"/>
              <w:rPr>
                <w:sz w:val="20"/>
                <w:szCs w:val="20"/>
                <w:color w:val="auto"/>
              </w:rPr>
            </w:pPr>
            <w:r>
              <w:rPr>
                <w:rFonts w:ascii="Arial" w:cs="Arial" w:eastAsia="Arial" w:hAnsi="Arial"/>
                <w:sz w:val="8"/>
                <w:szCs w:val="8"/>
                <w:color w:val="auto"/>
              </w:rPr>
              <w:t>(146,931)</w:t>
            </w:r>
          </w:p>
        </w:tc>
        <w:tc>
          <w:tcPr>
            <w:tcW w:w="80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58"/>
              <w:spacing w:after="0"/>
              <w:rPr>
                <w:sz w:val="20"/>
                <w:szCs w:val="20"/>
                <w:color w:val="auto"/>
              </w:rPr>
            </w:pPr>
            <w:r>
              <w:rPr>
                <w:rFonts w:ascii="Arial" w:cs="Arial" w:eastAsia="Arial" w:hAnsi="Arial"/>
                <w:sz w:val="8"/>
                <w:szCs w:val="8"/>
                <w:color w:val="auto"/>
              </w:rPr>
              <w:t>(146,931)</w:t>
            </w:r>
          </w:p>
        </w:tc>
      </w:tr>
      <w:tr>
        <w:trPr>
          <w:trHeight w:val="147"/>
        </w:trPr>
        <w:tc>
          <w:tcPr>
            <w:tcW w:w="2280" w:type="dxa"/>
            <w:vAlign w:val="bottom"/>
            <w:shd w:val="clear" w:color="auto" w:fill="CCEEFF"/>
          </w:tcPr>
          <w:p>
            <w:pPr>
              <w:ind w:left="20"/>
              <w:spacing w:after="0"/>
              <w:rPr>
                <w:sz w:val="20"/>
                <w:szCs w:val="20"/>
                <w:color w:val="auto"/>
              </w:rPr>
            </w:pPr>
            <w:r>
              <w:rPr>
                <w:rFonts w:ascii="Arial" w:cs="Arial" w:eastAsia="Arial" w:hAnsi="Arial"/>
                <w:sz w:val="8"/>
                <w:szCs w:val="8"/>
                <w:color w:val="auto"/>
              </w:rPr>
              <w:t>Share repurchase costs</w:t>
            </w:r>
          </w:p>
        </w:tc>
        <w:tc>
          <w:tcPr>
            <w:tcW w:w="78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8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w:t>
            </w:r>
          </w:p>
        </w:tc>
        <w:tc>
          <w:tcPr>
            <w:tcW w:w="72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580" w:type="dxa"/>
            <w:vAlign w:val="bottom"/>
            <w:shd w:val="clear" w:color="auto" w:fill="CCEEFF"/>
          </w:tcPr>
          <w:p>
            <w:pPr>
              <w:jc w:val="right"/>
              <w:ind w:right="118"/>
              <w:spacing w:after="0"/>
              <w:rPr>
                <w:sz w:val="20"/>
                <w:szCs w:val="20"/>
                <w:color w:val="auto"/>
              </w:rPr>
            </w:pPr>
            <w:r>
              <w:rPr>
                <w:rFonts w:ascii="Arial" w:cs="Arial" w:eastAsia="Arial" w:hAnsi="Arial"/>
                <w:sz w:val="8"/>
                <w:szCs w:val="8"/>
                <w:color w:val="auto"/>
              </w:rPr>
              <w:t>—</w:t>
            </w:r>
          </w:p>
        </w:tc>
        <w:tc>
          <w:tcPr>
            <w:tcW w:w="88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(107)</w:t>
            </w:r>
          </w:p>
        </w:tc>
        <w:tc>
          <w:tcPr>
            <w:tcW w:w="68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(107)</w:t>
            </w:r>
          </w:p>
        </w:tc>
        <w:tc>
          <w:tcPr>
            <w:tcW w:w="80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(107)</w:t>
            </w:r>
          </w:p>
        </w:tc>
      </w:tr>
      <w:tr>
        <w:trPr>
          <w:trHeight w:val="129"/>
        </w:trPr>
        <w:tc>
          <w:tcPr>
            <w:tcW w:w="2280" w:type="dxa"/>
            <w:vAlign w:val="bottom"/>
          </w:tcPr>
          <w:p>
            <w:pPr>
              <w:ind w:left="20"/>
              <w:spacing w:after="0"/>
              <w:rPr>
                <w:sz w:val="20"/>
                <w:szCs w:val="20"/>
                <w:color w:val="auto"/>
              </w:rPr>
            </w:pPr>
            <w:r>
              <w:rPr>
                <w:rFonts w:ascii="Arial" w:cs="Arial" w:eastAsia="Arial" w:hAnsi="Arial"/>
                <w:sz w:val="8"/>
                <w:szCs w:val="8"/>
                <w:color w:val="auto"/>
              </w:rPr>
              <w:t>Tax benefit excess on exercise of options</w:t>
            </w:r>
          </w:p>
        </w:tc>
        <w:tc>
          <w:tcPr>
            <w:tcW w:w="780" w:type="dxa"/>
            <w:vAlign w:val="bottom"/>
          </w:tcPr>
          <w:p>
            <w:pPr>
              <w:jc w:val="right"/>
              <w:ind w:right="218"/>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64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820" w:type="dxa"/>
            <w:vAlign w:val="bottom"/>
          </w:tcPr>
          <w:p>
            <w:pPr>
              <w:jc w:val="right"/>
              <w:ind w:right="138"/>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218"/>
              <w:spacing w:after="0"/>
              <w:rPr>
                <w:sz w:val="20"/>
                <w:szCs w:val="20"/>
                <w:color w:val="auto"/>
              </w:rPr>
            </w:pPr>
            <w:r>
              <w:rPr>
                <w:rFonts w:ascii="Arial" w:cs="Arial" w:eastAsia="Arial" w:hAnsi="Arial"/>
                <w:sz w:val="8"/>
                <w:szCs w:val="8"/>
                <w:color w:val="auto"/>
              </w:rPr>
              <w:t>7,046</w:t>
            </w:r>
          </w:p>
        </w:tc>
        <w:tc>
          <w:tcPr>
            <w:tcW w:w="62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118"/>
              <w:spacing w:after="0"/>
              <w:rPr>
                <w:sz w:val="20"/>
                <w:szCs w:val="20"/>
                <w:color w:val="auto"/>
              </w:rPr>
            </w:pPr>
            <w:r>
              <w:rPr>
                <w:rFonts w:ascii="Arial" w:cs="Arial" w:eastAsia="Arial" w:hAnsi="Arial"/>
                <w:sz w:val="8"/>
                <w:szCs w:val="8"/>
                <w:color w:val="auto"/>
              </w:rPr>
              <w:t>—</w:t>
            </w:r>
          </w:p>
        </w:tc>
        <w:tc>
          <w:tcPr>
            <w:tcW w:w="88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60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680" w:type="dxa"/>
            <w:vAlign w:val="bottom"/>
          </w:tcPr>
          <w:p>
            <w:pPr>
              <w:jc w:val="right"/>
              <w:ind w:right="178"/>
              <w:spacing w:after="0"/>
              <w:rPr>
                <w:sz w:val="20"/>
                <w:szCs w:val="20"/>
                <w:color w:val="auto"/>
              </w:rPr>
            </w:pPr>
            <w:r>
              <w:rPr>
                <w:rFonts w:ascii="Arial" w:cs="Arial" w:eastAsia="Arial" w:hAnsi="Arial"/>
                <w:sz w:val="8"/>
                <w:szCs w:val="8"/>
                <w:color w:val="auto"/>
              </w:rPr>
              <w:t>7,046</w:t>
            </w:r>
          </w:p>
        </w:tc>
        <w:tc>
          <w:tcPr>
            <w:tcW w:w="80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78"/>
              <w:spacing w:after="0"/>
              <w:rPr>
                <w:sz w:val="20"/>
                <w:szCs w:val="20"/>
                <w:color w:val="auto"/>
              </w:rPr>
            </w:pPr>
            <w:r>
              <w:rPr>
                <w:rFonts w:ascii="Arial" w:cs="Arial" w:eastAsia="Arial" w:hAnsi="Arial"/>
                <w:sz w:val="8"/>
                <w:szCs w:val="8"/>
                <w:color w:val="auto"/>
              </w:rPr>
              <w:t>7,046</w:t>
            </w:r>
          </w:p>
        </w:tc>
      </w:tr>
      <w:tr>
        <w:trPr>
          <w:trHeight w:val="147"/>
        </w:trPr>
        <w:tc>
          <w:tcPr>
            <w:tcW w:w="2280" w:type="dxa"/>
            <w:vAlign w:val="bottom"/>
            <w:shd w:val="clear" w:color="auto" w:fill="CCEEFF"/>
          </w:tcPr>
          <w:p>
            <w:pPr>
              <w:ind w:left="20"/>
              <w:spacing w:after="0"/>
              <w:rPr>
                <w:sz w:val="20"/>
                <w:szCs w:val="20"/>
                <w:color w:val="auto"/>
              </w:rPr>
            </w:pPr>
            <w:r>
              <w:rPr>
                <w:rFonts w:ascii="Arial" w:cs="Arial" w:eastAsia="Arial" w:hAnsi="Arial"/>
                <w:sz w:val="8"/>
                <w:szCs w:val="8"/>
                <w:color w:val="auto"/>
              </w:rPr>
              <w:t>Deferred tax movement on unexercised options</w:t>
            </w:r>
          </w:p>
        </w:tc>
        <w:tc>
          <w:tcPr>
            <w:tcW w:w="78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8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w:t>
            </w:r>
          </w:p>
        </w:tc>
        <w:tc>
          <w:tcPr>
            <w:tcW w:w="72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(681)</w:t>
            </w:r>
          </w:p>
        </w:tc>
        <w:tc>
          <w:tcPr>
            <w:tcW w:w="62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580" w:type="dxa"/>
            <w:vAlign w:val="bottom"/>
            <w:shd w:val="clear" w:color="auto" w:fill="CCEEFF"/>
          </w:tcPr>
          <w:p>
            <w:pPr>
              <w:jc w:val="right"/>
              <w:ind w:right="118"/>
              <w:spacing w:after="0"/>
              <w:rPr>
                <w:sz w:val="20"/>
                <w:szCs w:val="20"/>
                <w:color w:val="auto"/>
              </w:rPr>
            </w:pPr>
            <w:r>
              <w:rPr>
                <w:rFonts w:ascii="Arial" w:cs="Arial" w:eastAsia="Arial" w:hAnsi="Arial"/>
                <w:sz w:val="8"/>
                <w:szCs w:val="8"/>
                <w:color w:val="auto"/>
              </w:rPr>
              <w:t>—</w:t>
            </w:r>
          </w:p>
        </w:tc>
        <w:tc>
          <w:tcPr>
            <w:tcW w:w="88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68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(681)</w:t>
            </w:r>
          </w:p>
        </w:tc>
        <w:tc>
          <w:tcPr>
            <w:tcW w:w="80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(681)</w:t>
            </w:r>
          </w:p>
        </w:tc>
      </w:tr>
      <w:tr>
        <w:trPr>
          <w:trHeight w:val="129"/>
        </w:trPr>
        <w:tc>
          <w:tcPr>
            <w:tcW w:w="2280" w:type="dxa"/>
            <w:vAlign w:val="bottom"/>
          </w:tcPr>
          <w:p>
            <w:pPr>
              <w:ind w:left="20"/>
              <w:spacing w:after="0"/>
              <w:rPr>
                <w:sz w:val="20"/>
                <w:szCs w:val="20"/>
                <w:color w:val="auto"/>
              </w:rPr>
            </w:pPr>
            <w:r>
              <w:rPr>
                <w:rFonts w:ascii="Arial" w:cs="Arial" w:eastAsia="Arial" w:hAnsi="Arial"/>
                <w:sz w:val="8"/>
                <w:szCs w:val="8"/>
                <w:color w:val="auto"/>
              </w:rPr>
              <w:t>Acquisition of noncontrolling interest</w:t>
            </w:r>
          </w:p>
        </w:tc>
        <w:tc>
          <w:tcPr>
            <w:tcW w:w="780" w:type="dxa"/>
            <w:vAlign w:val="bottom"/>
          </w:tcPr>
          <w:p>
            <w:pPr>
              <w:jc w:val="right"/>
              <w:ind w:right="218"/>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64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820" w:type="dxa"/>
            <w:vAlign w:val="bottom"/>
          </w:tcPr>
          <w:p>
            <w:pPr>
              <w:jc w:val="right"/>
              <w:ind w:right="138"/>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218"/>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580" w:type="dxa"/>
            <w:vAlign w:val="bottom"/>
          </w:tcPr>
          <w:p>
            <w:pPr>
              <w:jc w:val="right"/>
              <w:ind w:right="118"/>
              <w:spacing w:after="0"/>
              <w:rPr>
                <w:sz w:val="20"/>
                <w:szCs w:val="20"/>
                <w:color w:val="auto"/>
              </w:rPr>
            </w:pPr>
            <w:r>
              <w:rPr>
                <w:rFonts w:ascii="Arial" w:cs="Arial" w:eastAsia="Arial" w:hAnsi="Arial"/>
                <w:sz w:val="8"/>
                <w:szCs w:val="8"/>
                <w:color w:val="auto"/>
              </w:rPr>
              <w:t>—</w:t>
            </w:r>
          </w:p>
        </w:tc>
        <w:tc>
          <w:tcPr>
            <w:tcW w:w="88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600" w:type="dxa"/>
            <w:vAlign w:val="bottom"/>
          </w:tcPr>
          <w:p>
            <w:pPr>
              <w:jc w:val="right"/>
              <w:ind w:right="158"/>
              <w:spacing w:after="0"/>
              <w:rPr>
                <w:sz w:val="20"/>
                <w:szCs w:val="20"/>
                <w:color w:val="auto"/>
              </w:rPr>
            </w:pPr>
            <w:r>
              <w:rPr>
                <w:rFonts w:ascii="Arial" w:cs="Arial" w:eastAsia="Arial" w:hAnsi="Arial"/>
                <w:sz w:val="8"/>
                <w:szCs w:val="8"/>
                <w:color w:val="auto"/>
              </w:rPr>
              <w:t>—</w:t>
            </w:r>
          </w:p>
        </w:tc>
        <w:tc>
          <w:tcPr>
            <w:tcW w:w="68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800" w:type="dxa"/>
            <w:vAlign w:val="bottom"/>
          </w:tcPr>
          <w:p>
            <w:pPr>
              <w:jc w:val="right"/>
              <w:ind w:right="178"/>
              <w:spacing w:after="0"/>
              <w:rPr>
                <w:sz w:val="20"/>
                <w:szCs w:val="20"/>
                <w:color w:val="auto"/>
              </w:rPr>
            </w:pPr>
            <w:r>
              <w:rPr>
                <w:rFonts w:ascii="Arial" w:cs="Arial" w:eastAsia="Arial" w:hAnsi="Arial"/>
                <w:sz w:val="8"/>
                <w:szCs w:val="8"/>
                <w:color w:val="auto"/>
              </w:rPr>
              <w:t>32,592</w:t>
            </w:r>
          </w:p>
        </w:tc>
        <w:tc>
          <w:tcPr>
            <w:tcW w:w="620" w:type="dxa"/>
            <w:vAlign w:val="bottom"/>
          </w:tcPr>
          <w:p>
            <w:pPr>
              <w:jc w:val="right"/>
              <w:ind w:right="78"/>
              <w:spacing w:after="0"/>
              <w:rPr>
                <w:sz w:val="20"/>
                <w:szCs w:val="20"/>
                <w:color w:val="auto"/>
              </w:rPr>
            </w:pPr>
            <w:r>
              <w:rPr>
                <w:rFonts w:ascii="Arial" w:cs="Arial" w:eastAsia="Arial" w:hAnsi="Arial"/>
                <w:sz w:val="8"/>
                <w:szCs w:val="8"/>
                <w:color w:val="auto"/>
              </w:rPr>
              <w:t>32,592</w:t>
            </w:r>
          </w:p>
        </w:tc>
      </w:tr>
      <w:tr>
        <w:trPr>
          <w:trHeight w:val="147"/>
        </w:trPr>
        <w:tc>
          <w:tcPr>
            <w:tcW w:w="2280" w:type="dxa"/>
            <w:vAlign w:val="bottom"/>
            <w:shd w:val="clear" w:color="auto" w:fill="CCEEFF"/>
          </w:tcPr>
          <w:p>
            <w:pPr>
              <w:ind w:left="20"/>
              <w:spacing w:after="0"/>
              <w:rPr>
                <w:sz w:val="20"/>
                <w:szCs w:val="20"/>
                <w:color w:val="auto"/>
              </w:rPr>
            </w:pPr>
            <w:r>
              <w:rPr>
                <w:rFonts w:ascii="Arial" w:cs="Arial" w:eastAsia="Arial" w:hAnsi="Arial"/>
                <w:sz w:val="8"/>
                <w:szCs w:val="8"/>
                <w:color w:val="auto"/>
              </w:rPr>
              <w:t>Put option on noncontrolling interest shares</w:t>
            </w:r>
          </w:p>
        </w:tc>
        <w:tc>
          <w:tcPr>
            <w:tcW w:w="78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82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w:t>
            </w:r>
          </w:p>
        </w:tc>
        <w:tc>
          <w:tcPr>
            <w:tcW w:w="72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580" w:type="dxa"/>
            <w:vAlign w:val="bottom"/>
            <w:shd w:val="clear" w:color="auto" w:fill="CCEEFF"/>
          </w:tcPr>
          <w:p>
            <w:pPr>
              <w:jc w:val="right"/>
              <w:ind w:right="118"/>
              <w:spacing w:after="0"/>
              <w:rPr>
                <w:sz w:val="20"/>
                <w:szCs w:val="20"/>
                <w:color w:val="auto"/>
              </w:rPr>
            </w:pPr>
            <w:r>
              <w:rPr>
                <w:rFonts w:ascii="Arial" w:cs="Arial" w:eastAsia="Arial" w:hAnsi="Arial"/>
                <w:sz w:val="8"/>
                <w:szCs w:val="8"/>
                <w:color w:val="auto"/>
              </w:rPr>
              <w:t>—</w:t>
            </w:r>
          </w:p>
        </w:tc>
        <w:tc>
          <w:tcPr>
            <w:tcW w:w="88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(38,482)</w:t>
            </w:r>
          </w:p>
        </w:tc>
        <w:tc>
          <w:tcPr>
            <w:tcW w:w="60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68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rPr>
              <w:t>(38,482)</w:t>
            </w:r>
          </w:p>
        </w:tc>
        <w:tc>
          <w:tcPr>
            <w:tcW w:w="80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(38,482)</w:t>
            </w:r>
          </w:p>
        </w:tc>
      </w:tr>
      <w:tr>
        <w:trPr>
          <w:trHeight w:val="12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Non-distributable reserves</w:t>
            </w: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8"/>
                <w:szCs w:val="8"/>
                <w:color w:val="auto"/>
              </w:rPr>
              <w:t>—</w:t>
            </w:r>
          </w:p>
        </w:tc>
        <w:tc>
          <w:tcPr>
            <w:tcW w:w="56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color w:val="auto"/>
              </w:rPr>
              <w:t>—</w:t>
            </w: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8"/>
                <w:szCs w:val="8"/>
                <w:color w:val="auto"/>
              </w:rPr>
              <w:t>—</w:t>
            </w:r>
          </w:p>
        </w:tc>
        <w:tc>
          <w:tcPr>
            <w:tcW w:w="820" w:type="dxa"/>
            <w:vAlign w:val="bottom"/>
            <w:tcBorders>
              <w:bottom w:val="single" w:sz="8" w:color="auto"/>
            </w:tcBorders>
          </w:tcPr>
          <w:p>
            <w:pPr>
              <w:jc w:val="right"/>
              <w:ind w:right="138"/>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color w:val="auto"/>
              </w:rPr>
              <w:t>(71)</w:t>
            </w: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rPr>
              <w:t>—</w:t>
            </w:r>
          </w:p>
        </w:tc>
        <w:tc>
          <w:tcPr>
            <w:tcW w:w="88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color w:val="auto"/>
              </w:rPr>
              <w:t>—</w:t>
            </w:r>
          </w:p>
        </w:tc>
        <w:tc>
          <w:tcPr>
            <w:tcW w:w="7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60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color w:val="auto"/>
              </w:rPr>
              <w:t>71</w:t>
            </w:r>
          </w:p>
        </w:tc>
        <w:tc>
          <w:tcPr>
            <w:tcW w:w="68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color w:val="auto"/>
              </w:rPr>
              <w:t>—</w:t>
            </w: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r>
      <w:tr>
        <w:trPr>
          <w:trHeight w:val="129"/>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8"/>
                <w:szCs w:val="8"/>
                <w:color w:val="auto"/>
              </w:rPr>
              <w:t>Total contributions by and distributions to owners</w:t>
            </w:r>
          </w:p>
        </w:tc>
        <w:tc>
          <w:tcPr>
            <w:tcW w:w="7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8"/>
                <w:szCs w:val="8"/>
                <w:color w:val="auto"/>
              </w:rPr>
              <w:t>(349,500)</w:t>
            </w:r>
          </w:p>
        </w:tc>
        <w:tc>
          <w:tcPr>
            <w:tcW w:w="5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8"/>
                <w:szCs w:val="8"/>
                <w:color w:val="auto"/>
              </w:rPr>
              <w:t>(23)</w:t>
            </w:r>
          </w:p>
        </w:tc>
        <w:tc>
          <w:tcPr>
            <w:tcW w:w="6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8"/>
                <w:szCs w:val="8"/>
                <w:color w:val="auto"/>
              </w:rPr>
              <w:t>21,599</w:t>
            </w:r>
          </w:p>
        </w:tc>
        <w:tc>
          <w:tcPr>
            <w:tcW w:w="8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8"/>
                <w:szCs w:val="8"/>
                <w:color w:val="auto"/>
              </w:rPr>
              <w:t>69</w:t>
            </w:r>
          </w:p>
        </w:tc>
        <w:tc>
          <w:tcPr>
            <w:tcW w:w="72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8"/>
                <w:szCs w:val="8"/>
                <w:color w:val="auto"/>
              </w:rPr>
              <w:t>904</w:t>
            </w:r>
          </w:p>
        </w:tc>
        <w:tc>
          <w:tcPr>
            <w:tcW w:w="62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8"/>
                <w:szCs w:val="8"/>
                <w:color w:val="auto"/>
              </w:rPr>
              <w:t>(71)</w:t>
            </w:r>
          </w:p>
        </w:tc>
        <w:tc>
          <w:tcPr>
            <w:tcW w:w="5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8"/>
                <w:szCs w:val="8"/>
                <w:color w:val="auto"/>
              </w:rPr>
              <w:t>—</w:t>
            </w:r>
          </w:p>
        </w:tc>
        <w:tc>
          <w:tcPr>
            <w:tcW w:w="88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8"/>
                <w:szCs w:val="8"/>
                <w:color w:val="auto"/>
              </w:rPr>
              <w:t>—</w:t>
            </w:r>
          </w:p>
        </w:tc>
        <w:tc>
          <w:tcPr>
            <w:tcW w:w="7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(38,482)</w:t>
            </w:r>
          </w:p>
        </w:tc>
        <w:tc>
          <w:tcPr>
            <w:tcW w:w="6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8"/>
                <w:szCs w:val="8"/>
                <w:color w:val="auto"/>
              </w:rPr>
              <w:t>(115,719)</w:t>
            </w:r>
          </w:p>
        </w:tc>
        <w:tc>
          <w:tcPr>
            <w:tcW w:w="6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8"/>
                <w:szCs w:val="8"/>
                <w:color w:val="auto"/>
              </w:rPr>
              <w:t>(131,723)</w:t>
            </w:r>
          </w:p>
        </w:tc>
        <w:tc>
          <w:tcPr>
            <w:tcW w:w="8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8"/>
                <w:szCs w:val="8"/>
                <w:color w:val="auto"/>
              </w:rPr>
              <w:t>32,592</w:t>
            </w:r>
          </w:p>
        </w:tc>
        <w:tc>
          <w:tcPr>
            <w:tcW w:w="6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(99,131)</w:t>
            </w:r>
          </w:p>
        </w:tc>
      </w:tr>
      <w:tr>
        <w:trPr>
          <w:trHeight w:val="13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8"/>
                <w:szCs w:val="8"/>
                <w:b w:val="1"/>
                <w:bCs w:val="1"/>
                <w:color w:val="auto"/>
              </w:rPr>
              <w:t>Balance at 31 December 2019</w:t>
            </w: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8"/>
                <w:szCs w:val="8"/>
                <w:b w:val="1"/>
                <w:bCs w:val="1"/>
                <w:color w:val="auto"/>
              </w:rPr>
              <w:t>53,622,206</w:t>
            </w:r>
          </w:p>
        </w:tc>
        <w:tc>
          <w:tcPr>
            <w:tcW w:w="56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b w:val="1"/>
                <w:bCs w:val="1"/>
                <w:color w:val="auto"/>
              </w:rPr>
              <w:t>4,635</w:t>
            </w: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8"/>
                <w:szCs w:val="8"/>
                <w:b w:val="1"/>
                <w:bCs w:val="1"/>
                <w:color w:val="auto"/>
              </w:rPr>
              <w:t>305,228</w:t>
            </w:r>
          </w:p>
        </w:tc>
        <w:tc>
          <w:tcPr>
            <w:tcW w:w="820" w:type="dxa"/>
            <w:vAlign w:val="bottom"/>
            <w:tcBorders>
              <w:bottom w:val="single" w:sz="8" w:color="auto"/>
            </w:tcBorders>
          </w:tcPr>
          <w:p>
            <w:pPr>
              <w:jc w:val="right"/>
              <w:ind w:right="138"/>
              <w:spacing w:after="0"/>
              <w:rPr>
                <w:sz w:val="20"/>
                <w:szCs w:val="20"/>
                <w:color w:val="auto"/>
              </w:rPr>
            </w:pPr>
            <w:r>
              <w:rPr>
                <w:rFonts w:ascii="Arial" w:cs="Arial" w:eastAsia="Arial" w:hAnsi="Arial"/>
                <w:sz w:val="8"/>
                <w:szCs w:val="8"/>
                <w:b w:val="1"/>
                <w:bCs w:val="1"/>
                <w:color w:val="auto"/>
              </w:rPr>
              <w:t>1,052</w:t>
            </w: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8"/>
                <w:szCs w:val="8"/>
                <w:b w:val="1"/>
                <w:bCs w:val="1"/>
                <w:color w:val="auto"/>
              </w:rPr>
              <w:t>174,230</w:t>
            </w:r>
          </w:p>
        </w:tc>
        <w:tc>
          <w:tcPr>
            <w:tcW w:w="620" w:type="dxa"/>
            <w:vAlign w:val="bottom"/>
            <w:tcBorders>
              <w:bottom w:val="single" w:sz="8" w:color="auto"/>
            </w:tcBorders>
          </w:tcPr>
          <w:p>
            <w:pPr>
              <w:jc w:val="right"/>
              <w:ind w:right="198"/>
              <w:spacing w:after="0"/>
              <w:rPr>
                <w:sz w:val="20"/>
                <w:szCs w:val="20"/>
                <w:color w:val="auto"/>
              </w:rPr>
            </w:pPr>
            <w:r>
              <w:rPr>
                <w:rFonts w:ascii="Arial" w:cs="Arial" w:eastAsia="Arial" w:hAnsi="Arial"/>
                <w:sz w:val="8"/>
                <w:szCs w:val="8"/>
                <w:b w:val="1"/>
                <w:bCs w:val="1"/>
                <w:color w:val="auto"/>
              </w:rPr>
              <w:t>10,874</w:t>
            </w: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b w:val="1"/>
                <w:bCs w:val="1"/>
                <w:color w:val="auto"/>
              </w:rPr>
              <w:t>(71,492)</w:t>
            </w:r>
          </w:p>
        </w:tc>
        <w:tc>
          <w:tcPr>
            <w:tcW w:w="88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b w:val="1"/>
                <w:bCs w:val="1"/>
                <w:color w:val="auto"/>
              </w:rPr>
              <w:t>231</w:t>
            </w:r>
          </w:p>
        </w:tc>
        <w:tc>
          <w:tcPr>
            <w:tcW w:w="70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b w:val="1"/>
                <w:bCs w:val="1"/>
                <w:color w:val="auto"/>
              </w:rPr>
              <w:t>(38,482)</w:t>
            </w:r>
          </w:p>
        </w:tc>
        <w:tc>
          <w:tcPr>
            <w:tcW w:w="60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b w:val="1"/>
                <w:bCs w:val="1"/>
                <w:color w:val="auto"/>
              </w:rPr>
              <w:t>1,220,871</w:t>
            </w:r>
          </w:p>
        </w:tc>
        <w:tc>
          <w:tcPr>
            <w:tcW w:w="68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b w:val="1"/>
                <w:bCs w:val="1"/>
                <w:color w:val="auto"/>
              </w:rPr>
              <w:t>1,607,147</w:t>
            </w: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b w:val="1"/>
                <w:bCs w:val="1"/>
                <w:color w:val="auto"/>
              </w:rPr>
              <w:t>34,462</w:t>
            </w:r>
          </w:p>
        </w:tc>
        <w:tc>
          <w:tcPr>
            <w:tcW w:w="6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b w:val="1"/>
                <w:bCs w:val="1"/>
                <w:color w:val="auto"/>
              </w:rPr>
              <w:t>1,641,609</w:t>
            </w:r>
          </w:p>
        </w:tc>
      </w:tr>
    </w:tbl>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80"/>
          </w:cols>
          <w:pgMar w:left="300" w:top="716" w:right="31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Consolidated Statement of Changes in Equity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2018</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Financial assets at</w:t>
            </w:r>
          </w:p>
        </w:tc>
        <w:tc>
          <w:tcPr>
            <w:tcW w:w="7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06"/>
        </w:trPr>
        <w:tc>
          <w:tcPr>
            <w:tcW w:w="31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60" w:type="dxa"/>
            <w:vAlign w:val="bottom"/>
            <w:shd w:val="clear" w:color="auto" w:fill="CCEEFF"/>
          </w:tcPr>
          <w:p>
            <w:pPr>
              <w:jc w:val="right"/>
              <w:ind w:right="91"/>
              <w:spacing w:after="0" w:line="106" w:lineRule="exact"/>
              <w:rPr>
                <w:sz w:val="20"/>
                <w:szCs w:val="20"/>
                <w:color w:val="auto"/>
              </w:rPr>
            </w:pPr>
            <w:r>
              <w:rPr>
                <w:rFonts w:ascii="Arial" w:cs="Arial" w:eastAsia="Arial" w:hAnsi="Arial"/>
                <w:sz w:val="10"/>
                <w:szCs w:val="10"/>
                <w:b w:val="1"/>
                <w:bCs w:val="1"/>
                <w:color w:val="auto"/>
              </w:rPr>
              <w:t>fair value through</w:t>
            </w:r>
          </w:p>
        </w:tc>
        <w:tc>
          <w:tcPr>
            <w:tcW w:w="7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r>
      <w:tr>
        <w:trPr>
          <w:trHeight w:val="106"/>
        </w:trPr>
        <w:tc>
          <w:tcPr>
            <w:tcW w:w="31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60" w:type="dxa"/>
            <w:vAlign w:val="bottom"/>
            <w:shd w:val="clear" w:color="auto" w:fill="CCEEFF"/>
          </w:tcPr>
          <w:p>
            <w:pPr>
              <w:jc w:val="right"/>
              <w:ind w:right="11"/>
              <w:spacing w:after="0" w:line="106" w:lineRule="exact"/>
              <w:rPr>
                <w:sz w:val="20"/>
                <w:szCs w:val="20"/>
                <w:color w:val="auto"/>
              </w:rPr>
            </w:pPr>
            <w:r>
              <w:rPr>
                <w:rFonts w:ascii="Arial" w:cs="Arial" w:eastAsia="Arial" w:hAnsi="Arial"/>
                <w:sz w:val="10"/>
                <w:szCs w:val="10"/>
                <w:b w:val="1"/>
                <w:bCs w:val="1"/>
                <w:color w:val="auto"/>
              </w:rPr>
              <w:t>Other</w:t>
            </w:r>
          </w:p>
        </w:tc>
        <w:tc>
          <w:tcPr>
            <w:tcW w:w="840" w:type="dxa"/>
            <w:vAlign w:val="bottom"/>
            <w:shd w:val="clear" w:color="auto" w:fill="CCEEFF"/>
          </w:tcPr>
          <w:p>
            <w:pPr>
              <w:jc w:val="right"/>
              <w:ind w:right="111"/>
              <w:spacing w:after="0" w:line="106" w:lineRule="exact"/>
              <w:rPr>
                <w:sz w:val="20"/>
                <w:szCs w:val="20"/>
                <w:color w:val="auto"/>
              </w:rPr>
            </w:pPr>
            <w:r>
              <w:rPr>
                <w:rFonts w:ascii="Arial" w:cs="Arial" w:eastAsia="Arial" w:hAnsi="Arial"/>
                <w:sz w:val="10"/>
                <w:szCs w:val="10"/>
                <w:b w:val="1"/>
                <w:bCs w:val="1"/>
                <w:color w:val="auto"/>
              </w:rPr>
              <w:t>Share-based</w:t>
            </w:r>
          </w:p>
        </w:tc>
        <w:tc>
          <w:tcPr>
            <w:tcW w:w="7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60" w:type="dxa"/>
            <w:vAlign w:val="bottom"/>
            <w:shd w:val="clear" w:color="auto" w:fill="CCEEFF"/>
          </w:tcPr>
          <w:p>
            <w:pPr>
              <w:jc w:val="right"/>
              <w:ind w:right="91"/>
              <w:spacing w:after="0" w:line="106" w:lineRule="exact"/>
              <w:rPr>
                <w:sz w:val="20"/>
                <w:szCs w:val="20"/>
                <w:color w:val="auto"/>
              </w:rPr>
            </w:pPr>
            <w:r>
              <w:rPr>
                <w:rFonts w:ascii="Arial" w:cs="Arial" w:eastAsia="Arial" w:hAnsi="Arial"/>
                <w:sz w:val="10"/>
                <w:szCs w:val="10"/>
                <w:b w:val="1"/>
                <w:bCs w:val="1"/>
                <w:color w:val="auto"/>
              </w:rPr>
              <w:t>other</w:t>
            </w:r>
          </w:p>
        </w:tc>
        <w:tc>
          <w:tcPr>
            <w:tcW w:w="7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r>
      <w:tr>
        <w:trPr>
          <w:trHeight w:val="106"/>
        </w:trPr>
        <w:tc>
          <w:tcPr>
            <w:tcW w:w="318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171"/>
              <w:spacing w:after="0" w:line="106" w:lineRule="exact"/>
              <w:rPr>
                <w:sz w:val="20"/>
                <w:szCs w:val="20"/>
                <w:color w:val="auto"/>
              </w:rPr>
            </w:pPr>
            <w:r>
              <w:rPr>
                <w:rFonts w:ascii="Arial" w:cs="Arial" w:eastAsia="Arial" w:hAnsi="Arial"/>
                <w:sz w:val="10"/>
                <w:szCs w:val="10"/>
                <w:b w:val="1"/>
                <w:bCs w:val="1"/>
                <w:color w:val="auto"/>
              </w:rPr>
              <w:t>Number</w:t>
            </w:r>
          </w:p>
        </w:tc>
        <w:tc>
          <w:tcPr>
            <w:tcW w:w="760" w:type="dxa"/>
            <w:vAlign w:val="bottom"/>
            <w:shd w:val="clear" w:color="auto" w:fill="CCEEFF"/>
          </w:tcPr>
          <w:p>
            <w:pPr>
              <w:jc w:val="right"/>
              <w:ind w:right="111"/>
              <w:spacing w:after="0" w:line="106" w:lineRule="exact"/>
              <w:rPr>
                <w:sz w:val="20"/>
                <w:szCs w:val="20"/>
                <w:color w:val="auto"/>
              </w:rPr>
            </w:pPr>
            <w:r>
              <w:rPr>
                <w:rFonts w:ascii="Arial" w:cs="Arial" w:eastAsia="Arial" w:hAnsi="Arial"/>
                <w:sz w:val="10"/>
                <w:szCs w:val="10"/>
                <w:b w:val="1"/>
                <w:bCs w:val="1"/>
                <w:color w:val="auto"/>
              </w:rPr>
              <w:t>Share</w:t>
            </w:r>
          </w:p>
        </w:tc>
        <w:tc>
          <w:tcPr>
            <w:tcW w:w="6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b w:val="1"/>
                <w:bCs w:val="1"/>
                <w:color w:val="auto"/>
              </w:rPr>
              <w:t>Share</w:t>
            </w:r>
          </w:p>
        </w:tc>
        <w:tc>
          <w:tcPr>
            <w:tcW w:w="860" w:type="dxa"/>
            <w:vAlign w:val="bottom"/>
            <w:shd w:val="clear" w:color="auto" w:fill="CCEEFF"/>
          </w:tcPr>
          <w:p>
            <w:pPr>
              <w:jc w:val="right"/>
              <w:ind w:right="11"/>
              <w:spacing w:after="0" w:line="106" w:lineRule="exact"/>
              <w:rPr>
                <w:sz w:val="20"/>
                <w:szCs w:val="20"/>
                <w:color w:val="auto"/>
              </w:rPr>
            </w:pPr>
            <w:r>
              <w:rPr>
                <w:rFonts w:ascii="Arial" w:cs="Arial" w:eastAsia="Arial" w:hAnsi="Arial"/>
                <w:sz w:val="10"/>
                <w:szCs w:val="10"/>
                <w:b w:val="1"/>
                <w:bCs w:val="1"/>
                <w:color w:val="auto"/>
              </w:rPr>
              <w:t>Undenominated</w:t>
            </w:r>
          </w:p>
        </w:tc>
        <w:tc>
          <w:tcPr>
            <w:tcW w:w="840" w:type="dxa"/>
            <w:vAlign w:val="bottom"/>
            <w:shd w:val="clear" w:color="auto" w:fill="CCEEFF"/>
          </w:tcPr>
          <w:p>
            <w:pPr>
              <w:jc w:val="right"/>
              <w:ind w:right="111"/>
              <w:spacing w:after="0" w:line="106" w:lineRule="exact"/>
              <w:rPr>
                <w:sz w:val="20"/>
                <w:szCs w:val="20"/>
                <w:color w:val="auto"/>
              </w:rPr>
            </w:pPr>
            <w:r>
              <w:rPr>
                <w:rFonts w:ascii="Arial" w:cs="Arial" w:eastAsia="Arial" w:hAnsi="Arial"/>
                <w:sz w:val="10"/>
                <w:szCs w:val="10"/>
                <w:b w:val="1"/>
                <w:bCs w:val="1"/>
                <w:color w:val="auto"/>
              </w:rPr>
              <w:t>Payment</w:t>
            </w:r>
          </w:p>
        </w:tc>
        <w:tc>
          <w:tcPr>
            <w:tcW w:w="780" w:type="dxa"/>
            <w:vAlign w:val="bottom"/>
            <w:shd w:val="clear" w:color="auto" w:fill="CCEEFF"/>
          </w:tcPr>
          <w:p>
            <w:pPr>
              <w:jc w:val="right"/>
              <w:ind w:right="111"/>
              <w:spacing w:after="0" w:line="106" w:lineRule="exact"/>
              <w:rPr>
                <w:sz w:val="20"/>
                <w:szCs w:val="20"/>
                <w:color w:val="auto"/>
              </w:rPr>
            </w:pPr>
            <w:r>
              <w:rPr>
                <w:rFonts w:ascii="Arial" w:cs="Arial" w:eastAsia="Arial" w:hAnsi="Arial"/>
                <w:sz w:val="10"/>
                <w:szCs w:val="10"/>
                <w:b w:val="1"/>
                <w:bCs w:val="1"/>
                <w:color w:val="auto"/>
              </w:rPr>
              <w:t>Other</w:t>
            </w:r>
          </w:p>
        </w:tc>
        <w:tc>
          <w:tcPr>
            <w:tcW w:w="660" w:type="dxa"/>
            <w:vAlign w:val="bottom"/>
            <w:shd w:val="clear" w:color="auto" w:fill="CCEEFF"/>
          </w:tcPr>
          <w:p>
            <w:pPr>
              <w:jc w:val="right"/>
              <w:ind w:right="11"/>
              <w:spacing w:after="0" w:line="106" w:lineRule="exact"/>
              <w:rPr>
                <w:sz w:val="20"/>
                <w:szCs w:val="20"/>
                <w:color w:val="auto"/>
              </w:rPr>
            </w:pPr>
            <w:r>
              <w:rPr>
                <w:rFonts w:ascii="Arial" w:cs="Arial" w:eastAsia="Arial" w:hAnsi="Arial"/>
                <w:sz w:val="10"/>
                <w:szCs w:val="10"/>
                <w:b w:val="1"/>
                <w:bCs w:val="1"/>
                <w:color w:val="auto"/>
              </w:rPr>
              <w:t>Currency</w:t>
            </w:r>
          </w:p>
        </w:tc>
        <w:tc>
          <w:tcPr>
            <w:tcW w:w="1060" w:type="dxa"/>
            <w:vAlign w:val="bottom"/>
            <w:shd w:val="clear" w:color="auto" w:fill="CCEEFF"/>
          </w:tcPr>
          <w:p>
            <w:pPr>
              <w:jc w:val="right"/>
              <w:ind w:right="91"/>
              <w:spacing w:after="0" w:line="106" w:lineRule="exact"/>
              <w:rPr>
                <w:sz w:val="20"/>
                <w:szCs w:val="20"/>
                <w:color w:val="auto"/>
              </w:rPr>
            </w:pPr>
            <w:r>
              <w:rPr>
                <w:rFonts w:ascii="Arial" w:cs="Arial" w:eastAsia="Arial" w:hAnsi="Arial"/>
                <w:sz w:val="10"/>
                <w:szCs w:val="10"/>
                <w:b w:val="1"/>
                <w:bCs w:val="1"/>
                <w:color w:val="auto"/>
              </w:rPr>
              <w:t>comprehensive</w:t>
            </w:r>
          </w:p>
        </w:tc>
        <w:tc>
          <w:tcPr>
            <w:tcW w:w="740" w:type="dxa"/>
            <w:vAlign w:val="bottom"/>
            <w:shd w:val="clear" w:color="auto" w:fill="CCEEFF"/>
          </w:tcPr>
          <w:p>
            <w:pPr>
              <w:jc w:val="right"/>
              <w:ind w:right="91"/>
              <w:spacing w:after="0" w:line="106" w:lineRule="exact"/>
              <w:rPr>
                <w:sz w:val="20"/>
                <w:szCs w:val="20"/>
                <w:color w:val="auto"/>
              </w:rPr>
            </w:pPr>
            <w:r>
              <w:rPr>
                <w:rFonts w:ascii="Arial" w:cs="Arial" w:eastAsia="Arial" w:hAnsi="Arial"/>
                <w:sz w:val="10"/>
                <w:szCs w:val="10"/>
                <w:b w:val="1"/>
                <w:bCs w:val="1"/>
                <w:color w:val="auto"/>
              </w:rPr>
              <w:t>Retained</w:t>
            </w:r>
          </w:p>
        </w:tc>
        <w:tc>
          <w:tcPr>
            <w:tcW w:w="680" w:type="dxa"/>
            <w:vAlign w:val="bottom"/>
            <w:shd w:val="clear" w:color="auto" w:fill="CCEEFF"/>
          </w:tcPr>
          <w:p>
            <w:pPr>
              <w:spacing w:after="0"/>
              <w:rPr>
                <w:sz w:val="9"/>
                <w:szCs w:val="9"/>
                <w:color w:val="auto"/>
              </w:rPr>
            </w:pPr>
          </w:p>
        </w:tc>
      </w:tr>
      <w:tr>
        <w:trPr>
          <w:trHeight w:val="144"/>
        </w:trPr>
        <w:tc>
          <w:tcPr>
            <w:tcW w:w="3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0"/>
                <w:szCs w:val="10"/>
                <w:b w:val="1"/>
                <w:bCs w:val="1"/>
                <w:color w:val="auto"/>
              </w:rPr>
              <w:t>of shares</w:t>
            </w: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Capital</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Premium</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Capital</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Reserve</w:t>
            </w: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Reserves</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Reserve</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income reserve</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Earnings</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Total</w:t>
            </w:r>
          </w:p>
        </w:tc>
      </w:tr>
      <w:tr>
        <w:trPr>
          <w:trHeight w:val="141"/>
        </w:trPr>
        <w:tc>
          <w:tcPr>
            <w:tcW w:w="31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$’000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$’000</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$’000</w:t>
            </w: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$’000</w:t>
            </w:r>
          </w:p>
        </w:tc>
        <w:tc>
          <w:tcPr>
            <w:tcW w:w="7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$’000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$’000</w:t>
            </w: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rPr>
              <w:t>$’000</w:t>
            </w: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$’000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$’000</w:t>
            </w:r>
          </w:p>
        </w:tc>
      </w:tr>
      <w:tr>
        <w:trPr>
          <w:trHeight w:val="139"/>
        </w:trPr>
        <w:tc>
          <w:tcPr>
            <w:tcW w:w="3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Balance at 31 December 2017</w:t>
            </w:r>
          </w:p>
        </w:tc>
        <w:tc>
          <w:tcPr>
            <w:tcW w:w="102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0"/>
                <w:szCs w:val="10"/>
                <w:b w:val="1"/>
                <w:bCs w:val="1"/>
                <w:color w:val="auto"/>
              </w:rPr>
              <w:t>54,081,601</w:t>
            </w:r>
          </w:p>
        </w:tc>
        <w:tc>
          <w:tcPr>
            <w:tcW w:w="7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0"/>
                <w:szCs w:val="10"/>
                <w:b w:val="1"/>
                <w:bCs w:val="1"/>
                <w:color w:val="auto"/>
              </w:rPr>
              <w:t>4,664</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266,852</w:t>
            </w:r>
          </w:p>
        </w:tc>
        <w:tc>
          <w:tcPr>
            <w:tcW w:w="8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b w:val="1"/>
                <w:bCs w:val="1"/>
                <w:color w:val="auto"/>
              </w:rPr>
              <w:t>912</w:t>
            </w:r>
          </w:p>
        </w:tc>
        <w:tc>
          <w:tcPr>
            <w:tcW w:w="8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b w:val="1"/>
                <w:bCs w:val="1"/>
                <w:color w:val="auto"/>
              </w:rPr>
              <w:t>187,840</w:t>
            </w:r>
          </w:p>
        </w:tc>
        <w:tc>
          <w:tcPr>
            <w:tcW w:w="7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b w:val="1"/>
                <w:bCs w:val="1"/>
                <w:color w:val="auto"/>
              </w:rPr>
              <w:t>11,029</w:t>
            </w:r>
          </w:p>
        </w:tc>
        <w:tc>
          <w:tcPr>
            <w:tcW w:w="6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(35,077)</w:t>
            </w:r>
          </w:p>
        </w:tc>
        <w:tc>
          <w:tcPr>
            <w:tcW w:w="10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b w:val="1"/>
                <w:bCs w:val="1"/>
                <w:color w:val="auto"/>
              </w:rPr>
              <w:t>(295)</w:t>
            </w:r>
          </w:p>
        </w:tc>
        <w:tc>
          <w:tcPr>
            <w:tcW w:w="7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b w:val="1"/>
                <w:bCs w:val="1"/>
                <w:color w:val="auto"/>
              </w:rPr>
              <w:t>794,331</w:t>
            </w:r>
          </w:p>
        </w:tc>
        <w:tc>
          <w:tcPr>
            <w:tcW w:w="6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1,230,256</w:t>
            </w:r>
          </w:p>
        </w:tc>
      </w:tr>
      <w:tr>
        <w:trPr>
          <w:trHeight w:val="139"/>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Cumulative effect adjustment from adoption of IFRS 15</w:t>
            </w:r>
          </w:p>
        </w:tc>
        <w:tc>
          <w:tcPr>
            <w:tcW w:w="102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w:t>
            </w: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w:t>
            </w:r>
          </w:p>
        </w:tc>
        <w:tc>
          <w:tcPr>
            <w:tcW w:w="106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rPr>
              <w:t>(48,104)</w:t>
            </w: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(48,104)</w:t>
            </w:r>
          </w:p>
        </w:tc>
      </w:tr>
      <w:tr>
        <w:trPr>
          <w:trHeight w:val="146"/>
        </w:trPr>
        <w:tc>
          <w:tcPr>
            <w:tcW w:w="3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Balance at 1 January 2018</w:t>
            </w:r>
          </w:p>
        </w:tc>
        <w:tc>
          <w:tcPr>
            <w:tcW w:w="102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rPr>
              <w:t>54,081,601</w:t>
            </w: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rPr>
              <w:t>4,664</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266,852</w:t>
            </w: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912</w:t>
            </w:r>
          </w:p>
        </w:tc>
        <w:tc>
          <w:tcPr>
            <w:tcW w:w="8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187,840</w:t>
            </w:r>
          </w:p>
        </w:tc>
        <w:tc>
          <w:tcPr>
            <w:tcW w:w="7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11,029</w:t>
            </w: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(35,077)</w:t>
            </w: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(295)</w:t>
            </w:r>
          </w:p>
        </w:tc>
        <w:tc>
          <w:tcPr>
            <w:tcW w:w="7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746,227</w:t>
            </w: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1,182,152</w:t>
            </w:r>
          </w:p>
        </w:tc>
      </w:tr>
      <w:tr>
        <w:trPr>
          <w:trHeight w:val="141"/>
        </w:trPr>
        <w:tc>
          <w:tcPr>
            <w:tcW w:w="3180" w:type="dxa"/>
            <w:vAlign w:val="bottom"/>
          </w:tcPr>
          <w:p>
            <w:pPr>
              <w:ind w:left="20"/>
              <w:spacing w:after="0"/>
              <w:rPr>
                <w:sz w:val="20"/>
                <w:szCs w:val="20"/>
                <w:color w:val="auto"/>
              </w:rPr>
            </w:pPr>
            <w:r>
              <w:rPr>
                <w:rFonts w:ascii="Arial" w:cs="Arial" w:eastAsia="Arial" w:hAnsi="Arial"/>
                <w:sz w:val="10"/>
                <w:szCs w:val="10"/>
                <w:color w:val="auto"/>
              </w:rPr>
              <w:t>Profit for the year</w:t>
            </w:r>
          </w:p>
        </w:tc>
        <w:tc>
          <w:tcPr>
            <w:tcW w:w="1020" w:type="dxa"/>
            <w:vAlign w:val="bottom"/>
          </w:tcPr>
          <w:p>
            <w:pPr>
              <w:jc w:val="right"/>
              <w:ind w:right="29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19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171"/>
              <w:spacing w:after="0"/>
              <w:rPr>
                <w:sz w:val="20"/>
                <w:szCs w:val="20"/>
                <w:color w:val="auto"/>
              </w:rPr>
            </w:pPr>
            <w:r>
              <w:rPr>
                <w:rFonts w:ascii="Arial" w:cs="Arial" w:eastAsia="Arial" w:hAnsi="Arial"/>
                <w:sz w:val="10"/>
                <w:szCs w:val="10"/>
                <w:color w:val="auto"/>
              </w:rPr>
              <w:t>322,817</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322,817</w:t>
            </w:r>
          </w:p>
        </w:tc>
      </w:tr>
      <w:tr>
        <w:trPr>
          <w:trHeight w:val="156"/>
        </w:trPr>
        <w:tc>
          <w:tcPr>
            <w:tcW w:w="31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Other Comprehensive Income:</w:t>
            </w:r>
          </w:p>
        </w:tc>
        <w:tc>
          <w:tcPr>
            <w:tcW w:w="10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41"/>
        </w:trPr>
        <w:tc>
          <w:tcPr>
            <w:tcW w:w="3180" w:type="dxa"/>
            <w:vAlign w:val="bottom"/>
          </w:tcPr>
          <w:p>
            <w:pPr>
              <w:ind w:left="20"/>
              <w:spacing w:after="0"/>
              <w:rPr>
                <w:sz w:val="20"/>
                <w:szCs w:val="20"/>
                <w:color w:val="auto"/>
              </w:rPr>
            </w:pPr>
            <w:r>
              <w:rPr>
                <w:rFonts w:ascii="Arial" w:cs="Arial" w:eastAsia="Arial" w:hAnsi="Arial"/>
                <w:sz w:val="10"/>
                <w:szCs w:val="10"/>
                <w:color w:val="auto"/>
              </w:rPr>
              <w:t>Foreign currency translation</w:t>
            </w:r>
          </w:p>
        </w:tc>
        <w:tc>
          <w:tcPr>
            <w:tcW w:w="1020" w:type="dxa"/>
            <w:vAlign w:val="bottom"/>
          </w:tcPr>
          <w:p>
            <w:pPr>
              <w:jc w:val="right"/>
              <w:ind w:right="29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rPr>
                <w:sz w:val="20"/>
                <w:szCs w:val="20"/>
                <w:color w:val="auto"/>
              </w:rPr>
            </w:pPr>
            <w:r>
              <w:rPr>
                <w:rFonts w:ascii="Arial" w:cs="Arial" w:eastAsia="Arial" w:hAnsi="Arial"/>
                <w:sz w:val="10"/>
                <w:szCs w:val="10"/>
                <w:color w:val="auto"/>
              </w:rPr>
              <w:t>(26,522)</w:t>
            </w:r>
          </w:p>
        </w:tc>
        <w:tc>
          <w:tcPr>
            <w:tcW w:w="1060" w:type="dxa"/>
            <w:vAlign w:val="bottom"/>
          </w:tcPr>
          <w:p>
            <w:pPr>
              <w:jc w:val="right"/>
              <w:ind w:right="19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(26,522)</w:t>
            </w:r>
          </w:p>
        </w:tc>
      </w:tr>
      <w:tr>
        <w:trPr>
          <w:trHeight w:val="156"/>
        </w:trPr>
        <w:tc>
          <w:tcPr>
            <w:tcW w:w="3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Currency impact on long-term funding</w:t>
            </w:r>
          </w:p>
        </w:tc>
        <w:tc>
          <w:tcPr>
            <w:tcW w:w="102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(4,834)</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(4,834)</w:t>
            </w:r>
          </w:p>
        </w:tc>
      </w:tr>
      <w:tr>
        <w:trPr>
          <w:trHeight w:val="141"/>
        </w:trPr>
        <w:tc>
          <w:tcPr>
            <w:tcW w:w="3180" w:type="dxa"/>
            <w:vAlign w:val="bottom"/>
          </w:tcPr>
          <w:p>
            <w:pPr>
              <w:ind w:left="20"/>
              <w:spacing w:after="0"/>
              <w:rPr>
                <w:sz w:val="20"/>
                <w:szCs w:val="20"/>
                <w:color w:val="auto"/>
              </w:rPr>
            </w:pPr>
            <w:r>
              <w:rPr>
                <w:rFonts w:ascii="Arial" w:cs="Arial" w:eastAsia="Arial" w:hAnsi="Arial"/>
                <w:sz w:val="10"/>
                <w:szCs w:val="10"/>
                <w:color w:val="auto"/>
              </w:rPr>
              <w:t>Cash flow hedge</w:t>
            </w:r>
          </w:p>
        </w:tc>
        <w:tc>
          <w:tcPr>
            <w:tcW w:w="1020" w:type="dxa"/>
            <w:vAlign w:val="bottom"/>
          </w:tcPr>
          <w:p>
            <w:pPr>
              <w:jc w:val="right"/>
              <w:ind w:right="29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rPr>
                <w:sz w:val="20"/>
                <w:szCs w:val="20"/>
                <w:color w:val="auto"/>
              </w:rPr>
            </w:pPr>
            <w:r>
              <w:rPr>
                <w:rFonts w:ascii="Arial" w:cs="Arial" w:eastAsia="Arial" w:hAnsi="Arial"/>
                <w:sz w:val="10"/>
                <w:szCs w:val="10"/>
                <w:color w:val="auto"/>
              </w:rPr>
              <w:t>(1,036)</w:t>
            </w:r>
          </w:p>
        </w:tc>
        <w:tc>
          <w:tcPr>
            <w:tcW w:w="1060" w:type="dxa"/>
            <w:vAlign w:val="bottom"/>
          </w:tcPr>
          <w:p>
            <w:pPr>
              <w:jc w:val="right"/>
              <w:ind w:right="19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(1,036)</w:t>
            </w:r>
          </w:p>
        </w:tc>
      </w:tr>
      <w:tr>
        <w:trPr>
          <w:trHeight w:val="156"/>
        </w:trPr>
        <w:tc>
          <w:tcPr>
            <w:tcW w:w="3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Unrealised fair value movements on investments</w:t>
            </w:r>
          </w:p>
        </w:tc>
        <w:tc>
          <w:tcPr>
            <w:tcW w:w="102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(155)</w:t>
            </w:r>
          </w:p>
        </w:tc>
        <w:tc>
          <w:tcPr>
            <w:tcW w:w="7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(155)</w:t>
            </w:r>
          </w:p>
        </w:tc>
      </w:tr>
      <w:tr>
        <w:trPr>
          <w:trHeight w:val="141"/>
        </w:trPr>
        <w:tc>
          <w:tcPr>
            <w:tcW w:w="3180" w:type="dxa"/>
            <w:vAlign w:val="bottom"/>
          </w:tcPr>
          <w:p>
            <w:pPr>
              <w:ind w:left="20"/>
              <w:spacing w:after="0"/>
              <w:rPr>
                <w:sz w:val="20"/>
                <w:szCs w:val="20"/>
                <w:color w:val="auto"/>
              </w:rPr>
            </w:pPr>
            <w:r>
              <w:rPr>
                <w:rFonts w:ascii="Arial" w:cs="Arial" w:eastAsia="Arial" w:hAnsi="Arial"/>
                <w:sz w:val="10"/>
                <w:szCs w:val="10"/>
                <w:color w:val="auto"/>
              </w:rPr>
              <w:t>Re-measurement of defined benefit liability</w:t>
            </w:r>
          </w:p>
        </w:tc>
        <w:tc>
          <w:tcPr>
            <w:tcW w:w="1020" w:type="dxa"/>
            <w:vAlign w:val="bottom"/>
          </w:tcPr>
          <w:p>
            <w:pPr>
              <w:jc w:val="right"/>
              <w:ind w:right="29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19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171"/>
              <w:spacing w:after="0"/>
              <w:rPr>
                <w:sz w:val="20"/>
                <w:szCs w:val="20"/>
                <w:color w:val="auto"/>
              </w:rPr>
            </w:pPr>
            <w:r>
              <w:rPr>
                <w:rFonts w:ascii="Arial" w:cs="Arial" w:eastAsia="Arial" w:hAnsi="Arial"/>
                <w:sz w:val="10"/>
                <w:szCs w:val="10"/>
                <w:color w:val="auto"/>
              </w:rPr>
              <w:t>2,640</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2,640</w:t>
            </w:r>
          </w:p>
        </w:tc>
      </w:tr>
      <w:tr>
        <w:trPr>
          <w:trHeight w:val="156"/>
        </w:trPr>
        <w:tc>
          <w:tcPr>
            <w:tcW w:w="3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Tax benefit on defined benefit pension contributions</w:t>
            </w:r>
          </w:p>
        </w:tc>
        <w:tc>
          <w:tcPr>
            <w:tcW w:w="102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r>
      <w:tr>
        <w:trPr>
          <w:trHeight w:val="141"/>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Amortisation of interest rate hedge</w:t>
            </w:r>
          </w:p>
        </w:tc>
        <w:tc>
          <w:tcPr>
            <w:tcW w:w="102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rPr>
              <w:t>(923)</w:t>
            </w:r>
          </w:p>
        </w:tc>
        <w:tc>
          <w:tcPr>
            <w:tcW w:w="66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(923)</w:t>
            </w:r>
          </w:p>
        </w:tc>
      </w:tr>
      <w:tr>
        <w:trPr>
          <w:trHeight w:val="139"/>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Total other comprehensive income</w:t>
            </w:r>
          </w:p>
        </w:tc>
        <w:tc>
          <w:tcPr>
            <w:tcW w:w="102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rPr>
              <w:t>(923)</w:t>
            </w:r>
          </w:p>
        </w:tc>
        <w:tc>
          <w:tcPr>
            <w:tcW w:w="6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(32,392)</w:t>
            </w:r>
          </w:p>
        </w:tc>
        <w:tc>
          <w:tcPr>
            <w:tcW w:w="10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rPr>
              <w:t>(155)</w:t>
            </w:r>
          </w:p>
        </w:tc>
        <w:tc>
          <w:tcPr>
            <w:tcW w:w="7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rPr>
              <w:t>2,640</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(30,830)</w:t>
            </w:r>
          </w:p>
        </w:tc>
      </w:tr>
      <w:tr>
        <w:trPr>
          <w:trHeight w:val="139"/>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 comprehensive income for the year</w:t>
            </w:r>
          </w:p>
        </w:tc>
        <w:tc>
          <w:tcPr>
            <w:tcW w:w="102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rPr>
              <w:t>(923)</w:t>
            </w: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(32,392)</w:t>
            </w: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rPr>
              <w:t>(155)</w:t>
            </w: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rPr>
              <w:t>325,457</w:t>
            </w: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291,987</w:t>
            </w:r>
          </w:p>
        </w:tc>
      </w:tr>
      <w:tr>
        <w:trPr>
          <w:trHeight w:val="146"/>
        </w:trPr>
        <w:tc>
          <w:tcPr>
            <w:tcW w:w="31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Transactions with owners, recorded directly in equity</w:t>
            </w:r>
          </w:p>
        </w:tc>
        <w:tc>
          <w:tcPr>
            <w:tcW w:w="10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1"/>
        </w:trPr>
        <w:tc>
          <w:tcPr>
            <w:tcW w:w="3180" w:type="dxa"/>
            <w:vAlign w:val="bottom"/>
          </w:tcPr>
          <w:p>
            <w:pPr>
              <w:ind w:left="20"/>
              <w:spacing w:after="0"/>
              <w:rPr>
                <w:sz w:val="20"/>
                <w:szCs w:val="20"/>
                <w:color w:val="auto"/>
              </w:rPr>
            </w:pPr>
            <w:r>
              <w:rPr>
                <w:rFonts w:ascii="Arial" w:cs="Arial" w:eastAsia="Arial" w:hAnsi="Arial"/>
                <w:sz w:val="10"/>
                <w:szCs w:val="10"/>
                <w:color w:val="auto"/>
              </w:rPr>
              <w:t>Share-based payment</w:t>
            </w:r>
          </w:p>
        </w:tc>
        <w:tc>
          <w:tcPr>
            <w:tcW w:w="1020" w:type="dxa"/>
            <w:vAlign w:val="bottom"/>
          </w:tcPr>
          <w:p>
            <w:pPr>
              <w:jc w:val="right"/>
              <w:ind w:right="29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231"/>
              <w:spacing w:after="0"/>
              <w:rPr>
                <w:sz w:val="20"/>
                <w:szCs w:val="20"/>
                <w:color w:val="auto"/>
              </w:rPr>
            </w:pPr>
            <w:r>
              <w:rPr>
                <w:rFonts w:ascii="Arial" w:cs="Arial" w:eastAsia="Arial" w:hAnsi="Arial"/>
                <w:sz w:val="10"/>
                <w:szCs w:val="10"/>
                <w:color w:val="auto"/>
              </w:rPr>
              <w:t>28,009</w:t>
            </w:r>
          </w:p>
        </w:tc>
        <w:tc>
          <w:tcPr>
            <w:tcW w:w="78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19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28,009</w:t>
            </w:r>
          </w:p>
        </w:tc>
      </w:tr>
      <w:tr>
        <w:trPr>
          <w:trHeight w:val="156"/>
        </w:trPr>
        <w:tc>
          <w:tcPr>
            <w:tcW w:w="3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Exercise of share options</w:t>
            </w:r>
          </w:p>
        </w:tc>
        <w:tc>
          <w:tcPr>
            <w:tcW w:w="102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rPr>
              <w:t>408,699</w:t>
            </w: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rPr>
              <w:t>29</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16,777</w:t>
            </w: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16,806</w:t>
            </w:r>
          </w:p>
        </w:tc>
      </w:tr>
      <w:tr>
        <w:trPr>
          <w:trHeight w:val="141"/>
        </w:trPr>
        <w:tc>
          <w:tcPr>
            <w:tcW w:w="3180" w:type="dxa"/>
            <w:vAlign w:val="bottom"/>
          </w:tcPr>
          <w:p>
            <w:pPr>
              <w:ind w:left="20"/>
              <w:spacing w:after="0"/>
              <w:rPr>
                <w:sz w:val="20"/>
                <w:szCs w:val="20"/>
                <w:color w:val="auto"/>
              </w:rPr>
            </w:pPr>
            <w:r>
              <w:rPr>
                <w:rFonts w:ascii="Arial" w:cs="Arial" w:eastAsia="Arial" w:hAnsi="Arial"/>
                <w:sz w:val="10"/>
                <w:szCs w:val="10"/>
                <w:color w:val="auto"/>
              </w:rPr>
              <w:t>Transfer of exercised and expired share–based awards</w:t>
            </w:r>
          </w:p>
        </w:tc>
        <w:tc>
          <w:tcPr>
            <w:tcW w:w="1020" w:type="dxa"/>
            <w:vAlign w:val="bottom"/>
          </w:tcPr>
          <w:p>
            <w:pPr>
              <w:jc w:val="right"/>
              <w:ind w:right="29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211"/>
              <w:spacing w:after="0"/>
              <w:rPr>
                <w:sz w:val="20"/>
                <w:szCs w:val="20"/>
                <w:color w:val="auto"/>
              </w:rPr>
            </w:pPr>
            <w:r>
              <w:rPr>
                <w:rFonts w:ascii="Arial" w:cs="Arial" w:eastAsia="Arial" w:hAnsi="Arial"/>
                <w:sz w:val="10"/>
                <w:szCs w:val="10"/>
                <w:color w:val="auto"/>
              </w:rPr>
              <w:t>(38,954)</w:t>
            </w:r>
          </w:p>
        </w:tc>
        <w:tc>
          <w:tcPr>
            <w:tcW w:w="78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19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171"/>
              <w:spacing w:after="0"/>
              <w:rPr>
                <w:sz w:val="20"/>
                <w:szCs w:val="20"/>
                <w:color w:val="auto"/>
              </w:rPr>
            </w:pPr>
            <w:r>
              <w:rPr>
                <w:rFonts w:ascii="Arial" w:cs="Arial" w:eastAsia="Arial" w:hAnsi="Arial"/>
                <w:sz w:val="10"/>
                <w:szCs w:val="10"/>
                <w:color w:val="auto"/>
              </w:rPr>
              <w:t>38,954</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w:t>
            </w:r>
          </w:p>
        </w:tc>
      </w:tr>
      <w:tr>
        <w:trPr>
          <w:trHeight w:val="156"/>
        </w:trPr>
        <w:tc>
          <w:tcPr>
            <w:tcW w:w="3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Issue of restricted share units/ performance share units</w:t>
            </w:r>
          </w:p>
        </w:tc>
        <w:tc>
          <w:tcPr>
            <w:tcW w:w="102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rPr>
              <w:t>489,568</w:t>
            </w: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rPr>
              <w:t>36</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36</w:t>
            </w:r>
          </w:p>
        </w:tc>
      </w:tr>
      <w:tr>
        <w:trPr>
          <w:trHeight w:val="141"/>
        </w:trPr>
        <w:tc>
          <w:tcPr>
            <w:tcW w:w="3180" w:type="dxa"/>
            <w:vAlign w:val="bottom"/>
          </w:tcPr>
          <w:p>
            <w:pPr>
              <w:ind w:left="20"/>
              <w:spacing w:after="0"/>
              <w:rPr>
                <w:sz w:val="20"/>
                <w:szCs w:val="20"/>
                <w:color w:val="auto"/>
              </w:rPr>
            </w:pPr>
            <w:r>
              <w:rPr>
                <w:rFonts w:ascii="Arial" w:cs="Arial" w:eastAsia="Arial" w:hAnsi="Arial"/>
                <w:sz w:val="10"/>
                <w:szCs w:val="10"/>
                <w:color w:val="auto"/>
              </w:rPr>
              <w:t>Share issue costs</w:t>
            </w:r>
          </w:p>
        </w:tc>
        <w:tc>
          <w:tcPr>
            <w:tcW w:w="1020" w:type="dxa"/>
            <w:vAlign w:val="bottom"/>
          </w:tcPr>
          <w:p>
            <w:pPr>
              <w:jc w:val="right"/>
              <w:ind w:right="29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19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151"/>
              <w:spacing w:after="0"/>
              <w:rPr>
                <w:sz w:val="20"/>
                <w:szCs w:val="20"/>
                <w:color w:val="auto"/>
              </w:rPr>
            </w:pPr>
            <w:r>
              <w:rPr>
                <w:rFonts w:ascii="Arial" w:cs="Arial" w:eastAsia="Arial" w:hAnsi="Arial"/>
                <w:sz w:val="10"/>
                <w:szCs w:val="10"/>
                <w:color w:val="auto"/>
              </w:rPr>
              <w:t>(16)</w:t>
            </w: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(16)</w:t>
            </w:r>
          </w:p>
        </w:tc>
      </w:tr>
      <w:tr>
        <w:trPr>
          <w:trHeight w:val="156"/>
        </w:trPr>
        <w:tc>
          <w:tcPr>
            <w:tcW w:w="3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Repurchase of ordinary shares</w:t>
            </w:r>
          </w:p>
        </w:tc>
        <w:tc>
          <w:tcPr>
            <w:tcW w:w="102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rPr>
              <w:t>(1,008,162)</w:t>
            </w:r>
          </w:p>
        </w:tc>
        <w:tc>
          <w:tcPr>
            <w:tcW w:w="76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(71)</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71</w:t>
            </w:r>
          </w:p>
        </w:tc>
        <w:tc>
          <w:tcPr>
            <w:tcW w:w="8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(128,960)</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(128,960)</w:t>
            </w:r>
          </w:p>
        </w:tc>
      </w:tr>
      <w:tr>
        <w:trPr>
          <w:trHeight w:val="141"/>
        </w:trPr>
        <w:tc>
          <w:tcPr>
            <w:tcW w:w="3180" w:type="dxa"/>
            <w:vAlign w:val="bottom"/>
          </w:tcPr>
          <w:p>
            <w:pPr>
              <w:ind w:left="20"/>
              <w:spacing w:after="0"/>
              <w:rPr>
                <w:sz w:val="20"/>
                <w:szCs w:val="20"/>
                <w:color w:val="auto"/>
              </w:rPr>
            </w:pPr>
            <w:r>
              <w:rPr>
                <w:rFonts w:ascii="Arial" w:cs="Arial" w:eastAsia="Arial" w:hAnsi="Arial"/>
                <w:sz w:val="10"/>
                <w:szCs w:val="10"/>
                <w:color w:val="auto"/>
              </w:rPr>
              <w:t>Share repurchase costs</w:t>
            </w:r>
          </w:p>
        </w:tc>
        <w:tc>
          <w:tcPr>
            <w:tcW w:w="1020" w:type="dxa"/>
            <w:vAlign w:val="bottom"/>
          </w:tcPr>
          <w:p>
            <w:pPr>
              <w:jc w:val="right"/>
              <w:ind w:right="29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19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151"/>
              <w:spacing w:after="0"/>
              <w:rPr>
                <w:sz w:val="20"/>
                <w:szCs w:val="20"/>
                <w:color w:val="auto"/>
              </w:rPr>
            </w:pPr>
            <w:r>
              <w:rPr>
                <w:rFonts w:ascii="Arial" w:cs="Arial" w:eastAsia="Arial" w:hAnsi="Arial"/>
                <w:sz w:val="10"/>
                <w:szCs w:val="10"/>
                <w:color w:val="auto"/>
              </w:rPr>
              <w:t>(66)</w:t>
            </w: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(66)</w:t>
            </w:r>
          </w:p>
        </w:tc>
      </w:tr>
      <w:tr>
        <w:trPr>
          <w:trHeight w:val="156"/>
        </w:trPr>
        <w:tc>
          <w:tcPr>
            <w:tcW w:w="3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Tax benefit excess on exercise of options</w:t>
            </w:r>
          </w:p>
        </w:tc>
        <w:tc>
          <w:tcPr>
            <w:tcW w:w="102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4,626</w:t>
            </w:r>
          </w:p>
        </w:tc>
        <w:tc>
          <w:tcPr>
            <w:tcW w:w="7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4,626</w:t>
            </w:r>
          </w:p>
        </w:tc>
      </w:tr>
      <w:tr>
        <w:trPr>
          <w:trHeight w:val="141"/>
        </w:trPr>
        <w:tc>
          <w:tcPr>
            <w:tcW w:w="3180" w:type="dxa"/>
            <w:vAlign w:val="bottom"/>
          </w:tcPr>
          <w:p>
            <w:pPr>
              <w:ind w:left="20"/>
              <w:spacing w:after="0"/>
              <w:rPr>
                <w:sz w:val="20"/>
                <w:szCs w:val="20"/>
                <w:color w:val="auto"/>
              </w:rPr>
            </w:pPr>
            <w:r>
              <w:rPr>
                <w:rFonts w:ascii="Arial" w:cs="Arial" w:eastAsia="Arial" w:hAnsi="Arial"/>
                <w:sz w:val="10"/>
                <w:szCs w:val="10"/>
                <w:color w:val="auto"/>
              </w:rPr>
              <w:t>Deferred tax movement on unexercised options</w:t>
            </w:r>
          </w:p>
        </w:tc>
        <w:tc>
          <w:tcPr>
            <w:tcW w:w="1020" w:type="dxa"/>
            <w:vAlign w:val="bottom"/>
          </w:tcPr>
          <w:p>
            <w:pPr>
              <w:jc w:val="right"/>
              <w:ind w:right="29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211"/>
              <w:spacing w:after="0"/>
              <w:rPr>
                <w:sz w:val="20"/>
                <w:szCs w:val="20"/>
                <w:color w:val="auto"/>
              </w:rPr>
            </w:pPr>
            <w:r>
              <w:rPr>
                <w:rFonts w:ascii="Arial" w:cs="Arial" w:eastAsia="Arial" w:hAnsi="Arial"/>
                <w:sz w:val="10"/>
                <w:szCs w:val="10"/>
                <w:color w:val="auto"/>
              </w:rPr>
              <w:t>(8,195)</w:t>
            </w:r>
          </w:p>
        </w:tc>
        <w:tc>
          <w:tcPr>
            <w:tcW w:w="78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191"/>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(8,195)</w:t>
            </w:r>
          </w:p>
        </w:tc>
      </w:tr>
      <w:tr>
        <w:trPr>
          <w:trHeight w:val="149"/>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Non-distributable reserves</w:t>
            </w:r>
          </w:p>
        </w:tc>
        <w:tc>
          <w:tcPr>
            <w:tcW w:w="102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rPr>
              <w:t>1,762</w:t>
            </w:r>
          </w:p>
        </w:tc>
        <w:tc>
          <w:tcPr>
            <w:tcW w:w="6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rPr>
              <w:t>(1,762)</w:t>
            </w:r>
          </w:p>
        </w:tc>
        <w:tc>
          <w:tcPr>
            <w:tcW w:w="6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r>
      <w:tr>
        <w:trPr>
          <w:trHeight w:val="139"/>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 contributions by and distributions to owners</w:t>
            </w: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0"/>
                <w:szCs w:val="10"/>
                <w:color w:val="auto"/>
              </w:rPr>
              <w:t>(109,895)</w:t>
            </w: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rPr>
              <w:t>(6)</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16,777</w:t>
            </w: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rPr>
              <w:t>71</w:t>
            </w:r>
          </w:p>
        </w:tc>
        <w:tc>
          <w:tcPr>
            <w:tcW w:w="84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rPr>
              <w:t>(14,514)</w:t>
            </w: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rPr>
              <w:t>1,762</w:t>
            </w:r>
          </w:p>
        </w:tc>
        <w:tc>
          <w:tcPr>
            <w:tcW w:w="66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rPr>
              <w:t>(91,850)</w:t>
            </w: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(87,760)</w:t>
            </w:r>
          </w:p>
        </w:tc>
      </w:tr>
      <w:tr>
        <w:trPr>
          <w:trHeight w:val="139"/>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31 December 2018</w:t>
            </w:r>
          </w:p>
        </w:tc>
        <w:tc>
          <w:tcPr>
            <w:tcW w:w="102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0"/>
                <w:szCs w:val="10"/>
                <w:b w:val="1"/>
                <w:bCs w:val="1"/>
                <w:color w:val="auto"/>
              </w:rPr>
              <w:t>53,971,706</w:t>
            </w:r>
          </w:p>
        </w:tc>
        <w:tc>
          <w:tcPr>
            <w:tcW w:w="7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0"/>
                <w:szCs w:val="10"/>
                <w:b w:val="1"/>
                <w:bCs w:val="1"/>
                <w:color w:val="auto"/>
              </w:rPr>
              <w:t>4,658</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283,629</w:t>
            </w:r>
          </w:p>
        </w:tc>
        <w:tc>
          <w:tcPr>
            <w:tcW w:w="8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b w:val="1"/>
                <w:bCs w:val="1"/>
                <w:color w:val="auto"/>
              </w:rPr>
              <w:t>983</w:t>
            </w:r>
          </w:p>
        </w:tc>
        <w:tc>
          <w:tcPr>
            <w:tcW w:w="8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b w:val="1"/>
                <w:bCs w:val="1"/>
                <w:color w:val="auto"/>
              </w:rPr>
              <w:t>173,326</w:t>
            </w:r>
          </w:p>
        </w:tc>
        <w:tc>
          <w:tcPr>
            <w:tcW w:w="7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b w:val="1"/>
                <w:bCs w:val="1"/>
                <w:color w:val="auto"/>
              </w:rPr>
              <w:t>11,868</w:t>
            </w:r>
          </w:p>
        </w:tc>
        <w:tc>
          <w:tcPr>
            <w:tcW w:w="6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(67,469)</w:t>
            </w:r>
          </w:p>
        </w:tc>
        <w:tc>
          <w:tcPr>
            <w:tcW w:w="10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b w:val="1"/>
                <w:bCs w:val="1"/>
                <w:color w:val="auto"/>
              </w:rPr>
              <w:t>(450)</w:t>
            </w:r>
          </w:p>
        </w:tc>
        <w:tc>
          <w:tcPr>
            <w:tcW w:w="7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b w:val="1"/>
                <w:bCs w:val="1"/>
                <w:color w:val="auto"/>
              </w:rPr>
              <w:t>979,834</w:t>
            </w:r>
          </w:p>
        </w:tc>
        <w:tc>
          <w:tcPr>
            <w:tcW w:w="6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1,386,379</w:t>
            </w:r>
          </w:p>
        </w:tc>
      </w:tr>
    </w:tbl>
    <w:p>
      <w:pPr>
        <w:spacing w:after="0" w:line="34"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Further details of the reserves above are detailed in note 25</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60"/>
          </w:cols>
          <w:pgMar w:left="300" w:top="90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Consolidated Statement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357"/>
              <w:spacing w:after="0"/>
              <w:rPr>
                <w:sz w:val="20"/>
                <w:szCs w:val="20"/>
                <w:color w:val="auto"/>
              </w:rPr>
            </w:pPr>
            <w:r>
              <w:rPr>
                <w:rFonts w:ascii="Arial" w:cs="Arial" w:eastAsia="Arial" w:hAnsi="Arial"/>
                <w:sz w:val="13"/>
                <w:szCs w:val="13"/>
                <w:b w:val="1"/>
                <w:bCs w:val="1"/>
                <w:color w:val="auto"/>
              </w:rPr>
              <w:t>Year Ended 31</w:t>
            </w:r>
          </w:p>
        </w:tc>
        <w:tc>
          <w:tcPr>
            <w:tcW w:w="1060" w:type="dxa"/>
            <w:vAlign w:val="bottom"/>
            <w:shd w:val="clear" w:color="auto" w:fill="CCEEFF"/>
          </w:tcPr>
          <w:p>
            <w:pPr>
              <w:spacing w:after="0"/>
              <w:rPr>
                <w:sz w:val="13"/>
                <w:szCs w:val="13"/>
                <w:color w:val="auto"/>
              </w:rPr>
            </w:pPr>
          </w:p>
        </w:tc>
      </w:tr>
      <w:tr>
        <w:trPr>
          <w:trHeight w:val="149"/>
        </w:trPr>
        <w:tc>
          <w:tcPr>
            <w:tcW w:w="76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i w:val="1"/>
                <w:iCs w:val="1"/>
                <w:color w:val="auto"/>
              </w:rPr>
              <w:t>Note</w:t>
            </w:r>
          </w:p>
        </w:tc>
        <w:tc>
          <w:tcPr>
            <w:tcW w:w="2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7"/>
                <w:szCs w:val="17"/>
                <w:b w:val="1"/>
                <w:bCs w:val="1"/>
                <w:color w:val="auto"/>
                <w:vertAlign w:val="subscript"/>
              </w:rPr>
              <w:t>December</w:t>
            </w:r>
            <w:r>
              <w:rPr>
                <w:rFonts w:ascii="Arial" w:cs="Arial" w:eastAsia="Arial" w:hAnsi="Arial"/>
                <w:sz w:val="10"/>
                <w:szCs w:val="10"/>
                <w:color w:val="auto"/>
              </w:rPr>
              <w:t xml:space="preserve"> Year ended 31 December</w:t>
            </w:r>
          </w:p>
        </w:tc>
      </w:tr>
      <w:tr>
        <w:trPr>
          <w:trHeight w:val="194"/>
        </w:trPr>
        <w:tc>
          <w:tcPr>
            <w:tcW w:w="76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3"/>
                <w:szCs w:val="13"/>
                <w:b w:val="1"/>
                <w:bCs w:val="1"/>
                <w:color w:val="auto"/>
              </w:rPr>
              <w:t>2019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7640" w:type="dxa"/>
            <w:vAlign w:val="bottom"/>
            <w:tcBorders>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$’000</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$’000</w:t>
            </w:r>
          </w:p>
        </w:tc>
      </w:tr>
      <w:tr>
        <w:trPr>
          <w:trHeight w:val="18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Profit for the financial year</w:t>
            </w:r>
          </w:p>
        </w:tc>
        <w:tc>
          <w:tcPr>
            <w:tcW w:w="98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497"/>
              <w:spacing w:after="0"/>
              <w:rPr>
                <w:sz w:val="20"/>
                <w:szCs w:val="20"/>
                <w:color w:val="auto"/>
              </w:rPr>
            </w:pPr>
            <w:r>
              <w:rPr>
                <w:rFonts w:ascii="Arial" w:cs="Arial" w:eastAsia="Arial" w:hAnsi="Arial"/>
                <w:sz w:val="13"/>
                <w:szCs w:val="13"/>
                <w:b w:val="1"/>
                <w:bCs w:val="1"/>
                <w:color w:val="auto"/>
              </w:rPr>
              <w:t>361,033</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322,817</w:t>
            </w:r>
          </w:p>
        </w:tc>
      </w:tr>
      <w:tr>
        <w:trPr>
          <w:trHeight w:val="183"/>
        </w:trPr>
        <w:tc>
          <w:tcPr>
            <w:tcW w:w="7640" w:type="dxa"/>
            <w:vAlign w:val="bottom"/>
          </w:tcPr>
          <w:p>
            <w:pPr>
              <w:ind w:left="20"/>
              <w:spacing w:after="0"/>
              <w:rPr>
                <w:sz w:val="20"/>
                <w:szCs w:val="20"/>
                <w:color w:val="auto"/>
              </w:rPr>
            </w:pPr>
            <w:r>
              <w:rPr>
                <w:rFonts w:ascii="Arial" w:cs="Arial" w:eastAsia="Arial" w:hAnsi="Arial"/>
                <w:sz w:val="13"/>
                <w:szCs w:val="13"/>
                <w:b w:val="1"/>
                <w:bCs w:val="1"/>
                <w:color w:val="auto"/>
              </w:rPr>
              <w:t>Adjustments to reconcile net income to net cash generated from operating activities</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disposal of property, plant and equipment</w:t>
            </w:r>
          </w:p>
        </w:tc>
        <w:tc>
          <w:tcPr>
            <w:tcW w:w="9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97"/>
              <w:spacing w:after="0"/>
              <w:rPr>
                <w:sz w:val="20"/>
                <w:szCs w:val="20"/>
                <w:color w:val="auto"/>
              </w:rPr>
            </w:pPr>
            <w:r>
              <w:rPr>
                <w:rFonts w:ascii="Arial" w:cs="Arial" w:eastAsia="Arial" w:hAnsi="Arial"/>
                <w:sz w:val="13"/>
                <w:szCs w:val="13"/>
                <w:b w:val="1"/>
                <w:bCs w:val="1"/>
                <w:color w:val="auto"/>
              </w:rPr>
              <w:t>346</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70</w:t>
            </w:r>
          </w:p>
        </w:tc>
      </w:tr>
      <w:tr>
        <w:trPr>
          <w:trHeight w:val="183"/>
        </w:trPr>
        <w:tc>
          <w:tcPr>
            <w:tcW w:w="7640" w:type="dxa"/>
            <w:vAlign w:val="bottom"/>
          </w:tcPr>
          <w:p>
            <w:pPr>
              <w:ind w:left="20"/>
              <w:spacing w:after="0"/>
              <w:rPr>
                <w:sz w:val="20"/>
                <w:szCs w:val="20"/>
                <w:color w:val="auto"/>
              </w:rPr>
            </w:pPr>
            <w:r>
              <w:rPr>
                <w:rFonts w:ascii="Arial" w:cs="Arial" w:eastAsia="Arial" w:hAnsi="Arial"/>
                <w:sz w:val="13"/>
                <w:szCs w:val="13"/>
                <w:color w:val="auto"/>
              </w:rPr>
              <w:t>Depreciation of property, plant and equipment</w:t>
            </w:r>
          </w:p>
        </w:tc>
        <w:tc>
          <w:tcPr>
            <w:tcW w:w="980" w:type="dxa"/>
            <w:vAlign w:val="bottom"/>
          </w:tcPr>
          <w:p>
            <w:pPr>
              <w:jc w:val="right"/>
              <w:ind w:right="236"/>
              <w:spacing w:after="0"/>
              <w:rPr>
                <w:sz w:val="20"/>
                <w:szCs w:val="20"/>
                <w:color w:val="auto"/>
              </w:rPr>
            </w:pPr>
            <w:r>
              <w:rPr>
                <w:rFonts w:ascii="Arial" w:cs="Arial" w:eastAsia="Arial" w:hAnsi="Arial"/>
                <w:sz w:val="13"/>
                <w:szCs w:val="13"/>
                <w:i w:val="1"/>
                <w:iCs w:val="1"/>
                <w:color w:val="auto"/>
              </w:rPr>
              <w:t>12</w:t>
            </w:r>
          </w:p>
        </w:tc>
        <w:tc>
          <w:tcPr>
            <w:tcW w:w="1600" w:type="dxa"/>
            <w:vAlign w:val="bottom"/>
          </w:tcPr>
          <w:p>
            <w:pPr>
              <w:jc w:val="right"/>
              <w:ind w:right="497"/>
              <w:spacing w:after="0"/>
              <w:rPr>
                <w:sz w:val="20"/>
                <w:szCs w:val="20"/>
                <w:color w:val="auto"/>
              </w:rPr>
            </w:pPr>
            <w:r>
              <w:rPr>
                <w:rFonts w:ascii="Arial" w:cs="Arial" w:eastAsia="Arial" w:hAnsi="Arial"/>
                <w:sz w:val="13"/>
                <w:szCs w:val="13"/>
                <w:b w:val="1"/>
                <w:bCs w:val="1"/>
                <w:color w:val="auto"/>
              </w:rPr>
              <w:t>19,597</w:t>
            </w:r>
          </w:p>
        </w:tc>
        <w:tc>
          <w:tcPr>
            <w:tcW w:w="1060" w:type="dxa"/>
            <w:vAlign w:val="bottom"/>
          </w:tcPr>
          <w:p>
            <w:pPr>
              <w:jc w:val="right"/>
              <w:ind w:right="76"/>
              <w:spacing w:after="0"/>
              <w:rPr>
                <w:sz w:val="20"/>
                <w:szCs w:val="20"/>
                <w:color w:val="auto"/>
              </w:rPr>
            </w:pPr>
            <w:r>
              <w:rPr>
                <w:rFonts w:ascii="Arial" w:cs="Arial" w:eastAsia="Arial" w:hAnsi="Arial"/>
                <w:sz w:val="13"/>
                <w:szCs w:val="13"/>
                <w:color w:val="auto"/>
              </w:rPr>
              <w:t>19,996</w:t>
            </w: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of right-of-use assets</w:t>
            </w:r>
          </w:p>
        </w:tc>
        <w:tc>
          <w:tcPr>
            <w:tcW w:w="980" w:type="dxa"/>
            <w:vAlign w:val="bottom"/>
            <w:shd w:val="clear" w:color="auto" w:fill="CCEEFF"/>
          </w:tcPr>
          <w:p>
            <w:pPr>
              <w:jc w:val="right"/>
              <w:ind w:right="236"/>
              <w:spacing w:after="0"/>
              <w:rPr>
                <w:sz w:val="20"/>
                <w:szCs w:val="20"/>
                <w:color w:val="auto"/>
              </w:rPr>
            </w:pPr>
            <w:r>
              <w:rPr>
                <w:rFonts w:ascii="Arial" w:cs="Arial" w:eastAsia="Arial" w:hAnsi="Arial"/>
                <w:sz w:val="13"/>
                <w:szCs w:val="13"/>
                <w:i w:val="1"/>
                <w:iCs w:val="1"/>
                <w:color w:val="auto"/>
              </w:rPr>
              <w:t>27</w:t>
            </w:r>
          </w:p>
        </w:tc>
        <w:tc>
          <w:tcPr>
            <w:tcW w:w="1600" w:type="dxa"/>
            <w:vAlign w:val="bottom"/>
            <w:shd w:val="clear" w:color="auto" w:fill="CCEEFF"/>
          </w:tcPr>
          <w:p>
            <w:pPr>
              <w:jc w:val="right"/>
              <w:ind w:right="497"/>
              <w:spacing w:after="0"/>
              <w:rPr>
                <w:sz w:val="20"/>
                <w:szCs w:val="20"/>
                <w:color w:val="auto"/>
              </w:rPr>
            </w:pPr>
            <w:r>
              <w:rPr>
                <w:rFonts w:ascii="Arial" w:cs="Arial" w:eastAsia="Arial" w:hAnsi="Arial"/>
                <w:sz w:val="13"/>
                <w:szCs w:val="13"/>
                <w:b w:val="1"/>
                <w:bCs w:val="1"/>
                <w:color w:val="auto"/>
              </w:rPr>
              <w:t>31,387</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r>
      <w:tr>
        <w:trPr>
          <w:trHeight w:val="183"/>
        </w:trPr>
        <w:tc>
          <w:tcPr>
            <w:tcW w:w="7640" w:type="dxa"/>
            <w:vAlign w:val="bottom"/>
          </w:tcPr>
          <w:p>
            <w:pPr>
              <w:ind w:left="20"/>
              <w:spacing w:after="0"/>
              <w:rPr>
                <w:sz w:val="20"/>
                <w:szCs w:val="20"/>
                <w:color w:val="auto"/>
              </w:rPr>
            </w:pPr>
            <w:r>
              <w:rPr>
                <w:rFonts w:ascii="Arial" w:cs="Arial" w:eastAsia="Arial" w:hAnsi="Arial"/>
                <w:sz w:val="13"/>
                <w:szCs w:val="13"/>
                <w:color w:val="auto"/>
              </w:rPr>
              <w:t>Amortisation of intangible assets</w:t>
            </w:r>
          </w:p>
        </w:tc>
        <w:tc>
          <w:tcPr>
            <w:tcW w:w="980" w:type="dxa"/>
            <w:vAlign w:val="bottom"/>
          </w:tcPr>
          <w:p>
            <w:pPr>
              <w:jc w:val="right"/>
              <w:ind w:right="236"/>
              <w:spacing w:after="0"/>
              <w:rPr>
                <w:sz w:val="20"/>
                <w:szCs w:val="20"/>
                <w:color w:val="auto"/>
              </w:rPr>
            </w:pPr>
            <w:r>
              <w:rPr>
                <w:rFonts w:ascii="Arial" w:cs="Arial" w:eastAsia="Arial" w:hAnsi="Arial"/>
                <w:sz w:val="13"/>
                <w:szCs w:val="13"/>
                <w:i w:val="1"/>
                <w:iCs w:val="1"/>
                <w:color w:val="auto"/>
              </w:rPr>
              <w:t>13</w:t>
            </w:r>
          </w:p>
        </w:tc>
        <w:tc>
          <w:tcPr>
            <w:tcW w:w="1600" w:type="dxa"/>
            <w:vAlign w:val="bottom"/>
          </w:tcPr>
          <w:p>
            <w:pPr>
              <w:jc w:val="right"/>
              <w:ind w:right="497"/>
              <w:spacing w:after="0"/>
              <w:rPr>
                <w:sz w:val="20"/>
                <w:szCs w:val="20"/>
                <w:color w:val="auto"/>
              </w:rPr>
            </w:pPr>
            <w:r>
              <w:rPr>
                <w:rFonts w:ascii="Arial" w:cs="Arial" w:eastAsia="Arial" w:hAnsi="Arial"/>
                <w:sz w:val="13"/>
                <w:szCs w:val="13"/>
                <w:b w:val="1"/>
                <w:bCs w:val="1"/>
                <w:color w:val="auto"/>
              </w:rPr>
              <w:t>41,953</w:t>
            </w:r>
          </w:p>
        </w:tc>
        <w:tc>
          <w:tcPr>
            <w:tcW w:w="1060" w:type="dxa"/>
            <w:vAlign w:val="bottom"/>
          </w:tcPr>
          <w:p>
            <w:pPr>
              <w:jc w:val="right"/>
              <w:ind w:right="76"/>
              <w:spacing w:after="0"/>
              <w:rPr>
                <w:sz w:val="20"/>
                <w:szCs w:val="20"/>
                <w:color w:val="auto"/>
              </w:rPr>
            </w:pPr>
            <w:r>
              <w:rPr>
                <w:rFonts w:ascii="Arial" w:cs="Arial" w:eastAsia="Arial" w:hAnsi="Arial"/>
                <w:sz w:val="13"/>
                <w:szCs w:val="13"/>
                <w:color w:val="auto"/>
              </w:rPr>
              <w:t>45,920</w:t>
            </w: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Amortisation of grants</w:t>
            </w:r>
          </w:p>
        </w:tc>
        <w:tc>
          <w:tcPr>
            <w:tcW w:w="980" w:type="dxa"/>
            <w:vAlign w:val="bottom"/>
            <w:shd w:val="clear" w:color="auto" w:fill="CCEEFF"/>
          </w:tcPr>
          <w:p>
            <w:pPr>
              <w:jc w:val="right"/>
              <w:ind w:right="236"/>
              <w:spacing w:after="0"/>
              <w:rPr>
                <w:sz w:val="20"/>
                <w:szCs w:val="20"/>
                <w:color w:val="auto"/>
              </w:rPr>
            </w:pPr>
            <w:r>
              <w:rPr>
                <w:rFonts w:ascii="Arial" w:cs="Arial" w:eastAsia="Arial" w:hAnsi="Arial"/>
                <w:sz w:val="13"/>
                <w:szCs w:val="13"/>
                <w:i w:val="1"/>
                <w:iCs w:val="1"/>
                <w:color w:val="auto"/>
              </w:rPr>
              <w:t>22</w:t>
            </w:r>
          </w:p>
        </w:tc>
        <w:tc>
          <w:tcPr>
            <w:tcW w:w="1600" w:type="dxa"/>
            <w:vAlign w:val="bottom"/>
            <w:shd w:val="clear" w:color="auto" w:fill="CCEEFF"/>
          </w:tcPr>
          <w:p>
            <w:pPr>
              <w:jc w:val="right"/>
              <w:ind w:right="457"/>
              <w:spacing w:after="0"/>
              <w:rPr>
                <w:sz w:val="20"/>
                <w:szCs w:val="20"/>
                <w:color w:val="auto"/>
              </w:rPr>
            </w:pPr>
            <w:r>
              <w:rPr>
                <w:rFonts w:ascii="Arial" w:cs="Arial" w:eastAsia="Arial" w:hAnsi="Arial"/>
                <w:sz w:val="13"/>
                <w:szCs w:val="13"/>
                <w:b w:val="1"/>
                <w:bCs w:val="1"/>
                <w:color w:val="auto"/>
              </w:rPr>
              <w:t>(44)</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(47)</w:t>
            </w:r>
          </w:p>
        </w:tc>
      </w:tr>
      <w:tr>
        <w:trPr>
          <w:trHeight w:val="183"/>
        </w:trPr>
        <w:tc>
          <w:tcPr>
            <w:tcW w:w="7640" w:type="dxa"/>
            <w:vAlign w:val="bottom"/>
          </w:tcPr>
          <w:p>
            <w:pPr>
              <w:ind w:left="20"/>
              <w:spacing w:after="0"/>
              <w:rPr>
                <w:sz w:val="20"/>
                <w:szCs w:val="20"/>
                <w:color w:val="auto"/>
              </w:rPr>
            </w:pPr>
            <w:r>
              <w:rPr>
                <w:rFonts w:ascii="Arial" w:cs="Arial" w:eastAsia="Arial" w:hAnsi="Arial"/>
                <w:sz w:val="13"/>
                <w:szCs w:val="13"/>
                <w:color w:val="auto"/>
              </w:rPr>
              <w:t>Interest on short term investments</w:t>
            </w:r>
          </w:p>
        </w:tc>
        <w:tc>
          <w:tcPr>
            <w:tcW w:w="980" w:type="dxa"/>
            <w:vAlign w:val="bottom"/>
          </w:tcPr>
          <w:p>
            <w:pPr>
              <w:jc w:val="right"/>
              <w:ind w:right="236"/>
              <w:spacing w:after="0"/>
              <w:rPr>
                <w:sz w:val="20"/>
                <w:szCs w:val="20"/>
                <w:color w:val="auto"/>
              </w:rPr>
            </w:pPr>
            <w:r>
              <w:rPr>
                <w:rFonts w:ascii="Arial" w:cs="Arial" w:eastAsia="Arial" w:hAnsi="Arial"/>
                <w:sz w:val="13"/>
                <w:szCs w:val="13"/>
                <w:i w:val="1"/>
                <w:iCs w:val="1"/>
                <w:color w:val="auto"/>
              </w:rPr>
              <w:t>18</w:t>
            </w:r>
          </w:p>
        </w:tc>
        <w:tc>
          <w:tcPr>
            <w:tcW w:w="1600" w:type="dxa"/>
            <w:vAlign w:val="bottom"/>
          </w:tcPr>
          <w:p>
            <w:pPr>
              <w:jc w:val="right"/>
              <w:ind w:right="457"/>
              <w:spacing w:after="0"/>
              <w:rPr>
                <w:sz w:val="20"/>
                <w:szCs w:val="20"/>
                <w:color w:val="auto"/>
              </w:rPr>
            </w:pPr>
            <w:r>
              <w:rPr>
                <w:rFonts w:ascii="Arial" w:cs="Arial" w:eastAsia="Arial" w:hAnsi="Arial"/>
                <w:sz w:val="13"/>
                <w:szCs w:val="13"/>
                <w:b w:val="1"/>
                <w:bCs w:val="1"/>
                <w:color w:val="auto"/>
              </w:rPr>
              <w:t>(1,065)</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(1,329)</w:t>
            </w: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Realised gain on sale of current asset investments</w:t>
            </w:r>
          </w:p>
        </w:tc>
        <w:tc>
          <w:tcPr>
            <w:tcW w:w="980" w:type="dxa"/>
            <w:vAlign w:val="bottom"/>
            <w:shd w:val="clear" w:color="auto" w:fill="CCEEFF"/>
          </w:tcPr>
          <w:p>
            <w:pPr>
              <w:jc w:val="right"/>
              <w:ind w:right="236"/>
              <w:spacing w:after="0"/>
              <w:rPr>
                <w:sz w:val="20"/>
                <w:szCs w:val="20"/>
                <w:color w:val="auto"/>
              </w:rPr>
            </w:pPr>
            <w:r>
              <w:rPr>
                <w:rFonts w:ascii="Arial" w:cs="Arial" w:eastAsia="Arial" w:hAnsi="Arial"/>
                <w:sz w:val="13"/>
                <w:szCs w:val="13"/>
                <w:i w:val="1"/>
                <w:iCs w:val="1"/>
                <w:color w:val="auto"/>
              </w:rPr>
              <w:t>18</w:t>
            </w:r>
          </w:p>
        </w:tc>
        <w:tc>
          <w:tcPr>
            <w:tcW w:w="1600" w:type="dxa"/>
            <w:vAlign w:val="bottom"/>
            <w:shd w:val="clear" w:color="auto" w:fill="CCEEFF"/>
          </w:tcPr>
          <w:p>
            <w:pPr>
              <w:jc w:val="right"/>
              <w:ind w:right="457"/>
              <w:spacing w:after="0"/>
              <w:rPr>
                <w:sz w:val="20"/>
                <w:szCs w:val="20"/>
                <w:color w:val="auto"/>
              </w:rPr>
            </w:pPr>
            <w:r>
              <w:rPr>
                <w:rFonts w:ascii="Arial" w:cs="Arial" w:eastAsia="Arial" w:hAnsi="Arial"/>
                <w:sz w:val="13"/>
                <w:szCs w:val="13"/>
                <w:b w:val="1"/>
                <w:bCs w:val="1"/>
                <w:color w:val="auto"/>
              </w:rPr>
              <w:t>(55)</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(56)</w:t>
            </w:r>
          </w:p>
        </w:tc>
      </w:tr>
      <w:tr>
        <w:trPr>
          <w:trHeight w:val="183"/>
        </w:trPr>
        <w:tc>
          <w:tcPr>
            <w:tcW w:w="7640" w:type="dxa"/>
            <w:vAlign w:val="bottom"/>
          </w:tcPr>
          <w:p>
            <w:pPr>
              <w:ind w:left="20"/>
              <w:spacing w:after="0"/>
              <w:rPr>
                <w:sz w:val="20"/>
                <w:szCs w:val="20"/>
                <w:color w:val="auto"/>
              </w:rPr>
            </w:pPr>
            <w:r>
              <w:rPr>
                <w:rFonts w:ascii="Arial" w:cs="Arial" w:eastAsia="Arial" w:hAnsi="Arial"/>
                <w:sz w:val="13"/>
                <w:szCs w:val="13"/>
                <w:color w:val="auto"/>
              </w:rPr>
              <w:t>Fair value movement on put option</w:t>
            </w:r>
          </w:p>
        </w:tc>
        <w:tc>
          <w:tcPr>
            <w:tcW w:w="980" w:type="dxa"/>
            <w:vAlign w:val="bottom"/>
          </w:tcPr>
          <w:p>
            <w:pPr>
              <w:jc w:val="right"/>
              <w:ind w:right="236"/>
              <w:spacing w:after="0"/>
              <w:rPr>
                <w:sz w:val="20"/>
                <w:szCs w:val="20"/>
                <w:color w:val="auto"/>
              </w:rPr>
            </w:pPr>
            <w:r>
              <w:rPr>
                <w:rFonts w:ascii="Arial" w:cs="Arial" w:eastAsia="Arial" w:hAnsi="Arial"/>
                <w:sz w:val="13"/>
                <w:szCs w:val="13"/>
                <w:i w:val="1"/>
                <w:iCs w:val="1"/>
                <w:color w:val="auto"/>
              </w:rPr>
              <w:t>25</w:t>
            </w:r>
          </w:p>
        </w:tc>
        <w:tc>
          <w:tcPr>
            <w:tcW w:w="1600" w:type="dxa"/>
            <w:vAlign w:val="bottom"/>
          </w:tcPr>
          <w:p>
            <w:pPr>
              <w:jc w:val="right"/>
              <w:ind w:right="497"/>
              <w:spacing w:after="0"/>
              <w:rPr>
                <w:sz w:val="20"/>
                <w:szCs w:val="20"/>
                <w:color w:val="auto"/>
              </w:rPr>
            </w:pPr>
            <w:r>
              <w:rPr>
                <w:rFonts w:ascii="Arial" w:cs="Arial" w:eastAsia="Arial" w:hAnsi="Arial"/>
                <w:sz w:val="13"/>
                <w:szCs w:val="13"/>
                <w:b w:val="1"/>
                <w:bCs w:val="1"/>
                <w:color w:val="auto"/>
              </w:rPr>
              <w:t>8,723</w:t>
            </w:r>
          </w:p>
        </w:tc>
        <w:tc>
          <w:tcPr>
            <w:tcW w:w="106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on lease liabilities</w:t>
            </w:r>
          </w:p>
        </w:tc>
        <w:tc>
          <w:tcPr>
            <w:tcW w:w="980" w:type="dxa"/>
            <w:vAlign w:val="bottom"/>
            <w:shd w:val="clear" w:color="auto" w:fill="CCEEFF"/>
          </w:tcPr>
          <w:p>
            <w:pPr>
              <w:jc w:val="right"/>
              <w:ind w:right="236"/>
              <w:spacing w:after="0"/>
              <w:rPr>
                <w:sz w:val="20"/>
                <w:szCs w:val="20"/>
                <w:color w:val="auto"/>
              </w:rPr>
            </w:pPr>
            <w:r>
              <w:rPr>
                <w:rFonts w:ascii="Arial" w:cs="Arial" w:eastAsia="Arial" w:hAnsi="Arial"/>
                <w:sz w:val="13"/>
                <w:szCs w:val="13"/>
                <w:i w:val="1"/>
                <w:iCs w:val="1"/>
                <w:color w:val="auto"/>
              </w:rPr>
              <w:t>5</w:t>
            </w:r>
          </w:p>
        </w:tc>
        <w:tc>
          <w:tcPr>
            <w:tcW w:w="1600" w:type="dxa"/>
            <w:vAlign w:val="bottom"/>
            <w:shd w:val="clear" w:color="auto" w:fill="CCEEFF"/>
          </w:tcPr>
          <w:p>
            <w:pPr>
              <w:jc w:val="right"/>
              <w:ind w:right="497"/>
              <w:spacing w:after="0"/>
              <w:rPr>
                <w:sz w:val="20"/>
                <w:szCs w:val="20"/>
                <w:color w:val="auto"/>
              </w:rPr>
            </w:pPr>
            <w:r>
              <w:rPr>
                <w:rFonts w:ascii="Arial" w:cs="Arial" w:eastAsia="Arial" w:hAnsi="Arial"/>
                <w:sz w:val="13"/>
                <w:szCs w:val="13"/>
                <w:b w:val="1"/>
                <w:bCs w:val="1"/>
                <w:color w:val="auto"/>
              </w:rPr>
              <w:t>2,626</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r>
      <w:tr>
        <w:trPr>
          <w:trHeight w:val="183"/>
        </w:trPr>
        <w:tc>
          <w:tcPr>
            <w:tcW w:w="7640" w:type="dxa"/>
            <w:vAlign w:val="bottom"/>
          </w:tcPr>
          <w:p>
            <w:pPr>
              <w:ind w:left="20"/>
              <w:spacing w:after="0"/>
              <w:rPr>
                <w:sz w:val="20"/>
                <w:szCs w:val="20"/>
                <w:color w:val="auto"/>
              </w:rPr>
            </w:pPr>
            <w:r>
              <w:rPr>
                <w:rFonts w:ascii="Arial" w:cs="Arial" w:eastAsia="Arial" w:hAnsi="Arial"/>
                <w:sz w:val="13"/>
                <w:szCs w:val="13"/>
                <w:color w:val="auto"/>
              </w:rPr>
              <w:t>Loss/(gain) on re-measurement of long-term financial assets</w:t>
            </w:r>
          </w:p>
        </w:tc>
        <w:tc>
          <w:tcPr>
            <w:tcW w:w="980" w:type="dxa"/>
            <w:vAlign w:val="bottom"/>
          </w:tcPr>
          <w:p>
            <w:pPr>
              <w:jc w:val="right"/>
              <w:ind w:right="236"/>
              <w:spacing w:after="0"/>
              <w:rPr>
                <w:sz w:val="20"/>
                <w:szCs w:val="20"/>
                <w:color w:val="auto"/>
              </w:rPr>
            </w:pPr>
            <w:r>
              <w:rPr>
                <w:rFonts w:ascii="Arial" w:cs="Arial" w:eastAsia="Arial" w:hAnsi="Arial"/>
                <w:sz w:val="13"/>
                <w:szCs w:val="13"/>
                <w:i w:val="1"/>
                <w:iCs w:val="1"/>
                <w:color w:val="auto"/>
              </w:rPr>
              <w:t>18</w:t>
            </w:r>
          </w:p>
        </w:tc>
        <w:tc>
          <w:tcPr>
            <w:tcW w:w="1600" w:type="dxa"/>
            <w:vAlign w:val="bottom"/>
          </w:tcPr>
          <w:p>
            <w:pPr>
              <w:jc w:val="right"/>
              <w:ind w:right="497"/>
              <w:spacing w:after="0"/>
              <w:rPr>
                <w:sz w:val="20"/>
                <w:szCs w:val="20"/>
                <w:color w:val="auto"/>
              </w:rPr>
            </w:pPr>
            <w:r>
              <w:rPr>
                <w:rFonts w:ascii="Arial" w:cs="Arial" w:eastAsia="Arial" w:hAnsi="Arial"/>
                <w:sz w:val="13"/>
                <w:szCs w:val="13"/>
                <w:b w:val="1"/>
                <w:bCs w:val="1"/>
                <w:color w:val="auto"/>
              </w:rPr>
              <w:t>800</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(800)</w:t>
            </w: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Amortisation of gain on interest rate hedge</w:t>
            </w:r>
          </w:p>
        </w:tc>
        <w:tc>
          <w:tcPr>
            <w:tcW w:w="980" w:type="dxa"/>
            <w:vAlign w:val="bottom"/>
            <w:shd w:val="clear" w:color="auto" w:fill="CCEEFF"/>
          </w:tcPr>
          <w:p>
            <w:pPr>
              <w:jc w:val="right"/>
              <w:ind w:right="236"/>
              <w:spacing w:after="0"/>
              <w:rPr>
                <w:sz w:val="20"/>
                <w:szCs w:val="20"/>
                <w:color w:val="auto"/>
              </w:rPr>
            </w:pPr>
            <w:r>
              <w:rPr>
                <w:rFonts w:ascii="Arial" w:cs="Arial" w:eastAsia="Arial" w:hAnsi="Arial"/>
                <w:sz w:val="13"/>
                <w:szCs w:val="13"/>
                <w:i w:val="1"/>
                <w:iCs w:val="1"/>
                <w:color w:val="auto"/>
              </w:rPr>
              <w:t>5</w:t>
            </w:r>
          </w:p>
        </w:tc>
        <w:tc>
          <w:tcPr>
            <w:tcW w:w="1600" w:type="dxa"/>
            <w:vAlign w:val="bottom"/>
            <w:shd w:val="clear" w:color="auto" w:fill="CCEEFF"/>
          </w:tcPr>
          <w:p>
            <w:pPr>
              <w:jc w:val="right"/>
              <w:ind w:right="457"/>
              <w:spacing w:after="0"/>
              <w:rPr>
                <w:sz w:val="20"/>
                <w:szCs w:val="20"/>
                <w:color w:val="auto"/>
              </w:rPr>
            </w:pPr>
            <w:r>
              <w:rPr>
                <w:rFonts w:ascii="Arial" w:cs="Arial" w:eastAsia="Arial" w:hAnsi="Arial"/>
                <w:sz w:val="13"/>
                <w:szCs w:val="13"/>
                <w:b w:val="1"/>
                <w:bCs w:val="1"/>
                <w:color w:val="auto"/>
              </w:rPr>
              <w:t>(923)</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(923)</w:t>
            </w:r>
          </w:p>
        </w:tc>
      </w:tr>
      <w:tr>
        <w:trPr>
          <w:trHeight w:val="183"/>
        </w:trPr>
        <w:tc>
          <w:tcPr>
            <w:tcW w:w="7640" w:type="dxa"/>
            <w:vAlign w:val="bottom"/>
          </w:tcPr>
          <w:p>
            <w:pPr>
              <w:ind w:left="20"/>
              <w:spacing w:after="0"/>
              <w:rPr>
                <w:sz w:val="20"/>
                <w:szCs w:val="20"/>
                <w:color w:val="auto"/>
              </w:rPr>
            </w:pPr>
            <w:r>
              <w:rPr>
                <w:rFonts w:ascii="Arial" w:cs="Arial" w:eastAsia="Arial" w:hAnsi="Arial"/>
                <w:sz w:val="13"/>
                <w:szCs w:val="13"/>
                <w:color w:val="auto"/>
              </w:rPr>
              <w:t>Amortisation of deferred financing costs</w:t>
            </w:r>
          </w:p>
        </w:tc>
        <w:tc>
          <w:tcPr>
            <w:tcW w:w="980" w:type="dxa"/>
            <w:vAlign w:val="bottom"/>
          </w:tcPr>
          <w:p>
            <w:pPr>
              <w:jc w:val="right"/>
              <w:ind w:right="236"/>
              <w:spacing w:after="0"/>
              <w:rPr>
                <w:sz w:val="20"/>
                <w:szCs w:val="20"/>
                <w:color w:val="auto"/>
              </w:rPr>
            </w:pPr>
            <w:r>
              <w:rPr>
                <w:rFonts w:ascii="Arial" w:cs="Arial" w:eastAsia="Arial" w:hAnsi="Arial"/>
                <w:sz w:val="13"/>
                <w:szCs w:val="13"/>
                <w:i w:val="1"/>
                <w:iCs w:val="1"/>
                <w:color w:val="auto"/>
              </w:rPr>
              <w:t>5</w:t>
            </w:r>
          </w:p>
        </w:tc>
        <w:tc>
          <w:tcPr>
            <w:tcW w:w="1600" w:type="dxa"/>
            <w:vAlign w:val="bottom"/>
          </w:tcPr>
          <w:p>
            <w:pPr>
              <w:jc w:val="right"/>
              <w:ind w:right="497"/>
              <w:spacing w:after="0"/>
              <w:rPr>
                <w:sz w:val="20"/>
                <w:szCs w:val="20"/>
                <w:color w:val="auto"/>
              </w:rPr>
            </w:pPr>
            <w:r>
              <w:rPr>
                <w:rFonts w:ascii="Arial" w:cs="Arial" w:eastAsia="Arial" w:hAnsi="Arial"/>
                <w:sz w:val="13"/>
                <w:szCs w:val="13"/>
                <w:b w:val="1"/>
                <w:bCs w:val="1"/>
                <w:color w:val="auto"/>
              </w:rPr>
              <w:t>540</w:t>
            </w:r>
          </w:p>
        </w:tc>
        <w:tc>
          <w:tcPr>
            <w:tcW w:w="1060" w:type="dxa"/>
            <w:vAlign w:val="bottom"/>
          </w:tcPr>
          <w:p>
            <w:pPr>
              <w:jc w:val="right"/>
              <w:ind w:right="76"/>
              <w:spacing w:after="0"/>
              <w:rPr>
                <w:sz w:val="20"/>
                <w:szCs w:val="20"/>
                <w:color w:val="auto"/>
              </w:rPr>
            </w:pPr>
            <w:r>
              <w:rPr>
                <w:rFonts w:ascii="Arial" w:cs="Arial" w:eastAsia="Arial" w:hAnsi="Arial"/>
                <w:sz w:val="13"/>
                <w:szCs w:val="13"/>
                <w:color w:val="auto"/>
              </w:rPr>
              <w:t>812</w:t>
            </w: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based payment</w:t>
            </w:r>
          </w:p>
        </w:tc>
        <w:tc>
          <w:tcPr>
            <w:tcW w:w="980" w:type="dxa"/>
            <w:vAlign w:val="bottom"/>
            <w:shd w:val="clear" w:color="auto" w:fill="CCEEFF"/>
          </w:tcPr>
          <w:p>
            <w:pPr>
              <w:jc w:val="right"/>
              <w:ind w:right="236"/>
              <w:spacing w:after="0"/>
              <w:rPr>
                <w:sz w:val="20"/>
                <w:szCs w:val="20"/>
                <w:color w:val="auto"/>
              </w:rPr>
            </w:pPr>
            <w:r>
              <w:rPr>
                <w:rFonts w:ascii="Arial" w:cs="Arial" w:eastAsia="Arial" w:hAnsi="Arial"/>
                <w:sz w:val="13"/>
                <w:szCs w:val="13"/>
                <w:i w:val="1"/>
                <w:iCs w:val="1"/>
                <w:color w:val="auto"/>
              </w:rPr>
              <w:t>11</w:t>
            </w:r>
          </w:p>
        </w:tc>
        <w:tc>
          <w:tcPr>
            <w:tcW w:w="1600" w:type="dxa"/>
            <w:vAlign w:val="bottom"/>
            <w:shd w:val="clear" w:color="auto" w:fill="CCEEFF"/>
          </w:tcPr>
          <w:p>
            <w:pPr>
              <w:jc w:val="right"/>
              <w:ind w:right="497"/>
              <w:spacing w:after="0"/>
              <w:rPr>
                <w:sz w:val="20"/>
                <w:szCs w:val="20"/>
                <w:color w:val="auto"/>
              </w:rPr>
            </w:pPr>
            <w:r>
              <w:rPr>
                <w:rFonts w:ascii="Arial" w:cs="Arial" w:eastAsia="Arial" w:hAnsi="Arial"/>
                <w:sz w:val="13"/>
                <w:szCs w:val="13"/>
                <w:b w:val="1"/>
                <w:bCs w:val="1"/>
                <w:color w:val="auto"/>
              </w:rPr>
              <w:t>25,886</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28,059</w:t>
            </w:r>
          </w:p>
        </w:tc>
      </w:tr>
      <w:tr>
        <w:trPr>
          <w:trHeight w:val="183"/>
        </w:trPr>
        <w:tc>
          <w:tcPr>
            <w:tcW w:w="7640" w:type="dxa"/>
            <w:vAlign w:val="bottom"/>
          </w:tcPr>
          <w:p>
            <w:pPr>
              <w:ind w:left="20"/>
              <w:spacing w:after="0"/>
              <w:rPr>
                <w:sz w:val="20"/>
                <w:szCs w:val="20"/>
                <w:color w:val="auto"/>
              </w:rPr>
            </w:pPr>
            <w:r>
              <w:rPr>
                <w:rFonts w:ascii="Arial" w:cs="Arial" w:eastAsia="Arial" w:hAnsi="Arial"/>
                <w:sz w:val="13"/>
                <w:szCs w:val="13"/>
                <w:color w:val="auto"/>
              </w:rPr>
              <w:t>Financing income</w:t>
            </w:r>
          </w:p>
        </w:tc>
        <w:tc>
          <w:tcPr>
            <w:tcW w:w="980" w:type="dxa"/>
            <w:vAlign w:val="bottom"/>
          </w:tcPr>
          <w:p>
            <w:pPr>
              <w:jc w:val="right"/>
              <w:ind w:right="236"/>
              <w:spacing w:after="0"/>
              <w:rPr>
                <w:sz w:val="20"/>
                <w:szCs w:val="20"/>
                <w:color w:val="auto"/>
              </w:rPr>
            </w:pPr>
            <w:r>
              <w:rPr>
                <w:rFonts w:ascii="Arial" w:cs="Arial" w:eastAsia="Arial" w:hAnsi="Arial"/>
                <w:sz w:val="13"/>
                <w:szCs w:val="13"/>
                <w:i w:val="1"/>
                <w:iCs w:val="1"/>
                <w:color w:val="auto"/>
              </w:rPr>
              <w:t>4</w:t>
            </w:r>
          </w:p>
        </w:tc>
        <w:tc>
          <w:tcPr>
            <w:tcW w:w="1600" w:type="dxa"/>
            <w:vAlign w:val="bottom"/>
          </w:tcPr>
          <w:p>
            <w:pPr>
              <w:jc w:val="right"/>
              <w:ind w:right="457"/>
              <w:spacing w:after="0"/>
              <w:rPr>
                <w:sz w:val="20"/>
                <w:szCs w:val="20"/>
                <w:color w:val="auto"/>
              </w:rPr>
            </w:pPr>
            <w:r>
              <w:rPr>
                <w:rFonts w:ascii="Arial" w:cs="Arial" w:eastAsia="Arial" w:hAnsi="Arial"/>
                <w:sz w:val="13"/>
                <w:szCs w:val="13"/>
                <w:b w:val="1"/>
                <w:bCs w:val="1"/>
                <w:color w:val="auto"/>
              </w:rPr>
              <w:t>(6,859)</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(4,759)</w:t>
            </w: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Financing expense</w:t>
            </w:r>
          </w:p>
        </w:tc>
        <w:tc>
          <w:tcPr>
            <w:tcW w:w="980" w:type="dxa"/>
            <w:vAlign w:val="bottom"/>
            <w:shd w:val="clear" w:color="auto" w:fill="CCEEFF"/>
          </w:tcPr>
          <w:p>
            <w:pPr>
              <w:jc w:val="right"/>
              <w:ind w:right="236"/>
              <w:spacing w:after="0"/>
              <w:rPr>
                <w:sz w:val="20"/>
                <w:szCs w:val="20"/>
                <w:color w:val="auto"/>
              </w:rPr>
            </w:pPr>
            <w:r>
              <w:rPr>
                <w:rFonts w:ascii="Arial" w:cs="Arial" w:eastAsia="Arial" w:hAnsi="Arial"/>
                <w:sz w:val="13"/>
                <w:szCs w:val="13"/>
                <w:i w:val="1"/>
                <w:iCs w:val="1"/>
                <w:color w:val="auto"/>
              </w:rPr>
              <w:t>5</w:t>
            </w:r>
          </w:p>
        </w:tc>
        <w:tc>
          <w:tcPr>
            <w:tcW w:w="1600" w:type="dxa"/>
            <w:vAlign w:val="bottom"/>
            <w:shd w:val="clear" w:color="auto" w:fill="CCEEFF"/>
          </w:tcPr>
          <w:p>
            <w:pPr>
              <w:jc w:val="right"/>
              <w:ind w:right="497"/>
              <w:spacing w:after="0"/>
              <w:rPr>
                <w:sz w:val="20"/>
                <w:szCs w:val="20"/>
                <w:color w:val="auto"/>
              </w:rPr>
            </w:pPr>
            <w:r>
              <w:rPr>
                <w:rFonts w:ascii="Arial" w:cs="Arial" w:eastAsia="Arial" w:hAnsi="Arial"/>
                <w:sz w:val="13"/>
                <w:szCs w:val="13"/>
                <w:b w:val="1"/>
                <w:bCs w:val="1"/>
                <w:color w:val="auto"/>
              </w:rPr>
              <w:t>13,659</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13,613</w:t>
            </w:r>
          </w:p>
        </w:tc>
      </w:tr>
      <w:tr>
        <w:trPr>
          <w:trHeight w:val="183"/>
        </w:trPr>
        <w:tc>
          <w:tcPr>
            <w:tcW w:w="7640" w:type="dxa"/>
            <w:vAlign w:val="bottom"/>
          </w:tcPr>
          <w:p>
            <w:pPr>
              <w:ind w:left="20"/>
              <w:spacing w:after="0"/>
              <w:rPr>
                <w:sz w:val="20"/>
                <w:szCs w:val="20"/>
                <w:color w:val="auto"/>
              </w:rPr>
            </w:pPr>
            <w:r>
              <w:rPr>
                <w:rFonts w:ascii="Arial" w:cs="Arial" w:eastAsia="Arial" w:hAnsi="Arial"/>
                <w:sz w:val="13"/>
                <w:szCs w:val="13"/>
                <w:color w:val="auto"/>
              </w:rPr>
              <w:t>Defined benefit pension service costs</w:t>
            </w:r>
          </w:p>
        </w:tc>
        <w:tc>
          <w:tcPr>
            <w:tcW w:w="980" w:type="dxa"/>
            <w:vAlign w:val="bottom"/>
          </w:tcPr>
          <w:p>
            <w:pPr>
              <w:jc w:val="right"/>
              <w:ind w:right="236"/>
              <w:spacing w:after="0"/>
              <w:rPr>
                <w:sz w:val="20"/>
                <w:szCs w:val="20"/>
                <w:color w:val="auto"/>
              </w:rPr>
            </w:pPr>
            <w:r>
              <w:rPr>
                <w:rFonts w:ascii="Arial" w:cs="Arial" w:eastAsia="Arial" w:hAnsi="Arial"/>
                <w:sz w:val="13"/>
                <w:szCs w:val="13"/>
                <w:i w:val="1"/>
                <w:iCs w:val="1"/>
                <w:color w:val="auto"/>
              </w:rPr>
              <w:t>10</w:t>
            </w:r>
          </w:p>
        </w:tc>
        <w:tc>
          <w:tcPr>
            <w:tcW w:w="1600" w:type="dxa"/>
            <w:vAlign w:val="bottom"/>
          </w:tcPr>
          <w:p>
            <w:pPr>
              <w:jc w:val="right"/>
              <w:ind w:right="497"/>
              <w:spacing w:after="0"/>
              <w:rPr>
                <w:sz w:val="20"/>
                <w:szCs w:val="20"/>
                <w:color w:val="auto"/>
              </w:rPr>
            </w:pPr>
            <w:r>
              <w:rPr>
                <w:rFonts w:ascii="Arial" w:cs="Arial" w:eastAsia="Arial" w:hAnsi="Arial"/>
                <w:sz w:val="13"/>
                <w:szCs w:val="13"/>
                <w:b w:val="1"/>
                <w:bCs w:val="1"/>
                <w:color w:val="auto"/>
              </w:rPr>
              <w:t>222</w:t>
            </w:r>
          </w:p>
        </w:tc>
        <w:tc>
          <w:tcPr>
            <w:tcW w:w="1060" w:type="dxa"/>
            <w:vAlign w:val="bottom"/>
          </w:tcPr>
          <w:p>
            <w:pPr>
              <w:jc w:val="right"/>
              <w:ind w:right="76"/>
              <w:spacing w:after="0"/>
              <w:rPr>
                <w:sz w:val="20"/>
                <w:szCs w:val="20"/>
                <w:color w:val="auto"/>
              </w:rPr>
            </w:pPr>
            <w:r>
              <w:rPr>
                <w:rFonts w:ascii="Arial" w:cs="Arial" w:eastAsia="Arial" w:hAnsi="Arial"/>
                <w:sz w:val="13"/>
                <w:szCs w:val="13"/>
                <w:color w:val="auto"/>
              </w:rPr>
              <w:t>263</w:t>
            </w: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Defined benefit pension finance costs</w:t>
            </w:r>
          </w:p>
        </w:tc>
        <w:tc>
          <w:tcPr>
            <w:tcW w:w="980" w:type="dxa"/>
            <w:vAlign w:val="bottom"/>
            <w:shd w:val="clear" w:color="auto" w:fill="CCEEFF"/>
          </w:tcPr>
          <w:p>
            <w:pPr>
              <w:jc w:val="right"/>
              <w:ind w:right="236"/>
              <w:spacing w:after="0"/>
              <w:rPr>
                <w:sz w:val="20"/>
                <w:szCs w:val="20"/>
                <w:color w:val="auto"/>
              </w:rPr>
            </w:pPr>
            <w:r>
              <w:rPr>
                <w:rFonts w:ascii="Arial" w:cs="Arial" w:eastAsia="Arial" w:hAnsi="Arial"/>
                <w:sz w:val="13"/>
                <w:szCs w:val="13"/>
                <w:i w:val="1"/>
                <w:iCs w:val="1"/>
                <w:color w:val="auto"/>
              </w:rPr>
              <w:t>10</w:t>
            </w:r>
          </w:p>
        </w:tc>
        <w:tc>
          <w:tcPr>
            <w:tcW w:w="1600" w:type="dxa"/>
            <w:vAlign w:val="bottom"/>
            <w:shd w:val="clear" w:color="auto" w:fill="CCEEFF"/>
          </w:tcPr>
          <w:p>
            <w:pPr>
              <w:jc w:val="right"/>
              <w:ind w:right="497"/>
              <w:spacing w:after="0"/>
              <w:rPr>
                <w:sz w:val="20"/>
                <w:szCs w:val="20"/>
                <w:color w:val="auto"/>
              </w:rPr>
            </w:pPr>
            <w:r>
              <w:rPr>
                <w:rFonts w:ascii="Arial" w:cs="Arial" w:eastAsia="Arial" w:hAnsi="Arial"/>
                <w:sz w:val="13"/>
                <w:szCs w:val="13"/>
                <w:b w:val="1"/>
                <w:bCs w:val="1"/>
                <w:color w:val="auto"/>
              </w:rPr>
              <w:t>82</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137</w:t>
            </w:r>
          </w:p>
        </w:tc>
      </w:tr>
      <w:tr>
        <w:trPr>
          <w:trHeight w:val="183"/>
        </w:trPr>
        <w:tc>
          <w:tcPr>
            <w:tcW w:w="7640" w:type="dxa"/>
            <w:vAlign w:val="bottom"/>
          </w:tcPr>
          <w:p>
            <w:pPr>
              <w:ind w:left="20"/>
              <w:spacing w:after="0"/>
              <w:rPr>
                <w:sz w:val="20"/>
                <w:szCs w:val="20"/>
                <w:color w:val="auto"/>
              </w:rPr>
            </w:pPr>
            <w:r>
              <w:rPr>
                <w:rFonts w:ascii="Arial" w:cs="Arial" w:eastAsia="Arial" w:hAnsi="Arial"/>
                <w:sz w:val="13"/>
                <w:szCs w:val="13"/>
                <w:color w:val="auto"/>
              </w:rPr>
              <w:t>Defined benefit past service cost</w:t>
            </w:r>
          </w:p>
        </w:tc>
        <w:tc>
          <w:tcPr>
            <w:tcW w:w="980" w:type="dxa"/>
            <w:vAlign w:val="bottom"/>
          </w:tcPr>
          <w:p>
            <w:pPr>
              <w:jc w:val="right"/>
              <w:ind w:right="236"/>
              <w:spacing w:after="0"/>
              <w:rPr>
                <w:sz w:val="20"/>
                <w:szCs w:val="20"/>
                <w:color w:val="auto"/>
              </w:rPr>
            </w:pPr>
            <w:r>
              <w:rPr>
                <w:rFonts w:ascii="Arial" w:cs="Arial" w:eastAsia="Arial" w:hAnsi="Arial"/>
                <w:sz w:val="13"/>
                <w:szCs w:val="13"/>
                <w:i w:val="1"/>
                <w:iCs w:val="1"/>
                <w:color w:val="auto"/>
              </w:rPr>
              <w:t>10</w:t>
            </w:r>
          </w:p>
        </w:tc>
        <w:tc>
          <w:tcPr>
            <w:tcW w:w="1600" w:type="dxa"/>
            <w:vAlign w:val="bottom"/>
          </w:tcPr>
          <w:p>
            <w:pPr>
              <w:jc w:val="right"/>
              <w:ind w:right="497"/>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(8)</w:t>
            </w:r>
          </w:p>
        </w:tc>
      </w:tr>
      <w:tr>
        <w:trPr>
          <w:trHeight w:val="191"/>
        </w:trPr>
        <w:tc>
          <w:tcPr>
            <w:tcW w:w="7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9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i w:val="1"/>
                <w:iCs w:val="1"/>
                <w:color w:val="auto"/>
              </w:rPr>
              <w:t>6</w:t>
            </w:r>
          </w:p>
        </w:tc>
        <w:tc>
          <w:tcPr>
            <w:tcW w:w="160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3"/>
                <w:szCs w:val="13"/>
                <w:b w:val="1"/>
                <w:bCs w:val="1"/>
                <w:color w:val="auto"/>
              </w:rPr>
              <w:t>57,332</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45,558</w:t>
            </w:r>
          </w:p>
        </w:tc>
      </w:tr>
      <w:tr>
        <w:trPr>
          <w:trHeight w:val="182"/>
        </w:trPr>
        <w:tc>
          <w:tcPr>
            <w:tcW w:w="7640" w:type="dxa"/>
            <w:vAlign w:val="bottom"/>
          </w:tcPr>
          <w:p>
            <w:pPr>
              <w:ind w:left="20"/>
              <w:spacing w:after="0"/>
              <w:rPr>
                <w:sz w:val="20"/>
                <w:szCs w:val="20"/>
                <w:color w:val="auto"/>
              </w:rPr>
            </w:pPr>
            <w:r>
              <w:rPr>
                <w:rFonts w:ascii="Arial" w:cs="Arial" w:eastAsia="Arial" w:hAnsi="Arial"/>
                <w:sz w:val="13"/>
                <w:szCs w:val="13"/>
                <w:b w:val="1"/>
                <w:bCs w:val="1"/>
                <w:color w:val="auto"/>
              </w:rPr>
              <w:t>Operating cash inflow before changes in working capital</w:t>
            </w:r>
          </w:p>
        </w:tc>
        <w:tc>
          <w:tcPr>
            <w:tcW w:w="980" w:type="dxa"/>
            <w:vAlign w:val="bottom"/>
          </w:tcPr>
          <w:p>
            <w:pPr>
              <w:spacing w:after="0"/>
              <w:rPr>
                <w:sz w:val="15"/>
                <w:szCs w:val="15"/>
                <w:color w:val="auto"/>
              </w:rPr>
            </w:pPr>
          </w:p>
        </w:tc>
        <w:tc>
          <w:tcPr>
            <w:tcW w:w="1600" w:type="dxa"/>
            <w:vAlign w:val="bottom"/>
          </w:tcPr>
          <w:p>
            <w:pPr>
              <w:jc w:val="right"/>
              <w:ind w:right="497"/>
              <w:spacing w:after="0"/>
              <w:rPr>
                <w:sz w:val="20"/>
                <w:szCs w:val="20"/>
                <w:color w:val="auto"/>
              </w:rPr>
            </w:pPr>
            <w:r>
              <w:rPr>
                <w:rFonts w:ascii="Arial" w:cs="Arial" w:eastAsia="Arial" w:hAnsi="Arial"/>
                <w:sz w:val="13"/>
                <w:szCs w:val="13"/>
                <w:b w:val="1"/>
                <w:bCs w:val="1"/>
                <w:color w:val="auto"/>
              </w:rPr>
              <w:t>555,240</w:t>
            </w:r>
          </w:p>
        </w:tc>
        <w:tc>
          <w:tcPr>
            <w:tcW w:w="1060" w:type="dxa"/>
            <w:vAlign w:val="bottom"/>
          </w:tcPr>
          <w:p>
            <w:pPr>
              <w:jc w:val="right"/>
              <w:ind w:right="76"/>
              <w:spacing w:after="0"/>
              <w:rPr>
                <w:sz w:val="20"/>
                <w:szCs w:val="20"/>
                <w:color w:val="auto"/>
              </w:rPr>
            </w:pPr>
            <w:r>
              <w:rPr>
                <w:rFonts w:ascii="Arial" w:cs="Arial" w:eastAsia="Arial" w:hAnsi="Arial"/>
                <w:sz w:val="13"/>
                <w:szCs w:val="13"/>
                <w:color w:val="auto"/>
              </w:rPr>
              <w:t>469,323</w:t>
            </w: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in accounts receivable</w:t>
            </w:r>
          </w:p>
        </w:tc>
        <w:tc>
          <w:tcPr>
            <w:tcW w:w="9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57"/>
              <w:spacing w:after="0"/>
              <w:rPr>
                <w:sz w:val="20"/>
                <w:szCs w:val="20"/>
                <w:color w:val="auto"/>
              </w:rPr>
            </w:pPr>
            <w:r>
              <w:rPr>
                <w:rFonts w:ascii="Arial" w:cs="Arial" w:eastAsia="Arial" w:hAnsi="Arial"/>
                <w:sz w:val="13"/>
                <w:szCs w:val="13"/>
                <w:b w:val="1"/>
                <w:bCs w:val="1"/>
                <w:color w:val="auto"/>
              </w:rPr>
              <w:t>(101,545)</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(37,557)</w:t>
            </w:r>
          </w:p>
        </w:tc>
      </w:tr>
      <w:tr>
        <w:trPr>
          <w:trHeight w:val="183"/>
        </w:trPr>
        <w:tc>
          <w:tcPr>
            <w:tcW w:w="7640" w:type="dxa"/>
            <w:vAlign w:val="bottom"/>
          </w:tcPr>
          <w:p>
            <w:pPr>
              <w:ind w:left="20"/>
              <w:spacing w:after="0"/>
              <w:rPr>
                <w:sz w:val="20"/>
                <w:szCs w:val="20"/>
                <w:color w:val="auto"/>
              </w:rPr>
            </w:pPr>
            <w:r>
              <w:rPr>
                <w:rFonts w:ascii="Arial" w:cs="Arial" w:eastAsia="Arial" w:hAnsi="Arial"/>
                <w:sz w:val="13"/>
                <w:szCs w:val="13"/>
                <w:color w:val="auto"/>
              </w:rPr>
              <w:t>Increase in unbilled revenue</w:t>
            </w:r>
          </w:p>
        </w:tc>
        <w:tc>
          <w:tcPr>
            <w:tcW w:w="980" w:type="dxa"/>
            <w:vAlign w:val="bottom"/>
          </w:tcPr>
          <w:p>
            <w:pPr>
              <w:spacing w:after="0"/>
              <w:rPr>
                <w:sz w:val="15"/>
                <w:szCs w:val="15"/>
                <w:color w:val="auto"/>
              </w:rPr>
            </w:pPr>
          </w:p>
        </w:tc>
        <w:tc>
          <w:tcPr>
            <w:tcW w:w="1600" w:type="dxa"/>
            <w:vAlign w:val="bottom"/>
          </w:tcPr>
          <w:p>
            <w:pPr>
              <w:jc w:val="right"/>
              <w:ind w:right="457"/>
              <w:spacing w:after="0"/>
              <w:rPr>
                <w:sz w:val="20"/>
                <w:szCs w:val="20"/>
                <w:color w:val="auto"/>
              </w:rPr>
            </w:pPr>
            <w:r>
              <w:rPr>
                <w:rFonts w:ascii="Arial" w:cs="Arial" w:eastAsia="Arial" w:hAnsi="Arial"/>
                <w:sz w:val="13"/>
                <w:szCs w:val="13"/>
                <w:b w:val="1"/>
                <w:bCs w:val="1"/>
                <w:color w:val="auto"/>
              </w:rPr>
              <w:t>(55,790)</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(98,510)</w:t>
            </w: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(Increase)/decrease in other current assets</w:t>
            </w:r>
          </w:p>
        </w:tc>
        <w:tc>
          <w:tcPr>
            <w:tcW w:w="9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57"/>
              <w:spacing w:after="0"/>
              <w:rPr>
                <w:sz w:val="20"/>
                <w:szCs w:val="20"/>
                <w:color w:val="auto"/>
              </w:rPr>
            </w:pPr>
            <w:r>
              <w:rPr>
                <w:rFonts w:ascii="Arial" w:cs="Arial" w:eastAsia="Arial" w:hAnsi="Arial"/>
                <w:sz w:val="13"/>
                <w:szCs w:val="13"/>
                <w:b w:val="1"/>
                <w:bCs w:val="1"/>
                <w:color w:val="auto"/>
              </w:rPr>
              <w:t>(1)</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342</w:t>
            </w:r>
          </w:p>
        </w:tc>
      </w:tr>
      <w:tr>
        <w:trPr>
          <w:trHeight w:val="183"/>
        </w:trPr>
        <w:tc>
          <w:tcPr>
            <w:tcW w:w="7640" w:type="dxa"/>
            <w:vAlign w:val="bottom"/>
          </w:tcPr>
          <w:p>
            <w:pPr>
              <w:ind w:left="20"/>
              <w:spacing w:after="0"/>
              <w:rPr>
                <w:sz w:val="20"/>
                <w:szCs w:val="20"/>
                <w:color w:val="auto"/>
              </w:rPr>
            </w:pPr>
            <w:r>
              <w:rPr>
                <w:rFonts w:ascii="Arial" w:cs="Arial" w:eastAsia="Arial" w:hAnsi="Arial"/>
                <w:sz w:val="13"/>
                <w:szCs w:val="13"/>
                <w:color w:val="auto"/>
              </w:rPr>
              <w:t>(Increase)/decrease in other non current assets</w:t>
            </w:r>
          </w:p>
        </w:tc>
        <w:tc>
          <w:tcPr>
            <w:tcW w:w="980" w:type="dxa"/>
            <w:vAlign w:val="bottom"/>
          </w:tcPr>
          <w:p>
            <w:pPr>
              <w:spacing w:after="0"/>
              <w:rPr>
                <w:sz w:val="15"/>
                <w:szCs w:val="15"/>
                <w:color w:val="auto"/>
              </w:rPr>
            </w:pPr>
          </w:p>
        </w:tc>
        <w:tc>
          <w:tcPr>
            <w:tcW w:w="1600" w:type="dxa"/>
            <w:vAlign w:val="bottom"/>
          </w:tcPr>
          <w:p>
            <w:pPr>
              <w:jc w:val="right"/>
              <w:ind w:right="457"/>
              <w:spacing w:after="0"/>
              <w:rPr>
                <w:sz w:val="20"/>
                <w:szCs w:val="20"/>
                <w:color w:val="auto"/>
              </w:rPr>
            </w:pPr>
            <w:r>
              <w:rPr>
                <w:rFonts w:ascii="Arial" w:cs="Arial" w:eastAsia="Arial" w:hAnsi="Arial"/>
                <w:sz w:val="13"/>
                <w:szCs w:val="13"/>
                <w:b w:val="1"/>
                <w:bCs w:val="1"/>
                <w:color w:val="auto"/>
              </w:rPr>
              <w:t>(2,912)</w:t>
            </w:r>
          </w:p>
        </w:tc>
        <w:tc>
          <w:tcPr>
            <w:tcW w:w="1060" w:type="dxa"/>
            <w:vAlign w:val="bottom"/>
          </w:tcPr>
          <w:p>
            <w:pPr>
              <w:jc w:val="right"/>
              <w:ind w:right="76"/>
              <w:spacing w:after="0"/>
              <w:rPr>
                <w:sz w:val="20"/>
                <w:szCs w:val="20"/>
                <w:color w:val="auto"/>
              </w:rPr>
            </w:pPr>
            <w:r>
              <w:rPr>
                <w:rFonts w:ascii="Arial" w:cs="Arial" w:eastAsia="Arial" w:hAnsi="Arial"/>
                <w:sz w:val="13"/>
                <w:szCs w:val="13"/>
                <w:color w:val="auto"/>
              </w:rPr>
              <w:t>856</w:t>
            </w: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in inventory</w:t>
            </w:r>
          </w:p>
        </w:tc>
        <w:tc>
          <w:tcPr>
            <w:tcW w:w="9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57"/>
              <w:spacing w:after="0"/>
              <w:rPr>
                <w:sz w:val="20"/>
                <w:szCs w:val="20"/>
                <w:color w:val="auto"/>
              </w:rPr>
            </w:pPr>
            <w:r>
              <w:rPr>
                <w:rFonts w:ascii="Arial" w:cs="Arial" w:eastAsia="Arial" w:hAnsi="Arial"/>
                <w:sz w:val="13"/>
                <w:szCs w:val="13"/>
                <w:b w:val="1"/>
                <w:bCs w:val="1"/>
                <w:color w:val="auto"/>
              </w:rPr>
              <w:t>(906)</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(38)</w:t>
            </w:r>
          </w:p>
        </w:tc>
      </w:tr>
      <w:tr>
        <w:trPr>
          <w:trHeight w:val="183"/>
        </w:trPr>
        <w:tc>
          <w:tcPr>
            <w:tcW w:w="7640" w:type="dxa"/>
            <w:vAlign w:val="bottom"/>
          </w:tcPr>
          <w:p>
            <w:pPr>
              <w:ind w:left="20"/>
              <w:spacing w:after="0"/>
              <w:rPr>
                <w:sz w:val="20"/>
                <w:szCs w:val="20"/>
                <w:color w:val="auto"/>
              </w:rPr>
            </w:pPr>
            <w:r>
              <w:rPr>
                <w:rFonts w:ascii="Arial" w:cs="Arial" w:eastAsia="Arial" w:hAnsi="Arial"/>
                <w:sz w:val="13"/>
                <w:szCs w:val="13"/>
                <w:color w:val="auto"/>
              </w:rPr>
              <w:t>Increase/(decrease) in accounts payable</w:t>
            </w:r>
          </w:p>
        </w:tc>
        <w:tc>
          <w:tcPr>
            <w:tcW w:w="980" w:type="dxa"/>
            <w:vAlign w:val="bottom"/>
          </w:tcPr>
          <w:p>
            <w:pPr>
              <w:spacing w:after="0"/>
              <w:rPr>
                <w:sz w:val="15"/>
                <w:szCs w:val="15"/>
                <w:color w:val="auto"/>
              </w:rPr>
            </w:pPr>
          </w:p>
        </w:tc>
        <w:tc>
          <w:tcPr>
            <w:tcW w:w="1600" w:type="dxa"/>
            <w:vAlign w:val="bottom"/>
          </w:tcPr>
          <w:p>
            <w:pPr>
              <w:jc w:val="right"/>
              <w:ind w:right="497"/>
              <w:spacing w:after="0"/>
              <w:rPr>
                <w:sz w:val="20"/>
                <w:szCs w:val="20"/>
                <w:color w:val="auto"/>
              </w:rPr>
            </w:pPr>
            <w:r>
              <w:rPr>
                <w:rFonts w:ascii="Arial" w:cs="Arial" w:eastAsia="Arial" w:hAnsi="Arial"/>
                <w:sz w:val="13"/>
                <w:szCs w:val="13"/>
                <w:b w:val="1"/>
                <w:bCs w:val="1"/>
                <w:color w:val="auto"/>
              </w:rPr>
              <w:t>3,440</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(5,067)</w:t>
            </w: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Increase/(decrease) in unearned revenue</w:t>
            </w:r>
          </w:p>
        </w:tc>
        <w:tc>
          <w:tcPr>
            <w:tcW w:w="9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97"/>
              <w:spacing w:after="0"/>
              <w:rPr>
                <w:sz w:val="20"/>
                <w:szCs w:val="20"/>
                <w:color w:val="auto"/>
              </w:rPr>
            </w:pPr>
            <w:r>
              <w:rPr>
                <w:rFonts w:ascii="Arial" w:cs="Arial" w:eastAsia="Arial" w:hAnsi="Arial"/>
                <w:sz w:val="13"/>
                <w:szCs w:val="13"/>
                <w:b w:val="1"/>
                <w:bCs w:val="1"/>
                <w:color w:val="auto"/>
              </w:rPr>
              <w:t>86,567</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(6,253)</w:t>
            </w:r>
          </w:p>
        </w:tc>
      </w:tr>
      <w:tr>
        <w:trPr>
          <w:trHeight w:val="183"/>
        </w:trPr>
        <w:tc>
          <w:tcPr>
            <w:tcW w:w="7640" w:type="dxa"/>
            <w:vAlign w:val="bottom"/>
          </w:tcPr>
          <w:p>
            <w:pPr>
              <w:ind w:left="20"/>
              <w:spacing w:after="0"/>
              <w:rPr>
                <w:sz w:val="20"/>
                <w:szCs w:val="20"/>
                <w:color w:val="auto"/>
              </w:rPr>
            </w:pPr>
            <w:r>
              <w:rPr>
                <w:rFonts w:ascii="Arial" w:cs="Arial" w:eastAsia="Arial" w:hAnsi="Arial"/>
                <w:sz w:val="13"/>
                <w:szCs w:val="13"/>
                <w:color w:val="auto"/>
              </w:rPr>
              <w:t>Decrease in accrued and other liabilities and provisions</w:t>
            </w:r>
          </w:p>
        </w:tc>
        <w:tc>
          <w:tcPr>
            <w:tcW w:w="980" w:type="dxa"/>
            <w:vAlign w:val="bottom"/>
          </w:tcPr>
          <w:p>
            <w:pPr>
              <w:spacing w:after="0"/>
              <w:rPr>
                <w:sz w:val="15"/>
                <w:szCs w:val="15"/>
                <w:color w:val="auto"/>
              </w:rPr>
            </w:pPr>
          </w:p>
        </w:tc>
        <w:tc>
          <w:tcPr>
            <w:tcW w:w="1600" w:type="dxa"/>
            <w:vAlign w:val="bottom"/>
          </w:tcPr>
          <w:p>
            <w:pPr>
              <w:jc w:val="right"/>
              <w:ind w:right="457"/>
              <w:spacing w:after="0"/>
              <w:rPr>
                <w:sz w:val="20"/>
                <w:szCs w:val="20"/>
                <w:color w:val="auto"/>
              </w:rPr>
            </w:pPr>
            <w:r>
              <w:rPr>
                <w:rFonts w:ascii="Arial" w:cs="Arial" w:eastAsia="Arial" w:hAnsi="Arial"/>
                <w:sz w:val="13"/>
                <w:szCs w:val="13"/>
                <w:b w:val="1"/>
                <w:bCs w:val="1"/>
                <w:color w:val="auto"/>
              </w:rPr>
              <w:t>(9,642)</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(29,613)</w:t>
            </w:r>
          </w:p>
        </w:tc>
      </w:tr>
      <w:tr>
        <w:trPr>
          <w:trHeight w:val="191"/>
        </w:trPr>
        <w:tc>
          <w:tcPr>
            <w:tcW w:w="7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Increase/(decrease) in non current other liabilities and provisions</w:t>
            </w:r>
          </w:p>
        </w:tc>
        <w:tc>
          <w:tcPr>
            <w:tcW w:w="9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3"/>
                <w:szCs w:val="13"/>
                <w:b w:val="1"/>
                <w:bCs w:val="1"/>
                <w:color w:val="auto"/>
              </w:rPr>
              <w:t>817</w:t>
            </w: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(1,813)</w:t>
            </w:r>
          </w:p>
        </w:tc>
      </w:tr>
      <w:tr>
        <w:trPr>
          <w:trHeight w:val="182"/>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Cash provided by operations</w:t>
            </w:r>
          </w:p>
        </w:tc>
        <w:tc>
          <w:tcPr>
            <w:tcW w:w="9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475,268</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291,670</w:t>
            </w:r>
          </w:p>
        </w:tc>
      </w:tr>
      <w:tr>
        <w:trPr>
          <w:trHeight w:val="18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taxes paid</w:t>
            </w:r>
          </w:p>
        </w:tc>
        <w:tc>
          <w:tcPr>
            <w:tcW w:w="98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457"/>
              <w:spacing w:after="0"/>
              <w:rPr>
                <w:sz w:val="20"/>
                <w:szCs w:val="20"/>
                <w:color w:val="auto"/>
              </w:rPr>
            </w:pPr>
            <w:r>
              <w:rPr>
                <w:rFonts w:ascii="Arial" w:cs="Arial" w:eastAsia="Arial" w:hAnsi="Arial"/>
                <w:sz w:val="13"/>
                <w:szCs w:val="13"/>
                <w:b w:val="1"/>
                <w:bCs w:val="1"/>
                <w:color w:val="auto"/>
              </w:rPr>
              <w:t>(29,836)</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(18,558)</w:t>
            </w:r>
          </w:p>
        </w:tc>
      </w:tr>
      <w:tr>
        <w:trPr>
          <w:trHeight w:val="183"/>
        </w:trPr>
        <w:tc>
          <w:tcPr>
            <w:tcW w:w="7640" w:type="dxa"/>
            <w:vAlign w:val="bottom"/>
          </w:tcPr>
          <w:p>
            <w:pPr>
              <w:ind w:left="20"/>
              <w:spacing w:after="0"/>
              <w:rPr>
                <w:sz w:val="20"/>
                <w:szCs w:val="20"/>
                <w:color w:val="auto"/>
              </w:rPr>
            </w:pPr>
            <w:r>
              <w:rPr>
                <w:rFonts w:ascii="Arial" w:cs="Arial" w:eastAsia="Arial" w:hAnsi="Arial"/>
                <w:sz w:val="13"/>
                <w:szCs w:val="13"/>
                <w:color w:val="auto"/>
              </w:rPr>
              <w:t>Employer contribution defined benefit pension scheme</w:t>
            </w:r>
          </w:p>
        </w:tc>
        <w:tc>
          <w:tcPr>
            <w:tcW w:w="980" w:type="dxa"/>
            <w:vAlign w:val="bottom"/>
          </w:tcPr>
          <w:p>
            <w:pPr>
              <w:jc w:val="right"/>
              <w:ind w:right="236"/>
              <w:spacing w:after="0"/>
              <w:rPr>
                <w:sz w:val="20"/>
                <w:szCs w:val="20"/>
                <w:color w:val="auto"/>
              </w:rPr>
            </w:pPr>
            <w:r>
              <w:rPr>
                <w:rFonts w:ascii="Arial" w:cs="Arial" w:eastAsia="Arial" w:hAnsi="Arial"/>
                <w:sz w:val="13"/>
                <w:szCs w:val="13"/>
                <w:i w:val="1"/>
                <w:iCs w:val="1"/>
                <w:color w:val="auto"/>
              </w:rPr>
              <w:t>10</w:t>
            </w:r>
          </w:p>
        </w:tc>
        <w:tc>
          <w:tcPr>
            <w:tcW w:w="1600" w:type="dxa"/>
            <w:vAlign w:val="bottom"/>
          </w:tcPr>
          <w:p>
            <w:pPr>
              <w:jc w:val="right"/>
              <w:ind w:right="457"/>
              <w:spacing w:after="0"/>
              <w:rPr>
                <w:sz w:val="20"/>
                <w:szCs w:val="20"/>
                <w:color w:val="auto"/>
              </w:rPr>
            </w:pPr>
            <w:r>
              <w:rPr>
                <w:rFonts w:ascii="Arial" w:cs="Arial" w:eastAsia="Arial" w:hAnsi="Arial"/>
                <w:sz w:val="13"/>
                <w:szCs w:val="13"/>
                <w:b w:val="1"/>
                <w:bCs w:val="1"/>
                <w:color w:val="auto"/>
              </w:rPr>
              <w:t>(237)</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(263)</w:t>
            </w: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received</w:t>
            </w:r>
          </w:p>
        </w:tc>
        <w:tc>
          <w:tcPr>
            <w:tcW w:w="9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97"/>
              <w:spacing w:after="0"/>
              <w:rPr>
                <w:sz w:val="20"/>
                <w:szCs w:val="20"/>
                <w:color w:val="auto"/>
              </w:rPr>
            </w:pPr>
            <w:r>
              <w:rPr>
                <w:rFonts w:ascii="Arial" w:cs="Arial" w:eastAsia="Arial" w:hAnsi="Arial"/>
                <w:sz w:val="13"/>
                <w:szCs w:val="13"/>
                <w:b w:val="1"/>
                <w:bCs w:val="1"/>
                <w:color w:val="auto"/>
              </w:rPr>
              <w:t>6,796</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4,224</w:t>
            </w:r>
          </w:p>
        </w:tc>
      </w:tr>
      <w:tr>
        <w:trPr>
          <w:trHeight w:val="183"/>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Interest paid</w:t>
            </w:r>
          </w:p>
        </w:tc>
        <w:tc>
          <w:tcPr>
            <w:tcW w:w="9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(13,059)</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(13,060)</w:t>
            </w:r>
          </w:p>
        </w:tc>
      </w:tr>
      <w:tr>
        <w:trPr>
          <w:trHeight w:val="182"/>
        </w:trPr>
        <w:tc>
          <w:tcPr>
            <w:tcW w:w="7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cash inflow from operating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3"/>
                <w:szCs w:val="13"/>
                <w:b w:val="1"/>
                <w:bCs w:val="1"/>
                <w:color w:val="auto"/>
              </w:rPr>
              <w:t>438,932</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264,013</w:t>
            </w:r>
          </w:p>
        </w:tc>
      </w:tr>
      <w:tr>
        <w:trPr>
          <w:trHeight w:val="182"/>
        </w:trPr>
        <w:tc>
          <w:tcPr>
            <w:tcW w:w="764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property, plant and equipment</w:t>
            </w:r>
          </w:p>
        </w:tc>
        <w:tc>
          <w:tcPr>
            <w:tcW w:w="9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57"/>
              <w:spacing w:after="0"/>
              <w:rPr>
                <w:sz w:val="20"/>
                <w:szCs w:val="20"/>
                <w:color w:val="auto"/>
              </w:rPr>
            </w:pPr>
            <w:r>
              <w:rPr>
                <w:rFonts w:ascii="Arial" w:cs="Arial" w:eastAsia="Arial" w:hAnsi="Arial"/>
                <w:sz w:val="13"/>
                <w:szCs w:val="13"/>
                <w:b w:val="1"/>
                <w:bCs w:val="1"/>
                <w:color w:val="auto"/>
              </w:rPr>
              <w:t>(19,330)</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(20,760)</w:t>
            </w:r>
          </w:p>
        </w:tc>
      </w:tr>
      <w:tr>
        <w:trPr>
          <w:trHeight w:val="183"/>
        </w:trPr>
        <w:tc>
          <w:tcPr>
            <w:tcW w:w="7640" w:type="dxa"/>
            <w:vAlign w:val="bottom"/>
          </w:tcPr>
          <w:p>
            <w:pPr>
              <w:ind w:left="20"/>
              <w:spacing w:after="0"/>
              <w:rPr>
                <w:sz w:val="20"/>
                <w:szCs w:val="20"/>
                <w:color w:val="auto"/>
              </w:rPr>
            </w:pPr>
            <w:r>
              <w:rPr>
                <w:rFonts w:ascii="Arial" w:cs="Arial" w:eastAsia="Arial" w:hAnsi="Arial"/>
                <w:sz w:val="13"/>
                <w:szCs w:val="13"/>
                <w:color w:val="auto"/>
              </w:rPr>
              <w:t>Purchase of intangible assets</w:t>
            </w:r>
          </w:p>
        </w:tc>
        <w:tc>
          <w:tcPr>
            <w:tcW w:w="980" w:type="dxa"/>
            <w:vAlign w:val="bottom"/>
          </w:tcPr>
          <w:p>
            <w:pPr>
              <w:spacing w:after="0"/>
              <w:rPr>
                <w:sz w:val="15"/>
                <w:szCs w:val="15"/>
                <w:color w:val="auto"/>
              </w:rPr>
            </w:pPr>
          </w:p>
        </w:tc>
        <w:tc>
          <w:tcPr>
            <w:tcW w:w="1600" w:type="dxa"/>
            <w:vAlign w:val="bottom"/>
          </w:tcPr>
          <w:p>
            <w:pPr>
              <w:jc w:val="right"/>
              <w:ind w:right="457"/>
              <w:spacing w:after="0"/>
              <w:rPr>
                <w:sz w:val="20"/>
                <w:szCs w:val="20"/>
                <w:color w:val="auto"/>
              </w:rPr>
            </w:pPr>
            <w:r>
              <w:rPr>
                <w:rFonts w:ascii="Arial" w:cs="Arial" w:eastAsia="Arial" w:hAnsi="Arial"/>
                <w:sz w:val="13"/>
                <w:szCs w:val="13"/>
                <w:b w:val="1"/>
                <w:bCs w:val="1"/>
                <w:color w:val="auto"/>
              </w:rPr>
              <w:t>(31,315)</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(27,637)</w:t>
            </w: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subsidiary undertakings</w:t>
            </w:r>
          </w:p>
        </w:tc>
        <w:tc>
          <w:tcPr>
            <w:tcW w:w="9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57"/>
              <w:spacing w:after="0"/>
              <w:rPr>
                <w:sz w:val="20"/>
                <w:szCs w:val="20"/>
                <w:color w:val="auto"/>
              </w:rPr>
            </w:pPr>
            <w:r>
              <w:rPr>
                <w:rFonts w:ascii="Arial" w:cs="Arial" w:eastAsia="Arial" w:hAnsi="Arial"/>
                <w:sz w:val="13"/>
                <w:szCs w:val="13"/>
                <w:b w:val="1"/>
                <w:bCs w:val="1"/>
                <w:color w:val="auto"/>
              </w:rPr>
              <w:t>(131,272)</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(1,645)</w:t>
            </w:r>
          </w:p>
        </w:tc>
      </w:tr>
      <w:tr>
        <w:trPr>
          <w:trHeight w:val="183"/>
        </w:trPr>
        <w:tc>
          <w:tcPr>
            <w:tcW w:w="7640" w:type="dxa"/>
            <w:vAlign w:val="bottom"/>
          </w:tcPr>
          <w:p>
            <w:pPr>
              <w:ind w:left="20"/>
              <w:spacing w:after="0"/>
              <w:rPr>
                <w:sz w:val="20"/>
                <w:szCs w:val="20"/>
                <w:color w:val="auto"/>
              </w:rPr>
            </w:pPr>
            <w:r>
              <w:rPr>
                <w:rFonts w:ascii="Arial" w:cs="Arial" w:eastAsia="Arial" w:hAnsi="Arial"/>
                <w:sz w:val="13"/>
                <w:szCs w:val="13"/>
                <w:color w:val="auto"/>
              </w:rPr>
              <w:t>Cash acquired with subsidiary undertakings</w:t>
            </w:r>
          </w:p>
        </w:tc>
        <w:tc>
          <w:tcPr>
            <w:tcW w:w="980" w:type="dxa"/>
            <w:vAlign w:val="bottom"/>
          </w:tcPr>
          <w:p>
            <w:pPr>
              <w:spacing w:after="0"/>
              <w:rPr>
                <w:sz w:val="15"/>
                <w:szCs w:val="15"/>
                <w:color w:val="auto"/>
              </w:rPr>
            </w:pPr>
          </w:p>
        </w:tc>
        <w:tc>
          <w:tcPr>
            <w:tcW w:w="1600" w:type="dxa"/>
            <w:vAlign w:val="bottom"/>
          </w:tcPr>
          <w:p>
            <w:pPr>
              <w:jc w:val="right"/>
              <w:ind w:right="497"/>
              <w:spacing w:after="0"/>
              <w:rPr>
                <w:sz w:val="20"/>
                <w:szCs w:val="20"/>
                <w:color w:val="auto"/>
              </w:rPr>
            </w:pPr>
            <w:r>
              <w:rPr>
                <w:rFonts w:ascii="Arial" w:cs="Arial" w:eastAsia="Arial" w:hAnsi="Arial"/>
                <w:sz w:val="13"/>
                <w:szCs w:val="13"/>
                <w:b w:val="1"/>
                <w:bCs w:val="1"/>
                <w:color w:val="auto"/>
              </w:rPr>
              <w:t>11,697</w:t>
            </w:r>
          </w:p>
        </w:tc>
        <w:tc>
          <w:tcPr>
            <w:tcW w:w="106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Sale/maturity of current asset investments</w:t>
            </w:r>
          </w:p>
        </w:tc>
        <w:tc>
          <w:tcPr>
            <w:tcW w:w="9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97"/>
              <w:spacing w:after="0"/>
              <w:rPr>
                <w:sz w:val="20"/>
                <w:szCs w:val="20"/>
                <w:color w:val="auto"/>
              </w:rPr>
            </w:pPr>
            <w:r>
              <w:rPr>
                <w:rFonts w:ascii="Arial" w:cs="Arial" w:eastAsia="Arial" w:hAnsi="Arial"/>
                <w:sz w:val="13"/>
                <w:szCs w:val="13"/>
                <w:b w:val="1"/>
                <w:bCs w:val="1"/>
                <w:color w:val="auto"/>
              </w:rPr>
              <w:t>21,686</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99,865</w:t>
            </w:r>
          </w:p>
        </w:tc>
      </w:tr>
      <w:tr>
        <w:trPr>
          <w:trHeight w:val="183"/>
        </w:trPr>
        <w:tc>
          <w:tcPr>
            <w:tcW w:w="7640" w:type="dxa"/>
            <w:vAlign w:val="bottom"/>
          </w:tcPr>
          <w:p>
            <w:pPr>
              <w:ind w:left="20"/>
              <w:spacing w:after="0"/>
              <w:rPr>
                <w:sz w:val="20"/>
                <w:szCs w:val="20"/>
                <w:color w:val="auto"/>
              </w:rPr>
            </w:pPr>
            <w:r>
              <w:rPr>
                <w:rFonts w:ascii="Arial" w:cs="Arial" w:eastAsia="Arial" w:hAnsi="Arial"/>
                <w:sz w:val="13"/>
                <w:szCs w:val="13"/>
                <w:color w:val="auto"/>
              </w:rPr>
              <w:t>Purchase of current asset investments</w:t>
            </w:r>
          </w:p>
        </w:tc>
        <w:tc>
          <w:tcPr>
            <w:tcW w:w="980" w:type="dxa"/>
            <w:vAlign w:val="bottom"/>
          </w:tcPr>
          <w:p>
            <w:pPr>
              <w:spacing w:after="0"/>
              <w:rPr>
                <w:sz w:val="15"/>
                <w:szCs w:val="15"/>
                <w:color w:val="auto"/>
              </w:rPr>
            </w:pPr>
          </w:p>
        </w:tc>
        <w:tc>
          <w:tcPr>
            <w:tcW w:w="1600" w:type="dxa"/>
            <w:vAlign w:val="bottom"/>
          </w:tcPr>
          <w:p>
            <w:pPr>
              <w:jc w:val="right"/>
              <w:ind w:right="457"/>
              <w:spacing w:after="0"/>
              <w:rPr>
                <w:sz w:val="20"/>
                <w:szCs w:val="20"/>
                <w:color w:val="auto"/>
              </w:rPr>
            </w:pPr>
            <w:r>
              <w:rPr>
                <w:rFonts w:ascii="Arial" w:cs="Arial" w:eastAsia="Arial" w:hAnsi="Arial"/>
                <w:sz w:val="13"/>
                <w:szCs w:val="13"/>
                <w:b w:val="1"/>
                <w:bCs w:val="1"/>
                <w:color w:val="auto"/>
              </w:rPr>
              <w:t>(9,603)</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(80,956)</w:t>
            </w:r>
          </w:p>
        </w:tc>
      </w:tr>
      <w:tr>
        <w:trPr>
          <w:trHeight w:val="191"/>
        </w:trPr>
        <w:tc>
          <w:tcPr>
            <w:tcW w:w="7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Purchase of investments in equity - long term</w:t>
            </w:r>
          </w:p>
        </w:tc>
        <w:tc>
          <w:tcPr>
            <w:tcW w:w="9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457"/>
              <w:spacing w:after="0"/>
              <w:rPr>
                <w:sz w:val="20"/>
                <w:szCs w:val="20"/>
                <w:color w:val="auto"/>
              </w:rPr>
            </w:pPr>
            <w:r>
              <w:rPr>
                <w:rFonts w:ascii="Arial" w:cs="Arial" w:eastAsia="Arial" w:hAnsi="Arial"/>
                <w:sz w:val="13"/>
                <w:szCs w:val="13"/>
                <w:b w:val="1"/>
                <w:bCs w:val="1"/>
                <w:color w:val="auto"/>
              </w:rPr>
              <w:t>(3,890)</w:t>
            </w: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(6,163)</w:t>
            </w:r>
          </w:p>
        </w:tc>
      </w:tr>
      <w:tr>
        <w:trPr>
          <w:trHeight w:val="182"/>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cash used in investing activities</w:t>
            </w:r>
          </w:p>
        </w:tc>
        <w:tc>
          <w:tcPr>
            <w:tcW w:w="9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(162,027)</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(37,296)</w:t>
            </w:r>
          </w:p>
        </w:tc>
      </w:tr>
      <w:tr>
        <w:trPr>
          <w:trHeight w:val="18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9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3"/>
        </w:trPr>
        <w:tc>
          <w:tcPr>
            <w:tcW w:w="7640" w:type="dxa"/>
            <w:vAlign w:val="bottom"/>
          </w:tcPr>
          <w:p>
            <w:pPr>
              <w:ind w:left="20"/>
              <w:spacing w:after="0"/>
              <w:rPr>
                <w:sz w:val="20"/>
                <w:szCs w:val="20"/>
                <w:color w:val="auto"/>
              </w:rPr>
            </w:pPr>
            <w:r>
              <w:rPr>
                <w:rFonts w:ascii="Arial" w:cs="Arial" w:eastAsia="Arial" w:hAnsi="Arial"/>
                <w:sz w:val="13"/>
                <w:szCs w:val="13"/>
                <w:color w:val="auto"/>
              </w:rPr>
              <w:t>Financing costs</w:t>
            </w:r>
          </w:p>
        </w:tc>
        <w:tc>
          <w:tcPr>
            <w:tcW w:w="980" w:type="dxa"/>
            <w:vAlign w:val="bottom"/>
          </w:tcPr>
          <w:p>
            <w:pPr>
              <w:spacing w:after="0"/>
              <w:rPr>
                <w:sz w:val="15"/>
                <w:szCs w:val="15"/>
                <w:color w:val="auto"/>
              </w:rPr>
            </w:pPr>
          </w:p>
        </w:tc>
        <w:tc>
          <w:tcPr>
            <w:tcW w:w="1600" w:type="dxa"/>
            <w:vAlign w:val="bottom"/>
          </w:tcPr>
          <w:p>
            <w:pPr>
              <w:jc w:val="right"/>
              <w:ind w:right="497"/>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(823)</w:t>
            </w: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of lease liabilities</w:t>
            </w:r>
          </w:p>
        </w:tc>
        <w:tc>
          <w:tcPr>
            <w:tcW w:w="9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57"/>
              <w:spacing w:after="0"/>
              <w:rPr>
                <w:sz w:val="20"/>
                <w:szCs w:val="20"/>
                <w:color w:val="auto"/>
              </w:rPr>
            </w:pPr>
            <w:r>
              <w:rPr>
                <w:rFonts w:ascii="Arial" w:cs="Arial" w:eastAsia="Arial" w:hAnsi="Arial"/>
                <w:sz w:val="13"/>
                <w:szCs w:val="13"/>
                <w:b w:val="1"/>
                <w:bCs w:val="1"/>
                <w:color w:val="auto"/>
              </w:rPr>
              <w:t>(33,437)</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r>
        <w:trPr>
          <w:trHeight w:val="183"/>
        </w:trPr>
        <w:tc>
          <w:tcPr>
            <w:tcW w:w="7640" w:type="dxa"/>
            <w:vAlign w:val="bottom"/>
          </w:tcPr>
          <w:p>
            <w:pPr>
              <w:ind w:left="20"/>
              <w:spacing w:after="0"/>
              <w:rPr>
                <w:sz w:val="20"/>
                <w:szCs w:val="20"/>
                <w:color w:val="auto"/>
              </w:rPr>
            </w:pPr>
            <w:r>
              <w:rPr>
                <w:rFonts w:ascii="Arial" w:cs="Arial" w:eastAsia="Arial" w:hAnsi="Arial"/>
                <w:sz w:val="13"/>
                <w:szCs w:val="13"/>
                <w:color w:val="auto"/>
              </w:rPr>
              <w:t>Tax benefit from the exercise of share options</w:t>
            </w:r>
          </w:p>
        </w:tc>
        <w:tc>
          <w:tcPr>
            <w:tcW w:w="980" w:type="dxa"/>
            <w:vAlign w:val="bottom"/>
          </w:tcPr>
          <w:p>
            <w:pPr>
              <w:spacing w:after="0"/>
              <w:rPr>
                <w:sz w:val="15"/>
                <w:szCs w:val="15"/>
                <w:color w:val="auto"/>
              </w:rPr>
            </w:pPr>
          </w:p>
        </w:tc>
        <w:tc>
          <w:tcPr>
            <w:tcW w:w="1600" w:type="dxa"/>
            <w:vAlign w:val="bottom"/>
          </w:tcPr>
          <w:p>
            <w:pPr>
              <w:jc w:val="right"/>
              <w:ind w:right="497"/>
              <w:spacing w:after="0"/>
              <w:rPr>
                <w:sz w:val="20"/>
                <w:szCs w:val="20"/>
                <w:color w:val="auto"/>
              </w:rPr>
            </w:pPr>
            <w:r>
              <w:rPr>
                <w:rFonts w:ascii="Arial" w:cs="Arial" w:eastAsia="Arial" w:hAnsi="Arial"/>
                <w:sz w:val="13"/>
                <w:szCs w:val="13"/>
                <w:b w:val="1"/>
                <w:bCs w:val="1"/>
                <w:color w:val="auto"/>
              </w:rPr>
              <w:t>7,046</w:t>
            </w:r>
          </w:p>
        </w:tc>
        <w:tc>
          <w:tcPr>
            <w:tcW w:w="1060" w:type="dxa"/>
            <w:vAlign w:val="bottom"/>
          </w:tcPr>
          <w:p>
            <w:pPr>
              <w:jc w:val="right"/>
              <w:ind w:right="76"/>
              <w:spacing w:after="0"/>
              <w:rPr>
                <w:sz w:val="20"/>
                <w:szCs w:val="20"/>
                <w:color w:val="auto"/>
              </w:rPr>
            </w:pPr>
            <w:r>
              <w:rPr>
                <w:rFonts w:ascii="Arial" w:cs="Arial" w:eastAsia="Arial" w:hAnsi="Arial"/>
                <w:sz w:val="13"/>
                <w:szCs w:val="13"/>
                <w:color w:val="auto"/>
              </w:rPr>
              <w:t>4,626</w:t>
            </w: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exercise of share options, RSUs and PSUs</w:t>
            </w:r>
          </w:p>
        </w:tc>
        <w:tc>
          <w:tcPr>
            <w:tcW w:w="9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97"/>
              <w:spacing w:after="0"/>
              <w:rPr>
                <w:sz w:val="20"/>
                <w:szCs w:val="20"/>
                <w:color w:val="auto"/>
              </w:rPr>
            </w:pPr>
            <w:r>
              <w:rPr>
                <w:rFonts w:ascii="Arial" w:cs="Arial" w:eastAsia="Arial" w:hAnsi="Arial"/>
                <w:sz w:val="13"/>
                <w:szCs w:val="13"/>
                <w:b w:val="1"/>
                <w:bCs w:val="1"/>
                <w:color w:val="auto"/>
              </w:rPr>
              <w:t>21,645</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16,842</w:t>
            </w:r>
          </w:p>
        </w:tc>
      </w:tr>
      <w:tr>
        <w:trPr>
          <w:trHeight w:val="183"/>
        </w:trPr>
        <w:tc>
          <w:tcPr>
            <w:tcW w:w="7640" w:type="dxa"/>
            <w:vAlign w:val="bottom"/>
          </w:tcPr>
          <w:p>
            <w:pPr>
              <w:ind w:left="20"/>
              <w:spacing w:after="0"/>
              <w:rPr>
                <w:sz w:val="20"/>
                <w:szCs w:val="20"/>
                <w:color w:val="auto"/>
              </w:rPr>
            </w:pPr>
            <w:r>
              <w:rPr>
                <w:rFonts w:ascii="Arial" w:cs="Arial" w:eastAsia="Arial" w:hAnsi="Arial"/>
                <w:sz w:val="13"/>
                <w:szCs w:val="13"/>
                <w:color w:val="auto"/>
              </w:rPr>
              <w:t>Share issuance costs</w:t>
            </w:r>
          </w:p>
        </w:tc>
        <w:tc>
          <w:tcPr>
            <w:tcW w:w="980" w:type="dxa"/>
            <w:vAlign w:val="bottom"/>
          </w:tcPr>
          <w:p>
            <w:pPr>
              <w:spacing w:after="0"/>
              <w:rPr>
                <w:sz w:val="15"/>
                <w:szCs w:val="15"/>
                <w:color w:val="auto"/>
              </w:rPr>
            </w:pPr>
          </w:p>
        </w:tc>
        <w:tc>
          <w:tcPr>
            <w:tcW w:w="1600" w:type="dxa"/>
            <w:vAlign w:val="bottom"/>
          </w:tcPr>
          <w:p>
            <w:pPr>
              <w:jc w:val="right"/>
              <w:ind w:right="457"/>
              <w:spacing w:after="0"/>
              <w:rPr>
                <w:sz w:val="20"/>
                <w:szCs w:val="20"/>
                <w:color w:val="auto"/>
              </w:rPr>
            </w:pPr>
            <w:r>
              <w:rPr>
                <w:rFonts w:ascii="Arial" w:cs="Arial" w:eastAsia="Arial" w:hAnsi="Arial"/>
                <w:sz w:val="13"/>
                <w:szCs w:val="13"/>
                <w:b w:val="1"/>
                <w:bCs w:val="1"/>
                <w:color w:val="auto"/>
              </w:rPr>
              <w:t>(13)</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(16)</w:t>
            </w: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of ordinary shares</w:t>
            </w:r>
          </w:p>
        </w:tc>
        <w:tc>
          <w:tcPr>
            <w:tcW w:w="9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57"/>
              <w:spacing w:after="0"/>
              <w:rPr>
                <w:sz w:val="20"/>
                <w:szCs w:val="20"/>
                <w:color w:val="auto"/>
              </w:rPr>
            </w:pPr>
            <w:r>
              <w:rPr>
                <w:rFonts w:ascii="Arial" w:cs="Arial" w:eastAsia="Arial" w:hAnsi="Arial"/>
                <w:sz w:val="13"/>
                <w:szCs w:val="13"/>
                <w:b w:val="1"/>
                <w:bCs w:val="1"/>
                <w:color w:val="auto"/>
              </w:rPr>
              <w:t>(146,931)</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(128,960)</w:t>
            </w:r>
          </w:p>
        </w:tc>
      </w:tr>
      <w:tr>
        <w:trPr>
          <w:trHeight w:val="183"/>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 repurchase costs</w:t>
            </w:r>
          </w:p>
        </w:tc>
        <w:tc>
          <w:tcPr>
            <w:tcW w:w="9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(107)</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(66)</w:t>
            </w:r>
          </w:p>
        </w:tc>
      </w:tr>
      <w:tr>
        <w:trPr>
          <w:trHeight w:val="182"/>
        </w:trPr>
        <w:tc>
          <w:tcPr>
            <w:tcW w:w="7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cash used in financing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457"/>
              <w:spacing w:after="0"/>
              <w:rPr>
                <w:sz w:val="20"/>
                <w:szCs w:val="20"/>
                <w:color w:val="auto"/>
              </w:rPr>
            </w:pPr>
            <w:r>
              <w:rPr>
                <w:rFonts w:ascii="Arial" w:cs="Arial" w:eastAsia="Arial" w:hAnsi="Arial"/>
                <w:sz w:val="13"/>
                <w:szCs w:val="13"/>
                <w:b w:val="1"/>
                <w:bCs w:val="1"/>
                <w:color w:val="auto"/>
              </w:rPr>
              <w:t>(151,797)</w:t>
            </w: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(108,397)</w:t>
            </w:r>
          </w:p>
        </w:tc>
      </w:tr>
      <w:tr>
        <w:trPr>
          <w:trHeight w:val="182"/>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increase in cash and cash equivalents</w:t>
            </w:r>
          </w:p>
        </w:tc>
        <w:tc>
          <w:tcPr>
            <w:tcW w:w="9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125,108</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118,320</w:t>
            </w:r>
          </w:p>
        </w:tc>
      </w:tr>
      <w:tr>
        <w:trPr>
          <w:trHeight w:val="189"/>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w:t>
            </w:r>
          </w:p>
        </w:tc>
        <w:tc>
          <w:tcPr>
            <w:tcW w:w="98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457"/>
              <w:spacing w:after="0"/>
              <w:rPr>
                <w:sz w:val="20"/>
                <w:szCs w:val="20"/>
                <w:color w:val="auto"/>
              </w:rPr>
            </w:pPr>
            <w:r>
              <w:rPr>
                <w:rFonts w:ascii="Arial" w:cs="Arial" w:eastAsia="Arial" w:hAnsi="Arial"/>
                <w:sz w:val="13"/>
                <w:szCs w:val="13"/>
                <w:b w:val="1"/>
                <w:bCs w:val="1"/>
                <w:color w:val="auto"/>
              </w:rPr>
              <w:t>(650)</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(5,328)</w:t>
            </w:r>
          </w:p>
        </w:tc>
      </w:tr>
      <w:tr>
        <w:trPr>
          <w:trHeight w:val="183"/>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Cash and cash equivalents at start of year</w:t>
            </w:r>
          </w:p>
        </w:tc>
        <w:tc>
          <w:tcPr>
            <w:tcW w:w="9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395,851</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282,859</w:t>
            </w:r>
          </w:p>
        </w:tc>
      </w:tr>
      <w:tr>
        <w:trPr>
          <w:trHeight w:val="190"/>
        </w:trPr>
        <w:tc>
          <w:tcPr>
            <w:tcW w:w="7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end of year</w:t>
            </w:r>
          </w:p>
        </w:tc>
        <w:tc>
          <w:tcPr>
            <w:tcW w:w="9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3"/>
                <w:szCs w:val="13"/>
                <w:b w:val="1"/>
                <w:bCs w:val="1"/>
                <w:color w:val="auto"/>
              </w:rPr>
              <w:t>520,309</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395,851</w:t>
            </w:r>
          </w:p>
        </w:tc>
      </w:tr>
    </w:tbl>
    <w:p>
      <w:pPr>
        <w:spacing w:after="0" w:line="200" w:lineRule="exact"/>
        <w:rPr>
          <w:sz w:val="20"/>
          <w:szCs w:val="20"/>
          <w:color w:val="auto"/>
        </w:rPr>
      </w:pPr>
    </w:p>
    <w:p>
      <w:pPr>
        <w:sectPr>
          <w:pgSz w:w="11900" w:h="16838" w:orient="portrait"/>
          <w:cols w:equalWidth="0" w:num="1">
            <w:col w:w="11280"/>
          </w:cols>
          <w:pgMar w:left="300" w:top="716" w:right="319"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80"/>
          </w:cols>
          <w:pgMar w:left="300" w:top="716" w:right="31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Basis of preparation and statement of accounting policies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Statement of compliance</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The Group Financial Statements have been prepared in accordance with International Financial Reporting Standards ("IFRS") issued by the International Accounting Standards Board (“IASB”) as adopted by the European Union ("EU") that are effective for financial year ending 31 December 2019 , and with those parts of the Companies Act 2014 applicable to companies reporting under IFRS. The Company Financial Statements have been prepared in accordance with IFRS as adopted by the EU, as applied in accordance with the Companies Act 2014 applicable to companies reporting under IFRS. IFRS adopted by the EU differs in certain respects from IFRS issued by the IASB. Reference to the IFRS hereafter refers to IFRS adopted by the EU. A Company that publishes its Group and Company Financial Statements together, can take advantage of the exemption in Section 304 of the Companies Act 2014 from presenting to its members a Company Statement of Profit and Loss and Company Statement of Comprehensive Income and related notes.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preparation</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Group and Company Financial Statements are presented in United States dollars ("U.S. dollars") and all values are rounded to the nearest thousand ($‘000), except where otherwise indicated. They are prepared on the historical cost basis, except for the measurement at fair value on date of grant of share options, the pension plan assets, the put/call options over noncontrolling interest, other investments and financial assets. Other than the new and amended standard adopted by the group, accounting policies are applied consistently with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and amended standards adopted by the group</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The Group has applied the following standards and amendments for the first time for the annual reporting period commencing 1 January 2019:</w:t>
      </w:r>
    </w:p>
    <w:p>
      <w:pPr>
        <w:spacing w:after="0" w:line="178" w:lineRule="exact"/>
        <w:rPr>
          <w:sz w:val="20"/>
          <w:szCs w:val="20"/>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 xml:space="preserve">IFRS 16 </w:t>
      </w:r>
      <w:r>
        <w:rPr>
          <w:rFonts w:ascii="Arial" w:cs="Arial" w:eastAsia="Arial" w:hAnsi="Arial"/>
          <w:sz w:val="13"/>
          <w:szCs w:val="13"/>
          <w:i w:val="1"/>
          <w:iCs w:val="1"/>
          <w:color w:val="auto"/>
        </w:rPr>
        <w:t>Leases</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 xml:space="preserve">Amendments to IFRS 9 </w:t>
      </w:r>
      <w:r>
        <w:rPr>
          <w:rFonts w:ascii="Arial" w:cs="Arial" w:eastAsia="Arial" w:hAnsi="Arial"/>
          <w:sz w:val="13"/>
          <w:szCs w:val="13"/>
          <w:i w:val="1"/>
          <w:iCs w:val="1"/>
          <w:color w:val="auto"/>
        </w:rPr>
        <w:t>Prepayment Features with Negative Compensation</w:t>
      </w:r>
    </w:p>
    <w:p>
      <w:pPr>
        <w:ind w:left="500" w:hanging="240"/>
        <w:spacing w:after="0"/>
        <w:tabs>
          <w:tab w:leader="none" w:pos="500" w:val="left"/>
        </w:tabs>
        <w:numPr>
          <w:ilvl w:val="0"/>
          <w:numId w:val="20"/>
        </w:numPr>
        <w:rPr>
          <w:rFonts w:ascii="Arial" w:cs="Arial" w:eastAsia="Arial" w:hAnsi="Arial"/>
          <w:sz w:val="13"/>
          <w:szCs w:val="13"/>
          <w:i w:val="1"/>
          <w:iCs w:val="1"/>
          <w:color w:val="auto"/>
        </w:rPr>
      </w:pPr>
      <w:r>
        <w:rPr>
          <w:rFonts w:ascii="Arial" w:cs="Arial" w:eastAsia="Arial" w:hAnsi="Arial"/>
          <w:sz w:val="13"/>
          <w:szCs w:val="13"/>
          <w:color w:val="auto"/>
        </w:rPr>
        <w:t xml:space="preserve">Amendments to IAS 28 </w:t>
      </w:r>
      <w:r>
        <w:rPr>
          <w:rFonts w:ascii="Arial" w:cs="Arial" w:eastAsia="Arial" w:hAnsi="Arial"/>
          <w:sz w:val="13"/>
          <w:szCs w:val="13"/>
          <w:i w:val="1"/>
          <w:iCs w:val="1"/>
          <w:color w:val="auto"/>
        </w:rPr>
        <w:t>Long-term Interests in Associates and Joint Ventures</w:t>
      </w:r>
    </w:p>
    <w:p>
      <w:pPr>
        <w:ind w:left="500" w:hanging="240"/>
        <w:spacing w:after="0"/>
        <w:tabs>
          <w:tab w:leader="none" w:pos="500" w:val="left"/>
        </w:tabs>
        <w:numPr>
          <w:ilvl w:val="0"/>
          <w:numId w:val="20"/>
        </w:numPr>
        <w:rPr>
          <w:rFonts w:ascii="Arial" w:cs="Arial" w:eastAsia="Arial" w:hAnsi="Arial"/>
          <w:sz w:val="13"/>
          <w:szCs w:val="13"/>
          <w:i w:val="1"/>
          <w:iCs w:val="1"/>
          <w:color w:val="auto"/>
        </w:rPr>
      </w:pPr>
      <w:r>
        <w:rPr>
          <w:rFonts w:ascii="Arial" w:cs="Arial" w:eastAsia="Arial" w:hAnsi="Arial"/>
          <w:sz w:val="13"/>
          <w:szCs w:val="13"/>
          <w:color w:val="auto"/>
        </w:rPr>
        <w:t xml:space="preserve">Annual Improvements to IFRS </w:t>
      </w:r>
      <w:r>
        <w:rPr>
          <w:rFonts w:ascii="Arial" w:cs="Arial" w:eastAsia="Arial" w:hAnsi="Arial"/>
          <w:sz w:val="13"/>
          <w:szCs w:val="13"/>
          <w:i w:val="1"/>
          <w:iCs w:val="1"/>
          <w:color w:val="auto"/>
        </w:rPr>
        <w:t>Standards 2015–2017</w:t>
      </w:r>
    </w:p>
    <w:p>
      <w:pPr>
        <w:ind w:left="500" w:hanging="240"/>
        <w:spacing w:after="0"/>
        <w:tabs>
          <w:tab w:leader="none" w:pos="500" w:val="left"/>
        </w:tabs>
        <w:numPr>
          <w:ilvl w:val="0"/>
          <w:numId w:val="20"/>
        </w:numPr>
        <w:rPr>
          <w:rFonts w:ascii="Arial" w:cs="Arial" w:eastAsia="Arial" w:hAnsi="Arial"/>
          <w:sz w:val="13"/>
          <w:szCs w:val="13"/>
          <w:i w:val="1"/>
          <w:iCs w:val="1"/>
          <w:color w:val="auto"/>
        </w:rPr>
      </w:pPr>
      <w:r>
        <w:rPr>
          <w:rFonts w:ascii="Arial" w:cs="Arial" w:eastAsia="Arial" w:hAnsi="Arial"/>
          <w:sz w:val="13"/>
          <w:szCs w:val="13"/>
          <w:color w:val="auto"/>
        </w:rPr>
        <w:t xml:space="preserve">Amendments to IAS 19 </w:t>
      </w:r>
      <w:r>
        <w:rPr>
          <w:rFonts w:ascii="Arial" w:cs="Arial" w:eastAsia="Arial" w:hAnsi="Arial"/>
          <w:sz w:val="13"/>
          <w:szCs w:val="13"/>
          <w:i w:val="1"/>
          <w:iCs w:val="1"/>
          <w:color w:val="auto"/>
        </w:rPr>
        <w:t>Employee Benefits Plan Amendment, Curtailment or Settlement</w:t>
      </w: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 xml:space="preserve">IFRIC 23 </w:t>
      </w:r>
      <w:r>
        <w:rPr>
          <w:rFonts w:ascii="Arial" w:cs="Arial" w:eastAsia="Arial" w:hAnsi="Arial"/>
          <w:sz w:val="13"/>
          <w:szCs w:val="13"/>
          <w:i w:val="1"/>
          <w:iCs w:val="1"/>
          <w:color w:val="auto"/>
        </w:rPr>
        <w:t>Uncertainty over Income Tax Treatments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In the current year, the Group has applied IFRS 16 (as issued by the IASB in January 2016) that is effective for annual periods that begin on or after 1 January 2019.</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 xml:space="preserve">IFRS 16 introduces new or amended requirements with respect to lease accounting. It introduces significant changes to lessee accounting by removing the distinction between operating and finance leases and requiring the recognition of a right-of-use asset and a lease liability at commencement for all leases, except for short-term leases and leases of low value assets. In contrast to lessee accounting, the requirements for lessor accounting have remained largely unchanged. Certain adjustments were made following the adoption of IFRS 16. The impact of these changes are disclosed in </w:t>
      </w:r>
      <w:r>
        <w:rPr>
          <w:rFonts w:ascii="Arial" w:cs="Arial" w:eastAsia="Arial" w:hAnsi="Arial"/>
          <w:sz w:val="13"/>
          <w:szCs w:val="13"/>
          <w:i w:val="1"/>
          <w:iCs w:val="1"/>
          <w:color w:val="auto"/>
        </w:rPr>
        <w:t>note 34 Impact of New Accounting Policy.</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The date of initial application of IFRS 16 for the Group is 1 January 2019.</w:t>
      </w:r>
    </w:p>
    <w:p>
      <w:pPr>
        <w:spacing w:after="0" w:line="13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 xml:space="preserve">The Group has applied IFRS 16 using the cumulative effect adjustment approach, with no restatement of the comparative information which means information for the year ended 31 December 2018 continues to reflect the requirements of IAS 17 </w:t>
      </w:r>
      <w:r>
        <w:rPr>
          <w:rFonts w:ascii="Arial" w:cs="Arial" w:eastAsia="Arial" w:hAnsi="Arial"/>
          <w:sz w:val="13"/>
          <w:szCs w:val="13"/>
          <w:i w:val="1"/>
          <w:iCs w:val="1"/>
          <w:color w:val="auto"/>
        </w:rPr>
        <w:t>Leases</w:t>
      </w:r>
      <w:r>
        <w:rPr>
          <w:rFonts w:ascii="Arial" w:cs="Arial" w:eastAsia="Arial" w:hAnsi="Arial"/>
          <w:sz w:val="13"/>
          <w:szCs w:val="13"/>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The other amendments listed above did not have any impact on the amounts recognised in prior periods or the current period. See accounting policies section below for additional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and amended standards and interpretations effective after 2019</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Certain new accounting standards and interpretations have been published that are not mandatory for 31 December 2019 reporting periods and have not been early adopted by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80"/>
          </w:cols>
          <w:pgMar w:left="300" w:top="696" w:right="31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Basis of preparation and statement of accounting policies (continued)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These include the following:</w:t>
      </w:r>
    </w:p>
    <w:p>
      <w:pPr>
        <w:spacing w:after="0" w:line="189" w:lineRule="exact"/>
        <w:rPr>
          <w:sz w:val="20"/>
          <w:szCs w:val="20"/>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IFRS 17 Insurance Contracts</w:t>
      </w: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IFRS 10 and IAS 28 (amendments) Sale or Contribution of Assets between an Investor and its Associate or Joint Venture</w:t>
      </w: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Amendments to IFRS 3 Definition of a business</w:t>
      </w: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Amendments to IAS 1 and IAS 8 Definition of material</w:t>
      </w: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Conceptual Framework Amendments to References to the Conceptual Framework in IFRS Standards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directors do not expect that the adoption of the Standards listed above will have a material impact on the financial statements of the Group in future periods.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judgements and key sources of estimation uncertainty</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preparation of Consolidated Financial Statements requires management to make estimates and judgements that affect the reported amounts of assets and liabilities at the date of the financial statements and the reported amounts of revenues and expenses during the reported period.</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3"/>
          <w:szCs w:val="13"/>
          <w:color w:val="auto"/>
        </w:rPr>
        <w:t>Estimates and judgements are based on historical experience and on other factors that are reasonable under current circumstances. Actual results may differ from these estimates if these assumptions prove to be incorrect or if conditions develop other than as assumed for the purposes of such estimates. The estimates and underlying assumptions are reviewed on an ongoing basis. The following are the critical judgements, apart from those involving estimations (which are presented separately below), that the directors have made in the process of applying the Group’s accounting policies and that have the most significant effect on the amounts recognised in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primarily earns revenues by providing a number of different services to its customers. These services, which are integral elements of the clinical development process, include clinical trials management, consulting, contract staffing, and laboratory services. Contracts range in duration from a number of months to several years.</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ICON adopted IFRS 15 in the prior year using the cumulative effect transition method. Under this transition method, ICON applied the new standard as at the date of initial application (i.e. 1 January 2018), without restatement of comparative amounts. The cumulative effect of initially applying the new standard (to revenue, costs and tax) is recorded as an adjustment to the opening balance of equity at the date of initial application. The standard requires application of five steps: (1) identify the contract(s) with a customer; (2) identify the performance obligation in the contract; (3) determine the transaction price; (4) allocate the transaction price to the performance obligations in the contract; and (5) recognise revenue when (or as) the entity satisfies the performance obligation.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Clinical trial service revenue</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most significant impact of application of the standard relates to our assessment of performance obligations and percentage of completion in respect of our clinical trial service revenue. Under IFRS 15, a clinical trial service is a single performance obligation satisfied over time i.e. the full service obligation in respect of a clinical trial (including those services performed by investigators and other parties)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pass-through/reimbursable expenses) adjusted downwards to reflect a realisable contract value. Revenue is recognised as the single performance obligation is satisfied. The progress towards completion for clinical service contracts is measured based on an input measure being project costs incurred as a proportion of total project costs (inclusive of third party costs) at each reporting period.</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Contracting services revenue</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80"/>
          </w:cols>
          <w:pgMar w:left="300" w:top="696" w:right="31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Basis of preparation and statement of accounting policies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Consulting services revenue</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have concluded that our consulting services contracts represent a single performance obligation satisfied over time. The transaction price is determined by reference to contract or change order value. Revenue is recognised as the performance obligation is satisfied. The progress towards completion for consulting contracts is measured based on total project inputs (time) at each reporting period.</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 Laboratory services revenue</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Revenue is recognised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recognised over time as the services are delivered to the customer based on the extent of progress towards completion of the performance obligation. The determination of the methodology to measure progress requires judgement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labour hours incurred. Revenue is recorded in the amount invoiced since that amounts corresponds to the value of the Company's performance and the transfer of value to the customer.</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policies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accounting policies have been applied consistently in dealing with items which are considered material in relation to the Group’s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consolidation</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Group Financial Statements consolidate the financial statements of ICON plc and its subsidiaries. Subsidiaries are consolidated from the date on which control is transferred to the Group and cease to be consolidated from the date on which control is transferred out of the Group. The Group controls an entity when it is exposed to, or has rights to, variable returns from its involvement with the entity and has the ability to affect those returns through its power over the entity. Financial statements of subsidiaries are prepared for the same reporting year as the Company and where necessary, adjustments are made to the results of subsidiaries to bring their accounting policies into line with those used by the Group. The Group will continue to prepare the individual statutory financial statements of subsidiary companies under GAAP applicable in their country of incorporation but adjustments have been made to the results and financial position of such companies to bring their accounting policies into line with those of the Group.</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All intercompany balances and transactions, including unrealised profits arising from inter-group transactions, have been eliminated in full. Unrealised losses are eliminated in the same manner as unrealised gains except to the extent that there is evidence of impairment.</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Foreign currency translation</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presentation and functional currency of the Company is US dollars ($). The presentation currency of the Group is US dollars ($). The determination of the USD as the functional currency of the Company reflects consideration of the primary and secondary indicators as set out in IAS 21. The directors considered in particular the currency in which funds from financing activities are generated (debt and equity) and the currency in which receipts from operating activities are usually retained. This assessment is consistent with the assessment that the functional currencies of the main subsidiary trading entities are USD. The Company Financial Statements are presented in US dollars. Results and cash flows of non-dollar denominated undertakings are translated into dollars at the actual exchange rates at the transaction dates or average exchange rates for the year where this is a reasonable approximation.</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related statements of financial position are translated at the rates of exchange ruling at the reporting date. Goodwill and fair value adjustments arising on acquisition of a foreign operation are regarded as assets and liabilities of the foreign operation, are expressed in the functional currency of the foreign operation and are recorded at the exchange rate at the date of the transaction, and subsequently retranslated at the applicable closing rates. Adjustments arising on translation of the results of non-dollar undertakings at average rates, and on the restatement of the opening net assets at closing rates, are recorded in the translation reserve within equity.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80"/>
          </w:cols>
          <w:pgMar w:left="300" w:top="696" w:right="31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Basis of preparation and statement of accounting policies (continued)</w:t>
      </w:r>
    </w:p>
    <w:p>
      <w:pPr>
        <w:spacing w:after="0" w:line="200" w:lineRule="exact"/>
        <w:rPr>
          <w:sz w:val="20"/>
          <w:szCs w:val="20"/>
          <w:color w:val="auto"/>
        </w:rPr>
      </w:pP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Transactions in currencies different to the functional currencies of operations are recorded at the rate of exchange ruling at the date of the transaction. Monetary assets and liabilities denominated in foreign currencies are retranslated into the functional currency at the rate of exchange at the reporting date. All translation differences, with the exception of translation differences on long term intercompany balances in the Consolidated Financial Statements where repayment is not foreseen, are recorded in the Consolidated Statement of Profit and Loss. Translation differences on long term intercompany balances, in the Consolidated Financial Statements, where repayment is not foreseen are recorded within other comprehensive income in the Statement of Comprehensive Income.</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disposal of a foreign operation, accumulated currency translation differences, together with any exchange differences on foreign currency borrowings that provide a hedge of the net investment are recognised in the Consolidated Statement of Profit and Loss as part of the overall gain or loss on disposal.</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The principal exchange rates used for the translation of results, cash flows and statements of financial position into US dollars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shd w:val="clear" w:color="auto" w:fill="CCEEFF"/>
          </w:tcPr>
          <w:p>
            <w:pPr>
              <w:spacing w:after="0"/>
              <w:rPr>
                <w:sz w:val="16"/>
                <w:szCs w:val="16"/>
                <w:color w:val="auto"/>
              </w:rPr>
            </w:pPr>
          </w:p>
        </w:tc>
        <w:tc>
          <w:tcPr>
            <w:tcW w:w="1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Average</w:t>
            </w:r>
          </w:p>
        </w:tc>
        <w:tc>
          <w:tcPr>
            <w:tcW w:w="134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Year end</w:t>
            </w:r>
          </w:p>
        </w:tc>
        <w:tc>
          <w:tcPr>
            <w:tcW w:w="1140" w:type="dxa"/>
            <w:vAlign w:val="bottom"/>
            <w:tcBorders>
              <w:bottom w:val="single" w:sz="8" w:color="auto"/>
            </w:tcBorders>
            <w:shd w:val="clear" w:color="auto" w:fill="CCEEFF"/>
          </w:tcPr>
          <w:p>
            <w:pPr>
              <w:spacing w:after="0"/>
              <w:rPr>
                <w:sz w:val="16"/>
                <w:szCs w:val="16"/>
                <w:color w:val="auto"/>
              </w:rPr>
            </w:pPr>
          </w:p>
        </w:tc>
      </w:tr>
      <w:tr>
        <w:trPr>
          <w:trHeight w:val="175"/>
        </w:trPr>
        <w:tc>
          <w:tcPr>
            <w:tcW w:w="53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31 December 2019</w:t>
            </w:r>
          </w:p>
        </w:tc>
        <w:tc>
          <w:tcPr>
            <w:tcW w:w="13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31 December 2018</w:t>
            </w:r>
          </w:p>
        </w:tc>
        <w:tc>
          <w:tcPr>
            <w:tcW w:w="16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31 December 2019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31 December 2018</w:t>
            </w:r>
          </w:p>
        </w:tc>
      </w:tr>
      <w:tr>
        <w:trPr>
          <w:trHeight w:val="115"/>
        </w:trPr>
        <w:tc>
          <w:tcPr>
            <w:tcW w:w="5360" w:type="dxa"/>
            <w:vAlign w:val="bottom"/>
            <w:shd w:val="clear" w:color="auto" w:fill="CCEEFF"/>
          </w:tcPr>
          <w:p>
            <w:pPr>
              <w:spacing w:after="0"/>
              <w:rPr>
                <w:sz w:val="9"/>
                <w:szCs w:val="9"/>
                <w:color w:val="auto"/>
              </w:rPr>
            </w:pPr>
          </w:p>
        </w:tc>
        <w:tc>
          <w:tcPr>
            <w:tcW w:w="182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18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Euro 1:$</w:t>
            </w:r>
          </w:p>
        </w:tc>
        <w:tc>
          <w:tcPr>
            <w:tcW w:w="18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1.1183</w:t>
            </w:r>
          </w:p>
        </w:tc>
        <w:tc>
          <w:tcPr>
            <w:tcW w:w="13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1.1846</w:t>
            </w:r>
          </w:p>
        </w:tc>
        <w:tc>
          <w:tcPr>
            <w:tcW w:w="16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1.1213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1.1467</w:t>
            </w:r>
          </w:p>
        </w:tc>
      </w:tr>
      <w:tr>
        <w:trPr>
          <w:trHeight w:val="147"/>
        </w:trPr>
        <w:tc>
          <w:tcPr>
            <w:tcW w:w="53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92"/>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Pound Sterling 1:$</w:t>
            </w:r>
          </w:p>
        </w:tc>
        <w:tc>
          <w:tcPr>
            <w:tcW w:w="18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1.2735</w:t>
            </w:r>
          </w:p>
        </w:tc>
        <w:tc>
          <w:tcPr>
            <w:tcW w:w="13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1.3401</w:t>
            </w:r>
          </w:p>
        </w:tc>
        <w:tc>
          <w:tcPr>
            <w:tcW w:w="16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1.3257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1.2754</w:t>
            </w:r>
          </w:p>
        </w:tc>
      </w:tr>
      <w:tr>
        <w:trPr>
          <w:trHeight w:val="420"/>
        </w:trPr>
        <w:tc>
          <w:tcPr>
            <w:tcW w:w="5360" w:type="dxa"/>
            <w:vAlign w:val="bottom"/>
          </w:tcPr>
          <w:p>
            <w:pPr>
              <w:spacing w:after="0"/>
              <w:rPr>
                <w:sz w:val="20"/>
                <w:szCs w:val="20"/>
                <w:color w:val="auto"/>
              </w:rPr>
            </w:pPr>
            <w:r>
              <w:rPr>
                <w:rFonts w:ascii="Arial" w:cs="Arial" w:eastAsia="Arial" w:hAnsi="Arial"/>
                <w:sz w:val="13"/>
                <w:szCs w:val="13"/>
                <w:b w:val="1"/>
                <w:bCs w:val="1"/>
                <w:color w:val="auto"/>
              </w:rPr>
              <w:t>Property, plant and equipment</w:t>
            </w: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86" w:lineRule="exact"/>
        <w:rPr>
          <w:sz w:val="20"/>
          <w:szCs w:val="20"/>
          <w:color w:val="auto"/>
        </w:rPr>
      </w:pPr>
    </w:p>
    <w:p>
      <w:pPr>
        <w:jc w:val="both"/>
        <w:spacing w:after="0"/>
        <w:rPr>
          <w:sz w:val="20"/>
          <w:szCs w:val="20"/>
          <w:color w:val="auto"/>
        </w:rPr>
      </w:pPr>
      <w:r>
        <w:rPr>
          <w:rFonts w:ascii="Arial" w:cs="Arial" w:eastAsia="Arial" w:hAnsi="Arial"/>
          <w:sz w:val="13"/>
          <w:szCs w:val="13"/>
          <w:color w:val="auto"/>
        </w:rPr>
        <w:t>Items of property, plant and equipment are stated at cost less accumulated depreciation and any provisions for impairment losses. Depreciation is calculated to write off the original cost of property, plant and equipment less its estimated residual value over its expected useful life on a straight line basis. Residual values and useful lives of property, plant and equipment are reviewed and adjusted if appropriate at each reporting date. At present it is estimated that all items of property, plant and equipment have no residual value. The estimated useful lives applied in determining the charge to depreciation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Borders>
              <w:bottom w:val="single" w:sz="8" w:color="auto"/>
            </w:tcBorders>
            <w:shd w:val="clear" w:color="auto" w:fill="CCEEFF"/>
          </w:tcPr>
          <w:p>
            <w:pPr>
              <w:spacing w:after="0"/>
              <w:rPr>
                <w:sz w:val="16"/>
                <w:szCs w:val="16"/>
                <w:color w:val="auto"/>
              </w:rPr>
            </w:pPr>
          </w:p>
        </w:tc>
        <w:tc>
          <w:tcPr>
            <w:tcW w:w="2820" w:type="dxa"/>
            <w:vAlign w:val="bottom"/>
            <w:tcBorders>
              <w:bottom w:val="single" w:sz="8" w:color="auto"/>
            </w:tcBorders>
            <w:shd w:val="clear" w:color="auto" w:fill="CCEEFF"/>
          </w:tcPr>
          <w:p>
            <w:pPr>
              <w:ind w:left="1520"/>
              <w:spacing w:after="0"/>
              <w:rPr>
                <w:sz w:val="20"/>
                <w:szCs w:val="20"/>
                <w:color w:val="auto"/>
              </w:rPr>
            </w:pPr>
            <w:r>
              <w:rPr>
                <w:rFonts w:ascii="Arial" w:cs="Arial" w:eastAsia="Arial" w:hAnsi="Arial"/>
                <w:sz w:val="13"/>
                <w:szCs w:val="13"/>
                <w:b w:val="1"/>
                <w:bCs w:val="1"/>
                <w:color w:val="auto"/>
              </w:rPr>
              <w:t>Years</w:t>
            </w:r>
          </w:p>
        </w:tc>
      </w:tr>
      <w:tr>
        <w:trPr>
          <w:trHeight w:val="175"/>
        </w:trPr>
        <w:tc>
          <w:tcPr>
            <w:tcW w:w="3080" w:type="dxa"/>
            <w:vAlign w:val="bottom"/>
          </w:tcPr>
          <w:p>
            <w:pPr>
              <w:ind w:left="20"/>
              <w:spacing w:after="0"/>
              <w:rPr>
                <w:sz w:val="20"/>
                <w:szCs w:val="20"/>
                <w:color w:val="auto"/>
              </w:rPr>
            </w:pPr>
            <w:r>
              <w:rPr>
                <w:rFonts w:ascii="Arial" w:cs="Arial" w:eastAsia="Arial" w:hAnsi="Arial"/>
                <w:sz w:val="13"/>
                <w:szCs w:val="13"/>
                <w:color w:val="auto"/>
              </w:rPr>
              <w:t>Buildings</w:t>
            </w:r>
          </w:p>
        </w:tc>
        <w:tc>
          <w:tcPr>
            <w:tcW w:w="2820" w:type="dxa"/>
            <w:vAlign w:val="bottom"/>
          </w:tcPr>
          <w:p>
            <w:pPr>
              <w:jc w:val="center"/>
              <w:ind w:left="496"/>
              <w:spacing w:after="0"/>
              <w:rPr>
                <w:sz w:val="20"/>
                <w:szCs w:val="20"/>
                <w:color w:val="auto"/>
              </w:rPr>
            </w:pPr>
            <w:r>
              <w:rPr>
                <w:rFonts w:ascii="Arial" w:cs="Arial" w:eastAsia="Arial" w:hAnsi="Arial"/>
                <w:sz w:val="13"/>
                <w:szCs w:val="13"/>
                <w:color w:val="auto"/>
                <w:w w:val="96"/>
              </w:rPr>
              <w:t>40</w:t>
            </w:r>
          </w:p>
        </w:tc>
      </w:tr>
      <w:tr>
        <w:trPr>
          <w:trHeight w:val="199"/>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Computer equipment</w:t>
            </w:r>
          </w:p>
        </w:tc>
        <w:tc>
          <w:tcPr>
            <w:tcW w:w="2820" w:type="dxa"/>
            <w:vAlign w:val="bottom"/>
            <w:shd w:val="clear" w:color="auto" w:fill="CCEEFF"/>
          </w:tcPr>
          <w:p>
            <w:pPr>
              <w:jc w:val="center"/>
              <w:ind w:left="496"/>
              <w:spacing w:after="0"/>
              <w:rPr>
                <w:sz w:val="20"/>
                <w:szCs w:val="20"/>
                <w:color w:val="auto"/>
              </w:rPr>
            </w:pPr>
            <w:r>
              <w:rPr>
                <w:rFonts w:ascii="Arial" w:cs="Arial" w:eastAsia="Arial" w:hAnsi="Arial"/>
                <w:sz w:val="13"/>
                <w:szCs w:val="13"/>
                <w:color w:val="auto"/>
                <w:w w:val="95"/>
              </w:rPr>
              <w:t>2-8</w:t>
            </w:r>
          </w:p>
        </w:tc>
      </w:tr>
      <w:tr>
        <w:trPr>
          <w:trHeight w:val="183"/>
        </w:trPr>
        <w:tc>
          <w:tcPr>
            <w:tcW w:w="3080" w:type="dxa"/>
            <w:vAlign w:val="bottom"/>
          </w:tcPr>
          <w:p>
            <w:pPr>
              <w:ind w:left="20"/>
              <w:spacing w:after="0"/>
              <w:rPr>
                <w:sz w:val="20"/>
                <w:szCs w:val="20"/>
                <w:color w:val="auto"/>
              </w:rPr>
            </w:pPr>
            <w:r>
              <w:rPr>
                <w:rFonts w:ascii="Arial" w:cs="Arial" w:eastAsia="Arial" w:hAnsi="Arial"/>
                <w:sz w:val="13"/>
                <w:szCs w:val="13"/>
                <w:color w:val="auto"/>
              </w:rPr>
              <w:t>Office furniture and fixtures</w:t>
            </w:r>
          </w:p>
        </w:tc>
        <w:tc>
          <w:tcPr>
            <w:tcW w:w="2820" w:type="dxa"/>
            <w:vAlign w:val="bottom"/>
          </w:tcPr>
          <w:p>
            <w:pPr>
              <w:jc w:val="center"/>
              <w:ind w:left="496"/>
              <w:spacing w:after="0"/>
              <w:rPr>
                <w:sz w:val="20"/>
                <w:szCs w:val="20"/>
                <w:color w:val="auto"/>
              </w:rPr>
            </w:pPr>
            <w:r>
              <w:rPr>
                <w:rFonts w:ascii="Arial" w:cs="Arial" w:eastAsia="Arial" w:hAnsi="Arial"/>
                <w:sz w:val="13"/>
                <w:szCs w:val="13"/>
                <w:color w:val="auto"/>
                <w:w w:val="82"/>
              </w:rPr>
              <w:t>8</w:t>
            </w:r>
          </w:p>
        </w:tc>
      </w:tr>
      <w:tr>
        <w:trPr>
          <w:trHeight w:val="199"/>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Laboratory equipment</w:t>
            </w:r>
          </w:p>
        </w:tc>
        <w:tc>
          <w:tcPr>
            <w:tcW w:w="2820" w:type="dxa"/>
            <w:vAlign w:val="bottom"/>
            <w:shd w:val="clear" w:color="auto" w:fill="CCEEFF"/>
          </w:tcPr>
          <w:p>
            <w:pPr>
              <w:jc w:val="center"/>
              <w:ind w:left="496"/>
              <w:spacing w:after="0"/>
              <w:rPr>
                <w:sz w:val="20"/>
                <w:szCs w:val="20"/>
                <w:color w:val="auto"/>
              </w:rPr>
            </w:pPr>
            <w:r>
              <w:rPr>
                <w:rFonts w:ascii="Arial" w:cs="Arial" w:eastAsia="Arial" w:hAnsi="Arial"/>
                <w:sz w:val="13"/>
                <w:szCs w:val="13"/>
                <w:color w:val="auto"/>
                <w:w w:val="82"/>
              </w:rPr>
              <w:t>5</w:t>
            </w:r>
          </w:p>
        </w:tc>
      </w:tr>
      <w:tr>
        <w:trPr>
          <w:trHeight w:val="176"/>
        </w:trPr>
        <w:tc>
          <w:tcPr>
            <w:tcW w:w="3080" w:type="dxa"/>
            <w:vAlign w:val="bottom"/>
          </w:tcPr>
          <w:p>
            <w:pPr>
              <w:ind w:left="20"/>
              <w:spacing w:after="0"/>
              <w:rPr>
                <w:sz w:val="20"/>
                <w:szCs w:val="20"/>
                <w:color w:val="auto"/>
              </w:rPr>
            </w:pPr>
            <w:r>
              <w:rPr>
                <w:rFonts w:ascii="Arial" w:cs="Arial" w:eastAsia="Arial" w:hAnsi="Arial"/>
                <w:sz w:val="13"/>
                <w:szCs w:val="13"/>
                <w:color w:val="auto"/>
              </w:rPr>
              <w:t>Motor vehicles</w:t>
            </w:r>
          </w:p>
        </w:tc>
        <w:tc>
          <w:tcPr>
            <w:tcW w:w="2820" w:type="dxa"/>
            <w:vAlign w:val="bottom"/>
          </w:tcPr>
          <w:p>
            <w:pPr>
              <w:jc w:val="center"/>
              <w:ind w:left="496"/>
              <w:spacing w:after="0"/>
              <w:rPr>
                <w:sz w:val="20"/>
                <w:szCs w:val="20"/>
                <w:color w:val="auto"/>
              </w:rPr>
            </w:pPr>
            <w:r>
              <w:rPr>
                <w:rFonts w:ascii="Arial" w:cs="Arial" w:eastAsia="Arial" w:hAnsi="Arial"/>
                <w:sz w:val="13"/>
                <w:szCs w:val="13"/>
                <w:color w:val="auto"/>
                <w:w w:val="82"/>
              </w:rPr>
              <w:t>5</w:t>
            </w:r>
          </w:p>
        </w:tc>
      </w:tr>
    </w:tbl>
    <w:p>
      <w:pPr>
        <w:spacing w:after="0" w:line="271" w:lineRule="exact"/>
        <w:rPr>
          <w:sz w:val="20"/>
          <w:szCs w:val="20"/>
          <w:color w:val="auto"/>
        </w:rPr>
      </w:pPr>
    </w:p>
    <w:p>
      <w:pPr>
        <w:spacing w:after="0"/>
        <w:rPr>
          <w:sz w:val="20"/>
          <w:szCs w:val="20"/>
          <w:color w:val="auto"/>
        </w:rPr>
      </w:pPr>
      <w:r>
        <w:rPr>
          <w:rFonts w:ascii="Arial" w:cs="Arial" w:eastAsia="Arial" w:hAnsi="Arial"/>
          <w:sz w:val="13"/>
          <w:szCs w:val="13"/>
          <w:color w:val="auto"/>
        </w:rPr>
        <w:t>Leasehold improvements are amortised using the straight-line method over the estimated useful life of the asset or the lease term, whichever is shorter.</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disposal of property, plant and equipment the cost and related accumulated depreciation and impairments are removed from the financial statements and the net amount, less any proceeds, is taken to the Consolidated Statement of Profit and Loss.</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carrying amounts of the Group’s property, plant and equipment are reviewed at each reporting date to determine whether there is any indicator of impairment. Where such an indicator exists an impairment review is carried out. An impairment loss is recognised whenever the carrying amount of an asset or its cash generation unit exceeds its recoverable amount. Impairment losses are recognised in the Consolidated Statement of Profit and Loss.</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Subsequent costs are included in an asset’s carrying amount or recognised as a separate asset, as appropriate, only when it is probable that future economic benefits associated with the item will flow to the Group and the cost of the replaced item can be measured reliably. All other repair and maintenance costs are charged to the Consolidated Statement of Profit and Loss during the financial period in which they are incurred.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80"/>
          </w:cols>
          <w:pgMar w:left="300" w:top="696" w:right="31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Basis of preparation and statement of accounting policies (continued)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IFRS 16 - Right-of-use assets and lease liabilities (year ended 31 December 2019)</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3"/>
          <w:szCs w:val="13"/>
          <w:color w:val="auto"/>
        </w:rPr>
        <w:t xml:space="preserve">The Group applied IFRS 16 using the cumulative effect adjustment approach. Under this transition method, ICON has applied the new standard as at the date of initial application (i.e. 1 January 2019), without restatement of comparative period amounts. The cumulative effect of applying the new standard is recorded as an adjustment to the opening Consolidated Statement of Financial Position as at the date of initial application (see </w:t>
      </w:r>
      <w:r>
        <w:rPr>
          <w:rFonts w:ascii="Arial" w:cs="Arial" w:eastAsia="Arial" w:hAnsi="Arial"/>
          <w:sz w:val="13"/>
          <w:szCs w:val="13"/>
          <w:i w:val="1"/>
          <w:iCs w:val="1"/>
          <w:color w:val="auto"/>
        </w:rPr>
        <w:t>note 34 - Impact of change in accounting policies</w:t>
      </w:r>
      <w:r>
        <w:rPr>
          <w:rFonts w:ascii="Arial" w:cs="Arial" w:eastAsia="Arial" w:hAnsi="Arial"/>
          <w:sz w:val="13"/>
          <w:szCs w:val="13"/>
          <w:color w:val="auto"/>
        </w:rPr>
        <w:t xml:space="preserve"> for further details). The comparative information has not been adjusted and therefore continues to be reported under IAS 17.</w:t>
      </w:r>
    </w:p>
    <w:p>
      <w:pPr>
        <w:spacing w:after="0" w:line="13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IFRS 16 requires lessees to recognise the rights and obligations resulting from virtually all leases on the Consolidated Statements of Financial Position as right-of-use (ROU) assets with corresponding lease liabilities. Prior to the application of IFRS 16, costs in respect of operating leases were charged to the Consolidated Statements of Profit and Loss on a straight-line basis over the lease term while finance leases, if any, were depreciated on the same basis as property, plant and equipment.</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ICON determines if an arrangement is a lease at inception. Leases are included in right-of-use assets, accrued and other liabilities and non-current lease liabilities on our Consolidated Statements of Financial Position. The right-of-use assets comprise the initial measurement of the corresponding lease liability, plus lease payments made at or before the commencement day and any initial direct costs, less any lease incentives received. They are subsequently measured at cost less accumulated depreciation and impairment losses. Right-of-use assets are depreciated over the lease term.</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right-of-use assets are presented as a separate line in the consolidated statement of financial position. The Group applies IAS 36 to determine whether a right-of-use asset is impaired and accounts for any identified impairment loss as described in the ‘Property, Plant and Equipment’ policy.</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Lease liabilities are recognized based on the present value of future minimum lease payments over the lease term at commencement date or date of transition with the interest element of the finance lease charged to financing expense.</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As most of ICON's leases do not provide an implicit rate, IFRS 16 allows for the use of an incremental borrowing rate as an appropriate discount rate to apply to the lease liability. The discount rate used is based on the rate of traded corporate bonds available at the commencement date adjusted for country risk, liquidity and lease term.</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Current lease liabilities are included in accrued and other liabilities in the Consolidated Statement of Financial Position and non-current lease liabilities are presented as a separate line. The lease liability is subsequently measured by increasing the carrying amount to reflect interest on the lease liability (using the effective interest method) and by reducing the carrying amount to reflect the lease payments made.</w:t>
      </w:r>
    </w:p>
    <w:p>
      <w:pPr>
        <w:spacing w:after="0" w:line="13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Lease terms may also include options to extend or terminate. Such options are actively reviewed and adjustments to the ROU asset and lease liability are made when it is reasonably certain the option will be exercised.</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As a practical expedient, IFRS 16 permits a lessee not to separate non-lease components, and instead account for any lease and associated non-lease components as a single arrangement. The Group has not used this practical expedient. ICON accounts for lease and non-lease components separately with lease components flowing through the Consolidated Statements of Financial Position and non-lease components expensed directly to the Consolidated Statements of Profit and Loss.</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Group has elected to account for short-term leases using the practical expedient. Instead of recognising a right-of-use asset and lease liability, the payments in relation to these are recognised as an expense in the Consolidated Statement of Profit and Loss on a straight-line basis over the lease term.</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some cases, ICON enters into sublease agreements and becomes both a lessee and a lessor for the same underlying asset. When the Group is an intermediate lessor, it accounts for the head lease and the sub-lease as two separate contracts. Subleases are accounted for in the same way as other leases. The sub-lease is classified as a finance or operating lease by reference to the right-of-use asset arising from the head lease.</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IAS 17 - Leases (year ended 31 December 2018)</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lease accounting policy applied in preparation of the results for the year ended 31 December 2018 and previously reflected the application of IAS 17. Under this accounting policy, costs in respect of operating leases are charged to the Consolidated Statements of Profit and Loss on a straight line basis over the lease term. Assets acquired under finance leases are included in the Consolidated Statements of Financial Position at the present value of the future minimum lease payments and are depreciated over the shorter of the lease term and their remaining useful lives. The corresponding liabilities are recorded in the Consolidated Statements of Financial Position and the interest element of the capital lease rental is charged to financing expense.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80"/>
          </w:cols>
          <w:pgMar w:left="300" w:top="696" w:right="31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Basis of preparation and statement of accounting policies (continued)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 combinations</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Business combinations are accounted for using the acquisition method when control is transferred to the Group. The consideration transferred is measured at fair value, as are the identifiable assets acquired and liabilities assumed. Where a business combination agreement provides for an adjustment to the cost of the acquisition which is contingent upon future events, the amount of the estimated adjustment is recognised on the acquisition date at the acquisition date fair value of this contingent consideration. The accounting treatment of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to the assessment of contingent consideration determined as at acquisition date will be accounted for through the Consolidated Statement of Profit and Loss, as the liability is measured at fair value at each reporting date.</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re-determined at the date of each transaction until control is obtained.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the original acquisition accounting. Acquisition costs are expensed as incurred.</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Goodwill</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Group measures goodwill at the acquisition date as the fair value of the consideration transferred plus the recognised amount of any non-controlling interests in the acquiree, if the business combination is achieved in stages, the fair value of the pre-existing equity interest in the acquiree, less the net recognised amount (generally fair value) of the identifiable assets acquired and liabilities assumed. Goodwill on the acquisition of subsidiaries is included in ‘intangible assets – goodwill and other’.</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3"/>
          <w:szCs w:val="13"/>
          <w:color w:val="auto"/>
        </w:rPr>
        <w:t>At the acquisition date, any goodwill acquired is allocated to the cash-generating units expected to benefit from the combination's synergies. Impairment is determined by assessing the recoverable amount of the cash-generating unit to which the goodwill relates. Where goodwill forms part of a cash-generating unit and part of the operation within that unit is disposed of, the goodwill associated with the operation disposed of is included in the carrying amount of the operation when determining the gain or loss on disposal of the operation. Goodwill disposed of in this circumstance is measured on the basis of the relative values of the operation disposed of and the proportion of the cash-generating unit retained.</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Following initial recognition, goodwill is measured at cost less any accumulated impairment losses. Goodwill is reviewed for impairment annually or more frequently if events or changes in circumstances indicate that the carrying value may be impaired.</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Intangible assets</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Other intangible assets are stated at cost less accumulated amortisation and impairment losses. Useful lives of intangibles are reviewed and adjusted if appropriate at each reporting date. Amortisation is charged to the Consolidated Statement of Profit and Loss on a straight line basis over the estimated useful lives of intangible assets, currently estimated as follows:</w:t>
      </w:r>
    </w:p>
    <w:p>
      <w:pPr>
        <w:spacing w:after="0" w:line="225"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3060" w:type="dxa"/>
            <w:vAlign w:val="bottom"/>
            <w:tcBorders>
              <w:bottom w:val="single" w:sz="8" w:color="auto"/>
            </w:tcBorders>
            <w:shd w:val="clear" w:color="auto" w:fill="CCEEFF"/>
          </w:tcPr>
          <w:p>
            <w:pPr>
              <w:spacing w:after="0"/>
              <w:rPr>
                <w:sz w:val="16"/>
                <w:szCs w:val="16"/>
                <w:color w:val="auto"/>
              </w:rPr>
            </w:pPr>
          </w:p>
        </w:tc>
        <w:tc>
          <w:tcPr>
            <w:tcW w:w="2760" w:type="dxa"/>
            <w:vAlign w:val="bottom"/>
            <w:tcBorders>
              <w:bottom w:val="single" w:sz="8" w:color="auto"/>
            </w:tcBorders>
            <w:shd w:val="clear" w:color="auto" w:fill="CCEEFF"/>
          </w:tcPr>
          <w:p>
            <w:pPr>
              <w:ind w:left="1480"/>
              <w:spacing w:after="0"/>
              <w:rPr>
                <w:sz w:val="20"/>
                <w:szCs w:val="20"/>
                <w:color w:val="auto"/>
              </w:rPr>
            </w:pPr>
            <w:r>
              <w:rPr>
                <w:rFonts w:ascii="Arial" w:cs="Arial" w:eastAsia="Arial" w:hAnsi="Arial"/>
                <w:sz w:val="13"/>
                <w:szCs w:val="13"/>
                <w:b w:val="1"/>
                <w:bCs w:val="1"/>
                <w:color w:val="auto"/>
              </w:rPr>
              <w:t>Years</w:t>
            </w:r>
          </w:p>
        </w:tc>
      </w:tr>
      <w:tr>
        <w:trPr>
          <w:trHeight w:val="175"/>
        </w:trPr>
        <w:tc>
          <w:tcPr>
            <w:tcW w:w="3060" w:type="dxa"/>
            <w:vAlign w:val="bottom"/>
          </w:tcPr>
          <w:p>
            <w:pPr>
              <w:spacing w:after="0"/>
              <w:rPr>
                <w:sz w:val="20"/>
                <w:szCs w:val="20"/>
                <w:color w:val="auto"/>
              </w:rPr>
            </w:pPr>
            <w:r>
              <w:rPr>
                <w:rFonts w:ascii="Arial" w:cs="Arial" w:eastAsia="Arial" w:hAnsi="Arial"/>
                <w:sz w:val="13"/>
                <w:szCs w:val="13"/>
                <w:color w:val="auto"/>
              </w:rPr>
              <w:t>Computer software</w:t>
            </w:r>
          </w:p>
        </w:tc>
        <w:tc>
          <w:tcPr>
            <w:tcW w:w="2760" w:type="dxa"/>
            <w:vAlign w:val="bottom"/>
          </w:tcPr>
          <w:p>
            <w:pPr>
              <w:jc w:val="center"/>
              <w:ind w:left="476"/>
              <w:spacing w:after="0"/>
              <w:rPr>
                <w:sz w:val="20"/>
                <w:szCs w:val="20"/>
                <w:color w:val="auto"/>
              </w:rPr>
            </w:pPr>
            <w:r>
              <w:rPr>
                <w:rFonts w:ascii="Arial" w:cs="Arial" w:eastAsia="Arial" w:hAnsi="Arial"/>
                <w:sz w:val="13"/>
                <w:szCs w:val="13"/>
                <w:color w:val="auto"/>
                <w:w w:val="95"/>
              </w:rPr>
              <w:t>2-8</w:t>
            </w:r>
          </w:p>
        </w:tc>
      </w:tr>
      <w:tr>
        <w:trPr>
          <w:trHeight w:val="199"/>
        </w:trPr>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Customer relationships</w:t>
            </w:r>
          </w:p>
        </w:tc>
        <w:tc>
          <w:tcPr>
            <w:tcW w:w="2760" w:type="dxa"/>
            <w:vAlign w:val="bottom"/>
            <w:shd w:val="clear" w:color="auto" w:fill="CCEEFF"/>
          </w:tcPr>
          <w:p>
            <w:pPr>
              <w:jc w:val="center"/>
              <w:ind w:left="476"/>
              <w:spacing w:after="0"/>
              <w:rPr>
                <w:sz w:val="20"/>
                <w:szCs w:val="20"/>
                <w:color w:val="auto"/>
              </w:rPr>
            </w:pPr>
            <w:r>
              <w:rPr>
                <w:rFonts w:ascii="Arial" w:cs="Arial" w:eastAsia="Arial" w:hAnsi="Arial"/>
                <w:sz w:val="13"/>
                <w:szCs w:val="13"/>
                <w:color w:val="auto"/>
                <w:w w:val="99"/>
              </w:rPr>
              <w:t>7-16</w:t>
            </w:r>
          </w:p>
        </w:tc>
      </w:tr>
      <w:tr>
        <w:trPr>
          <w:trHeight w:val="183"/>
        </w:trPr>
        <w:tc>
          <w:tcPr>
            <w:tcW w:w="3060" w:type="dxa"/>
            <w:vAlign w:val="bottom"/>
          </w:tcPr>
          <w:p>
            <w:pPr>
              <w:spacing w:after="0"/>
              <w:rPr>
                <w:sz w:val="20"/>
                <w:szCs w:val="20"/>
                <w:color w:val="auto"/>
              </w:rPr>
            </w:pPr>
            <w:r>
              <w:rPr>
                <w:rFonts w:ascii="Arial" w:cs="Arial" w:eastAsia="Arial" w:hAnsi="Arial"/>
                <w:sz w:val="13"/>
                <w:szCs w:val="13"/>
                <w:color w:val="auto"/>
              </w:rPr>
              <w:t>Order backlog</w:t>
            </w:r>
          </w:p>
        </w:tc>
        <w:tc>
          <w:tcPr>
            <w:tcW w:w="2760" w:type="dxa"/>
            <w:vAlign w:val="bottom"/>
          </w:tcPr>
          <w:p>
            <w:pPr>
              <w:jc w:val="center"/>
              <w:ind w:left="476"/>
              <w:spacing w:after="0"/>
              <w:rPr>
                <w:sz w:val="20"/>
                <w:szCs w:val="20"/>
                <w:color w:val="auto"/>
              </w:rPr>
            </w:pPr>
            <w:r>
              <w:rPr>
                <w:rFonts w:ascii="Arial" w:cs="Arial" w:eastAsia="Arial" w:hAnsi="Arial"/>
                <w:sz w:val="13"/>
                <w:szCs w:val="13"/>
                <w:color w:val="auto"/>
                <w:w w:val="95"/>
              </w:rPr>
              <w:t>1-9</w:t>
            </w:r>
          </w:p>
        </w:tc>
      </w:tr>
      <w:tr>
        <w:trPr>
          <w:trHeight w:val="199"/>
        </w:trPr>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Brand</w:t>
            </w:r>
          </w:p>
        </w:tc>
        <w:tc>
          <w:tcPr>
            <w:tcW w:w="2760" w:type="dxa"/>
            <w:vAlign w:val="bottom"/>
            <w:shd w:val="clear" w:color="auto" w:fill="CCEEFF"/>
          </w:tcPr>
          <w:p>
            <w:pPr>
              <w:jc w:val="center"/>
              <w:ind w:left="476"/>
              <w:spacing w:after="0"/>
              <w:rPr>
                <w:sz w:val="20"/>
                <w:szCs w:val="20"/>
                <w:color w:val="auto"/>
              </w:rPr>
            </w:pPr>
            <w:r>
              <w:rPr>
                <w:rFonts w:ascii="Arial" w:cs="Arial" w:eastAsia="Arial" w:hAnsi="Arial"/>
                <w:sz w:val="13"/>
                <w:szCs w:val="13"/>
                <w:color w:val="auto"/>
                <w:w w:val="82"/>
              </w:rPr>
              <w:t>5</w:t>
            </w:r>
          </w:p>
        </w:tc>
      </w:tr>
      <w:tr>
        <w:trPr>
          <w:trHeight w:val="183"/>
        </w:trPr>
        <w:tc>
          <w:tcPr>
            <w:tcW w:w="3060" w:type="dxa"/>
            <w:vAlign w:val="bottom"/>
          </w:tcPr>
          <w:p>
            <w:pPr>
              <w:spacing w:after="0"/>
              <w:rPr>
                <w:sz w:val="20"/>
                <w:szCs w:val="20"/>
                <w:color w:val="auto"/>
              </w:rPr>
            </w:pPr>
            <w:r>
              <w:rPr>
                <w:rFonts w:ascii="Arial" w:cs="Arial" w:eastAsia="Arial" w:hAnsi="Arial"/>
                <w:sz w:val="13"/>
                <w:szCs w:val="13"/>
                <w:color w:val="auto"/>
              </w:rPr>
              <w:t>Technology asset</w:t>
            </w:r>
          </w:p>
        </w:tc>
        <w:tc>
          <w:tcPr>
            <w:tcW w:w="2760" w:type="dxa"/>
            <w:vAlign w:val="bottom"/>
          </w:tcPr>
          <w:p>
            <w:pPr>
              <w:jc w:val="center"/>
              <w:ind w:left="476"/>
              <w:spacing w:after="0"/>
              <w:rPr>
                <w:sz w:val="20"/>
                <w:szCs w:val="20"/>
                <w:color w:val="auto"/>
              </w:rPr>
            </w:pPr>
            <w:r>
              <w:rPr>
                <w:rFonts w:ascii="Arial" w:cs="Arial" w:eastAsia="Arial" w:hAnsi="Arial"/>
                <w:sz w:val="13"/>
                <w:szCs w:val="13"/>
                <w:color w:val="auto"/>
                <w:w w:val="82"/>
              </w:rPr>
              <w:t>8</w:t>
            </w:r>
          </w:p>
        </w:tc>
      </w:tr>
      <w:tr>
        <w:trPr>
          <w:trHeight w:val="199"/>
        </w:trPr>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Non-compete arrangements</w:t>
            </w:r>
          </w:p>
        </w:tc>
        <w:tc>
          <w:tcPr>
            <w:tcW w:w="2760" w:type="dxa"/>
            <w:vAlign w:val="bottom"/>
            <w:shd w:val="clear" w:color="auto" w:fill="CCEEFF"/>
          </w:tcPr>
          <w:p>
            <w:pPr>
              <w:jc w:val="center"/>
              <w:ind w:left="476"/>
              <w:spacing w:after="0"/>
              <w:rPr>
                <w:sz w:val="20"/>
                <w:szCs w:val="20"/>
                <w:color w:val="auto"/>
              </w:rPr>
            </w:pPr>
            <w:r>
              <w:rPr>
                <w:rFonts w:ascii="Arial" w:cs="Arial" w:eastAsia="Arial" w:hAnsi="Arial"/>
                <w:sz w:val="13"/>
                <w:szCs w:val="13"/>
                <w:color w:val="auto"/>
                <w:w w:val="82"/>
              </w:rPr>
              <w:t>5</w:t>
            </w:r>
          </w:p>
        </w:tc>
      </w:tr>
      <w:tr>
        <w:trPr>
          <w:trHeight w:val="176"/>
        </w:trPr>
        <w:tc>
          <w:tcPr>
            <w:tcW w:w="3060" w:type="dxa"/>
            <w:vAlign w:val="bottom"/>
          </w:tcPr>
          <w:p>
            <w:pPr>
              <w:spacing w:after="0"/>
              <w:rPr>
                <w:sz w:val="20"/>
                <w:szCs w:val="20"/>
                <w:color w:val="auto"/>
              </w:rPr>
            </w:pPr>
            <w:r>
              <w:rPr>
                <w:rFonts w:ascii="Arial" w:cs="Arial" w:eastAsia="Arial" w:hAnsi="Arial"/>
                <w:sz w:val="13"/>
                <w:szCs w:val="13"/>
                <w:color w:val="auto"/>
              </w:rPr>
              <w:t>Patient database</w:t>
            </w:r>
          </w:p>
        </w:tc>
        <w:tc>
          <w:tcPr>
            <w:tcW w:w="2760" w:type="dxa"/>
            <w:vAlign w:val="bottom"/>
          </w:tcPr>
          <w:p>
            <w:pPr>
              <w:jc w:val="center"/>
              <w:ind w:left="476"/>
              <w:spacing w:after="0"/>
              <w:rPr>
                <w:sz w:val="20"/>
                <w:szCs w:val="20"/>
                <w:color w:val="auto"/>
              </w:rPr>
            </w:pPr>
            <w:r>
              <w:rPr>
                <w:rFonts w:ascii="Arial" w:cs="Arial" w:eastAsia="Arial" w:hAnsi="Arial"/>
                <w:sz w:val="13"/>
                <w:szCs w:val="13"/>
                <w:color w:val="auto"/>
                <w:w w:val="82"/>
              </w:rPr>
              <w:t>7</w:t>
            </w:r>
          </w:p>
        </w:tc>
      </w:tr>
    </w:tbl>
    <w:p>
      <w:pPr>
        <w:spacing w:after="0" w:line="27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Impairment</w:t>
      </w:r>
    </w:p>
    <w:p>
      <w:pPr>
        <w:spacing w:after="0" w:line="1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Group assessed at the end of each reporting period whether there was objective evidence that a financial asset or group of financial assets was impaired. A financial asset or a group of financial assets was impaired and impairment losses were incurred only if there was objective evidence of impairment as a result of one or more events that occurred after the initial recognition of the asset (a 'loss event') and that loss event (or events) had an impact on the estimated future cash flows of the financial asset or group of financial assets that could be reliably estimated.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80"/>
          </w:cols>
          <w:pgMar w:left="300" w:top="696" w:right="31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Basis of preparation and statement of accounting policies (continued)</w:t>
      </w:r>
    </w:p>
    <w:p>
      <w:pPr>
        <w:spacing w:after="0" w:line="200" w:lineRule="exact"/>
        <w:rPr>
          <w:sz w:val="20"/>
          <w:szCs w:val="20"/>
          <w:color w:val="auto"/>
        </w:rPr>
      </w:pPr>
    </w:p>
    <w:p>
      <w:pPr>
        <w:spacing w:after="0" w:line="22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Impairment losses in respect of other non-financial assets, other than goodwill, are reversed if there has been a change in the estimates used to determine recoverable amount. Impairment losses are reversed only to the extent that the carrying amount of the asset does not exceed the carrying value that would have been determined, net of depreciation or amortisation, if no impairment loss had been recognised. Impairment losses in respect of goodwill are not reversed.</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Inventories</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Inventories, which comprise laboratory inventories, are stated at the lower of cost and net realisable value. Cost is based on the first-in, first-out principle and includes all expenditure incurred in acquiring the inventories and bringing them to their present location and condition. Cost in the case of raw materials comprises the purchase price and attributable costs, less trade discounts. Net realisable value is the estimated selling price in the ordinary course of business, less selling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Accounts payable</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Trade and other payables are presented as current liabilities unless payment is not due within 12 months after the reporting period. They are recognised initially at fair value and subsequently measured at amortised cost using the effective interest rate method.</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Government grants</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Government grants received that compensate the Group for the cost of an asset are recognised in the Consolidated Statement of Financial Position initially as deferred income when there is reasonable assurance that it will be received and that the Group will comply with the conditions attaching to it. Such grants are recognised in the Consolidated Statement of Profit and Loss over the useful economic life of the asset which is consistent with the depreciation policy of the relevant asset.</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Grants that compensate the Group for expenses incurred are recognised in the Consolidated Statement of Profit and Loss in the same periods in which the expenditure to which they relate is charged.</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 The Group has not recognised any such loss contingency having assessed as remote the likelihood of these events arising.</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Provisions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3"/>
          <w:szCs w:val="13"/>
          <w:color w:val="auto"/>
        </w:rPr>
        <w:t>A provision is recognised in the Consolidated Statement of Financial Position when the Group has a present or legal or constructive obligation as a result of a past event, and it is probable that an outflow of economic benefits will be required to settle the obligation. If the effect of the time value of money is material, provisions are determined by discounting the expected future cash flows at a pre-tax rate that reflects the time value of money and, where appropriate, the risks specific to the liability. Where discounting is used, the increase in the provision due to the passage of time is recognised as a finance cost.</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 provision for restructuring is recognised when the Group has approved a detailed and formal restructuring plan, and the restructuring has either commenced or has been announced publicly. Future operating costs are not provided for.</w:t>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A provision for onerous contracts is recognised when the expected benefits to be derived by the Group from a contract are lower than the unavoidable cost of meeting its obligations under the contract.</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Instruments</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 xml:space="preserve">IFRS 9 - </w:t>
      </w:r>
      <w:r>
        <w:rPr>
          <w:rFonts w:ascii="Arial" w:cs="Arial" w:eastAsia="Arial" w:hAnsi="Arial"/>
          <w:sz w:val="13"/>
          <w:szCs w:val="13"/>
          <w:i w:val="1"/>
          <w:iCs w:val="1"/>
          <w:color w:val="auto"/>
        </w:rPr>
        <w:t>Financial Instruments (effective from 1 January 2018)</w:t>
      </w:r>
      <w:r>
        <w:rPr>
          <w:rFonts w:ascii="Arial" w:cs="Arial" w:eastAsia="Arial" w:hAnsi="Arial"/>
          <w:sz w:val="13"/>
          <w:szCs w:val="13"/>
          <w:color w:val="auto"/>
        </w:rPr>
        <w:t>. It addresses the classification, measurement and de-recognition of financial assets and financial liabilities, introduces a new impairment model for financial assets and new rules for hedge accounting. Adoption of IFRS 9 did not have any impact on the amounts recognised in the Group's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The Group assesses the business models and contractual cash flows which apply to its financial assets and classified the assets into the appropriate IFRS 9 categories accordingly.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80"/>
          </w:cols>
          <w:pgMar w:left="300" w:top="696" w:right="31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Basis of preparation and statement of accounting policies (continued)</w:t>
      </w: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23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Financial asset category</w:t>
            </w:r>
          </w:p>
        </w:tc>
        <w:tc>
          <w:tcPr>
            <w:tcW w:w="30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Classification and measurement under IFRS 9</w:t>
            </w:r>
          </w:p>
        </w:tc>
        <w:tc>
          <w:tcPr>
            <w:tcW w:w="59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Classification test outcomes</w:t>
            </w:r>
          </w:p>
        </w:tc>
        <w:tc>
          <w:tcPr>
            <w:tcW w:w="0" w:type="dxa"/>
            <w:vAlign w:val="bottom"/>
          </w:tcPr>
          <w:p>
            <w:pPr>
              <w:spacing w:after="0"/>
              <w:rPr>
                <w:sz w:val="1"/>
                <w:szCs w:val="1"/>
                <w:color w:val="auto"/>
              </w:rPr>
            </w:pPr>
          </w:p>
        </w:tc>
      </w:tr>
      <w:tr>
        <w:trPr>
          <w:trHeight w:val="174"/>
        </w:trPr>
        <w:tc>
          <w:tcPr>
            <w:tcW w:w="2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Cash and cash equivalents</w:t>
            </w:r>
          </w:p>
        </w:tc>
        <w:tc>
          <w:tcPr>
            <w:tcW w:w="30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Financial assets at fair value (initial recognition)</w:t>
            </w:r>
          </w:p>
        </w:tc>
        <w:tc>
          <w:tcPr>
            <w:tcW w:w="59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Business model test result: hold to collect contractual cash flows. Cash flow characteristics test result:</w:t>
            </w:r>
          </w:p>
        </w:tc>
        <w:tc>
          <w:tcPr>
            <w:tcW w:w="0" w:type="dxa"/>
            <w:vAlign w:val="bottom"/>
          </w:tcPr>
          <w:p>
            <w:pPr>
              <w:spacing w:after="0"/>
              <w:rPr>
                <w:sz w:val="1"/>
                <w:szCs w:val="1"/>
                <w:color w:val="auto"/>
              </w:rPr>
            </w:pPr>
          </w:p>
        </w:tc>
      </w:tr>
      <w:tr>
        <w:trPr>
          <w:trHeight w:val="59"/>
        </w:trPr>
        <w:tc>
          <w:tcPr>
            <w:tcW w:w="23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Trade receivables</w:t>
            </w:r>
          </w:p>
        </w:tc>
        <w:tc>
          <w:tcPr>
            <w:tcW w:w="3060" w:type="dxa"/>
            <w:vAlign w:val="bottom"/>
            <w:tcBorders>
              <w:right w:val="single" w:sz="8" w:color="auto"/>
            </w:tcBorders>
            <w:vMerge w:val="continue"/>
          </w:tcPr>
          <w:p>
            <w:pPr>
              <w:spacing w:after="0"/>
              <w:rPr>
                <w:sz w:val="5"/>
                <w:szCs w:val="5"/>
                <w:color w:val="auto"/>
              </w:rPr>
            </w:pPr>
          </w:p>
        </w:tc>
        <w:tc>
          <w:tcPr>
            <w:tcW w:w="5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320" w:type="dxa"/>
            <w:vAlign w:val="bottom"/>
            <w:tcBorders>
              <w:left w:val="single" w:sz="8" w:color="auto"/>
              <w:right w:val="single" w:sz="8" w:color="auto"/>
            </w:tcBorders>
            <w:vMerge w:val="continue"/>
          </w:tcPr>
          <w:p>
            <w:pPr>
              <w:spacing w:after="0"/>
              <w:rPr>
                <w:sz w:val="6"/>
                <w:szCs w:val="6"/>
                <w:color w:val="auto"/>
              </w:rPr>
            </w:pPr>
          </w:p>
        </w:tc>
        <w:tc>
          <w:tcPr>
            <w:tcW w:w="30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followed by amortised cost net of impairments</w:t>
            </w:r>
          </w:p>
        </w:tc>
        <w:tc>
          <w:tcPr>
            <w:tcW w:w="5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320" w:type="dxa"/>
            <w:vAlign w:val="bottom"/>
            <w:tcBorders>
              <w:left w:val="single" w:sz="8" w:color="auto"/>
              <w:right w:val="single" w:sz="8" w:color="auto"/>
            </w:tcBorders>
            <w:vMerge w:val="continue"/>
          </w:tcPr>
          <w:p>
            <w:pPr>
              <w:spacing w:after="0"/>
              <w:rPr>
                <w:sz w:val="6"/>
                <w:szCs w:val="6"/>
                <w:color w:val="auto"/>
              </w:rPr>
            </w:pPr>
          </w:p>
        </w:tc>
        <w:tc>
          <w:tcPr>
            <w:tcW w:w="3060" w:type="dxa"/>
            <w:vAlign w:val="bottom"/>
            <w:tcBorders>
              <w:right w:val="single" w:sz="8" w:color="auto"/>
            </w:tcBorders>
            <w:vMerge w:val="continue"/>
          </w:tcPr>
          <w:p>
            <w:pPr>
              <w:spacing w:after="0"/>
              <w:rPr>
                <w:sz w:val="6"/>
                <w:szCs w:val="6"/>
                <w:color w:val="auto"/>
              </w:rPr>
            </w:pPr>
          </w:p>
        </w:tc>
        <w:tc>
          <w:tcPr>
            <w:tcW w:w="59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solely payments of principal and interest.</w:t>
            </w:r>
          </w:p>
        </w:tc>
        <w:tc>
          <w:tcPr>
            <w:tcW w:w="0" w:type="dxa"/>
            <w:vAlign w:val="bottom"/>
          </w:tcPr>
          <w:p>
            <w:pPr>
              <w:spacing w:after="0"/>
              <w:rPr>
                <w:sz w:val="1"/>
                <w:szCs w:val="1"/>
                <w:color w:val="auto"/>
              </w:rPr>
            </w:pPr>
          </w:p>
        </w:tc>
      </w:tr>
      <w:tr>
        <w:trPr>
          <w:trHeight w:val="79"/>
        </w:trPr>
        <w:tc>
          <w:tcPr>
            <w:tcW w:w="2320" w:type="dxa"/>
            <w:vAlign w:val="bottom"/>
            <w:tcBorders>
              <w:left w:val="single" w:sz="8" w:color="auto"/>
              <w:right w:val="single" w:sz="8" w:color="auto"/>
            </w:tcBorders>
          </w:tcPr>
          <w:p>
            <w:pPr>
              <w:spacing w:after="0"/>
              <w:rPr>
                <w:sz w:val="6"/>
                <w:szCs w:val="6"/>
                <w:color w:val="auto"/>
              </w:rPr>
            </w:pPr>
          </w:p>
        </w:tc>
        <w:tc>
          <w:tcPr>
            <w:tcW w:w="30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(subsequent measurement).</w:t>
            </w:r>
          </w:p>
        </w:tc>
        <w:tc>
          <w:tcPr>
            <w:tcW w:w="5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320" w:type="dxa"/>
            <w:vAlign w:val="bottom"/>
            <w:tcBorders>
              <w:left w:val="single" w:sz="8" w:color="auto"/>
              <w:right w:val="single" w:sz="8" w:color="auto"/>
            </w:tcBorders>
          </w:tcPr>
          <w:p>
            <w:pPr>
              <w:spacing w:after="0"/>
              <w:rPr>
                <w:sz w:val="6"/>
                <w:szCs w:val="6"/>
                <w:color w:val="auto"/>
              </w:rPr>
            </w:pPr>
          </w:p>
        </w:tc>
        <w:tc>
          <w:tcPr>
            <w:tcW w:w="3060" w:type="dxa"/>
            <w:vAlign w:val="bottom"/>
            <w:tcBorders>
              <w:right w:val="single" w:sz="8" w:color="auto"/>
            </w:tcBorders>
            <w:vMerge w:val="continue"/>
          </w:tcPr>
          <w:p>
            <w:pPr>
              <w:spacing w:after="0"/>
              <w:rPr>
                <w:sz w:val="6"/>
                <w:szCs w:val="6"/>
                <w:color w:val="auto"/>
              </w:rPr>
            </w:pPr>
          </w:p>
        </w:tc>
        <w:tc>
          <w:tcPr>
            <w:tcW w:w="5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320" w:type="dxa"/>
            <w:vAlign w:val="bottom"/>
            <w:tcBorders>
              <w:left w:val="single" w:sz="8" w:color="auto"/>
              <w:bottom w:val="single" w:sz="8" w:color="auto"/>
              <w:right w:val="single" w:sz="8" w:color="auto"/>
            </w:tcBorders>
          </w:tcPr>
          <w:p>
            <w:pPr>
              <w:spacing w:after="0"/>
              <w:rPr>
                <w:sz w:val="7"/>
                <w:szCs w:val="7"/>
                <w:color w:val="auto"/>
              </w:rPr>
            </w:pPr>
          </w:p>
        </w:tc>
        <w:tc>
          <w:tcPr>
            <w:tcW w:w="3060" w:type="dxa"/>
            <w:vAlign w:val="bottom"/>
            <w:tcBorders>
              <w:bottom w:val="single" w:sz="8" w:color="auto"/>
              <w:right w:val="single" w:sz="8" w:color="auto"/>
            </w:tcBorders>
          </w:tcPr>
          <w:p>
            <w:pPr>
              <w:spacing w:after="0"/>
              <w:rPr>
                <w:sz w:val="7"/>
                <w:szCs w:val="7"/>
                <w:color w:val="auto"/>
              </w:rPr>
            </w:pPr>
          </w:p>
        </w:tc>
        <w:tc>
          <w:tcPr>
            <w:tcW w:w="5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3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Current asset investments</w:t>
            </w:r>
          </w:p>
        </w:tc>
        <w:tc>
          <w:tcPr>
            <w:tcW w:w="3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Short-term financial assets at fair value (initial</w:t>
            </w:r>
          </w:p>
        </w:tc>
        <w:tc>
          <w:tcPr>
            <w:tcW w:w="59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See details below</w:t>
            </w:r>
          </w:p>
        </w:tc>
        <w:tc>
          <w:tcPr>
            <w:tcW w:w="0" w:type="dxa"/>
            <w:vAlign w:val="bottom"/>
          </w:tcPr>
          <w:p>
            <w:pPr>
              <w:spacing w:after="0"/>
              <w:rPr>
                <w:sz w:val="1"/>
                <w:szCs w:val="1"/>
                <w:color w:val="auto"/>
              </w:rPr>
            </w:pPr>
          </w:p>
        </w:tc>
      </w:tr>
      <w:tr>
        <w:trPr>
          <w:trHeight w:val="79"/>
        </w:trPr>
        <w:tc>
          <w:tcPr>
            <w:tcW w:w="2320" w:type="dxa"/>
            <w:vAlign w:val="bottom"/>
            <w:tcBorders>
              <w:left w:val="single" w:sz="8" w:color="auto"/>
              <w:right w:val="single" w:sz="8" w:color="auto"/>
            </w:tcBorders>
            <w:vMerge w:val="continue"/>
          </w:tcPr>
          <w:p>
            <w:pPr>
              <w:spacing w:after="0"/>
              <w:rPr>
                <w:sz w:val="6"/>
                <w:szCs w:val="6"/>
                <w:color w:val="auto"/>
              </w:rPr>
            </w:pPr>
          </w:p>
        </w:tc>
        <w:tc>
          <w:tcPr>
            <w:tcW w:w="30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recognition) either through OCI or profit or loss</w:t>
            </w:r>
          </w:p>
        </w:tc>
        <w:tc>
          <w:tcPr>
            <w:tcW w:w="5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320" w:type="dxa"/>
            <w:vAlign w:val="bottom"/>
            <w:tcBorders>
              <w:left w:val="single" w:sz="8" w:color="auto"/>
              <w:bottom w:val="single" w:sz="8" w:color="auto"/>
              <w:right w:val="single" w:sz="8" w:color="auto"/>
            </w:tcBorders>
          </w:tcPr>
          <w:p>
            <w:pPr>
              <w:spacing w:after="0"/>
              <w:rPr>
                <w:sz w:val="7"/>
                <w:szCs w:val="7"/>
                <w:color w:val="auto"/>
              </w:rPr>
            </w:pPr>
          </w:p>
        </w:tc>
        <w:tc>
          <w:tcPr>
            <w:tcW w:w="3060" w:type="dxa"/>
            <w:vAlign w:val="bottom"/>
            <w:tcBorders>
              <w:bottom w:val="single" w:sz="8" w:color="auto"/>
              <w:right w:val="single" w:sz="8" w:color="auto"/>
            </w:tcBorders>
            <w:vMerge w:val="continue"/>
          </w:tcPr>
          <w:p>
            <w:pPr>
              <w:spacing w:after="0"/>
              <w:rPr>
                <w:sz w:val="7"/>
                <w:szCs w:val="7"/>
                <w:color w:val="auto"/>
              </w:rPr>
            </w:pPr>
          </w:p>
        </w:tc>
        <w:tc>
          <w:tcPr>
            <w:tcW w:w="5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Non-current financial assets</w:t>
            </w:r>
          </w:p>
        </w:tc>
        <w:tc>
          <w:tcPr>
            <w:tcW w:w="30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9"/>
              </w:rPr>
              <w:t>Long-term financial assets at fair value through profit</w:t>
            </w:r>
          </w:p>
        </w:tc>
        <w:tc>
          <w:tcPr>
            <w:tcW w:w="5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See details below</w:t>
            </w:r>
          </w:p>
        </w:tc>
        <w:tc>
          <w:tcPr>
            <w:tcW w:w="0" w:type="dxa"/>
            <w:vAlign w:val="bottom"/>
          </w:tcPr>
          <w:p>
            <w:pPr>
              <w:spacing w:after="0"/>
              <w:rPr>
                <w:sz w:val="1"/>
                <w:szCs w:val="1"/>
                <w:color w:val="auto"/>
              </w:rPr>
            </w:pPr>
          </w:p>
        </w:tc>
      </w:tr>
      <w:tr>
        <w:trPr>
          <w:trHeight w:val="127"/>
        </w:trPr>
        <w:tc>
          <w:tcPr>
            <w:tcW w:w="2320" w:type="dxa"/>
            <w:vAlign w:val="bottom"/>
            <w:tcBorders>
              <w:left w:val="single" w:sz="8" w:color="auto"/>
              <w:bottom w:val="single" w:sz="8" w:color="auto"/>
              <w:right w:val="single" w:sz="8" w:color="auto"/>
            </w:tcBorders>
          </w:tcPr>
          <w:p>
            <w:pPr>
              <w:spacing w:after="0"/>
              <w:rPr>
                <w:sz w:val="11"/>
                <w:szCs w:val="11"/>
                <w:color w:val="auto"/>
              </w:rPr>
            </w:pPr>
          </w:p>
        </w:tc>
        <w:tc>
          <w:tcPr>
            <w:tcW w:w="3060" w:type="dxa"/>
            <w:vAlign w:val="bottom"/>
            <w:tcBorders>
              <w:bottom w:val="single" w:sz="8" w:color="auto"/>
              <w:right w:val="single" w:sz="8" w:color="auto"/>
            </w:tcBorders>
          </w:tcPr>
          <w:p>
            <w:pPr>
              <w:spacing w:after="0" w:line="128" w:lineRule="exact"/>
              <w:rPr>
                <w:sz w:val="20"/>
                <w:szCs w:val="20"/>
                <w:color w:val="auto"/>
              </w:rPr>
            </w:pPr>
            <w:r>
              <w:rPr>
                <w:rFonts w:ascii="Arial" w:cs="Arial" w:eastAsia="Arial" w:hAnsi="Arial"/>
                <w:sz w:val="13"/>
                <w:szCs w:val="13"/>
                <w:color w:val="auto"/>
              </w:rPr>
              <w:t>or loss</w:t>
            </w:r>
          </w:p>
        </w:tc>
        <w:tc>
          <w:tcPr>
            <w:tcW w:w="5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Contingent consideration</w:t>
            </w:r>
          </w:p>
        </w:tc>
        <w:tc>
          <w:tcPr>
            <w:tcW w:w="30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Fair value through profit or loss.</w:t>
            </w:r>
          </w:p>
        </w:tc>
        <w:tc>
          <w:tcPr>
            <w:tcW w:w="5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Business model test result: hold to collect contractual cash flows. Cash flow characteristics test result:</w:t>
            </w:r>
          </w:p>
        </w:tc>
        <w:tc>
          <w:tcPr>
            <w:tcW w:w="0" w:type="dxa"/>
            <w:vAlign w:val="bottom"/>
          </w:tcPr>
          <w:p>
            <w:pPr>
              <w:spacing w:after="0"/>
              <w:rPr>
                <w:sz w:val="1"/>
                <w:szCs w:val="1"/>
                <w:color w:val="auto"/>
              </w:rPr>
            </w:pPr>
          </w:p>
        </w:tc>
      </w:tr>
      <w:tr>
        <w:trPr>
          <w:trHeight w:val="79"/>
        </w:trPr>
        <w:tc>
          <w:tcPr>
            <w:tcW w:w="2320" w:type="dxa"/>
            <w:vAlign w:val="bottom"/>
            <w:tcBorders>
              <w:left w:val="single" w:sz="8" w:color="auto"/>
              <w:right w:val="single" w:sz="8" w:color="auto"/>
            </w:tcBorders>
            <w:vMerge w:val="continue"/>
          </w:tcPr>
          <w:p>
            <w:pPr>
              <w:spacing w:after="0"/>
              <w:rPr>
                <w:sz w:val="6"/>
                <w:szCs w:val="6"/>
                <w:color w:val="auto"/>
              </w:rPr>
            </w:pPr>
          </w:p>
        </w:tc>
        <w:tc>
          <w:tcPr>
            <w:tcW w:w="3060" w:type="dxa"/>
            <w:vAlign w:val="bottom"/>
            <w:tcBorders>
              <w:right w:val="single" w:sz="8" w:color="auto"/>
            </w:tcBorders>
            <w:vMerge w:val="continue"/>
          </w:tcPr>
          <w:p>
            <w:pPr>
              <w:spacing w:after="0"/>
              <w:rPr>
                <w:sz w:val="6"/>
                <w:szCs w:val="6"/>
                <w:color w:val="auto"/>
              </w:rPr>
            </w:pPr>
          </w:p>
        </w:tc>
        <w:tc>
          <w:tcPr>
            <w:tcW w:w="59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potential variability in future payments results in changes to fair value.</w:t>
            </w:r>
          </w:p>
        </w:tc>
        <w:tc>
          <w:tcPr>
            <w:tcW w:w="0" w:type="dxa"/>
            <w:vAlign w:val="bottom"/>
          </w:tcPr>
          <w:p>
            <w:pPr>
              <w:spacing w:after="0"/>
              <w:rPr>
                <w:sz w:val="1"/>
                <w:szCs w:val="1"/>
                <w:color w:val="auto"/>
              </w:rPr>
            </w:pPr>
          </w:p>
        </w:tc>
      </w:tr>
      <w:tr>
        <w:trPr>
          <w:trHeight w:val="82"/>
        </w:trPr>
        <w:tc>
          <w:tcPr>
            <w:tcW w:w="2320" w:type="dxa"/>
            <w:vAlign w:val="bottom"/>
            <w:tcBorders>
              <w:left w:val="single" w:sz="8" w:color="auto"/>
              <w:bottom w:val="single" w:sz="8" w:color="auto"/>
              <w:right w:val="single" w:sz="8" w:color="auto"/>
            </w:tcBorders>
          </w:tcPr>
          <w:p>
            <w:pPr>
              <w:spacing w:after="0"/>
              <w:rPr>
                <w:sz w:val="7"/>
                <w:szCs w:val="7"/>
                <w:color w:val="auto"/>
              </w:rPr>
            </w:pPr>
          </w:p>
        </w:tc>
        <w:tc>
          <w:tcPr>
            <w:tcW w:w="3060" w:type="dxa"/>
            <w:vAlign w:val="bottom"/>
            <w:tcBorders>
              <w:bottom w:val="single" w:sz="8" w:color="auto"/>
              <w:right w:val="single" w:sz="8" w:color="auto"/>
            </w:tcBorders>
          </w:tcPr>
          <w:p>
            <w:pPr>
              <w:spacing w:after="0"/>
              <w:rPr>
                <w:sz w:val="7"/>
                <w:szCs w:val="7"/>
                <w:color w:val="auto"/>
              </w:rPr>
            </w:pPr>
          </w:p>
        </w:tc>
        <w:tc>
          <w:tcPr>
            <w:tcW w:w="5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As outlined above, the classification requirements under IFRS 9 did not impact the measurement or carrying amount of financial assets at 1 January 2018.</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Cash and cash equivalents</w:t>
      </w:r>
    </w:p>
    <w:p>
      <w:pPr>
        <w:spacing w:after="0" w:line="204" w:lineRule="exact"/>
        <w:rPr>
          <w:sz w:val="20"/>
          <w:szCs w:val="20"/>
          <w:color w:val="auto"/>
        </w:rPr>
      </w:pPr>
    </w:p>
    <w:p>
      <w:pPr>
        <w:jc w:val="both"/>
        <w:ind w:right="20"/>
        <w:spacing w:after="0" w:line="244" w:lineRule="auto"/>
        <w:rPr>
          <w:sz w:val="20"/>
          <w:szCs w:val="20"/>
          <w:color w:val="auto"/>
        </w:rPr>
      </w:pPr>
      <w:r>
        <w:rPr>
          <w:rFonts w:ascii="Arial" w:cs="Arial" w:eastAsia="Arial" w:hAnsi="Arial"/>
          <w:sz w:val="13"/>
          <w:szCs w:val="13"/>
          <w:color w:val="auto"/>
        </w:rPr>
        <w:t>Cash and cash equivalents include cash and highly liquid investments with original maturities of three months or less and are stated at fair value on initial recognition followed by amortised cost, which approximates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 Trade receivables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The Group's financial assets measured at amortised cost, the most significant of which are trade receivables and unbilled receivables, are subject to IFRS 9's expected credit loss model.</w:t>
      </w:r>
    </w:p>
    <w:p>
      <w:pPr>
        <w:spacing w:after="0" w:line="190" w:lineRule="exact"/>
        <w:rPr>
          <w:sz w:val="20"/>
          <w:szCs w:val="20"/>
          <w:color w:val="auto"/>
        </w:rPr>
      </w:pPr>
    </w:p>
    <w:p>
      <w:pPr>
        <w:jc w:val="both"/>
        <w:ind w:right="20"/>
        <w:spacing w:after="0" w:line="241" w:lineRule="auto"/>
        <w:rPr>
          <w:sz w:val="20"/>
          <w:szCs w:val="20"/>
          <w:color w:val="auto"/>
        </w:rPr>
      </w:pPr>
      <w:r>
        <w:rPr>
          <w:rFonts w:ascii="Arial" w:cs="Arial" w:eastAsia="Arial" w:hAnsi="Arial"/>
          <w:sz w:val="13"/>
          <w:szCs w:val="13"/>
          <w:color w:val="auto"/>
        </w:rPr>
        <w:t>For trade receivables and unbilled revenue, the Group applies the simplified approach permitted by IFRS 9, which requires expected lifetime losses to be recognised from initial recognition of the receivables. See notes 16, 26 and 34 for further details. The expected credit losses on these financial assets are estimated based on the Group’s historical credit loss experience, adjusted for factors that are specific to the debtors, general economic conditions and an assessment of both the current, as well as the forecast direction of conditions, at the reporting date.</w:t>
      </w:r>
    </w:p>
    <w:p>
      <w:pPr>
        <w:spacing w:after="0" w:line="186" w:lineRule="exact"/>
        <w:rPr>
          <w:sz w:val="20"/>
          <w:szCs w:val="20"/>
          <w:color w:val="auto"/>
        </w:rPr>
      </w:pPr>
    </w:p>
    <w:p>
      <w:pPr>
        <w:jc w:val="both"/>
        <w:ind w:right="20"/>
        <w:spacing w:after="0" w:line="241" w:lineRule="auto"/>
        <w:rPr>
          <w:sz w:val="20"/>
          <w:szCs w:val="20"/>
          <w:color w:val="auto"/>
        </w:rPr>
      </w:pPr>
      <w:r>
        <w:rPr>
          <w:rFonts w:ascii="Arial" w:cs="Arial" w:eastAsia="Arial" w:hAnsi="Arial"/>
          <w:sz w:val="13"/>
          <w:szCs w:val="13"/>
          <w:color w:val="auto"/>
        </w:rPr>
        <w:t>The Group writes off a financial asset when there is information indicating that the debtor is in severe financial difficulty and there is no realistic prospect of recovery, e.g. when the debtor has been placed under liquidation or has entered into bankruptcy proceedings. Financial assets written off may still be subject to enforcement activities under the Group’s recovery procedures, taking into account legal advice where appropriate. Any recoveries made are recognised in profit or loss.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 Current asset investments and non-current financial assets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The Group classifies its financial assets in the following measurement categories:</w:t>
      </w: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those to be measured subsequently at fair value through OCI</w:t>
      </w: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those to be measured subsequently at fair value through profit or loss and</w:t>
      </w: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those to be measured at amortised cost.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classification depends on the entity's business model for managing financial assets and the contractual terms of the cash flows.</w:t>
      </w:r>
    </w:p>
    <w:p>
      <w:pPr>
        <w:spacing w:after="0" w:line="190" w:lineRule="exact"/>
        <w:rPr>
          <w:sz w:val="20"/>
          <w:szCs w:val="20"/>
          <w:color w:val="auto"/>
        </w:rPr>
      </w:pPr>
    </w:p>
    <w:p>
      <w:pPr>
        <w:ind w:right="20"/>
        <w:spacing w:after="0" w:line="244" w:lineRule="auto"/>
        <w:rPr>
          <w:sz w:val="20"/>
          <w:szCs w:val="20"/>
          <w:color w:val="auto"/>
        </w:rPr>
      </w:pPr>
      <w:r>
        <w:rPr>
          <w:rFonts w:ascii="Arial" w:cs="Arial" w:eastAsia="Arial" w:hAnsi="Arial"/>
          <w:sz w:val="13"/>
          <w:szCs w:val="13"/>
          <w:color w:val="auto"/>
        </w:rPr>
        <w:t>At initial recognition, the Group measures a financial asset at its fair value plus, in the case of a financial asset not at fair value through profit or loss (FVPL), transaction costs that are directly attributable to the acquisition of the financial asset. Transaction costs of financial assets carried at FVPL are expensed in profit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300"/>
          </w:cols>
          <w:pgMar w:left="300" w:top="696" w:right="29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Basis of preparation and statement of accounting policies (continued)</w:t>
      </w:r>
    </w:p>
    <w:p>
      <w:pPr>
        <w:spacing w:after="0" w:line="200" w:lineRule="exact"/>
        <w:rPr>
          <w:sz w:val="20"/>
          <w:szCs w:val="20"/>
          <w:color w:val="auto"/>
        </w:rPr>
      </w:pPr>
    </w:p>
    <w:p>
      <w:pPr>
        <w:spacing w:after="0" w:line="229"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For assets measured at fair value, gains and losses will either be recorded in profit or loss or OCI. For investments in equity instruments that are not held for trading, this will depend on whether the Group has made an irrevocable election at the time of initial recognition to account for the equity investment at fair value through other comprehensive income (FVOCI).</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The Group reclassifies debt investments when and only when its business model for managing those assets changes.</w:t>
      </w:r>
    </w:p>
    <w:p>
      <w:pPr>
        <w:spacing w:after="0" w:line="190"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Purchases or sales of financial assets are recognised on trade date, the date the Group commits to purchase or sell the asset. Financial assets are de-recognised when the rights to receive cash flows from the financial assets have expired or have been transferred and the group has transferred substantially all the risks and rewards of ownership.</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Subsequent measurement of debt instruments depends on the Group's business model for managing the asset and the cash flow characteristics of the asset.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There are three measurement categories into which the Group classifies its financial instruments:</w:t>
      </w:r>
    </w:p>
    <w:p>
      <w:pPr>
        <w:spacing w:after="0" w:line="190" w:lineRule="exact"/>
        <w:rPr>
          <w:sz w:val="20"/>
          <w:szCs w:val="20"/>
          <w:color w:val="auto"/>
        </w:rPr>
      </w:pPr>
    </w:p>
    <w:p>
      <w:pPr>
        <w:jc w:val="both"/>
        <w:ind w:left="520" w:hanging="260"/>
        <w:spacing w:after="0" w:line="241" w:lineRule="auto"/>
        <w:tabs>
          <w:tab w:leader="none" w:pos="511" w:val="left"/>
        </w:tabs>
        <w:numPr>
          <w:ilvl w:val="0"/>
          <w:numId w:val="23"/>
        </w:numPr>
        <w:rPr>
          <w:rFonts w:ascii="Arial" w:cs="Arial" w:eastAsia="Arial" w:hAnsi="Arial"/>
          <w:sz w:val="13"/>
          <w:szCs w:val="13"/>
          <w:color w:val="auto"/>
        </w:rPr>
      </w:pPr>
      <w:r>
        <w:rPr>
          <w:rFonts w:ascii="Arial" w:cs="Arial" w:eastAsia="Arial" w:hAnsi="Arial"/>
          <w:sz w:val="13"/>
          <w:szCs w:val="13"/>
          <w:color w:val="auto"/>
        </w:rPr>
        <w:t>Amortised cost: Assets that are held for collection of contractual cash flows where those cash flows represent solely payments of principal and interest are measured at amortised cost. Interest income from these financial assets is included in finance income using the effective interest rate method. Any gain or loss arising on derecognition is recognised directly in profit or loss and presented in other gains/(losses) together with foreign exchange gains and losses.</w:t>
      </w:r>
    </w:p>
    <w:p>
      <w:pPr>
        <w:spacing w:after="0" w:line="186" w:lineRule="exact"/>
        <w:rPr>
          <w:rFonts w:ascii="Arial" w:cs="Arial" w:eastAsia="Arial" w:hAnsi="Arial"/>
          <w:sz w:val="13"/>
          <w:szCs w:val="13"/>
          <w:color w:val="auto"/>
        </w:rPr>
      </w:pPr>
    </w:p>
    <w:p>
      <w:pPr>
        <w:jc w:val="both"/>
        <w:ind w:left="520" w:hanging="260"/>
        <w:spacing w:after="0"/>
        <w:tabs>
          <w:tab w:leader="none" w:pos="511" w:val="left"/>
        </w:tabs>
        <w:numPr>
          <w:ilvl w:val="0"/>
          <w:numId w:val="23"/>
        </w:numPr>
        <w:rPr>
          <w:rFonts w:ascii="Arial" w:cs="Arial" w:eastAsia="Arial" w:hAnsi="Arial"/>
          <w:sz w:val="13"/>
          <w:szCs w:val="13"/>
          <w:color w:val="auto"/>
        </w:rPr>
      </w:pPr>
      <w:r>
        <w:rPr>
          <w:rFonts w:ascii="Arial" w:cs="Arial" w:eastAsia="Arial" w:hAnsi="Arial"/>
          <w:sz w:val="13"/>
          <w:szCs w:val="13"/>
          <w:color w:val="auto"/>
        </w:rPr>
        <w:t>FVOCI: Assets that are held for collection of contractual cash flows and for selling the financial assets, where the assets' cash flows represent solely payments of principal and interest, are measured at FVOCI. Movements in the carrying amount are taken through OCI, except for the recognition of impairment gains or loss. When the financial asset is derecognised, the cumulative gain or loss previously recognised in OCI is reclassified from equity to profit or loss and recognised in other gains/(losses). Interest income from these financial assets is included in finance income using the effective interest rate method.</w:t>
      </w:r>
    </w:p>
    <w:p>
      <w:pPr>
        <w:spacing w:after="0" w:line="187"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23"/>
        </w:numPr>
        <w:rPr>
          <w:rFonts w:ascii="Arial" w:cs="Arial" w:eastAsia="Arial" w:hAnsi="Arial"/>
          <w:sz w:val="13"/>
          <w:szCs w:val="13"/>
          <w:color w:val="auto"/>
        </w:rPr>
      </w:pPr>
      <w:r>
        <w:rPr>
          <w:rFonts w:ascii="Arial" w:cs="Arial" w:eastAsia="Arial" w:hAnsi="Arial"/>
          <w:sz w:val="13"/>
          <w:szCs w:val="13"/>
          <w:color w:val="auto"/>
        </w:rPr>
        <w:t>FVPL: Assets that do not meet the criteria for amortised cost or FVOCI are measured at FVPL. A gain or loss on a debt investment that is subsequently measured at FVPL is recognised in profit or loss.</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Group assesses on a forward looking basis the expected credit losses associated with its debt instruments carried at amortised cost. The impairment methodology applied depends on whether there has been a significant increase in credit risk.</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 Interest bearing loans and borrowings</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Borrowings are initially recognised at fair value, net of transaction costs incurred. Borrowings are subsequently measured at amortised cost. Subsequent to initial recognition, current and non-current interest bearing loans and borrowings are measured at amortised cost with any difference between cost and redemption value being recognised in the Consolidated Statement of Profit and Loss over the period of the borrowings on an effective interest rate basis. Fees paid on the establishment of loan facilities are recognised as transaction costs of the loan to the extent that it is probable that some or all of the facility will be drawn down. In this case, the fee is deferred until draw down will occur. Where there is no evidence that it is probable that some or all of the facility will be drawn down, the fee is capitalised as a prepayment and amortised over the period of the facility to which it relates.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Borrowings are classified as current liabilities unless the Group has an unconditional right to defer settlement of the liability for at least 12 months after the reporting date.</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Borrowings are removed from the Consolidated Statement of Financial Position when the obligation specified in the contract is discharged, cancelled or expired. The difference between the carrying amount of a financial liability that has been extinguished or transferred to another party and the consideration paid, including any non-cash assets transferred or liabilities assumed, is recognised in profit or loss as other income or finance costs.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 Derivative financial instruments and hedging</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Derivatives are initially recognised at fair value on the date a derivative contract is entered into and are subsequently remeasured to their fair value at the end of each reporting period. The accounting for subsequent changes in fair value depends on whether the derivative is designated as a hedging instrument, and if so, the nature of the item being hedged.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80"/>
          </w:cols>
          <w:pgMar w:left="300" w:top="696" w:right="31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Basis of preparation and statement of accounting policies (continued)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The Group designates certain derivatives as either:</w:t>
      </w:r>
    </w:p>
    <w:p>
      <w:pPr>
        <w:spacing w:after="0" w:line="189" w:lineRule="exact"/>
        <w:rPr>
          <w:sz w:val="20"/>
          <w:szCs w:val="20"/>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hedges of the fair value of recognised assets or liabilities or a firm commitment (fair value hedges)</w:t>
      </w: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hedges of a particular risk associated with the cash flows of recognised assets and liabilities and highly probable forecast transactions (cash flow hedges), or</w:t>
      </w: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hedges of a net investment in a foreign operation (net investment hedges).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At inception of the hedge relationship, the Group documents the economic relationship between hedging instruments and hedged items including whether changes in the cash flows of the hedging instruments are expected to offset changes in the cash flows of hedged items. The Group documents its risk management objective and strategy for undertaking its hedge transactions.</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fair value of derivative financial instruments designated in hedge relationships are disclosed in note 26. Movements in the hedging reserve in shareholders' equity are shown in shareholders' equity. The full fair value of a hedging derivative is classified as a non-current asset or liability when the remaining maturity of the hedged item is more than 12 months. It is classified as a current asset or liability when the remaining maturity of the hedged item is less than 12 months.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flow hedges that qualify for hedge accounting</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effective portion of changes in the fair value of derivatives that are designated and qualify as cash flow hedges is recognised in the cash flow hedge reserve within equity. The gain or loss relating to the ineffective portion is recognised immediately in profit or loss, within other gains/(losses).</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Gains or losses relating to the effective portion of the change in intrinsic value of the options are recognised in the cash flow hedge reserve within equity. The changes in the time value of the options that relate to the hedged item are recognised within OCI in the costs of hedging reserve within equity.</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When a hedging instrument expires or is sold or terminated, or when a hedge no longer meets the criteria for hedge accounting, any cumulative deferred gain or loss and deferred costs of hedging in equity at that time remains in equity until the forecast transaction occurs.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Changes in the fair value of any derivative instrument that does not qualify for hedge accounting are recognised immediately in profit or loss.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There were no open derivative transactions at 31 December 2019 or 31 December 2018.</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In October 2015, the Group entered into an interest rate hedge in respect of the planned issuance of the Senior Notes in December 2015. The interest rate hedge matured in November 2015 when the interest rate on the Senior Notes was fixed. The interest rate hedge was considered an effective hedge on application of the provisions of IAS 39 and continues to be considered effective on application of the provisions of IFRS 9. The cash proceeds, representing the realised gain on the interest rate hedge were received on maturity in November 2015. The gain, representing the instrument’s fair value at maturity was recorded in Other Comprehensive Income and is being amortised to the Consolidated Statement of Profit and Loss over the term of the Senior Notes.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 Investments in subsidiaries - Company</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Investments in subsidiary undertakings are stated at cost less any accumulated impairment and are reviewed for impairment if there are indicators that the carrying value may not be recoverable.</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Intercompany loans receivable and payable are initially recognised at fair value. These are subsequently measured at amortised cost, less any loss allowance, calculated on an expected credit loss basis.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capital</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Ordinary shares are classified as equity. Incremental costs directly attributable to the issue of new shares or options are shown in equity as a deduction, net of tax, from the proceeds.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Where ordinary shares are re-purchased by the Company they are cancelled and the nominal value of the shares is transferred to other un-denominated capital within equity.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80"/>
          </w:cols>
          <w:pgMar w:left="300" w:top="696" w:right="31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Basis of preparation and statement of accounting policies (continued)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Noncontrolling interest</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ICON acquired a majority ownership interest in MeDiNova. Included in the purchase agreement are put and call option arrangements with the noncontrolling interest holders that require (put option) or enable (call option) ICON to purchase the remaining minority ownership at a future date at a price which is dependant on the future results of the company. ICON does not have present access to the returns of the noncontrolling interest and this is retained by the noncontrolling interest holders. The noncontrolling interest is recorded at its fair value at the acquisition date in equity.</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financial liability for the noncontrolling interest put option is recognised at the present value of the amount payable upon exercise of the option. On initial recognition, the corresponding debit relating to the financial liability is made to equity attributable to the Company within the category 'put option in noncontrolling interest shares'. The financial asset relating to the call option meets the definition of a derivative under IFRS 9 and has been measured at fair value through the profit and loss in accordance with IFRS 9.</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All subsequent changes in the carrying amount of the financial liability that result from the remeasurement of the present value of the amount payable upon exercise of the noncontrolling interest put option are recognised in the profit or loss attributable to the Company.</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noncontrolling interest continues to be recognised within equity until the noncontrolling interest call/put option is exercised. The carrying amount of noncontrolling interest changes due to allocations of profit or loss, allocations of changes in other comprehensive income and dividends declared for the reporting period.</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The Company allocates a share of net income to the noncontrolling interest holders based on percentage ownership.</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 benefits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 Pension and other post-employment benefits</w:t>
      </w:r>
    </w:p>
    <w:p>
      <w:pPr>
        <w:spacing w:after="0" w:line="1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Certain companies within the Group operate defined contribution pension plans. A defined contribution plan is a pension plan under which the Group pays fixed contributions into a separate entity. The Group has no legal or constructive obligations to pay further contributions if the fund does not hold sufficient assets to pay all employees the benefits relating to employee service in the current and prior periods. Contributions to defined contribution pension plans are expensed as incurred.</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Group operates defined benefit pension plans for certain of its United Kingdom and Swiss employees through subsidiary companies. A defined benefit plan is a pension plan that is not a defined contribution plan. Typically defined benefit plans define the amount of pension benefit that an employee will receive on retirement, usually dependent on one or more factors such as age, years of service and compensation. Obligations for contributions to defined benefit contribution pension plans are recognised as an expense in the Consolidated Statement of Profit and Loss as service is received from the relevant employees.</w:t>
      </w:r>
    </w:p>
    <w:p>
      <w:pPr>
        <w:spacing w:after="0" w:line="187"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Group’s net obligation in respect of the defined benefit pension plans is calculated separately by estimating the amount of future benefit that employees have earned in return for their service in the current and prior periods. This benefit is discounted to determine its present value, and the fair value of plan assets deducted. The discount rate used in respect of the UK scheme is the yield at the reporting date on the iBoxx corporate bond over 15 years plus 10 basis points. The discount rate used in respect of the Swiss scheme is determined by the Swiss corporate bond yields at the reporting date. The calculation is performed by a qualified actuary using the projected unit credit method. The net finance income/cost are recorded in operating costs in the Consolidated Statement of Profit and Loss. When benefits of a plan are improved, the portion of the increased benefit relating to the past service by employees is recognised as an expense in the Consolidated Statement of Profit and Loss on a straight line basis over the average period until the benefits become vested. To the extent that the benefits vest immediately, the expense is recognised immediately in the Consolidated Statement of Profit and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80"/>
          </w:cols>
          <w:pgMar w:left="300" w:top="696" w:right="31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Basis of preparation and statement of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 Share-based payments</w:t>
      </w:r>
    </w:p>
    <w:p>
      <w:pPr>
        <w:spacing w:after="0" w:line="1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Share-based payments comprise options to acquire ordinary shares in the Company, RSUs and PSUs in the form of ordinary share entitlements after a certain period of time. These are awarded to certain key employees and Directors of the Group based on service conditions such as term of employment and individual performance. The fair value of options, RSUs and PSUs granted is recognised as an employee expense with a corresponding increase in equity. The fair value is measured at grant date and spread over the period during which the Directors and other employees become unconditionally entitled to the options, RSUs or PSUs. The fair value of options granted is measured using a binomial lattice model, taking into account the terms and conditions upon which the options were granted. The fair value of RSUs and PSUs is equal to the market price of a share at date of grant. The total amount to be expensed is determined by reference to the fair value of the options, RSUs or PSUs granted, excluding the impact of any non-market service and performance vesting conditions (for example profitability, sales growth targets). There are no such non-market vesting conditions during the year ended 31 December 2019 in relation to options, RSUs or PSUs that are expected to vest. The amount recognised as an expense is adjusted to reflect the actual number of share options, RSUs or PSUs that vest.</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Forfeitures are estimated on the date of grant and revised if actual or expected forfeiture activity differs materially from original estimates.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Share-based payment expense is recognised over the requisite service period for awards of equity instruments to employees based on the grant date fair value of those awards expected to ultimately vest.</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Share-based payments – Company</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 xml:space="preserve">The Company operates a number of share-based payment plans the details of which are presented in </w:t>
      </w:r>
      <w:r>
        <w:rPr>
          <w:rFonts w:ascii="Arial" w:cs="Arial" w:eastAsia="Arial" w:hAnsi="Arial"/>
          <w:sz w:val="13"/>
          <w:szCs w:val="13"/>
          <w:i w:val="1"/>
          <w:iCs w:val="1"/>
          <w:color w:val="auto"/>
        </w:rPr>
        <w:t>note 11 Share-based Payments</w:t>
      </w:r>
      <w:r>
        <w:rPr>
          <w:rFonts w:ascii="Arial" w:cs="Arial" w:eastAsia="Arial" w:hAnsi="Arial"/>
          <w:sz w:val="13"/>
          <w:szCs w:val="13"/>
          <w:color w:val="auto"/>
        </w:rPr>
        <w:t xml:space="preserve"> to the Consolidated Financial Statements. The share-based payment expense associated with the share-based payment plans is recognised by the entity which receives services in exchange for the share-based compensation.</w:t>
      </w:r>
    </w:p>
    <w:p>
      <w:pPr>
        <w:spacing w:after="0" w:line="172"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 xml:space="preserve">The Statement of Profit and Loss of the Company is charged with the expense related to the services received by the Company. The remaining portions of the share-based payments represent a contribution to Company’s subsidiaries and are added to the carrying amount of those investments. Under an agreement, with certain subsidiaries, on the date of exercise the Company is paid an amount equal to the fair value of the ordinary shares issued that is in excess of the award exercise price with such amount reducing the Company’s investment in its subsidiaries. The net effect of the grant date fair value of the Company’s share-based compensation to employees of the Company’s subsidiaries and recharges received from those subsidiaries is presented as a movement in financial fixed assets (see </w:t>
      </w:r>
      <w:r>
        <w:rPr>
          <w:rFonts w:ascii="Arial" w:cs="Arial" w:eastAsia="Arial" w:hAnsi="Arial"/>
          <w:sz w:val="13"/>
          <w:szCs w:val="13"/>
          <w:i w:val="1"/>
          <w:iCs w:val="1"/>
          <w:color w:val="auto"/>
        </w:rPr>
        <w:t>note 3 Investment in subsidiaries</w:t>
      </w:r>
      <w:r>
        <w:rPr>
          <w:rFonts w:ascii="Arial" w:cs="Arial" w:eastAsia="Arial" w:hAnsi="Arial"/>
          <w:sz w:val="13"/>
          <w:szCs w:val="13"/>
          <w:color w:val="auto"/>
        </w:rPr>
        <w:t>, to the Company only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 costs</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Direct costs consist of compensation, associated employee benefits and share-based payments for project-related employees and other direct project-related costs. Reimbursable expenses are included within direct costs on adoption of IFRS 15.</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operating expenses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auto"/>
        </w:rPr>
        <w:t>Other operating expenses consist of compensation, associated employee benefits and share-based payments for non-project-related employees and other indirect costs associated with the business.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Other operating expenses also include depreciation expense and the amortisation of intangible assets.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Exceptional items</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has used the term “exceptional” to describe certain items which, in management’s view, warrant separate disclosure by virtue of their size or incidence, or due to the fact that certain gains or losses are determined to be non-recurring in nature. Exceptional items may include restructuring, significant impairments, and material changes in estimates.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Research and development credits</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Research and development credits that are provided under the income tax law of the jurisdictions in which the Group operates generally are recognised as a reduction of income tax expense. However, certain tax jurisdictions provide refundable credits that are not dependent on the Group’s ongoing tax status or tax position. In these circumstances the credits are recognised in the Consolidated Statement of Profit and Loss in the same periods in which the expenditure to which they relate to is charged as a deduction against the related expense.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80"/>
          </w:cols>
          <w:pgMar w:left="300" w:top="696" w:right="31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Basis of preparation and statement of accounting policies (continued)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Financing income</w:t>
      </w:r>
    </w:p>
    <w:p>
      <w:pPr>
        <w:spacing w:after="0" w:line="206" w:lineRule="exact"/>
        <w:rPr>
          <w:sz w:val="20"/>
          <w:szCs w:val="20"/>
          <w:color w:val="auto"/>
        </w:rPr>
      </w:pPr>
    </w:p>
    <w:p>
      <w:pPr>
        <w:ind w:right="1120"/>
        <w:spacing w:after="0" w:line="244" w:lineRule="auto"/>
        <w:rPr>
          <w:sz w:val="20"/>
          <w:szCs w:val="20"/>
          <w:color w:val="auto"/>
        </w:rPr>
      </w:pPr>
      <w:r>
        <w:rPr>
          <w:rFonts w:ascii="Arial" w:cs="Arial" w:eastAsia="Arial" w:hAnsi="Arial"/>
          <w:sz w:val="13"/>
          <w:szCs w:val="13"/>
          <w:color w:val="auto"/>
        </w:rPr>
        <w:t xml:space="preserve">Interest income is recognised in the Consolidated Statement of Profit and Loss as it accrues using the effective interest rate method and includes interest receivable on investments. </w:t>
      </w:r>
      <w:r>
        <w:rPr>
          <w:rFonts w:ascii="Arial" w:cs="Arial" w:eastAsia="Arial" w:hAnsi="Arial"/>
          <w:sz w:val="13"/>
          <w:szCs w:val="13"/>
          <w:b w:val="1"/>
          <w:bCs w:val="1"/>
          <w:color w:val="auto"/>
        </w:rPr>
        <w:t>Financing expense</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Financing expense comprises interest payable on borrowings calculated using the effective interest rate method, finance charges on leases, foreign exchange gains and losses on bank loans, non-cash finance charges in respect of contingent consideration and gains and losses on hedging instruments that are recognised in the Consolidated Statement of Profit and Loss.</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Financing expense also includes fees paid on the establishment of loan facilities which are recognised as transaction costs of the loan to the extent that it is probable that some or all of the facility will be drawn down. These fees are deferred and recognised in the Statement of Financial Position and are then amortised to the Consolidated Statement of Profit and Loss over the term the facility is available to the Group.</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Income tax expense in the Consolidated Statement of Profit and Loss represents the sum of income tax currently payable and deferred income tax.</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Income tax currently payable is based on taxable profit for the year. Taxable profit differs from net profit as reported in the Consolidated Statement of Profit and Loss because it excludes items of income or expense that are taxable or deductible in other years and further excludes items that are not taxable or deductible. The Group’s liability for income tax is calculated using rates that have been enacted or substantively enacted at the reporting date. Income tax is recognised in the Consolidated Statement of Profit and Loss except to the extent that it relates to items recognised directly in equity.</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Deferred income tax assets and liabilities are measured at the tax rates that are expected to apply in the year when the asset is expected to be realised or the liability to be settled.</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Deferred tax assets are recognised for all deductible differences, carry forward of unused tax credits and unused tax losses, to the extent that it is probable that taxable profit will be available against which the deductible temporary differences and the carry forward of unused tax credits and unused tax losses can be utilised. The carrying amount of deferred income tax assets is reviewed at each reporting date and reduced to the extent that it is no longer probable that sufficient taxable profit would be available to allow all or part of the deferred income tax asset to be utilised.</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Earnings per ordinary share</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Basic earnings per share is computed by dividing the profit for the financial year attributable to ordinary shareholders of the Company by the weighted average number of ordinary shares outstanding during the financial period.</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80"/>
          </w:cols>
          <w:pgMar w:left="300" w:top="696" w:right="31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Basis of preparation and statement of accounting policies (continued)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Segment reporting</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3"/>
          <w:szCs w:val="13"/>
          <w:color w:val="auto"/>
        </w:rPr>
        <w:t>An operating segment is a component of the Group that engages in business activities from which it may earn revenues and incur expenses, including revenues and expenses that relate to transactions with any of the Group’s other components. The Group determines and presents operating segments based on the information that internally is provided to the Chief Executive Officer (CEO) and Chief Financial Officer (CFO) who together are considered the Group’s chief operating decision makers, the ‘CODM’ . An operating segment’s operating results are reviewed regularly by the CODM to make decisions about resources to be allocated to the segment and assess its performance, and for which discrete financial information is available.</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Segment results that are reported to the CODM include items directly attributable to a segment as well as those that can be allocated on a reasonable basis. Segment capital expenditure is the total cost incurred during the period to acquire property, plant and equipment and intangible assets other than goodwill.</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Segmental information</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Group is a clinical research organisation (“CRO”), providing outsourced development services on a global basis to the pharmaceutical, biotechnology and medical device industries. It specialises in the strategic development, management and analysis of programmes that support all stages of the clinical development process - from compound selection to Phase I-IV clinical studies. The Group has expanded predominately through internal growth, together with a number of strategic acquisitions to enhance its expertise and capabilities in certain areas of the clinical development process. The Group has the expertise and capability to conduct clinical trials in most major therapeutic areas on a global basis and has the operational flexibility to provide development services on a stand-alone basis or as part of an integrated “full service” solution. These services, which are integral elements of the clinical development process, include clinical trials management, biometric activities, consulting, imaging, contract staffing, informatics and laboratory services.</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 xml:space="preserve">The Company determines and presents operating segments based on the information that is internally provided to the chief operating decision maker, together the ('CODM') in accordance with IFRS 8 </w:t>
      </w:r>
      <w:r>
        <w:rPr>
          <w:rFonts w:ascii="Arial" w:cs="Arial" w:eastAsia="Arial" w:hAnsi="Arial"/>
          <w:sz w:val="13"/>
          <w:szCs w:val="13"/>
          <w:i w:val="1"/>
          <w:iCs w:val="1"/>
          <w:color w:val="auto"/>
        </w:rPr>
        <w:t xml:space="preserve">Operating Segments. </w:t>
      </w:r>
      <w:r>
        <w:rPr>
          <w:rFonts w:ascii="Arial" w:cs="Arial" w:eastAsia="Arial" w:hAnsi="Arial"/>
          <w:sz w:val="13"/>
          <w:szCs w:val="13"/>
          <w:color w:val="auto"/>
        </w:rPr>
        <w:t>The Company determined that the CODM was comprised of the Chief Executive Officer and the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The Company operates as one business segment, which is the provision of outsourced development services on a global basis to the pharmaceutical, biotechnology and medical devices industries.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The Group’s listing for its shares is the NASDAQ market in the United States. Consequently, information reviewed by the chief operating decision makers is prepared in accordance with US generally accepted accounting principles (“US GAAP”) however the information presented below is prepared in accordance with IFRS reporting standards. Reconciliations of the Group’s profit for the financial year and shareholders’ equity from US GAAP to IFRS are set out on pages 139 to 142 of this report. The Company's areas of operation outside of Ireland include the United States, United Kingdom, Belgium, Bulgaria, France, Germany, Italy, Spain, Poland, Portugal, Czech Republic, Hungary, Israel, Latvia, Romania, Russia, Serbia, Sweden, The Netherlands, Turkey, Ukraine, Canada, Mexico, Argentina, Brazil, Chile, Colombia, Peru, India, China (including Hong Kong), Japan, Singapore, South Korea,The Philippines, Taiwan, Thailand, Australia, New Zealand, and South Africa.</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Geographical segment information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2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7"/>
        </w:trPr>
        <w:tc>
          <w:tcPr>
            <w:tcW w:w="103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December 2019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74"/>
        </w:trPr>
        <w:tc>
          <w:tcPr>
            <w:tcW w:w="10380" w:type="dxa"/>
            <w:vAlign w:val="bottom"/>
          </w:tcPr>
          <w:p>
            <w:pPr>
              <w:jc w:val="right"/>
              <w:ind w:right="516"/>
              <w:spacing w:after="0"/>
              <w:rPr>
                <w:sz w:val="20"/>
                <w:szCs w:val="20"/>
                <w:color w:val="auto"/>
              </w:rPr>
            </w:pPr>
            <w:r>
              <w:rPr>
                <w:rFonts w:ascii="Arial" w:cs="Arial" w:eastAsia="Arial" w:hAnsi="Arial"/>
                <w:sz w:val="13"/>
                <w:szCs w:val="13"/>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3"/>
                <w:szCs w:val="13"/>
                <w:color w:val="auto"/>
              </w:rPr>
              <w:t>$’000</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47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3"/>
        </w:trPr>
        <w:tc>
          <w:tcPr>
            <w:tcW w:w="5380" w:type="dxa"/>
            <w:vAlign w:val="bottom"/>
          </w:tcPr>
          <w:p>
            <w:pPr>
              <w:ind w:left="20"/>
              <w:spacing w:after="0"/>
              <w:rPr>
                <w:sz w:val="20"/>
                <w:szCs w:val="20"/>
                <w:color w:val="auto"/>
              </w:rPr>
            </w:pPr>
            <w:r>
              <w:rPr>
                <w:rFonts w:ascii="Arial" w:cs="Arial" w:eastAsia="Arial" w:hAnsi="Arial"/>
                <w:sz w:val="13"/>
                <w:szCs w:val="13"/>
                <w:color w:val="auto"/>
              </w:rPr>
              <w:t>Ireland (1)*</w:t>
            </w:r>
          </w:p>
        </w:tc>
        <w:tc>
          <w:tcPr>
            <w:tcW w:w="4740" w:type="dxa"/>
            <w:vAlign w:val="bottom"/>
          </w:tcPr>
          <w:p>
            <w:pPr>
              <w:jc w:val="right"/>
              <w:ind w:right="396"/>
              <w:spacing w:after="0"/>
              <w:rPr>
                <w:sz w:val="20"/>
                <w:szCs w:val="20"/>
                <w:color w:val="auto"/>
              </w:rPr>
            </w:pPr>
            <w:r>
              <w:rPr>
                <w:rFonts w:ascii="Arial" w:cs="Arial" w:eastAsia="Arial" w:hAnsi="Arial"/>
                <w:sz w:val="13"/>
                <w:szCs w:val="13"/>
                <w:b w:val="1"/>
                <w:bCs w:val="1"/>
                <w:color w:val="auto"/>
              </w:rPr>
              <w:t>1,252,834</w:t>
            </w:r>
          </w:p>
        </w:tc>
        <w:tc>
          <w:tcPr>
            <w:tcW w:w="1160" w:type="dxa"/>
            <w:vAlign w:val="bottom"/>
          </w:tcPr>
          <w:p>
            <w:pPr>
              <w:jc w:val="right"/>
              <w:ind w:right="76"/>
              <w:spacing w:after="0"/>
              <w:rPr>
                <w:sz w:val="20"/>
                <w:szCs w:val="20"/>
                <w:color w:val="auto"/>
              </w:rPr>
            </w:pPr>
            <w:r>
              <w:rPr>
                <w:rFonts w:ascii="Arial" w:cs="Arial" w:eastAsia="Arial" w:hAnsi="Arial"/>
                <w:sz w:val="13"/>
                <w:szCs w:val="13"/>
                <w:color w:val="auto"/>
              </w:rPr>
              <w:t>1,066,200</w:t>
            </w:r>
          </w:p>
        </w:tc>
      </w:tr>
      <w:tr>
        <w:trPr>
          <w:trHeight w:val="199"/>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 of Europe (19)*</w:t>
            </w:r>
          </w:p>
        </w:tc>
        <w:tc>
          <w:tcPr>
            <w:tcW w:w="474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388,916</w:t>
            </w:r>
          </w:p>
        </w:tc>
        <w:tc>
          <w:tcPr>
            <w:tcW w:w="11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379,883</w:t>
            </w:r>
          </w:p>
        </w:tc>
      </w:tr>
      <w:tr>
        <w:trPr>
          <w:trHeight w:val="183"/>
        </w:trPr>
        <w:tc>
          <w:tcPr>
            <w:tcW w:w="5380" w:type="dxa"/>
            <w:vAlign w:val="bottom"/>
          </w:tcPr>
          <w:p>
            <w:pPr>
              <w:ind w:left="20"/>
              <w:spacing w:after="0"/>
              <w:rPr>
                <w:sz w:val="20"/>
                <w:szCs w:val="20"/>
                <w:color w:val="auto"/>
              </w:rPr>
            </w:pPr>
            <w:r>
              <w:rPr>
                <w:rFonts w:ascii="Arial" w:cs="Arial" w:eastAsia="Arial" w:hAnsi="Arial"/>
                <w:sz w:val="13"/>
                <w:szCs w:val="13"/>
                <w:color w:val="auto"/>
              </w:rPr>
              <w:t>United States (1)*</w:t>
            </w:r>
          </w:p>
        </w:tc>
        <w:tc>
          <w:tcPr>
            <w:tcW w:w="4740" w:type="dxa"/>
            <w:vAlign w:val="bottom"/>
          </w:tcPr>
          <w:p>
            <w:pPr>
              <w:jc w:val="right"/>
              <w:ind w:right="396"/>
              <w:spacing w:after="0"/>
              <w:rPr>
                <w:sz w:val="20"/>
                <w:szCs w:val="20"/>
                <w:color w:val="auto"/>
              </w:rPr>
            </w:pPr>
            <w:r>
              <w:rPr>
                <w:rFonts w:ascii="Arial" w:cs="Arial" w:eastAsia="Arial" w:hAnsi="Arial"/>
                <w:sz w:val="13"/>
                <w:szCs w:val="13"/>
                <w:b w:val="1"/>
                <w:bCs w:val="1"/>
                <w:color w:val="auto"/>
              </w:rPr>
              <w:t>892,497</w:t>
            </w:r>
          </w:p>
        </w:tc>
        <w:tc>
          <w:tcPr>
            <w:tcW w:w="1160" w:type="dxa"/>
            <w:vAlign w:val="bottom"/>
          </w:tcPr>
          <w:p>
            <w:pPr>
              <w:jc w:val="right"/>
              <w:ind w:right="76"/>
              <w:spacing w:after="0"/>
              <w:rPr>
                <w:sz w:val="20"/>
                <w:szCs w:val="20"/>
                <w:color w:val="auto"/>
              </w:rPr>
            </w:pPr>
            <w:r>
              <w:rPr>
                <w:rFonts w:ascii="Arial" w:cs="Arial" w:eastAsia="Arial" w:hAnsi="Arial"/>
                <w:sz w:val="13"/>
                <w:szCs w:val="13"/>
                <w:color w:val="auto"/>
              </w:rPr>
              <w:t>894,978</w:t>
            </w:r>
          </w:p>
        </w:tc>
      </w:tr>
      <w:tr>
        <w:trPr>
          <w:trHeight w:val="191"/>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 (19)*</w:t>
            </w:r>
          </w:p>
        </w:tc>
        <w:tc>
          <w:tcPr>
            <w:tcW w:w="47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271,592</w:t>
            </w:r>
          </w:p>
        </w:tc>
        <w:tc>
          <w:tcPr>
            <w:tcW w:w="11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254,716</w:t>
            </w:r>
          </w:p>
        </w:tc>
      </w:tr>
      <w:tr>
        <w:trPr>
          <w:trHeight w:val="200"/>
        </w:trPr>
        <w:tc>
          <w:tcPr>
            <w:tcW w:w="538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2"/>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47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2,805,839</w:t>
            </w:r>
          </w:p>
        </w:tc>
        <w:tc>
          <w:tcPr>
            <w:tcW w:w="11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2,595,777</w:t>
            </w:r>
          </w:p>
        </w:tc>
      </w:tr>
      <w:tr>
        <w:trPr>
          <w:trHeight w:val="229"/>
        </w:trPr>
        <w:tc>
          <w:tcPr>
            <w:tcW w:w="538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denotes number of countries</w:t>
            </w:r>
          </w:p>
        </w:tc>
        <w:tc>
          <w:tcPr>
            <w:tcW w:w="474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80"/>
          </w:cols>
          <w:pgMar w:left="300" w:top="696" w:right="31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Segmental information (continued)</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2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7"/>
        </w:trPr>
        <w:tc>
          <w:tcPr>
            <w:tcW w:w="103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December 2019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74"/>
        </w:trPr>
        <w:tc>
          <w:tcPr>
            <w:tcW w:w="10380" w:type="dxa"/>
            <w:vAlign w:val="bottom"/>
          </w:tcPr>
          <w:p>
            <w:pPr>
              <w:jc w:val="right"/>
              <w:ind w:right="516"/>
              <w:spacing w:after="0"/>
              <w:rPr>
                <w:sz w:val="20"/>
                <w:szCs w:val="20"/>
                <w:color w:val="auto"/>
              </w:rPr>
            </w:pPr>
            <w:r>
              <w:rPr>
                <w:rFonts w:ascii="Arial" w:cs="Arial" w:eastAsia="Arial" w:hAnsi="Arial"/>
                <w:sz w:val="13"/>
                <w:szCs w:val="13"/>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3"/>
                <w:szCs w:val="13"/>
                <w:color w:val="auto"/>
              </w:rPr>
              <w:t>$’000</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assets*</w:t>
            </w:r>
          </w:p>
        </w:tc>
        <w:tc>
          <w:tcPr>
            <w:tcW w:w="49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3"/>
        </w:trPr>
        <w:tc>
          <w:tcPr>
            <w:tcW w:w="5160" w:type="dxa"/>
            <w:vAlign w:val="bottom"/>
          </w:tcPr>
          <w:p>
            <w:pPr>
              <w:ind w:left="20"/>
              <w:spacing w:after="0"/>
              <w:rPr>
                <w:sz w:val="20"/>
                <w:szCs w:val="20"/>
                <w:color w:val="auto"/>
              </w:rPr>
            </w:pPr>
            <w:r>
              <w:rPr>
                <w:rFonts w:ascii="Arial" w:cs="Arial" w:eastAsia="Arial" w:hAnsi="Arial"/>
                <w:sz w:val="13"/>
                <w:szCs w:val="13"/>
                <w:color w:val="auto"/>
              </w:rPr>
              <w:t>Ireland</w:t>
            </w:r>
          </w:p>
        </w:tc>
        <w:tc>
          <w:tcPr>
            <w:tcW w:w="4960" w:type="dxa"/>
            <w:vAlign w:val="bottom"/>
          </w:tcPr>
          <w:p>
            <w:pPr>
              <w:jc w:val="right"/>
              <w:ind w:right="396"/>
              <w:spacing w:after="0"/>
              <w:rPr>
                <w:sz w:val="20"/>
                <w:szCs w:val="20"/>
                <w:color w:val="auto"/>
              </w:rPr>
            </w:pPr>
            <w:r>
              <w:rPr>
                <w:rFonts w:ascii="Arial" w:cs="Arial" w:eastAsia="Arial" w:hAnsi="Arial"/>
                <w:sz w:val="13"/>
                <w:szCs w:val="13"/>
                <w:b w:val="1"/>
                <w:bCs w:val="1"/>
                <w:color w:val="auto"/>
              </w:rPr>
              <w:t>242,761</w:t>
            </w:r>
          </w:p>
        </w:tc>
        <w:tc>
          <w:tcPr>
            <w:tcW w:w="1160" w:type="dxa"/>
            <w:vAlign w:val="bottom"/>
          </w:tcPr>
          <w:p>
            <w:pPr>
              <w:jc w:val="right"/>
              <w:ind w:right="76"/>
              <w:spacing w:after="0"/>
              <w:rPr>
                <w:sz w:val="20"/>
                <w:szCs w:val="20"/>
                <w:color w:val="auto"/>
              </w:rPr>
            </w:pPr>
            <w:r>
              <w:rPr>
                <w:rFonts w:ascii="Arial" w:cs="Arial" w:eastAsia="Arial" w:hAnsi="Arial"/>
                <w:sz w:val="13"/>
                <w:szCs w:val="13"/>
                <w:color w:val="auto"/>
              </w:rPr>
              <w:t>241,309</w:t>
            </w:r>
          </w:p>
        </w:tc>
      </w:tr>
      <w:tr>
        <w:trPr>
          <w:trHeight w:val="199"/>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Europe</w:t>
            </w:r>
          </w:p>
        </w:tc>
        <w:tc>
          <w:tcPr>
            <w:tcW w:w="496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419,101</w:t>
            </w:r>
          </w:p>
        </w:tc>
        <w:tc>
          <w:tcPr>
            <w:tcW w:w="11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305,786</w:t>
            </w:r>
          </w:p>
        </w:tc>
      </w:tr>
      <w:tr>
        <w:trPr>
          <w:trHeight w:val="183"/>
        </w:trPr>
        <w:tc>
          <w:tcPr>
            <w:tcW w:w="516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4960" w:type="dxa"/>
            <w:vAlign w:val="bottom"/>
          </w:tcPr>
          <w:p>
            <w:pPr>
              <w:jc w:val="right"/>
              <w:ind w:right="396"/>
              <w:spacing w:after="0"/>
              <w:rPr>
                <w:sz w:val="20"/>
                <w:szCs w:val="20"/>
                <w:color w:val="auto"/>
              </w:rPr>
            </w:pPr>
            <w:r>
              <w:rPr>
                <w:rFonts w:ascii="Arial" w:cs="Arial" w:eastAsia="Arial" w:hAnsi="Arial"/>
                <w:sz w:val="13"/>
                <w:szCs w:val="13"/>
                <w:b w:val="1"/>
                <w:bCs w:val="1"/>
                <w:color w:val="auto"/>
              </w:rPr>
              <w:t>556,558</w:t>
            </w:r>
          </w:p>
        </w:tc>
        <w:tc>
          <w:tcPr>
            <w:tcW w:w="1160" w:type="dxa"/>
            <w:vAlign w:val="bottom"/>
          </w:tcPr>
          <w:p>
            <w:pPr>
              <w:jc w:val="right"/>
              <w:ind w:right="76"/>
              <w:spacing w:after="0"/>
              <w:rPr>
                <w:sz w:val="20"/>
                <w:szCs w:val="20"/>
                <w:color w:val="auto"/>
              </w:rPr>
            </w:pPr>
            <w:r>
              <w:rPr>
                <w:rFonts w:ascii="Arial" w:cs="Arial" w:eastAsia="Arial" w:hAnsi="Arial"/>
                <w:sz w:val="13"/>
                <w:szCs w:val="13"/>
                <w:color w:val="auto"/>
              </w:rPr>
              <w:t>445,569</w:t>
            </w:r>
          </w:p>
        </w:tc>
      </w:tr>
      <w:tr>
        <w:trPr>
          <w:trHeight w:val="191"/>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w:t>
            </w:r>
          </w:p>
        </w:tc>
        <w:tc>
          <w:tcPr>
            <w:tcW w:w="49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85,251</w:t>
            </w:r>
          </w:p>
        </w:tc>
        <w:tc>
          <w:tcPr>
            <w:tcW w:w="11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49,735</w:t>
            </w:r>
          </w:p>
        </w:tc>
      </w:tr>
      <w:tr>
        <w:trPr>
          <w:trHeight w:val="157"/>
        </w:trPr>
        <w:tc>
          <w:tcPr>
            <w:tcW w:w="516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92"/>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49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1,303,671</w:t>
            </w:r>
          </w:p>
        </w:tc>
        <w:tc>
          <w:tcPr>
            <w:tcW w:w="11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1,042,399</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t>
      </w:r>
      <w:r>
        <w:rPr>
          <w:rFonts w:ascii="Arial" w:cs="Arial" w:eastAsia="Arial" w:hAnsi="Arial"/>
          <w:sz w:val="13"/>
          <w:szCs w:val="13"/>
          <w:i w:val="1"/>
          <w:iCs w:val="1"/>
          <w:color w:val="auto"/>
        </w:rPr>
        <w:t>Including right-of-use assets ($104.0 million) in respect of the year ended 31 December 2019.</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Major customers</w:t>
      </w:r>
    </w:p>
    <w:p>
      <w:pPr>
        <w:spacing w:after="0" w:line="1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Revenue from our largest customer for year ended 31 December 2019 was 12.5% compared to 13.6% for the year ended 31 December 2018. The second largest customer accounted for 10.2% of the Group's revenue for the year ended 31 December 2019.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80" w:type="dxa"/>
            <w:vAlign w:val="bottom"/>
          </w:tcPr>
          <w:p>
            <w:pPr>
              <w:spacing w:after="0"/>
              <w:rPr>
                <w:sz w:val="20"/>
                <w:szCs w:val="20"/>
                <w:color w:val="auto"/>
              </w:rPr>
            </w:pPr>
            <w:r>
              <w:rPr>
                <w:rFonts w:ascii="Arial" w:cs="Arial" w:eastAsia="Arial" w:hAnsi="Arial"/>
                <w:sz w:val="13"/>
                <w:szCs w:val="13"/>
                <w:b w:val="1"/>
                <w:bCs w:val="1"/>
                <w:color w:val="auto"/>
              </w:rPr>
              <w:t>3. Profit before taxation</w:t>
            </w:r>
          </w:p>
        </w:tc>
        <w:tc>
          <w:tcPr>
            <w:tcW w:w="1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40"/>
        </w:trPr>
        <w:tc>
          <w:tcPr>
            <w:tcW w:w="4080" w:type="dxa"/>
            <w:vAlign w:val="bottom"/>
          </w:tcPr>
          <w:p>
            <w:pPr>
              <w:spacing w:after="0"/>
              <w:rPr>
                <w:sz w:val="20"/>
                <w:szCs w:val="20"/>
                <w:color w:val="auto"/>
              </w:rPr>
            </w:pPr>
            <w:r>
              <w:rPr>
                <w:rFonts w:ascii="Arial" w:cs="Arial" w:eastAsia="Arial" w:hAnsi="Arial"/>
                <w:sz w:val="13"/>
                <w:szCs w:val="13"/>
                <w:color w:val="auto"/>
              </w:rPr>
              <w:t>Profit before taxation is stated after charging the following:</w:t>
            </w: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89"/>
        </w:trPr>
        <w:tc>
          <w:tcPr>
            <w:tcW w:w="4080" w:type="dxa"/>
            <w:vAlign w:val="bottom"/>
          </w:tcPr>
          <w:p>
            <w:pPr>
              <w:spacing w:after="0"/>
              <w:rPr>
                <w:sz w:val="7"/>
                <w:szCs w:val="7"/>
                <w:color w:val="auto"/>
              </w:rPr>
            </w:pPr>
          </w:p>
        </w:tc>
        <w:tc>
          <w:tcPr>
            <w:tcW w:w="2960" w:type="dxa"/>
            <w:vAlign w:val="bottom"/>
            <w:gridSpan w:val="2"/>
          </w:tcPr>
          <w:p>
            <w:pPr>
              <w:spacing w:after="0"/>
              <w:rPr>
                <w:sz w:val="7"/>
                <w:szCs w:val="7"/>
                <w:color w:val="auto"/>
              </w:rPr>
            </w:pPr>
          </w:p>
        </w:tc>
        <w:tc>
          <w:tcPr>
            <w:tcW w:w="800" w:type="dxa"/>
            <w:vAlign w:val="bottom"/>
          </w:tcPr>
          <w:p>
            <w:pPr>
              <w:spacing w:after="0"/>
              <w:rPr>
                <w:sz w:val="7"/>
                <w:szCs w:val="7"/>
                <w:color w:val="auto"/>
              </w:rPr>
            </w:pPr>
          </w:p>
        </w:tc>
        <w:tc>
          <w:tcPr>
            <w:tcW w:w="2760" w:type="dxa"/>
            <w:vAlign w:val="bottom"/>
            <w:gridSpan w:val="2"/>
          </w:tcPr>
          <w:p>
            <w:pPr>
              <w:spacing w:after="0"/>
              <w:rPr>
                <w:sz w:val="7"/>
                <w:szCs w:val="7"/>
                <w:color w:val="auto"/>
              </w:rPr>
            </w:pPr>
          </w:p>
        </w:tc>
        <w:tc>
          <w:tcPr>
            <w:tcW w:w="680" w:type="dxa"/>
            <w:vAlign w:val="bottom"/>
          </w:tcPr>
          <w:p>
            <w:pPr>
              <w:spacing w:after="0"/>
              <w:rPr>
                <w:sz w:val="7"/>
                <w:szCs w:val="7"/>
                <w:color w:val="auto"/>
              </w:rPr>
            </w:pPr>
          </w:p>
        </w:tc>
      </w:tr>
      <w:tr>
        <w:trPr>
          <w:trHeight w:val="183"/>
        </w:trPr>
        <w:tc>
          <w:tcPr>
            <w:tcW w:w="4080" w:type="dxa"/>
            <w:vAlign w:val="bottom"/>
            <w:shd w:val="clear" w:color="auto" w:fill="CCEEFF"/>
          </w:tcPr>
          <w:p>
            <w:pPr>
              <w:spacing w:after="0"/>
              <w:rPr>
                <w:sz w:val="15"/>
                <w:szCs w:val="15"/>
                <w:color w:val="auto"/>
              </w:rPr>
            </w:pPr>
          </w:p>
        </w:tc>
        <w:tc>
          <w:tcPr>
            <w:tcW w:w="2960" w:type="dxa"/>
            <w:vAlign w:val="bottom"/>
            <w:tcBorders>
              <w:bottom w:val="single" w:sz="8" w:color="auto"/>
            </w:tcBorders>
            <w:gridSpan w:val="2"/>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Year ended 31 December 2019</w:t>
            </w:r>
          </w:p>
        </w:tc>
        <w:tc>
          <w:tcPr>
            <w:tcW w:w="800" w:type="dxa"/>
            <w:vAlign w:val="bottom"/>
            <w:tcBorders>
              <w:bottom w:val="single" w:sz="8" w:color="auto"/>
            </w:tcBorders>
            <w:shd w:val="clear" w:color="auto" w:fill="CCEEFF"/>
          </w:tcPr>
          <w:p>
            <w:pPr>
              <w:spacing w:after="0"/>
              <w:rPr>
                <w:sz w:val="15"/>
                <w:szCs w:val="15"/>
                <w:color w:val="auto"/>
              </w:rPr>
            </w:pPr>
          </w:p>
        </w:tc>
        <w:tc>
          <w:tcPr>
            <w:tcW w:w="2760" w:type="dxa"/>
            <w:vAlign w:val="bottom"/>
            <w:tcBorders>
              <w:bottom w:val="single" w:sz="8" w:color="auto"/>
            </w:tcBorders>
            <w:gridSpan w:val="2"/>
            <w:shd w:val="clear" w:color="auto" w:fill="CCEEFF"/>
          </w:tcPr>
          <w:p>
            <w:pPr>
              <w:jc w:val="right"/>
              <w:ind w:right="156"/>
              <w:spacing w:after="0"/>
              <w:rPr>
                <w:sz w:val="20"/>
                <w:szCs w:val="20"/>
                <w:color w:val="auto"/>
              </w:rPr>
            </w:pPr>
            <w:r>
              <w:rPr>
                <w:rFonts w:ascii="Arial" w:cs="Arial" w:eastAsia="Arial" w:hAnsi="Arial"/>
                <w:sz w:val="13"/>
                <w:szCs w:val="13"/>
                <w:color w:val="auto"/>
              </w:rPr>
              <w:t>Year ended 31 December 2018</w:t>
            </w:r>
          </w:p>
        </w:tc>
        <w:tc>
          <w:tcPr>
            <w:tcW w:w="680" w:type="dxa"/>
            <w:vAlign w:val="bottom"/>
            <w:tcBorders>
              <w:bottom w:val="single" w:sz="8" w:color="auto"/>
            </w:tcBorders>
            <w:shd w:val="clear" w:color="auto" w:fill="CCEEFF"/>
          </w:tcPr>
          <w:p>
            <w:pPr>
              <w:spacing w:after="0"/>
              <w:rPr>
                <w:sz w:val="15"/>
                <w:szCs w:val="15"/>
                <w:color w:val="auto"/>
              </w:rPr>
            </w:pPr>
          </w:p>
        </w:tc>
      </w:tr>
      <w:tr>
        <w:trPr>
          <w:trHeight w:val="182"/>
        </w:trPr>
        <w:tc>
          <w:tcPr>
            <w:tcW w:w="40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Statutory auditor</w:t>
            </w:r>
          </w:p>
        </w:tc>
        <w:tc>
          <w:tcPr>
            <w:tcW w:w="160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Affiliated firms</w:t>
            </w: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Total</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Statutory auditor</w:t>
            </w:r>
          </w:p>
        </w:tc>
        <w:tc>
          <w:tcPr>
            <w:tcW w:w="15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Affiliated firms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Total</w:t>
            </w:r>
          </w:p>
        </w:tc>
      </w:tr>
      <w:tr>
        <w:trPr>
          <w:trHeight w:val="189"/>
        </w:trPr>
        <w:tc>
          <w:tcPr>
            <w:tcW w:w="40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60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$’000</w:t>
            </w:r>
          </w:p>
        </w:tc>
        <w:tc>
          <w:tcPr>
            <w:tcW w:w="80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$’000</w:t>
            </w:r>
          </w:p>
        </w:tc>
        <w:tc>
          <w:tcPr>
            <w:tcW w:w="15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$’000</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83"/>
        </w:trPr>
        <w:tc>
          <w:tcPr>
            <w:tcW w:w="4080" w:type="dxa"/>
            <w:vAlign w:val="bottom"/>
          </w:tcPr>
          <w:p>
            <w:pPr>
              <w:ind w:left="20"/>
              <w:spacing w:after="0"/>
              <w:rPr>
                <w:sz w:val="20"/>
                <w:szCs w:val="20"/>
                <w:color w:val="auto"/>
              </w:rPr>
            </w:pPr>
            <w:r>
              <w:rPr>
                <w:rFonts w:ascii="Arial" w:cs="Arial" w:eastAsia="Arial" w:hAnsi="Arial"/>
                <w:sz w:val="13"/>
                <w:szCs w:val="13"/>
                <w:b w:val="1"/>
                <w:bCs w:val="1"/>
                <w:color w:val="auto"/>
              </w:rPr>
              <w:t>Auditor's remuneration:</w:t>
            </w:r>
          </w:p>
        </w:tc>
        <w:tc>
          <w:tcPr>
            <w:tcW w:w="1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9"/>
        </w:trPr>
        <w:tc>
          <w:tcPr>
            <w:tcW w:w="4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Audit fees </w:t>
            </w:r>
            <w:r>
              <w:rPr>
                <w:rFonts w:ascii="Arial" w:cs="Arial" w:eastAsia="Arial" w:hAnsi="Arial"/>
                <w:sz w:val="16"/>
                <w:szCs w:val="16"/>
                <w:color w:val="auto"/>
                <w:vertAlign w:val="superscript"/>
              </w:rPr>
              <w:t>(1) (2)</w:t>
            </w:r>
          </w:p>
        </w:tc>
        <w:tc>
          <w:tcPr>
            <w:tcW w:w="136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1,345</w:t>
            </w:r>
          </w:p>
        </w:tc>
        <w:tc>
          <w:tcPr>
            <w:tcW w:w="1600" w:type="dxa"/>
            <w:vAlign w:val="bottom"/>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1,345</w:t>
            </w:r>
          </w:p>
        </w:tc>
        <w:tc>
          <w:tcPr>
            <w:tcW w:w="124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1,515</w:t>
            </w:r>
          </w:p>
        </w:tc>
        <w:tc>
          <w:tcPr>
            <w:tcW w:w="1520" w:type="dxa"/>
            <w:vAlign w:val="bottom"/>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1,515</w:t>
            </w:r>
          </w:p>
        </w:tc>
      </w:tr>
      <w:tr>
        <w:trPr>
          <w:trHeight w:val="191"/>
        </w:trPr>
        <w:tc>
          <w:tcPr>
            <w:tcW w:w="4080" w:type="dxa"/>
            <w:vAlign w:val="bottom"/>
          </w:tcPr>
          <w:p>
            <w:pPr>
              <w:ind w:left="20"/>
              <w:spacing w:after="0"/>
              <w:rPr>
                <w:sz w:val="20"/>
                <w:szCs w:val="20"/>
                <w:color w:val="auto"/>
              </w:rPr>
            </w:pPr>
            <w:r>
              <w:rPr>
                <w:rFonts w:ascii="Arial" w:cs="Arial" w:eastAsia="Arial" w:hAnsi="Arial"/>
                <w:sz w:val="13"/>
                <w:szCs w:val="13"/>
                <w:color w:val="auto"/>
              </w:rPr>
              <w:t xml:space="preserve">Other assurance fees </w:t>
            </w:r>
            <w:r>
              <w:rPr>
                <w:rFonts w:ascii="Arial" w:cs="Arial" w:eastAsia="Arial" w:hAnsi="Arial"/>
                <w:sz w:val="16"/>
                <w:szCs w:val="16"/>
                <w:color w:val="auto"/>
                <w:vertAlign w:val="superscript"/>
              </w:rPr>
              <w:t>(3)</w:t>
            </w:r>
          </w:p>
        </w:tc>
        <w:tc>
          <w:tcPr>
            <w:tcW w:w="1360" w:type="dxa"/>
            <w:vAlign w:val="bottom"/>
          </w:tcPr>
          <w:p>
            <w:pPr>
              <w:jc w:val="right"/>
              <w:ind w:right="236"/>
              <w:spacing w:after="0"/>
              <w:rPr>
                <w:sz w:val="20"/>
                <w:szCs w:val="20"/>
                <w:color w:val="auto"/>
              </w:rPr>
            </w:pPr>
            <w:r>
              <w:rPr>
                <w:rFonts w:ascii="Arial" w:cs="Arial" w:eastAsia="Arial" w:hAnsi="Arial"/>
                <w:sz w:val="13"/>
                <w:szCs w:val="13"/>
                <w:b w:val="1"/>
                <w:bCs w:val="1"/>
                <w:color w:val="auto"/>
              </w:rPr>
              <w:t>30</w:t>
            </w:r>
          </w:p>
        </w:tc>
        <w:tc>
          <w:tcPr>
            <w:tcW w:w="1600" w:type="dxa"/>
            <w:vAlign w:val="bottom"/>
          </w:tcPr>
          <w:p>
            <w:pPr>
              <w:jc w:val="right"/>
              <w:ind w:right="616"/>
              <w:spacing w:after="0"/>
              <w:rPr>
                <w:sz w:val="20"/>
                <w:szCs w:val="20"/>
                <w:color w:val="auto"/>
              </w:rPr>
            </w:pPr>
            <w:r>
              <w:rPr>
                <w:rFonts w:ascii="Arial" w:cs="Arial" w:eastAsia="Arial" w:hAnsi="Arial"/>
                <w:sz w:val="13"/>
                <w:szCs w:val="13"/>
                <w:b w:val="1"/>
                <w:bCs w:val="1"/>
                <w:color w:val="auto"/>
              </w:rPr>
              <w:t>103</w:t>
            </w:r>
          </w:p>
        </w:tc>
        <w:tc>
          <w:tcPr>
            <w:tcW w:w="800" w:type="dxa"/>
            <w:vAlign w:val="bottom"/>
          </w:tcPr>
          <w:p>
            <w:pPr>
              <w:jc w:val="right"/>
              <w:ind w:right="196"/>
              <w:spacing w:after="0"/>
              <w:rPr>
                <w:sz w:val="20"/>
                <w:szCs w:val="20"/>
                <w:color w:val="auto"/>
              </w:rPr>
            </w:pPr>
            <w:r>
              <w:rPr>
                <w:rFonts w:ascii="Arial" w:cs="Arial" w:eastAsia="Arial" w:hAnsi="Arial"/>
                <w:sz w:val="13"/>
                <w:szCs w:val="13"/>
                <w:b w:val="1"/>
                <w:bCs w:val="1"/>
                <w:color w:val="auto"/>
              </w:rPr>
              <w:t>133</w:t>
            </w:r>
          </w:p>
        </w:tc>
        <w:tc>
          <w:tcPr>
            <w:tcW w:w="1240" w:type="dxa"/>
            <w:vAlign w:val="bottom"/>
          </w:tcPr>
          <w:p>
            <w:pPr>
              <w:jc w:val="right"/>
              <w:ind w:right="256"/>
              <w:spacing w:after="0"/>
              <w:rPr>
                <w:sz w:val="20"/>
                <w:szCs w:val="20"/>
                <w:color w:val="auto"/>
              </w:rPr>
            </w:pPr>
            <w:r>
              <w:rPr>
                <w:rFonts w:ascii="Arial" w:cs="Arial" w:eastAsia="Arial" w:hAnsi="Arial"/>
                <w:sz w:val="13"/>
                <w:szCs w:val="13"/>
                <w:color w:val="auto"/>
              </w:rPr>
              <w:t>53</w:t>
            </w:r>
          </w:p>
        </w:tc>
        <w:tc>
          <w:tcPr>
            <w:tcW w:w="1520" w:type="dxa"/>
            <w:vAlign w:val="bottom"/>
          </w:tcPr>
          <w:p>
            <w:pPr>
              <w:jc w:val="right"/>
              <w:ind w:right="576"/>
              <w:spacing w:after="0"/>
              <w:rPr>
                <w:sz w:val="20"/>
                <w:szCs w:val="20"/>
                <w:color w:val="auto"/>
              </w:rPr>
            </w:pPr>
            <w:r>
              <w:rPr>
                <w:rFonts w:ascii="Arial" w:cs="Arial" w:eastAsia="Arial" w:hAnsi="Arial"/>
                <w:sz w:val="13"/>
                <w:szCs w:val="13"/>
                <w:color w:val="auto"/>
              </w:rPr>
              <w:t>93</w:t>
            </w:r>
          </w:p>
        </w:tc>
        <w:tc>
          <w:tcPr>
            <w:tcW w:w="680" w:type="dxa"/>
            <w:vAlign w:val="bottom"/>
          </w:tcPr>
          <w:p>
            <w:pPr>
              <w:jc w:val="right"/>
              <w:ind w:right="76"/>
              <w:spacing w:after="0"/>
              <w:rPr>
                <w:sz w:val="20"/>
                <w:szCs w:val="20"/>
                <w:color w:val="auto"/>
              </w:rPr>
            </w:pPr>
            <w:r>
              <w:rPr>
                <w:rFonts w:ascii="Arial" w:cs="Arial" w:eastAsia="Arial" w:hAnsi="Arial"/>
                <w:sz w:val="13"/>
                <w:szCs w:val="13"/>
                <w:color w:val="auto"/>
              </w:rPr>
              <w:t>146</w:t>
            </w:r>
          </w:p>
        </w:tc>
      </w:tr>
      <w:tr>
        <w:trPr>
          <w:trHeight w:val="191"/>
        </w:trPr>
        <w:tc>
          <w:tcPr>
            <w:tcW w:w="4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Tax advisory fees </w:t>
            </w:r>
            <w:r>
              <w:rPr>
                <w:rFonts w:ascii="Arial" w:cs="Arial" w:eastAsia="Arial" w:hAnsi="Arial"/>
                <w:sz w:val="16"/>
                <w:szCs w:val="16"/>
                <w:color w:val="auto"/>
                <w:vertAlign w:val="superscript"/>
              </w:rPr>
              <w:t>(4)</w:t>
            </w:r>
          </w:p>
        </w:tc>
        <w:tc>
          <w:tcPr>
            <w:tcW w:w="1360" w:type="dxa"/>
            <w:vAlign w:val="bottom"/>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633</w:t>
            </w:r>
          </w:p>
        </w:tc>
        <w:tc>
          <w:tcPr>
            <w:tcW w:w="1600" w:type="dxa"/>
            <w:vAlign w:val="bottom"/>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222</w:t>
            </w:r>
          </w:p>
        </w:tc>
        <w:tc>
          <w:tcPr>
            <w:tcW w:w="80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855</w:t>
            </w:r>
          </w:p>
        </w:tc>
        <w:tc>
          <w:tcPr>
            <w:tcW w:w="124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500</w:t>
            </w:r>
          </w:p>
        </w:tc>
        <w:tc>
          <w:tcPr>
            <w:tcW w:w="152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rPr>
              <w:t>142</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642</w:t>
            </w:r>
          </w:p>
        </w:tc>
      </w:tr>
      <w:tr>
        <w:trPr>
          <w:trHeight w:val="191"/>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 xml:space="preserve">Other non-audit fees </w:t>
            </w:r>
            <w:r>
              <w:rPr>
                <w:rFonts w:ascii="Arial" w:cs="Arial" w:eastAsia="Arial" w:hAnsi="Arial"/>
                <w:sz w:val="16"/>
                <w:szCs w:val="16"/>
                <w:color w:val="auto"/>
                <w:vertAlign w:val="superscript"/>
              </w:rPr>
              <w:t>(5)</w:t>
            </w:r>
          </w:p>
        </w:tc>
        <w:tc>
          <w:tcPr>
            <w:tcW w:w="13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384</w:t>
            </w:r>
          </w:p>
        </w:tc>
        <w:tc>
          <w:tcPr>
            <w:tcW w:w="160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384</w:t>
            </w:r>
          </w:p>
        </w:tc>
        <w:tc>
          <w:tcPr>
            <w:tcW w:w="12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40</w:t>
            </w:r>
          </w:p>
        </w:tc>
        <w:tc>
          <w:tcPr>
            <w:tcW w:w="152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40</w:t>
            </w:r>
          </w:p>
        </w:tc>
      </w:tr>
      <w:tr>
        <w:trPr>
          <w:trHeight w:val="183"/>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fees</w:t>
            </w:r>
          </w:p>
        </w:tc>
        <w:tc>
          <w:tcPr>
            <w:tcW w:w="13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2,392</w:t>
            </w:r>
          </w:p>
        </w:tc>
        <w:tc>
          <w:tcPr>
            <w:tcW w:w="16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325</w:t>
            </w:r>
          </w:p>
        </w:tc>
        <w:tc>
          <w:tcPr>
            <w:tcW w:w="8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2,717</w:t>
            </w:r>
          </w:p>
        </w:tc>
        <w:tc>
          <w:tcPr>
            <w:tcW w:w="12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2,108</w:t>
            </w:r>
          </w:p>
        </w:tc>
        <w:tc>
          <w:tcPr>
            <w:tcW w:w="152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color w:val="auto"/>
              </w:rPr>
              <w:t>235</w:t>
            </w:r>
          </w:p>
        </w:tc>
        <w:tc>
          <w:tcPr>
            <w:tcW w:w="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2,343</w:t>
            </w:r>
          </w:p>
        </w:tc>
      </w:tr>
    </w:tbl>
    <w:p>
      <w:pPr>
        <w:spacing w:after="0" w:line="26" w:lineRule="exact"/>
        <w:rPr>
          <w:sz w:val="20"/>
          <w:szCs w:val="20"/>
          <w:color w:val="auto"/>
        </w:rPr>
      </w:pPr>
    </w:p>
    <w:p>
      <w:pPr>
        <w:ind w:left="260" w:hanging="191"/>
        <w:spacing w:after="0"/>
        <w:tabs>
          <w:tab w:leader="none" w:pos="260" w:val="left"/>
        </w:tabs>
        <w:numPr>
          <w:ilvl w:val="0"/>
          <w:numId w:val="25"/>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Audit fees include annual audit fees for ICON plc.</w:t>
      </w:r>
    </w:p>
    <w:p>
      <w:pPr>
        <w:ind w:left="260" w:hanging="191"/>
        <w:spacing w:after="0" w:line="198" w:lineRule="auto"/>
        <w:tabs>
          <w:tab w:leader="none" w:pos="260" w:val="left"/>
        </w:tabs>
        <w:numPr>
          <w:ilvl w:val="0"/>
          <w:numId w:val="25"/>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Audit fees for the Company for the year are set at $30,000 (2018: $30,000)</w:t>
      </w:r>
    </w:p>
    <w:p>
      <w:pPr>
        <w:spacing w:after="0" w:line="2" w:lineRule="exact"/>
        <w:rPr>
          <w:rFonts w:ascii="Arial" w:cs="Arial" w:eastAsia="Arial" w:hAnsi="Arial"/>
          <w:sz w:val="15"/>
          <w:szCs w:val="15"/>
          <w:i w:val="1"/>
          <w:iCs w:val="1"/>
          <w:color w:val="auto"/>
          <w:vertAlign w:val="superscript"/>
        </w:rPr>
      </w:pPr>
    </w:p>
    <w:p>
      <w:pPr>
        <w:ind w:left="260" w:hanging="191"/>
        <w:spacing w:after="0" w:line="189" w:lineRule="auto"/>
        <w:tabs>
          <w:tab w:leader="none" w:pos="260" w:val="left"/>
        </w:tabs>
        <w:numPr>
          <w:ilvl w:val="0"/>
          <w:numId w:val="25"/>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Other assurance fees principally consist of fees for the audit of remaining subsidiaries and fees for the audit of the financial statements of employee benefit plans.</w:t>
      </w:r>
    </w:p>
    <w:p>
      <w:pPr>
        <w:spacing w:after="0" w:line="2" w:lineRule="exact"/>
        <w:rPr>
          <w:rFonts w:ascii="Arial" w:cs="Arial" w:eastAsia="Arial" w:hAnsi="Arial"/>
          <w:sz w:val="15"/>
          <w:szCs w:val="15"/>
          <w:i w:val="1"/>
          <w:iCs w:val="1"/>
          <w:color w:val="auto"/>
          <w:vertAlign w:val="superscript"/>
        </w:rPr>
      </w:pPr>
    </w:p>
    <w:p>
      <w:pPr>
        <w:ind w:left="260" w:hanging="191"/>
        <w:spacing w:after="0" w:line="189" w:lineRule="auto"/>
        <w:tabs>
          <w:tab w:leader="none" w:pos="260" w:val="left"/>
        </w:tabs>
        <w:numPr>
          <w:ilvl w:val="0"/>
          <w:numId w:val="25"/>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Tax advisory fees are for tax compliance and tax advisory services.</w:t>
      </w:r>
    </w:p>
    <w:p>
      <w:pPr>
        <w:spacing w:after="0" w:line="2" w:lineRule="exact"/>
        <w:rPr>
          <w:rFonts w:ascii="Arial" w:cs="Arial" w:eastAsia="Arial" w:hAnsi="Arial"/>
          <w:sz w:val="15"/>
          <w:szCs w:val="15"/>
          <w:i w:val="1"/>
          <w:iCs w:val="1"/>
          <w:color w:val="auto"/>
          <w:vertAlign w:val="superscript"/>
        </w:rPr>
      </w:pPr>
    </w:p>
    <w:p>
      <w:pPr>
        <w:ind w:left="260" w:hanging="191"/>
        <w:spacing w:after="0" w:line="189" w:lineRule="auto"/>
        <w:tabs>
          <w:tab w:leader="none" w:pos="260" w:val="left"/>
        </w:tabs>
        <w:numPr>
          <w:ilvl w:val="0"/>
          <w:numId w:val="25"/>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Other non-audit fees principally consist of fees for financial due diligence.</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Directors’ remuneration disclosures as required by Section 305 of the Companies Act 2014 are set out below: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80" w:type="dxa"/>
            <w:vAlign w:val="bottom"/>
            <w:shd w:val="clear" w:color="auto" w:fill="CCEEFF"/>
          </w:tcPr>
          <w:p>
            <w:pPr>
              <w:spacing w:after="0"/>
              <w:rPr>
                <w:sz w:val="13"/>
                <w:szCs w:val="13"/>
                <w:color w:val="auto"/>
              </w:rPr>
            </w:pPr>
          </w:p>
        </w:tc>
        <w:tc>
          <w:tcPr>
            <w:tcW w:w="440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Year ended 31</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Year ended 31</w:t>
            </w:r>
          </w:p>
        </w:tc>
      </w:tr>
      <w:tr>
        <w:trPr>
          <w:trHeight w:val="177"/>
        </w:trPr>
        <w:tc>
          <w:tcPr>
            <w:tcW w:w="5680" w:type="dxa"/>
            <w:vAlign w:val="bottom"/>
            <w:tcBorders>
              <w:bottom w:val="single" w:sz="8" w:color="auto"/>
            </w:tcBorders>
            <w:shd w:val="clear" w:color="auto" w:fill="CCEEFF"/>
          </w:tcPr>
          <w:p>
            <w:pPr>
              <w:spacing w:after="0"/>
              <w:rPr>
                <w:sz w:val="15"/>
                <w:szCs w:val="15"/>
                <w:color w:val="auto"/>
              </w:rPr>
            </w:pPr>
          </w:p>
        </w:tc>
        <w:tc>
          <w:tcPr>
            <w:tcW w:w="4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December 2019</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December 2018</w:t>
            </w:r>
          </w:p>
        </w:tc>
      </w:tr>
      <w:tr>
        <w:trPr>
          <w:trHeight w:val="182"/>
        </w:trPr>
        <w:tc>
          <w:tcPr>
            <w:tcW w:w="5680" w:type="dxa"/>
            <w:vAlign w:val="bottom"/>
          </w:tcPr>
          <w:p>
            <w:pPr>
              <w:spacing w:after="0"/>
              <w:rPr>
                <w:sz w:val="15"/>
                <w:szCs w:val="15"/>
                <w:color w:val="auto"/>
              </w:rPr>
            </w:pPr>
          </w:p>
        </w:tc>
        <w:tc>
          <w:tcPr>
            <w:tcW w:w="4400" w:type="dxa"/>
            <w:vAlign w:val="bottom"/>
          </w:tcPr>
          <w:p>
            <w:pPr>
              <w:jc w:val="right"/>
              <w:ind w:right="196"/>
              <w:spacing w:after="0"/>
              <w:rPr>
                <w:sz w:val="20"/>
                <w:szCs w:val="20"/>
                <w:color w:val="auto"/>
              </w:rPr>
            </w:pPr>
            <w:r>
              <w:rPr>
                <w:rFonts w:ascii="Arial" w:cs="Arial" w:eastAsia="Arial" w:hAnsi="Arial"/>
                <w:sz w:val="13"/>
                <w:szCs w:val="13"/>
                <w:b w:val="1"/>
                <w:bCs w:val="1"/>
                <w:color w:val="auto"/>
              </w:rPr>
              <w:t>$’000</w:t>
            </w:r>
          </w:p>
        </w:tc>
        <w:tc>
          <w:tcPr>
            <w:tcW w:w="12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99"/>
        </w:trPr>
        <w:tc>
          <w:tcPr>
            <w:tcW w:w="5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Directors’ emoluments</w:t>
            </w:r>
          </w:p>
        </w:tc>
        <w:tc>
          <w:tcPr>
            <w:tcW w:w="4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83"/>
        </w:trPr>
        <w:tc>
          <w:tcPr>
            <w:tcW w:w="5680" w:type="dxa"/>
            <w:vAlign w:val="bottom"/>
          </w:tcPr>
          <w:p>
            <w:pPr>
              <w:ind w:left="20"/>
              <w:spacing w:after="0"/>
              <w:rPr>
                <w:sz w:val="20"/>
                <w:szCs w:val="20"/>
                <w:color w:val="auto"/>
              </w:rPr>
            </w:pPr>
            <w:r>
              <w:rPr>
                <w:rFonts w:ascii="Arial" w:cs="Arial" w:eastAsia="Arial" w:hAnsi="Arial"/>
                <w:sz w:val="13"/>
                <w:szCs w:val="13"/>
                <w:color w:val="auto"/>
              </w:rPr>
              <w:t>Emoluments</w:t>
            </w:r>
          </w:p>
        </w:tc>
        <w:tc>
          <w:tcPr>
            <w:tcW w:w="4400" w:type="dxa"/>
            <w:vAlign w:val="bottom"/>
          </w:tcPr>
          <w:p>
            <w:pPr>
              <w:jc w:val="right"/>
              <w:ind w:right="196"/>
              <w:spacing w:after="0"/>
              <w:rPr>
                <w:sz w:val="20"/>
                <w:szCs w:val="20"/>
                <w:color w:val="auto"/>
              </w:rPr>
            </w:pPr>
            <w:r>
              <w:rPr>
                <w:rFonts w:ascii="Arial" w:cs="Arial" w:eastAsia="Arial" w:hAnsi="Arial"/>
                <w:sz w:val="13"/>
                <w:szCs w:val="13"/>
                <w:b w:val="1"/>
                <w:bCs w:val="1"/>
                <w:color w:val="auto"/>
              </w:rPr>
              <w:t>3,214</w:t>
            </w:r>
          </w:p>
        </w:tc>
        <w:tc>
          <w:tcPr>
            <w:tcW w:w="1200" w:type="dxa"/>
            <w:vAlign w:val="bottom"/>
          </w:tcPr>
          <w:p>
            <w:pPr>
              <w:jc w:val="right"/>
              <w:spacing w:after="0"/>
              <w:rPr>
                <w:sz w:val="20"/>
                <w:szCs w:val="20"/>
                <w:color w:val="auto"/>
              </w:rPr>
            </w:pPr>
            <w:r>
              <w:rPr>
                <w:rFonts w:ascii="Arial" w:cs="Arial" w:eastAsia="Arial" w:hAnsi="Arial"/>
                <w:sz w:val="13"/>
                <w:szCs w:val="13"/>
                <w:color w:val="auto"/>
              </w:rPr>
              <w:t>3,618</w:t>
            </w:r>
          </w:p>
        </w:tc>
      </w:tr>
      <w:tr>
        <w:trPr>
          <w:trHeight w:val="199"/>
        </w:trPr>
        <w:tc>
          <w:tcPr>
            <w:tcW w:w="5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Benefits under long-term incentive schemes</w:t>
            </w:r>
          </w:p>
        </w:tc>
        <w:tc>
          <w:tcPr>
            <w:tcW w:w="440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3,955</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1,730</w:t>
            </w:r>
          </w:p>
        </w:tc>
      </w:tr>
      <w:tr>
        <w:trPr>
          <w:trHeight w:val="183"/>
        </w:trPr>
        <w:tc>
          <w:tcPr>
            <w:tcW w:w="5680" w:type="dxa"/>
            <w:vAlign w:val="bottom"/>
          </w:tcPr>
          <w:p>
            <w:pPr>
              <w:ind w:left="20"/>
              <w:spacing w:after="0"/>
              <w:rPr>
                <w:sz w:val="20"/>
                <w:szCs w:val="20"/>
                <w:color w:val="auto"/>
              </w:rPr>
            </w:pPr>
            <w:r>
              <w:rPr>
                <w:rFonts w:ascii="Arial" w:cs="Arial" w:eastAsia="Arial" w:hAnsi="Arial"/>
                <w:sz w:val="13"/>
                <w:szCs w:val="13"/>
                <w:color w:val="auto"/>
              </w:rPr>
              <w:t>Gain on exercise of share options</w:t>
            </w:r>
          </w:p>
        </w:tc>
        <w:tc>
          <w:tcPr>
            <w:tcW w:w="4400" w:type="dxa"/>
            <w:vAlign w:val="bottom"/>
          </w:tcPr>
          <w:p>
            <w:pPr>
              <w:jc w:val="right"/>
              <w:ind w:right="196"/>
              <w:spacing w:after="0"/>
              <w:rPr>
                <w:sz w:val="20"/>
                <w:szCs w:val="20"/>
                <w:color w:val="auto"/>
              </w:rPr>
            </w:pPr>
            <w:r>
              <w:rPr>
                <w:rFonts w:ascii="Arial" w:cs="Arial" w:eastAsia="Arial" w:hAnsi="Arial"/>
                <w:sz w:val="13"/>
                <w:szCs w:val="13"/>
                <w:b w:val="1"/>
                <w:bCs w:val="1"/>
                <w:color w:val="auto"/>
              </w:rPr>
              <w:t>16,907</w:t>
            </w:r>
          </w:p>
        </w:tc>
        <w:tc>
          <w:tcPr>
            <w:tcW w:w="1200" w:type="dxa"/>
            <w:vAlign w:val="bottom"/>
          </w:tcPr>
          <w:p>
            <w:pPr>
              <w:jc w:val="right"/>
              <w:spacing w:after="0"/>
              <w:rPr>
                <w:sz w:val="20"/>
                <w:szCs w:val="20"/>
                <w:color w:val="auto"/>
              </w:rPr>
            </w:pPr>
            <w:r>
              <w:rPr>
                <w:rFonts w:ascii="Arial" w:cs="Arial" w:eastAsia="Arial" w:hAnsi="Arial"/>
                <w:sz w:val="13"/>
                <w:szCs w:val="13"/>
                <w:color w:val="auto"/>
              </w:rPr>
              <w:t>20,798</w:t>
            </w:r>
          </w:p>
        </w:tc>
      </w:tr>
      <w:tr>
        <w:trPr>
          <w:trHeight w:val="200"/>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Pension contributions (defined contribution)</w:t>
            </w:r>
          </w:p>
        </w:tc>
        <w:tc>
          <w:tcPr>
            <w:tcW w:w="4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178</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w:t>
            </w:r>
          </w:p>
        </w:tc>
      </w:tr>
    </w:tbl>
    <w:p>
      <w:pPr>
        <w:spacing w:after="0" w:line="34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Further details regarding Directors’ shareholdings, share options and compensation are shown in </w:t>
      </w:r>
      <w:r>
        <w:rPr>
          <w:rFonts w:ascii="Arial" w:cs="Arial" w:eastAsia="Arial" w:hAnsi="Arial"/>
          <w:sz w:val="13"/>
          <w:szCs w:val="13"/>
          <w:i w:val="1"/>
          <w:iCs w:val="1"/>
          <w:color w:val="auto"/>
        </w:rPr>
        <w:t>note 9 – Payroll and related benefits.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80"/>
          </w:cols>
          <w:pgMar w:left="300" w:top="696" w:right="31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Profit before taxation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Retirement benefits accrue to one Director (2018: two Directors) under a defined contribution scheme.</w:t>
      </w:r>
    </w:p>
    <w:p>
      <w:pPr>
        <w:spacing w:after="0" w:line="190"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 xml:space="preserve">Included in the benefits under long-term incentive scheme are amounts relating to share entitlements, the calculation of which was based on the share-based payment charge calculated under IFRS 2 </w:t>
      </w:r>
      <w:r>
        <w:rPr>
          <w:rFonts w:ascii="Arial" w:cs="Arial" w:eastAsia="Arial" w:hAnsi="Arial"/>
          <w:sz w:val="13"/>
          <w:szCs w:val="13"/>
          <w:i w:val="1"/>
          <w:iCs w:val="1"/>
          <w:color w:val="auto"/>
        </w:rPr>
        <w:t>Share Based Payments</w:t>
      </w:r>
      <w:r>
        <w:rPr>
          <w:rFonts w:ascii="Arial" w:cs="Arial" w:eastAsia="Arial" w:hAnsi="Arial"/>
          <w:sz w:val="13"/>
          <w:szCs w:val="13"/>
          <w:color w:val="auto"/>
        </w:rPr>
        <w: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80" w:type="dxa"/>
            <w:vAlign w:val="bottom"/>
            <w:shd w:val="clear" w:color="auto" w:fill="CCEEFF"/>
          </w:tcPr>
          <w:p>
            <w:pPr>
              <w:spacing w:after="0"/>
              <w:rPr>
                <w:sz w:val="13"/>
                <w:szCs w:val="13"/>
                <w:color w:val="auto"/>
              </w:rPr>
            </w:pPr>
          </w:p>
        </w:tc>
        <w:tc>
          <w:tcPr>
            <w:tcW w:w="53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7"/>
        </w:trPr>
        <w:tc>
          <w:tcPr>
            <w:tcW w:w="5980" w:type="dxa"/>
            <w:vAlign w:val="bottom"/>
            <w:tcBorders>
              <w:bottom w:val="single" w:sz="8" w:color="auto"/>
            </w:tcBorders>
            <w:shd w:val="clear" w:color="auto" w:fill="CCEEFF"/>
          </w:tcPr>
          <w:p>
            <w:pPr>
              <w:spacing w:after="0"/>
              <w:rPr>
                <w:sz w:val="15"/>
                <w:szCs w:val="15"/>
                <w:color w:val="auto"/>
              </w:rPr>
            </w:pPr>
          </w:p>
        </w:tc>
        <w:tc>
          <w:tcPr>
            <w:tcW w:w="3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December 2019</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5980" w:type="dxa"/>
            <w:vAlign w:val="bottom"/>
          </w:tcPr>
          <w:p>
            <w:pPr>
              <w:spacing w:after="0"/>
              <w:rPr>
                <w:sz w:val="15"/>
                <w:szCs w:val="15"/>
                <w:color w:val="auto"/>
              </w:rPr>
            </w:pPr>
          </w:p>
        </w:tc>
        <w:tc>
          <w:tcPr>
            <w:tcW w:w="38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4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99"/>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Depreciation and amortisation</w:t>
            </w:r>
          </w:p>
        </w:tc>
        <w:tc>
          <w:tcPr>
            <w:tcW w:w="38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83"/>
        </w:trPr>
        <w:tc>
          <w:tcPr>
            <w:tcW w:w="5980" w:type="dxa"/>
            <w:vAlign w:val="bottom"/>
          </w:tcPr>
          <w:p>
            <w:pPr>
              <w:ind w:left="20"/>
              <w:spacing w:after="0"/>
              <w:rPr>
                <w:sz w:val="20"/>
                <w:szCs w:val="20"/>
                <w:color w:val="auto"/>
              </w:rPr>
            </w:pPr>
            <w:r>
              <w:rPr>
                <w:rFonts w:ascii="Arial" w:cs="Arial" w:eastAsia="Arial" w:hAnsi="Arial"/>
                <w:sz w:val="13"/>
                <w:szCs w:val="13"/>
                <w:color w:val="auto"/>
              </w:rPr>
              <w:t>Depreciation of property, plant and equipment (note12)</w:t>
            </w:r>
          </w:p>
        </w:tc>
        <w:tc>
          <w:tcPr>
            <w:tcW w:w="3820" w:type="dxa"/>
            <w:vAlign w:val="bottom"/>
          </w:tcPr>
          <w:p>
            <w:pPr>
              <w:jc w:val="right"/>
              <w:ind w:right="76"/>
              <w:spacing w:after="0"/>
              <w:rPr>
                <w:sz w:val="20"/>
                <w:szCs w:val="20"/>
                <w:color w:val="auto"/>
              </w:rPr>
            </w:pPr>
            <w:r>
              <w:rPr>
                <w:rFonts w:ascii="Arial" w:cs="Arial" w:eastAsia="Arial" w:hAnsi="Arial"/>
                <w:sz w:val="13"/>
                <w:szCs w:val="13"/>
                <w:b w:val="1"/>
                <w:bCs w:val="1"/>
                <w:color w:val="auto"/>
              </w:rPr>
              <w:t>19,597</w:t>
            </w:r>
          </w:p>
        </w:tc>
        <w:tc>
          <w:tcPr>
            <w:tcW w:w="1480" w:type="dxa"/>
            <w:vAlign w:val="bottom"/>
          </w:tcPr>
          <w:p>
            <w:pPr>
              <w:jc w:val="right"/>
              <w:ind w:right="76"/>
              <w:spacing w:after="0"/>
              <w:rPr>
                <w:sz w:val="20"/>
                <w:szCs w:val="20"/>
                <w:color w:val="auto"/>
              </w:rPr>
            </w:pPr>
            <w:r>
              <w:rPr>
                <w:rFonts w:ascii="Arial" w:cs="Arial" w:eastAsia="Arial" w:hAnsi="Arial"/>
                <w:sz w:val="13"/>
                <w:szCs w:val="13"/>
                <w:color w:val="auto"/>
              </w:rPr>
              <w:t>19,996</w:t>
            </w:r>
          </w:p>
        </w:tc>
      </w:tr>
      <w:tr>
        <w:trPr>
          <w:trHeight w:val="199"/>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of right-of-use assets (note 27)</w:t>
            </w:r>
          </w:p>
        </w:tc>
        <w:tc>
          <w:tcPr>
            <w:tcW w:w="382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31,387</w:t>
            </w:r>
          </w:p>
        </w:tc>
        <w:tc>
          <w:tcPr>
            <w:tcW w:w="148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r>
      <w:tr>
        <w:trPr>
          <w:trHeight w:val="183"/>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Amortisation of intangible assets (note13)</w:t>
            </w:r>
          </w:p>
        </w:tc>
        <w:tc>
          <w:tcPr>
            <w:tcW w:w="38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41,953</w:t>
            </w:r>
          </w:p>
        </w:tc>
        <w:tc>
          <w:tcPr>
            <w:tcW w:w="14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45,920</w:t>
            </w:r>
          </w:p>
        </w:tc>
      </w:tr>
      <w:tr>
        <w:trPr>
          <w:trHeight w:val="200"/>
        </w:trPr>
        <w:tc>
          <w:tcPr>
            <w:tcW w:w="598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2"/>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depreciation and amortisation</w:t>
            </w:r>
          </w:p>
        </w:tc>
        <w:tc>
          <w:tcPr>
            <w:tcW w:w="38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92,937</w:t>
            </w:r>
          </w:p>
        </w:tc>
        <w:tc>
          <w:tcPr>
            <w:tcW w:w="14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65,916</w:t>
            </w:r>
          </w:p>
        </w:tc>
      </w:tr>
      <w:tr>
        <w:trPr>
          <w:trHeight w:val="159"/>
        </w:trPr>
        <w:tc>
          <w:tcPr>
            <w:tcW w:w="5980" w:type="dxa"/>
            <w:vAlign w:val="bottom"/>
            <w:shd w:val="clear" w:color="auto" w:fill="CCEEFF"/>
          </w:tcPr>
          <w:p>
            <w:pPr>
              <w:spacing w:after="0"/>
              <w:rPr>
                <w:sz w:val="13"/>
                <w:szCs w:val="13"/>
                <w:color w:val="auto"/>
              </w:rPr>
            </w:pPr>
          </w:p>
        </w:tc>
        <w:tc>
          <w:tcPr>
            <w:tcW w:w="38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3"/>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Loss on sale of property, plant &amp; equipment</w:t>
            </w:r>
          </w:p>
        </w:tc>
        <w:tc>
          <w:tcPr>
            <w:tcW w:w="38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346</w:t>
            </w:r>
          </w:p>
        </w:tc>
        <w:tc>
          <w:tcPr>
            <w:tcW w:w="14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70</w:t>
            </w:r>
          </w:p>
        </w:tc>
      </w:tr>
      <w:tr>
        <w:trPr>
          <w:trHeight w:val="359"/>
        </w:trPr>
        <w:tc>
          <w:tcPr>
            <w:tcW w:w="59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1"/>
        </w:trPr>
        <w:tc>
          <w:tcPr>
            <w:tcW w:w="5980" w:type="dxa"/>
            <w:vAlign w:val="bottom"/>
            <w:shd w:val="clear" w:color="auto" w:fill="CCEEFF"/>
          </w:tcPr>
          <w:p>
            <w:pPr>
              <w:spacing w:after="0"/>
              <w:rPr>
                <w:sz w:val="14"/>
                <w:szCs w:val="14"/>
                <w:color w:val="auto"/>
              </w:rPr>
            </w:pPr>
          </w:p>
        </w:tc>
        <w:tc>
          <w:tcPr>
            <w:tcW w:w="38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Year ended 31 December</w:t>
            </w:r>
          </w:p>
        </w:tc>
      </w:tr>
      <w:tr>
        <w:trPr>
          <w:trHeight w:val="161"/>
        </w:trPr>
        <w:tc>
          <w:tcPr>
            <w:tcW w:w="5980" w:type="dxa"/>
            <w:vAlign w:val="bottom"/>
            <w:tcBorders>
              <w:bottom w:val="single" w:sz="8" w:color="auto"/>
            </w:tcBorders>
            <w:shd w:val="clear" w:color="auto" w:fill="CCEEFF"/>
          </w:tcPr>
          <w:p>
            <w:pPr>
              <w:spacing w:after="0"/>
              <w:rPr>
                <w:sz w:val="13"/>
                <w:szCs w:val="13"/>
                <w:color w:val="auto"/>
              </w:rPr>
            </w:pPr>
          </w:p>
        </w:tc>
        <w:tc>
          <w:tcPr>
            <w:tcW w:w="382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59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99"/>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lease rentals</w:t>
            </w:r>
          </w:p>
        </w:tc>
        <w:tc>
          <w:tcPr>
            <w:tcW w:w="38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83"/>
        </w:trPr>
        <w:tc>
          <w:tcPr>
            <w:tcW w:w="5980" w:type="dxa"/>
            <w:vAlign w:val="bottom"/>
          </w:tcPr>
          <w:p>
            <w:pPr>
              <w:ind w:left="20"/>
              <w:spacing w:after="0"/>
              <w:rPr>
                <w:sz w:val="20"/>
                <w:szCs w:val="20"/>
                <w:color w:val="auto"/>
              </w:rPr>
            </w:pPr>
            <w:r>
              <w:rPr>
                <w:rFonts w:ascii="Arial" w:cs="Arial" w:eastAsia="Arial" w:hAnsi="Arial"/>
                <w:sz w:val="13"/>
                <w:szCs w:val="13"/>
                <w:color w:val="auto"/>
              </w:rPr>
              <w:t>Premises</w:t>
            </w:r>
          </w:p>
        </w:tc>
        <w:tc>
          <w:tcPr>
            <w:tcW w:w="3820" w:type="dxa"/>
            <w:vAlign w:val="bottom"/>
          </w:tcPr>
          <w:p>
            <w:pPr>
              <w:spacing w:after="0"/>
              <w:rPr>
                <w:sz w:val="15"/>
                <w:szCs w:val="15"/>
                <w:color w:val="auto"/>
              </w:rPr>
            </w:pPr>
          </w:p>
        </w:tc>
        <w:tc>
          <w:tcPr>
            <w:tcW w:w="1480" w:type="dxa"/>
            <w:vAlign w:val="bottom"/>
          </w:tcPr>
          <w:p>
            <w:pPr>
              <w:jc w:val="right"/>
              <w:ind w:right="76"/>
              <w:spacing w:after="0"/>
              <w:rPr>
                <w:sz w:val="20"/>
                <w:szCs w:val="20"/>
                <w:color w:val="auto"/>
              </w:rPr>
            </w:pPr>
            <w:r>
              <w:rPr>
                <w:rFonts w:ascii="Arial" w:cs="Arial" w:eastAsia="Arial" w:hAnsi="Arial"/>
                <w:sz w:val="13"/>
                <w:szCs w:val="13"/>
                <w:color w:val="auto"/>
              </w:rPr>
              <w:t>36,383</w:t>
            </w:r>
          </w:p>
        </w:tc>
      </w:tr>
      <w:tr>
        <w:trPr>
          <w:trHeight w:val="199"/>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Motor vehicles</w:t>
            </w:r>
          </w:p>
        </w:tc>
        <w:tc>
          <w:tcPr>
            <w:tcW w:w="38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3,227</w:t>
            </w:r>
          </w:p>
        </w:tc>
      </w:tr>
      <w:tr>
        <w:trPr>
          <w:trHeight w:val="183"/>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Plant and equipment</w:t>
            </w:r>
          </w:p>
        </w:tc>
        <w:tc>
          <w:tcPr>
            <w:tcW w:w="38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680</w:t>
            </w:r>
          </w:p>
        </w:tc>
      </w:tr>
      <w:tr>
        <w:trPr>
          <w:trHeight w:val="157"/>
        </w:trPr>
        <w:tc>
          <w:tcPr>
            <w:tcW w:w="5980" w:type="dxa"/>
            <w:vAlign w:val="bottom"/>
            <w:shd w:val="clear" w:color="auto" w:fill="CCEEFF"/>
          </w:tcPr>
          <w:p>
            <w:pPr>
              <w:spacing w:after="0"/>
              <w:rPr>
                <w:sz w:val="13"/>
                <w:szCs w:val="13"/>
                <w:color w:val="auto"/>
              </w:rPr>
            </w:pPr>
          </w:p>
        </w:tc>
        <w:tc>
          <w:tcPr>
            <w:tcW w:w="38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92"/>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operating lease rentals *</w:t>
            </w:r>
          </w:p>
        </w:tc>
        <w:tc>
          <w:tcPr>
            <w:tcW w:w="38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40,290</w:t>
            </w:r>
          </w:p>
        </w:tc>
      </w:tr>
    </w:tbl>
    <w:p>
      <w:pPr>
        <w:spacing w:after="0" w:line="55" w:lineRule="exact"/>
        <w:rPr>
          <w:sz w:val="20"/>
          <w:szCs w:val="20"/>
          <w:color w:val="auto"/>
        </w:rPr>
      </w:pPr>
    </w:p>
    <w:p>
      <w:pPr>
        <w:ind w:left="40"/>
        <w:spacing w:after="0"/>
        <w:rPr>
          <w:sz w:val="20"/>
          <w:szCs w:val="20"/>
          <w:color w:val="auto"/>
        </w:rPr>
      </w:pPr>
      <w:r>
        <w:rPr>
          <w:rFonts w:ascii="Arial" w:cs="Arial" w:eastAsia="Arial" w:hAnsi="Arial"/>
          <w:sz w:val="11"/>
          <w:szCs w:val="11"/>
          <w:i w:val="1"/>
          <w:iCs w:val="1"/>
          <w:color w:val="auto"/>
        </w:rPr>
        <w:t>* Operating lease rentals above reflects costs pursuant to IAS 17 and includes rate expenses incurred during the year.</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Financing income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shd w:val="clear" w:color="auto" w:fill="CCEEFF"/>
          </w:tcPr>
          <w:p>
            <w:pPr>
              <w:spacing w:after="0"/>
              <w:rPr>
                <w:sz w:val="13"/>
                <w:szCs w:val="13"/>
                <w:color w:val="auto"/>
              </w:rPr>
            </w:pP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7"/>
        </w:trPr>
        <w:tc>
          <w:tcPr>
            <w:tcW w:w="6400" w:type="dxa"/>
            <w:vAlign w:val="bottom"/>
            <w:tcBorders>
              <w:bottom w:val="single" w:sz="8" w:color="auto"/>
            </w:tcBorders>
            <w:shd w:val="clear" w:color="auto" w:fill="CCEEFF"/>
          </w:tcPr>
          <w:p>
            <w:pPr>
              <w:spacing w:after="0"/>
              <w:rPr>
                <w:sz w:val="15"/>
                <w:szCs w:val="15"/>
                <w:color w:val="auto"/>
              </w:rPr>
            </w:pPr>
          </w:p>
        </w:tc>
        <w:tc>
          <w:tcPr>
            <w:tcW w:w="39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December 2019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6400" w:type="dxa"/>
            <w:vAlign w:val="bottom"/>
          </w:tcPr>
          <w:p>
            <w:pPr>
              <w:spacing w:after="0"/>
              <w:rPr>
                <w:sz w:val="15"/>
                <w:szCs w:val="15"/>
                <w:color w:val="auto"/>
              </w:rPr>
            </w:pPr>
          </w:p>
        </w:tc>
        <w:tc>
          <w:tcPr>
            <w:tcW w:w="3980" w:type="dxa"/>
            <w:vAlign w:val="bottom"/>
          </w:tcPr>
          <w:p>
            <w:pPr>
              <w:jc w:val="right"/>
              <w:ind w:right="516"/>
              <w:spacing w:after="0"/>
              <w:rPr>
                <w:sz w:val="20"/>
                <w:szCs w:val="20"/>
                <w:color w:val="auto"/>
              </w:rPr>
            </w:pPr>
            <w:r>
              <w:rPr>
                <w:rFonts w:ascii="Arial" w:cs="Arial" w:eastAsia="Arial" w:hAnsi="Arial"/>
                <w:sz w:val="13"/>
                <w:szCs w:val="13"/>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9"/>
        </w:trPr>
        <w:tc>
          <w:tcPr>
            <w:tcW w:w="640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83"/>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Interest receivable</w:t>
            </w:r>
          </w:p>
        </w:tc>
        <w:tc>
          <w:tcPr>
            <w:tcW w:w="398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6,859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4,759</w:t>
            </w:r>
          </w:p>
        </w:tc>
      </w:tr>
      <w:tr>
        <w:trPr>
          <w:trHeight w:val="189"/>
        </w:trPr>
        <w:tc>
          <w:tcPr>
            <w:tcW w:w="6400" w:type="dxa"/>
            <w:vAlign w:val="bottom"/>
            <w:shd w:val="clear" w:color="auto" w:fill="CCEEFF"/>
          </w:tcPr>
          <w:p>
            <w:pPr>
              <w:spacing w:after="0"/>
              <w:rPr>
                <w:sz w:val="16"/>
                <w:szCs w:val="16"/>
                <w:color w:val="auto"/>
              </w:rPr>
            </w:pPr>
          </w:p>
        </w:tc>
        <w:tc>
          <w:tcPr>
            <w:tcW w:w="39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2"/>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finance income</w:t>
            </w:r>
          </w:p>
        </w:tc>
        <w:tc>
          <w:tcPr>
            <w:tcW w:w="398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6,859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4,759</w:t>
            </w:r>
          </w:p>
        </w:tc>
      </w:tr>
      <w:tr>
        <w:trPr>
          <w:trHeight w:val="420"/>
        </w:trPr>
        <w:tc>
          <w:tcPr>
            <w:tcW w:w="6400" w:type="dxa"/>
            <w:vAlign w:val="bottom"/>
          </w:tcPr>
          <w:p>
            <w:pPr>
              <w:spacing w:after="0"/>
              <w:rPr>
                <w:sz w:val="20"/>
                <w:szCs w:val="20"/>
                <w:color w:val="auto"/>
              </w:rPr>
            </w:pPr>
            <w:r>
              <w:rPr>
                <w:rFonts w:ascii="Arial" w:cs="Arial" w:eastAsia="Arial" w:hAnsi="Arial"/>
                <w:sz w:val="13"/>
                <w:szCs w:val="13"/>
                <w:color w:val="auto"/>
              </w:rPr>
              <w:t>All of the above relate to items not at fair value through profit and loss.</w:t>
            </w:r>
          </w:p>
        </w:tc>
        <w:tc>
          <w:tcPr>
            <w:tcW w:w="39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80"/>
          </w:cols>
          <w:pgMar w:left="300" w:top="696" w:right="31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 Financing expense</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140" w:type="dxa"/>
            <w:vAlign w:val="bottom"/>
            <w:shd w:val="clear" w:color="auto" w:fill="CCEEFF"/>
          </w:tcPr>
          <w:p>
            <w:pPr>
              <w:spacing w:after="0"/>
              <w:rPr>
                <w:sz w:val="13"/>
                <w:szCs w:val="13"/>
                <w:color w:val="auto"/>
              </w:rPr>
            </w:pP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7"/>
        </w:trPr>
        <w:tc>
          <w:tcPr>
            <w:tcW w:w="6140" w:type="dxa"/>
            <w:vAlign w:val="bottom"/>
            <w:tcBorders>
              <w:bottom w:val="single" w:sz="8" w:color="auto"/>
            </w:tcBorders>
            <w:shd w:val="clear" w:color="auto" w:fill="CCEEFF"/>
          </w:tcPr>
          <w:p>
            <w:pPr>
              <w:spacing w:after="0"/>
              <w:rPr>
                <w:sz w:val="15"/>
                <w:szCs w:val="15"/>
                <w:color w:val="auto"/>
              </w:rPr>
            </w:pPr>
          </w:p>
        </w:tc>
        <w:tc>
          <w:tcPr>
            <w:tcW w:w="420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December 2019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6140" w:type="dxa"/>
            <w:vAlign w:val="bottom"/>
          </w:tcPr>
          <w:p>
            <w:pPr>
              <w:spacing w:after="0"/>
              <w:rPr>
                <w:sz w:val="15"/>
                <w:szCs w:val="15"/>
                <w:color w:val="auto"/>
              </w:rPr>
            </w:pPr>
          </w:p>
        </w:tc>
        <w:tc>
          <w:tcPr>
            <w:tcW w:w="4200" w:type="dxa"/>
            <w:vAlign w:val="bottom"/>
          </w:tcPr>
          <w:p>
            <w:pPr>
              <w:jc w:val="right"/>
              <w:ind w:right="476"/>
              <w:spacing w:after="0"/>
              <w:rPr>
                <w:sz w:val="20"/>
                <w:szCs w:val="20"/>
                <w:color w:val="auto"/>
              </w:rPr>
            </w:pPr>
            <w:r>
              <w:rPr>
                <w:rFonts w:ascii="Arial" w:cs="Arial" w:eastAsia="Arial" w:hAnsi="Arial"/>
                <w:sz w:val="13"/>
                <w:szCs w:val="13"/>
                <w:b w:val="1"/>
                <w:bCs w:val="1"/>
                <w:color w:val="auto"/>
              </w:rPr>
              <w:t>$’000</w:t>
            </w:r>
          </w:p>
        </w:tc>
        <w:tc>
          <w:tcPr>
            <w:tcW w:w="9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9"/>
        </w:trPr>
        <w:tc>
          <w:tcPr>
            <w:tcW w:w="614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83"/>
        </w:trPr>
        <w:tc>
          <w:tcPr>
            <w:tcW w:w="6140" w:type="dxa"/>
            <w:vAlign w:val="bottom"/>
          </w:tcPr>
          <w:p>
            <w:pPr>
              <w:ind w:left="20"/>
              <w:spacing w:after="0"/>
              <w:rPr>
                <w:sz w:val="20"/>
                <w:szCs w:val="20"/>
                <w:color w:val="auto"/>
              </w:rPr>
            </w:pPr>
            <w:r>
              <w:rPr>
                <w:rFonts w:ascii="Arial" w:cs="Arial" w:eastAsia="Arial" w:hAnsi="Arial"/>
                <w:sz w:val="13"/>
                <w:szCs w:val="13"/>
                <w:color w:val="auto"/>
              </w:rPr>
              <w:t>Interest and facility fees on bank overdraft and Senior Notes</w:t>
            </w:r>
          </w:p>
        </w:tc>
        <w:tc>
          <w:tcPr>
            <w:tcW w:w="42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9"/>
        </w:trPr>
        <w:tc>
          <w:tcPr>
            <w:tcW w:w="6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repayable within 5 years, not by installments*</w:t>
            </w:r>
          </w:p>
        </w:tc>
        <w:tc>
          <w:tcPr>
            <w:tcW w:w="420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13,659</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13,613</w:t>
            </w:r>
          </w:p>
        </w:tc>
      </w:tr>
      <w:tr>
        <w:trPr>
          <w:trHeight w:val="183"/>
        </w:trPr>
        <w:tc>
          <w:tcPr>
            <w:tcW w:w="6140" w:type="dxa"/>
            <w:vAlign w:val="bottom"/>
          </w:tcPr>
          <w:p>
            <w:pPr>
              <w:ind w:left="20"/>
              <w:spacing w:after="0"/>
              <w:rPr>
                <w:sz w:val="20"/>
                <w:szCs w:val="20"/>
                <w:color w:val="auto"/>
              </w:rPr>
            </w:pPr>
            <w:r>
              <w:rPr>
                <w:rFonts w:ascii="Arial" w:cs="Arial" w:eastAsia="Arial" w:hAnsi="Arial"/>
                <w:sz w:val="13"/>
                <w:szCs w:val="13"/>
                <w:color w:val="auto"/>
              </w:rPr>
              <w:t>Remeasurement of gross obligation under put option</w:t>
            </w:r>
          </w:p>
        </w:tc>
        <w:tc>
          <w:tcPr>
            <w:tcW w:w="4200" w:type="dxa"/>
            <w:vAlign w:val="bottom"/>
          </w:tcPr>
          <w:p>
            <w:pPr>
              <w:jc w:val="right"/>
              <w:ind w:right="616"/>
              <w:spacing w:after="0"/>
              <w:rPr>
                <w:sz w:val="20"/>
                <w:szCs w:val="20"/>
                <w:color w:val="auto"/>
              </w:rPr>
            </w:pPr>
            <w:r>
              <w:rPr>
                <w:rFonts w:ascii="Arial" w:cs="Arial" w:eastAsia="Arial" w:hAnsi="Arial"/>
                <w:sz w:val="13"/>
                <w:szCs w:val="13"/>
                <w:b w:val="1"/>
                <w:bCs w:val="1"/>
                <w:color w:val="auto"/>
              </w:rPr>
              <w:t>8,723</w:t>
            </w:r>
          </w:p>
        </w:tc>
        <w:tc>
          <w:tcPr>
            <w:tcW w:w="94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r>
      <w:tr>
        <w:trPr>
          <w:trHeight w:val="199"/>
        </w:trPr>
        <w:tc>
          <w:tcPr>
            <w:tcW w:w="6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on lease liabilities</w:t>
            </w:r>
          </w:p>
        </w:tc>
        <w:tc>
          <w:tcPr>
            <w:tcW w:w="4200" w:type="dxa"/>
            <w:vAlign w:val="bottom"/>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2,626</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r>
      <w:tr>
        <w:trPr>
          <w:trHeight w:val="183"/>
        </w:trPr>
        <w:tc>
          <w:tcPr>
            <w:tcW w:w="6140" w:type="dxa"/>
            <w:vAlign w:val="bottom"/>
          </w:tcPr>
          <w:p>
            <w:pPr>
              <w:ind w:left="20"/>
              <w:spacing w:after="0"/>
              <w:rPr>
                <w:sz w:val="20"/>
                <w:szCs w:val="20"/>
                <w:color w:val="auto"/>
              </w:rPr>
            </w:pPr>
            <w:r>
              <w:rPr>
                <w:rFonts w:ascii="Arial" w:cs="Arial" w:eastAsia="Arial" w:hAnsi="Arial"/>
                <w:sz w:val="13"/>
                <w:szCs w:val="13"/>
                <w:color w:val="auto"/>
              </w:rPr>
              <w:t>Facility fees (including amortisation)</w:t>
            </w:r>
          </w:p>
        </w:tc>
        <w:tc>
          <w:tcPr>
            <w:tcW w:w="4200" w:type="dxa"/>
            <w:vAlign w:val="bottom"/>
          </w:tcPr>
          <w:p>
            <w:pPr>
              <w:jc w:val="right"/>
              <w:ind w:right="476"/>
              <w:spacing w:after="0"/>
              <w:rPr>
                <w:sz w:val="20"/>
                <w:szCs w:val="20"/>
                <w:color w:val="auto"/>
              </w:rPr>
            </w:pPr>
            <w:r>
              <w:rPr>
                <w:rFonts w:ascii="Arial" w:cs="Arial" w:eastAsia="Arial" w:hAnsi="Arial"/>
                <w:sz w:val="13"/>
                <w:szCs w:val="13"/>
                <w:b w:val="1"/>
                <w:bCs w:val="1"/>
                <w:color w:val="auto"/>
              </w:rPr>
              <w:t>540</w:t>
            </w:r>
          </w:p>
        </w:tc>
        <w:tc>
          <w:tcPr>
            <w:tcW w:w="940" w:type="dxa"/>
            <w:vAlign w:val="bottom"/>
          </w:tcPr>
          <w:p>
            <w:pPr>
              <w:jc w:val="right"/>
              <w:spacing w:after="0"/>
              <w:rPr>
                <w:sz w:val="20"/>
                <w:szCs w:val="20"/>
                <w:color w:val="auto"/>
              </w:rPr>
            </w:pPr>
            <w:r>
              <w:rPr>
                <w:rFonts w:ascii="Arial" w:cs="Arial" w:eastAsia="Arial" w:hAnsi="Arial"/>
                <w:sz w:val="13"/>
                <w:szCs w:val="13"/>
                <w:color w:val="auto"/>
              </w:rPr>
              <w:t>812</w:t>
            </w:r>
          </w:p>
        </w:tc>
      </w:tr>
      <w:tr>
        <w:trPr>
          <w:trHeight w:val="191"/>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Amortisation of gain on interest rate hedge</w:t>
            </w:r>
          </w:p>
        </w:tc>
        <w:tc>
          <w:tcPr>
            <w:tcW w:w="420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(923)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(923)</w:t>
            </w:r>
          </w:p>
        </w:tc>
      </w:tr>
      <w:tr>
        <w:trPr>
          <w:trHeight w:val="189"/>
        </w:trPr>
        <w:tc>
          <w:tcPr>
            <w:tcW w:w="61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2"/>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finance expense</w:t>
            </w:r>
          </w:p>
        </w:tc>
        <w:tc>
          <w:tcPr>
            <w:tcW w:w="420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24,625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13,502</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interest rate on the Senior Notes is fixed at 3.64%. Costs directly related to the Senior Notes are amortised over the term.</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All of the above (other than remeasurement of gross obligation under put option) relate to items not at fair value through profit and loss.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80"/>
          </w:cols>
          <w:pgMar w:left="300" w:top="696" w:right="31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Income tax expense</w:t>
      </w: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color w:val="auto"/>
        </w:rPr>
        <w:t>The components of the current and deferred tax expense for the years ended 31 December 2019 and 2018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2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7"/>
        </w:trPr>
        <w:tc>
          <w:tcPr>
            <w:tcW w:w="103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December 2019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74"/>
        </w:trPr>
        <w:tc>
          <w:tcPr>
            <w:tcW w:w="10380" w:type="dxa"/>
            <w:vAlign w:val="bottom"/>
          </w:tcPr>
          <w:p>
            <w:pPr>
              <w:jc w:val="right"/>
              <w:ind w:right="516"/>
              <w:spacing w:after="0"/>
              <w:rPr>
                <w:sz w:val="20"/>
                <w:szCs w:val="20"/>
                <w:color w:val="auto"/>
              </w:rPr>
            </w:pPr>
            <w:r>
              <w:rPr>
                <w:rFonts w:ascii="Arial" w:cs="Arial" w:eastAsia="Arial" w:hAnsi="Arial"/>
                <w:sz w:val="13"/>
                <w:szCs w:val="13"/>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3"/>
                <w:szCs w:val="13"/>
                <w:color w:val="auto"/>
              </w:rPr>
              <w:t>$’000</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tax expense</w:t>
            </w:r>
          </w:p>
        </w:tc>
        <w:tc>
          <w:tcPr>
            <w:tcW w:w="38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3"/>
        </w:trPr>
        <w:tc>
          <w:tcPr>
            <w:tcW w:w="6480" w:type="dxa"/>
            <w:vAlign w:val="bottom"/>
          </w:tcPr>
          <w:p>
            <w:pPr>
              <w:ind w:left="20"/>
              <w:spacing w:after="0"/>
              <w:rPr>
                <w:sz w:val="20"/>
                <w:szCs w:val="20"/>
                <w:color w:val="auto"/>
              </w:rPr>
            </w:pPr>
            <w:r>
              <w:rPr>
                <w:rFonts w:ascii="Arial" w:cs="Arial" w:eastAsia="Arial" w:hAnsi="Arial"/>
                <w:sz w:val="13"/>
                <w:szCs w:val="13"/>
                <w:color w:val="auto"/>
              </w:rPr>
              <w:t>Current year</w:t>
            </w:r>
          </w:p>
        </w:tc>
        <w:tc>
          <w:tcPr>
            <w:tcW w:w="3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9"/>
        </w:trPr>
        <w:tc>
          <w:tcPr>
            <w:tcW w:w="6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Ireland</w:t>
            </w:r>
          </w:p>
        </w:tc>
        <w:tc>
          <w:tcPr>
            <w:tcW w:w="3800" w:type="dxa"/>
            <w:vAlign w:val="bottom"/>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36,150</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26,898</w:t>
            </w:r>
          </w:p>
        </w:tc>
      </w:tr>
      <w:tr>
        <w:trPr>
          <w:trHeight w:val="183"/>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 Other</w:t>
            </w:r>
          </w:p>
        </w:tc>
        <w:tc>
          <w:tcPr>
            <w:tcW w:w="38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24,959</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17,127</w:t>
            </w:r>
          </w:p>
        </w:tc>
      </w:tr>
      <w:tr>
        <w:trPr>
          <w:trHeight w:val="189"/>
        </w:trPr>
        <w:tc>
          <w:tcPr>
            <w:tcW w:w="6480" w:type="dxa"/>
            <w:vAlign w:val="bottom"/>
            <w:shd w:val="clear" w:color="auto" w:fill="CCEEFF"/>
          </w:tcPr>
          <w:p>
            <w:pPr>
              <w:spacing w:after="0"/>
              <w:rPr>
                <w:sz w:val="16"/>
                <w:szCs w:val="16"/>
                <w:color w:val="auto"/>
              </w:rPr>
            </w:pPr>
          </w:p>
        </w:tc>
        <w:tc>
          <w:tcPr>
            <w:tcW w:w="3800" w:type="dxa"/>
            <w:vAlign w:val="bottom"/>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61,109</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44,025</w:t>
            </w:r>
          </w:p>
        </w:tc>
      </w:tr>
      <w:tr>
        <w:trPr>
          <w:trHeight w:val="183"/>
        </w:trPr>
        <w:tc>
          <w:tcPr>
            <w:tcW w:w="6480" w:type="dxa"/>
            <w:vAlign w:val="bottom"/>
          </w:tcPr>
          <w:p>
            <w:pPr>
              <w:ind w:left="20"/>
              <w:spacing w:after="0"/>
              <w:rPr>
                <w:sz w:val="20"/>
                <w:szCs w:val="20"/>
                <w:color w:val="auto"/>
              </w:rPr>
            </w:pPr>
            <w:r>
              <w:rPr>
                <w:rFonts w:ascii="Arial" w:cs="Arial" w:eastAsia="Arial" w:hAnsi="Arial"/>
                <w:sz w:val="13"/>
                <w:szCs w:val="13"/>
                <w:b w:val="1"/>
                <w:bCs w:val="1"/>
                <w:color w:val="auto"/>
              </w:rPr>
              <w:t>Deferred tax expense/ (credit)</w:t>
            </w:r>
          </w:p>
        </w:tc>
        <w:tc>
          <w:tcPr>
            <w:tcW w:w="3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9"/>
        </w:trPr>
        <w:tc>
          <w:tcPr>
            <w:tcW w:w="6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Origination and reversal of temporary differences</w:t>
            </w:r>
          </w:p>
        </w:tc>
        <w:tc>
          <w:tcPr>
            <w:tcW w:w="380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(2,556)</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2,584</w:t>
            </w:r>
          </w:p>
        </w:tc>
      </w:tr>
      <w:tr>
        <w:trPr>
          <w:trHeight w:val="127"/>
        </w:trPr>
        <w:tc>
          <w:tcPr>
            <w:tcW w:w="648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83"/>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Over provided in prior years</w:t>
            </w:r>
          </w:p>
        </w:tc>
        <w:tc>
          <w:tcPr>
            <w:tcW w:w="380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(1,221)</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(1,051)</w:t>
            </w:r>
          </w:p>
        </w:tc>
      </w:tr>
      <w:tr>
        <w:trPr>
          <w:trHeight w:val="115"/>
        </w:trPr>
        <w:tc>
          <w:tcPr>
            <w:tcW w:w="648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92"/>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income tax expense in profit and loss</w:t>
            </w:r>
          </w:p>
        </w:tc>
        <w:tc>
          <w:tcPr>
            <w:tcW w:w="380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57,332</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45,558</w:t>
            </w:r>
          </w:p>
        </w:tc>
      </w:tr>
      <w:tr>
        <w:trPr>
          <w:trHeight w:val="117"/>
        </w:trPr>
        <w:tc>
          <w:tcPr>
            <w:tcW w:w="64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91"/>
        </w:trPr>
        <w:tc>
          <w:tcPr>
            <w:tcW w:w="6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Tax recognised directly in equity</w:t>
            </w:r>
          </w:p>
        </w:tc>
        <w:tc>
          <w:tcPr>
            <w:tcW w:w="38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3"/>
        </w:trPr>
        <w:tc>
          <w:tcPr>
            <w:tcW w:w="6480" w:type="dxa"/>
            <w:vAlign w:val="bottom"/>
          </w:tcPr>
          <w:p>
            <w:pPr>
              <w:ind w:left="20"/>
              <w:spacing w:after="0"/>
              <w:rPr>
                <w:sz w:val="20"/>
                <w:szCs w:val="20"/>
                <w:color w:val="auto"/>
              </w:rPr>
            </w:pPr>
            <w:r>
              <w:rPr>
                <w:rFonts w:ascii="Arial" w:cs="Arial" w:eastAsia="Arial" w:hAnsi="Arial"/>
                <w:sz w:val="13"/>
                <w:szCs w:val="13"/>
                <w:color w:val="auto"/>
              </w:rPr>
              <w:t>Deferred tax recognised directly in equity</w:t>
            </w:r>
          </w:p>
        </w:tc>
        <w:tc>
          <w:tcPr>
            <w:tcW w:w="3800" w:type="dxa"/>
            <w:vAlign w:val="bottom"/>
          </w:tcPr>
          <w:p>
            <w:pPr>
              <w:jc w:val="right"/>
              <w:ind w:right="556"/>
              <w:spacing w:after="0"/>
              <w:rPr>
                <w:sz w:val="20"/>
                <w:szCs w:val="20"/>
                <w:color w:val="auto"/>
              </w:rPr>
            </w:pPr>
            <w:r>
              <w:rPr>
                <w:rFonts w:ascii="Arial" w:cs="Arial" w:eastAsia="Arial" w:hAnsi="Arial"/>
                <w:sz w:val="13"/>
                <w:szCs w:val="13"/>
                <w:b w:val="1"/>
                <w:bCs w:val="1"/>
                <w:color w:val="auto"/>
              </w:rPr>
              <w:t>862</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8,195</w:t>
            </w:r>
          </w:p>
        </w:tc>
      </w:tr>
      <w:tr>
        <w:trPr>
          <w:trHeight w:val="191"/>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Current tax recognised directly in equity</w:t>
            </w:r>
          </w:p>
        </w:tc>
        <w:tc>
          <w:tcPr>
            <w:tcW w:w="380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(7,229)</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(4,626)</w:t>
            </w:r>
          </w:p>
        </w:tc>
      </w:tr>
      <w:tr>
        <w:trPr>
          <w:trHeight w:val="115"/>
        </w:trPr>
        <w:tc>
          <w:tcPr>
            <w:tcW w:w="648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92"/>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tax recognised in equity</w:t>
            </w:r>
          </w:p>
        </w:tc>
        <w:tc>
          <w:tcPr>
            <w:tcW w:w="380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(6,367)</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3,569</w:t>
            </w:r>
          </w:p>
        </w:tc>
      </w:tr>
      <w:tr>
        <w:trPr>
          <w:trHeight w:val="117"/>
        </w:trPr>
        <w:tc>
          <w:tcPr>
            <w:tcW w:w="64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91"/>
        </w:trPr>
        <w:tc>
          <w:tcPr>
            <w:tcW w:w="6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tax recognised in other comprehensive income</w:t>
            </w:r>
          </w:p>
        </w:tc>
        <w:tc>
          <w:tcPr>
            <w:tcW w:w="38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3"/>
        </w:trPr>
        <w:tc>
          <w:tcPr>
            <w:tcW w:w="6480" w:type="dxa"/>
            <w:vAlign w:val="bottom"/>
          </w:tcPr>
          <w:p>
            <w:pPr>
              <w:ind w:left="20"/>
              <w:spacing w:after="0"/>
              <w:rPr>
                <w:sz w:val="20"/>
                <w:szCs w:val="20"/>
                <w:color w:val="auto"/>
              </w:rPr>
            </w:pPr>
            <w:r>
              <w:rPr>
                <w:rFonts w:ascii="Arial" w:cs="Arial" w:eastAsia="Arial" w:hAnsi="Arial"/>
                <w:sz w:val="13"/>
                <w:szCs w:val="13"/>
                <w:color w:val="auto"/>
              </w:rPr>
              <w:t>Fair value of cash flow hedge</w:t>
            </w:r>
          </w:p>
        </w:tc>
        <w:tc>
          <w:tcPr>
            <w:tcW w:w="3800" w:type="dxa"/>
            <w:vAlign w:val="bottom"/>
          </w:tcPr>
          <w:p>
            <w:pPr>
              <w:jc w:val="right"/>
              <w:ind w:right="55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(148)</w:t>
            </w:r>
          </w:p>
        </w:tc>
      </w:tr>
      <w:tr>
        <w:trPr>
          <w:trHeight w:val="199"/>
        </w:trPr>
        <w:tc>
          <w:tcPr>
            <w:tcW w:w="6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impact of pension contributions</w:t>
            </w:r>
          </w:p>
        </w:tc>
        <w:tc>
          <w:tcPr>
            <w:tcW w:w="380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r>
        <w:trPr>
          <w:trHeight w:val="183"/>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Tax on currency impact on long term funding</w:t>
            </w:r>
          </w:p>
        </w:tc>
        <w:tc>
          <w:tcPr>
            <w:tcW w:w="38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w:t>
            </w:r>
          </w:p>
        </w:tc>
      </w:tr>
      <w:tr>
        <w:trPr>
          <w:trHeight w:val="115"/>
        </w:trPr>
        <w:tc>
          <w:tcPr>
            <w:tcW w:w="6480" w:type="dxa"/>
            <w:vAlign w:val="bottom"/>
            <w:shd w:val="clear" w:color="auto" w:fill="CCEEFF"/>
          </w:tcPr>
          <w:p>
            <w:pPr>
              <w:spacing w:after="0"/>
              <w:rPr>
                <w:sz w:val="9"/>
                <w:szCs w:val="9"/>
                <w:color w:val="auto"/>
              </w:rPr>
            </w:pPr>
          </w:p>
        </w:tc>
        <w:tc>
          <w:tcPr>
            <w:tcW w:w="38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192"/>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income tax recognised in other comprehensive income</w:t>
            </w:r>
          </w:p>
        </w:tc>
        <w:tc>
          <w:tcPr>
            <w:tcW w:w="38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w:t>
            </w:r>
          </w:p>
        </w:tc>
      </w:tr>
    </w:tbl>
    <w:p>
      <w:pPr>
        <w:spacing w:after="0" w:line="2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total tax expense of $57.3 million and $45.6 million for the years ended 31 December 2019 and 31 December 2018 respectively, reflects tax at standard rates on taxable profits in the jurisdictions in which the Group operates, foreign withholding tax and the availability of tax losses.</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deferred tax charge of $2.6 million for the year ended 31 December 2019 and the deferred tax charge of $2.6 million for the year ended 31 December 2018, relates to deferred tax arising in respect of net operating losses and temporary differences in capital items, the timing of certain goodwill amortisation on US acquisitions and the timing of tax deductions available relating to the Group’s share-based compensation schemes. No deferred tax asset has been recognised on the defined benefit pension scheme as it is not probable that sufficient taxable profit will be available against which the deductible temporary difference can be utilised, with the exception of pension contributions made in the UK during 2017, the tax benefit for which has been recognised in other comprehensive income.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80"/>
          </w:cols>
          <w:pgMar w:left="300" w:top="696" w:right="31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Income tax expense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color w:val="auto"/>
        </w:rPr>
        <w:t>A reconciliation of the expected tax expense, computed by applying the standard Irish tax rate to income before tax to the actual tax expense, is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20" w:type="dxa"/>
            <w:vAlign w:val="bottom"/>
            <w:shd w:val="clear" w:color="auto" w:fill="CCEEFF"/>
          </w:tcPr>
          <w:p>
            <w:pPr>
              <w:spacing w:after="0"/>
              <w:rPr>
                <w:sz w:val="13"/>
                <w:szCs w:val="13"/>
                <w:color w:val="auto"/>
              </w:rPr>
            </w:pP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7"/>
        </w:trPr>
        <w:tc>
          <w:tcPr>
            <w:tcW w:w="6920" w:type="dxa"/>
            <w:vAlign w:val="bottom"/>
            <w:tcBorders>
              <w:bottom w:val="single" w:sz="8" w:color="auto"/>
            </w:tcBorders>
            <w:shd w:val="clear" w:color="auto" w:fill="CCEEFF"/>
          </w:tcPr>
          <w:p>
            <w:pPr>
              <w:spacing w:after="0"/>
              <w:rPr>
                <w:sz w:val="15"/>
                <w:szCs w:val="15"/>
                <w:color w:val="auto"/>
              </w:rPr>
            </w:pPr>
          </w:p>
        </w:tc>
        <w:tc>
          <w:tcPr>
            <w:tcW w:w="33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December 2019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6920" w:type="dxa"/>
            <w:vAlign w:val="bottom"/>
          </w:tcPr>
          <w:p>
            <w:pPr>
              <w:spacing w:after="0"/>
              <w:rPr>
                <w:sz w:val="15"/>
                <w:szCs w:val="15"/>
                <w:color w:val="auto"/>
              </w:rPr>
            </w:pPr>
          </w:p>
        </w:tc>
        <w:tc>
          <w:tcPr>
            <w:tcW w:w="3300" w:type="dxa"/>
            <w:vAlign w:val="bottom"/>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9"/>
        </w:trPr>
        <w:tc>
          <w:tcPr>
            <w:tcW w:w="692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83"/>
        </w:trPr>
        <w:tc>
          <w:tcPr>
            <w:tcW w:w="6920" w:type="dxa"/>
            <w:vAlign w:val="bottom"/>
          </w:tcPr>
          <w:p>
            <w:pPr>
              <w:ind w:left="20"/>
              <w:spacing w:after="0"/>
              <w:rPr>
                <w:sz w:val="20"/>
                <w:szCs w:val="20"/>
                <w:color w:val="auto"/>
              </w:rPr>
            </w:pPr>
            <w:r>
              <w:rPr>
                <w:rFonts w:ascii="Arial" w:cs="Arial" w:eastAsia="Arial" w:hAnsi="Arial"/>
                <w:sz w:val="13"/>
                <w:szCs w:val="13"/>
                <w:color w:val="auto"/>
              </w:rPr>
              <w:t>Profit before tax</w:t>
            </w:r>
          </w:p>
        </w:tc>
        <w:tc>
          <w:tcPr>
            <w:tcW w:w="3300" w:type="dxa"/>
            <w:vAlign w:val="bottom"/>
          </w:tcPr>
          <w:p>
            <w:pPr>
              <w:jc w:val="right"/>
              <w:ind w:right="556"/>
              <w:spacing w:after="0"/>
              <w:rPr>
                <w:sz w:val="20"/>
                <w:szCs w:val="20"/>
                <w:color w:val="auto"/>
              </w:rPr>
            </w:pPr>
            <w:r>
              <w:rPr>
                <w:rFonts w:ascii="Arial" w:cs="Arial" w:eastAsia="Arial" w:hAnsi="Arial"/>
                <w:sz w:val="13"/>
                <w:szCs w:val="13"/>
                <w:b w:val="1"/>
                <w:bCs w:val="1"/>
                <w:color w:val="auto"/>
              </w:rPr>
              <w:t>418,365</w:t>
            </w:r>
          </w:p>
        </w:tc>
        <w:tc>
          <w:tcPr>
            <w:tcW w:w="1060" w:type="dxa"/>
            <w:vAlign w:val="bottom"/>
          </w:tcPr>
          <w:p>
            <w:pPr>
              <w:jc w:val="right"/>
              <w:ind w:right="116"/>
              <w:spacing w:after="0"/>
              <w:rPr>
                <w:sz w:val="20"/>
                <w:szCs w:val="20"/>
                <w:color w:val="auto"/>
              </w:rPr>
            </w:pPr>
            <w:r>
              <w:rPr>
                <w:rFonts w:ascii="Arial" w:cs="Arial" w:eastAsia="Arial" w:hAnsi="Arial"/>
                <w:sz w:val="13"/>
                <w:szCs w:val="13"/>
                <w:color w:val="auto"/>
              </w:rPr>
              <w:t>368,375</w:t>
            </w:r>
          </w:p>
        </w:tc>
      </w:tr>
      <w:tr>
        <w:trPr>
          <w:trHeight w:val="191"/>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Irish standard tax rate</w:t>
            </w:r>
          </w:p>
        </w:tc>
        <w:tc>
          <w:tcPr>
            <w:tcW w:w="33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12.5 %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12.5 %</w:t>
            </w:r>
          </w:p>
        </w:tc>
      </w:tr>
      <w:tr>
        <w:trPr>
          <w:trHeight w:val="189"/>
        </w:trPr>
        <w:tc>
          <w:tcPr>
            <w:tcW w:w="69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3"/>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Taxes at Irish standard tax rate</w:t>
            </w:r>
          </w:p>
        </w:tc>
        <w:tc>
          <w:tcPr>
            <w:tcW w:w="330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52,296</w:t>
            </w:r>
          </w:p>
        </w:tc>
        <w:tc>
          <w:tcPr>
            <w:tcW w:w="10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46,047</w:t>
            </w:r>
          </w:p>
        </w:tc>
      </w:tr>
      <w:tr>
        <w:trPr>
          <w:trHeight w:val="189"/>
        </w:trPr>
        <w:tc>
          <w:tcPr>
            <w:tcW w:w="69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2"/>
        </w:trPr>
        <w:tc>
          <w:tcPr>
            <w:tcW w:w="692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3"/>
        </w:trPr>
        <w:tc>
          <w:tcPr>
            <w:tcW w:w="6920" w:type="dxa"/>
            <w:vAlign w:val="bottom"/>
          </w:tcPr>
          <w:p>
            <w:pPr>
              <w:ind w:left="20"/>
              <w:spacing w:after="0"/>
              <w:rPr>
                <w:sz w:val="20"/>
                <w:szCs w:val="20"/>
                <w:color w:val="auto"/>
              </w:rPr>
            </w:pPr>
            <w:r>
              <w:rPr>
                <w:rFonts w:ascii="Arial" w:cs="Arial" w:eastAsia="Arial" w:hAnsi="Arial"/>
                <w:sz w:val="13"/>
                <w:szCs w:val="13"/>
                <w:color w:val="auto"/>
              </w:rPr>
              <w:t>Under/(Over) provision in respect to prior years</w:t>
            </w:r>
          </w:p>
        </w:tc>
        <w:tc>
          <w:tcPr>
            <w:tcW w:w="3300" w:type="dxa"/>
            <w:vAlign w:val="bottom"/>
          </w:tcPr>
          <w:p>
            <w:pPr>
              <w:jc w:val="right"/>
              <w:ind w:right="516"/>
              <w:spacing w:after="0"/>
              <w:rPr>
                <w:sz w:val="20"/>
                <w:szCs w:val="20"/>
                <w:color w:val="auto"/>
              </w:rPr>
            </w:pPr>
            <w:r>
              <w:rPr>
                <w:rFonts w:ascii="Arial" w:cs="Arial" w:eastAsia="Arial" w:hAnsi="Arial"/>
                <w:sz w:val="13"/>
                <w:szCs w:val="13"/>
                <w:b w:val="1"/>
                <w:bCs w:val="1"/>
                <w:color w:val="auto"/>
              </w:rPr>
              <w:t>(1,221)</w:t>
            </w:r>
          </w:p>
        </w:tc>
        <w:tc>
          <w:tcPr>
            <w:tcW w:w="1060" w:type="dxa"/>
            <w:vAlign w:val="bottom"/>
          </w:tcPr>
          <w:p>
            <w:pPr>
              <w:jc w:val="right"/>
              <w:ind w:right="76"/>
              <w:spacing w:after="0"/>
              <w:rPr>
                <w:sz w:val="20"/>
                <w:szCs w:val="20"/>
                <w:color w:val="auto"/>
              </w:rPr>
            </w:pPr>
            <w:r>
              <w:rPr>
                <w:rFonts w:ascii="Arial" w:cs="Arial" w:eastAsia="Arial" w:hAnsi="Arial"/>
                <w:sz w:val="13"/>
                <w:szCs w:val="13"/>
                <w:color w:val="auto"/>
              </w:rPr>
              <w:t>(1,051)</w:t>
            </w:r>
          </w:p>
        </w:tc>
      </w:tr>
      <w:tr>
        <w:trPr>
          <w:trHeight w:val="199"/>
        </w:trPr>
        <w:tc>
          <w:tcPr>
            <w:tcW w:w="6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and other income taxed at higher rates</w:t>
            </w:r>
          </w:p>
        </w:tc>
        <w:tc>
          <w:tcPr>
            <w:tcW w:w="3300" w:type="dxa"/>
            <w:vAlign w:val="bottom"/>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7,109</w:t>
            </w: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7,648</w:t>
            </w:r>
          </w:p>
        </w:tc>
      </w:tr>
      <w:tr>
        <w:trPr>
          <w:trHeight w:val="183"/>
        </w:trPr>
        <w:tc>
          <w:tcPr>
            <w:tcW w:w="6920" w:type="dxa"/>
            <w:vAlign w:val="bottom"/>
          </w:tcPr>
          <w:p>
            <w:pPr>
              <w:ind w:left="20"/>
              <w:spacing w:after="0"/>
              <w:rPr>
                <w:sz w:val="20"/>
                <w:szCs w:val="20"/>
                <w:color w:val="auto"/>
              </w:rPr>
            </w:pPr>
            <w:r>
              <w:rPr>
                <w:rFonts w:ascii="Arial" w:cs="Arial" w:eastAsia="Arial" w:hAnsi="Arial"/>
                <w:sz w:val="13"/>
                <w:szCs w:val="13"/>
                <w:color w:val="auto"/>
              </w:rPr>
              <w:t>Effect of change in tax rates</w:t>
            </w:r>
          </w:p>
        </w:tc>
        <w:tc>
          <w:tcPr>
            <w:tcW w:w="3300" w:type="dxa"/>
            <w:vAlign w:val="bottom"/>
          </w:tcPr>
          <w:p>
            <w:pPr>
              <w:jc w:val="right"/>
              <w:ind w:right="556"/>
              <w:spacing w:after="0"/>
              <w:rPr>
                <w:sz w:val="20"/>
                <w:szCs w:val="20"/>
                <w:color w:val="auto"/>
              </w:rPr>
            </w:pPr>
            <w:r>
              <w:rPr>
                <w:rFonts w:ascii="Arial" w:cs="Arial" w:eastAsia="Arial" w:hAnsi="Arial"/>
                <w:sz w:val="13"/>
                <w:szCs w:val="13"/>
                <w:b w:val="1"/>
                <w:bCs w:val="1"/>
                <w:color w:val="auto"/>
              </w:rPr>
              <w:t>359</w:t>
            </w:r>
          </w:p>
        </w:tc>
        <w:tc>
          <w:tcPr>
            <w:tcW w:w="1060" w:type="dxa"/>
            <w:vAlign w:val="bottom"/>
          </w:tcPr>
          <w:p>
            <w:pPr>
              <w:jc w:val="right"/>
              <w:ind w:right="76"/>
              <w:spacing w:after="0"/>
              <w:rPr>
                <w:sz w:val="20"/>
                <w:szCs w:val="20"/>
                <w:color w:val="auto"/>
              </w:rPr>
            </w:pPr>
            <w:r>
              <w:rPr>
                <w:rFonts w:ascii="Arial" w:cs="Arial" w:eastAsia="Arial" w:hAnsi="Arial"/>
                <w:sz w:val="13"/>
                <w:szCs w:val="13"/>
                <w:color w:val="auto"/>
              </w:rPr>
              <w:t>(147)</w:t>
            </w:r>
          </w:p>
        </w:tc>
      </w:tr>
      <w:tr>
        <w:trPr>
          <w:trHeight w:val="199"/>
        </w:trPr>
        <w:tc>
          <w:tcPr>
            <w:tcW w:w="6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Increase/(decrease) in unrecognised tax benefits</w:t>
            </w:r>
          </w:p>
        </w:tc>
        <w:tc>
          <w:tcPr>
            <w:tcW w:w="330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(1,273)</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(5,423)</w:t>
            </w:r>
          </w:p>
        </w:tc>
      </w:tr>
      <w:tr>
        <w:trPr>
          <w:trHeight w:val="183"/>
        </w:trPr>
        <w:tc>
          <w:tcPr>
            <w:tcW w:w="6920" w:type="dxa"/>
            <w:vAlign w:val="bottom"/>
          </w:tcPr>
          <w:p>
            <w:pPr>
              <w:ind w:left="20"/>
              <w:spacing w:after="0"/>
              <w:rPr>
                <w:sz w:val="20"/>
                <w:szCs w:val="20"/>
                <w:color w:val="auto"/>
              </w:rPr>
            </w:pPr>
            <w:r>
              <w:rPr>
                <w:rFonts w:ascii="Arial" w:cs="Arial" w:eastAsia="Arial" w:hAnsi="Arial"/>
                <w:sz w:val="13"/>
                <w:szCs w:val="13"/>
                <w:color w:val="auto"/>
              </w:rPr>
              <w:t>Losses for which no benefit has been recognised</w:t>
            </w:r>
          </w:p>
        </w:tc>
        <w:tc>
          <w:tcPr>
            <w:tcW w:w="3300" w:type="dxa"/>
            <w:vAlign w:val="bottom"/>
          </w:tcPr>
          <w:p>
            <w:pPr>
              <w:jc w:val="right"/>
              <w:ind w:right="516"/>
              <w:spacing w:after="0"/>
              <w:rPr>
                <w:sz w:val="20"/>
                <w:szCs w:val="20"/>
                <w:color w:val="auto"/>
              </w:rPr>
            </w:pPr>
            <w:r>
              <w:rPr>
                <w:rFonts w:ascii="Arial" w:cs="Arial" w:eastAsia="Arial" w:hAnsi="Arial"/>
                <w:sz w:val="13"/>
                <w:szCs w:val="13"/>
                <w:b w:val="1"/>
                <w:bCs w:val="1"/>
                <w:color w:val="auto"/>
              </w:rPr>
              <w:t>(10)</w:t>
            </w:r>
          </w:p>
        </w:tc>
        <w:tc>
          <w:tcPr>
            <w:tcW w:w="1060" w:type="dxa"/>
            <w:vAlign w:val="bottom"/>
          </w:tcPr>
          <w:p>
            <w:pPr>
              <w:jc w:val="right"/>
              <w:ind w:right="116"/>
              <w:spacing w:after="0"/>
              <w:rPr>
                <w:sz w:val="20"/>
                <w:szCs w:val="20"/>
                <w:color w:val="auto"/>
              </w:rPr>
            </w:pPr>
            <w:r>
              <w:rPr>
                <w:rFonts w:ascii="Arial" w:cs="Arial" w:eastAsia="Arial" w:hAnsi="Arial"/>
                <w:sz w:val="13"/>
                <w:szCs w:val="13"/>
                <w:color w:val="auto"/>
              </w:rPr>
              <w:t>5,667</w:t>
            </w:r>
          </w:p>
        </w:tc>
      </w:tr>
      <w:tr>
        <w:trPr>
          <w:trHeight w:val="199"/>
        </w:trPr>
        <w:tc>
          <w:tcPr>
            <w:tcW w:w="6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 tax incentives</w:t>
            </w:r>
          </w:p>
        </w:tc>
        <w:tc>
          <w:tcPr>
            <w:tcW w:w="330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(893)</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(1,243)</w:t>
            </w:r>
          </w:p>
        </w:tc>
      </w:tr>
      <w:tr>
        <w:trPr>
          <w:trHeight w:val="183"/>
        </w:trPr>
        <w:tc>
          <w:tcPr>
            <w:tcW w:w="6920" w:type="dxa"/>
            <w:vAlign w:val="bottom"/>
          </w:tcPr>
          <w:p>
            <w:pPr>
              <w:ind w:left="20"/>
              <w:spacing w:after="0"/>
              <w:rPr>
                <w:sz w:val="20"/>
                <w:szCs w:val="20"/>
                <w:color w:val="auto"/>
              </w:rPr>
            </w:pPr>
            <w:r>
              <w:rPr>
                <w:rFonts w:ascii="Arial" w:cs="Arial" w:eastAsia="Arial" w:hAnsi="Arial"/>
                <w:sz w:val="13"/>
                <w:szCs w:val="13"/>
                <w:color w:val="auto"/>
              </w:rPr>
              <w:t>Impact of stock compensation</w:t>
            </w:r>
          </w:p>
        </w:tc>
        <w:tc>
          <w:tcPr>
            <w:tcW w:w="3300" w:type="dxa"/>
            <w:vAlign w:val="bottom"/>
          </w:tcPr>
          <w:p>
            <w:pPr>
              <w:jc w:val="right"/>
              <w:ind w:right="516"/>
              <w:spacing w:after="0"/>
              <w:rPr>
                <w:sz w:val="20"/>
                <w:szCs w:val="20"/>
                <w:color w:val="auto"/>
              </w:rPr>
            </w:pPr>
            <w:r>
              <w:rPr>
                <w:rFonts w:ascii="Arial" w:cs="Arial" w:eastAsia="Arial" w:hAnsi="Arial"/>
                <w:sz w:val="13"/>
                <w:szCs w:val="13"/>
                <w:b w:val="1"/>
                <w:bCs w:val="1"/>
                <w:color w:val="auto"/>
              </w:rPr>
              <w:t>(1,003)</w:t>
            </w:r>
          </w:p>
        </w:tc>
        <w:tc>
          <w:tcPr>
            <w:tcW w:w="1060" w:type="dxa"/>
            <w:vAlign w:val="bottom"/>
          </w:tcPr>
          <w:p>
            <w:pPr>
              <w:jc w:val="right"/>
              <w:ind w:right="76"/>
              <w:spacing w:after="0"/>
              <w:rPr>
                <w:sz w:val="20"/>
                <w:szCs w:val="20"/>
                <w:color w:val="auto"/>
              </w:rPr>
            </w:pPr>
            <w:r>
              <w:rPr>
                <w:rFonts w:ascii="Arial" w:cs="Arial" w:eastAsia="Arial" w:hAnsi="Arial"/>
                <w:sz w:val="13"/>
                <w:szCs w:val="13"/>
                <w:color w:val="auto"/>
              </w:rPr>
              <w:t>(4,701)</w:t>
            </w:r>
          </w:p>
        </w:tc>
      </w:tr>
      <w:tr>
        <w:trPr>
          <w:trHeight w:val="191"/>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330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1,968</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(1,239)</w:t>
            </w:r>
          </w:p>
        </w:tc>
      </w:tr>
      <w:tr>
        <w:trPr>
          <w:trHeight w:val="189"/>
        </w:trPr>
        <w:tc>
          <w:tcPr>
            <w:tcW w:w="69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Tax expense on profit for the year</w:t>
            </w:r>
          </w:p>
        </w:tc>
        <w:tc>
          <w:tcPr>
            <w:tcW w:w="330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57,332</w:t>
            </w:r>
          </w:p>
        </w:tc>
        <w:tc>
          <w:tcPr>
            <w:tcW w:w="10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45,558</w:t>
            </w:r>
          </w:p>
        </w:tc>
      </w:tr>
      <w:tr>
        <w:trPr>
          <w:trHeight w:val="420"/>
        </w:trPr>
        <w:tc>
          <w:tcPr>
            <w:tcW w:w="6920" w:type="dxa"/>
            <w:vAlign w:val="bottom"/>
          </w:tcPr>
          <w:p>
            <w:pPr>
              <w:spacing w:after="0"/>
              <w:rPr>
                <w:sz w:val="20"/>
                <w:szCs w:val="20"/>
                <w:color w:val="auto"/>
              </w:rPr>
            </w:pPr>
            <w:r>
              <w:rPr>
                <w:rFonts w:ascii="Arial" w:cs="Arial" w:eastAsia="Arial" w:hAnsi="Arial"/>
                <w:sz w:val="13"/>
                <w:szCs w:val="13"/>
                <w:color w:val="auto"/>
              </w:rPr>
              <w:t>The net deferred tax asset at 31 December 2019 and 31 December 2018 was as follows:</w:t>
            </w:r>
          </w:p>
        </w:tc>
        <w:tc>
          <w:tcPr>
            <w:tcW w:w="3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89"/>
        </w:trPr>
        <w:tc>
          <w:tcPr>
            <w:tcW w:w="6920" w:type="dxa"/>
            <w:vAlign w:val="bottom"/>
          </w:tcPr>
          <w:p>
            <w:pPr>
              <w:spacing w:after="0"/>
              <w:rPr>
                <w:sz w:val="7"/>
                <w:szCs w:val="7"/>
                <w:color w:val="auto"/>
              </w:rPr>
            </w:pPr>
          </w:p>
        </w:tc>
        <w:tc>
          <w:tcPr>
            <w:tcW w:w="4360" w:type="dxa"/>
            <w:vAlign w:val="bottom"/>
            <w:gridSpan w:val="2"/>
          </w:tcPr>
          <w:p>
            <w:pPr>
              <w:spacing w:after="0"/>
              <w:rPr>
                <w:sz w:val="7"/>
                <w:szCs w:val="7"/>
                <w:color w:val="auto"/>
              </w:rPr>
            </w:pPr>
          </w:p>
        </w:tc>
      </w:tr>
      <w:tr>
        <w:trPr>
          <w:trHeight w:val="155"/>
        </w:trPr>
        <w:tc>
          <w:tcPr>
            <w:tcW w:w="6920" w:type="dxa"/>
            <w:vAlign w:val="bottom"/>
            <w:shd w:val="clear" w:color="auto" w:fill="CCEEFF"/>
          </w:tcPr>
          <w:p>
            <w:pPr>
              <w:spacing w:after="0"/>
              <w:rPr>
                <w:sz w:val="13"/>
                <w:szCs w:val="13"/>
                <w:color w:val="auto"/>
              </w:rPr>
            </w:pP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7"/>
        </w:trPr>
        <w:tc>
          <w:tcPr>
            <w:tcW w:w="6920" w:type="dxa"/>
            <w:vAlign w:val="bottom"/>
            <w:tcBorders>
              <w:bottom w:val="single" w:sz="8" w:color="auto"/>
            </w:tcBorders>
            <w:shd w:val="clear" w:color="auto" w:fill="CCEEFF"/>
          </w:tcPr>
          <w:p>
            <w:pPr>
              <w:spacing w:after="0"/>
              <w:rPr>
                <w:sz w:val="15"/>
                <w:szCs w:val="15"/>
                <w:color w:val="auto"/>
              </w:rPr>
            </w:pPr>
          </w:p>
        </w:tc>
        <w:tc>
          <w:tcPr>
            <w:tcW w:w="33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December 2019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6920" w:type="dxa"/>
            <w:vAlign w:val="bottom"/>
          </w:tcPr>
          <w:p>
            <w:pPr>
              <w:spacing w:after="0"/>
              <w:rPr>
                <w:sz w:val="15"/>
                <w:szCs w:val="15"/>
                <w:color w:val="auto"/>
              </w:rPr>
            </w:pPr>
          </w:p>
        </w:tc>
        <w:tc>
          <w:tcPr>
            <w:tcW w:w="3300" w:type="dxa"/>
            <w:vAlign w:val="bottom"/>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99"/>
        </w:trPr>
        <w:tc>
          <w:tcPr>
            <w:tcW w:w="6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3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3"/>
        </w:trPr>
        <w:tc>
          <w:tcPr>
            <w:tcW w:w="6920" w:type="dxa"/>
            <w:vAlign w:val="bottom"/>
          </w:tcPr>
          <w:p>
            <w:pPr>
              <w:ind w:left="20"/>
              <w:spacing w:after="0"/>
              <w:rPr>
                <w:sz w:val="20"/>
                <w:szCs w:val="20"/>
                <w:color w:val="auto"/>
              </w:rPr>
            </w:pPr>
            <w:r>
              <w:rPr>
                <w:rFonts w:ascii="Arial" w:cs="Arial" w:eastAsia="Arial" w:hAnsi="Arial"/>
                <w:sz w:val="13"/>
                <w:szCs w:val="13"/>
                <w:color w:val="auto"/>
              </w:rPr>
              <w:t>Net operating losses carried forward</w:t>
            </w:r>
          </w:p>
        </w:tc>
        <w:tc>
          <w:tcPr>
            <w:tcW w:w="3300" w:type="dxa"/>
            <w:vAlign w:val="bottom"/>
          </w:tcPr>
          <w:p>
            <w:pPr>
              <w:jc w:val="right"/>
              <w:ind w:right="496"/>
              <w:spacing w:after="0"/>
              <w:rPr>
                <w:sz w:val="20"/>
                <w:szCs w:val="20"/>
                <w:color w:val="auto"/>
              </w:rPr>
            </w:pPr>
            <w:r>
              <w:rPr>
                <w:rFonts w:ascii="Arial" w:cs="Arial" w:eastAsia="Arial" w:hAnsi="Arial"/>
                <w:sz w:val="13"/>
                <w:szCs w:val="13"/>
                <w:b w:val="1"/>
                <w:bCs w:val="1"/>
                <w:color w:val="auto"/>
              </w:rPr>
              <w:t>11,774</w:t>
            </w:r>
          </w:p>
        </w:tc>
        <w:tc>
          <w:tcPr>
            <w:tcW w:w="1060" w:type="dxa"/>
            <w:vAlign w:val="bottom"/>
          </w:tcPr>
          <w:p>
            <w:pPr>
              <w:jc w:val="right"/>
              <w:ind w:right="76"/>
              <w:spacing w:after="0"/>
              <w:rPr>
                <w:sz w:val="20"/>
                <w:szCs w:val="20"/>
                <w:color w:val="auto"/>
              </w:rPr>
            </w:pPr>
            <w:r>
              <w:rPr>
                <w:rFonts w:ascii="Arial" w:cs="Arial" w:eastAsia="Arial" w:hAnsi="Arial"/>
                <w:sz w:val="13"/>
                <w:szCs w:val="13"/>
                <w:color w:val="auto"/>
              </w:rPr>
              <w:t>3,615</w:t>
            </w:r>
          </w:p>
        </w:tc>
      </w:tr>
      <w:tr>
        <w:trPr>
          <w:trHeight w:val="199"/>
        </w:trPr>
        <w:tc>
          <w:tcPr>
            <w:tcW w:w="6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expenses</w:t>
            </w:r>
          </w:p>
        </w:tc>
        <w:tc>
          <w:tcPr>
            <w:tcW w:w="330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24,830</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23,754</w:t>
            </w:r>
          </w:p>
        </w:tc>
      </w:tr>
      <w:tr>
        <w:trPr>
          <w:trHeight w:val="183"/>
        </w:trPr>
        <w:tc>
          <w:tcPr>
            <w:tcW w:w="692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3300" w:type="dxa"/>
            <w:vAlign w:val="bottom"/>
          </w:tcPr>
          <w:p>
            <w:pPr>
              <w:jc w:val="right"/>
              <w:ind w:right="496"/>
              <w:spacing w:after="0"/>
              <w:rPr>
                <w:sz w:val="20"/>
                <w:szCs w:val="20"/>
                <w:color w:val="auto"/>
              </w:rPr>
            </w:pPr>
            <w:r>
              <w:rPr>
                <w:rFonts w:ascii="Arial" w:cs="Arial" w:eastAsia="Arial" w:hAnsi="Arial"/>
                <w:sz w:val="13"/>
                <w:szCs w:val="13"/>
                <w:b w:val="1"/>
                <w:bCs w:val="1"/>
                <w:color w:val="auto"/>
              </w:rPr>
              <w:t>5,195</w:t>
            </w:r>
          </w:p>
        </w:tc>
        <w:tc>
          <w:tcPr>
            <w:tcW w:w="1060" w:type="dxa"/>
            <w:vAlign w:val="bottom"/>
          </w:tcPr>
          <w:p>
            <w:pPr>
              <w:jc w:val="right"/>
              <w:ind w:right="76"/>
              <w:spacing w:after="0"/>
              <w:rPr>
                <w:sz w:val="20"/>
                <w:szCs w:val="20"/>
                <w:color w:val="auto"/>
              </w:rPr>
            </w:pPr>
            <w:r>
              <w:rPr>
                <w:rFonts w:ascii="Arial" w:cs="Arial" w:eastAsia="Arial" w:hAnsi="Arial"/>
                <w:sz w:val="13"/>
                <w:szCs w:val="13"/>
                <w:color w:val="auto"/>
              </w:rPr>
              <w:t>4,855</w:t>
            </w:r>
          </w:p>
        </w:tc>
      </w:tr>
      <w:tr>
        <w:trPr>
          <w:trHeight w:val="199"/>
        </w:trPr>
        <w:tc>
          <w:tcPr>
            <w:tcW w:w="6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revenue</w:t>
            </w:r>
          </w:p>
        </w:tc>
        <w:tc>
          <w:tcPr>
            <w:tcW w:w="330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3,933</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5,681</w:t>
            </w:r>
          </w:p>
        </w:tc>
      </w:tr>
      <w:tr>
        <w:trPr>
          <w:trHeight w:val="183"/>
        </w:trPr>
        <w:tc>
          <w:tcPr>
            <w:tcW w:w="6920" w:type="dxa"/>
            <w:vAlign w:val="bottom"/>
          </w:tcPr>
          <w:p>
            <w:pPr>
              <w:ind w:left="20"/>
              <w:spacing w:after="0"/>
              <w:rPr>
                <w:sz w:val="20"/>
                <w:szCs w:val="20"/>
                <w:color w:val="auto"/>
              </w:rPr>
            </w:pPr>
            <w:r>
              <w:rPr>
                <w:rFonts w:ascii="Arial" w:cs="Arial" w:eastAsia="Arial" w:hAnsi="Arial"/>
                <w:sz w:val="13"/>
                <w:szCs w:val="13"/>
                <w:color w:val="auto"/>
              </w:rPr>
              <w:t>Deferred compensation</w:t>
            </w:r>
          </w:p>
        </w:tc>
        <w:tc>
          <w:tcPr>
            <w:tcW w:w="3300" w:type="dxa"/>
            <w:vAlign w:val="bottom"/>
          </w:tcPr>
          <w:p>
            <w:pPr>
              <w:jc w:val="right"/>
              <w:ind w:right="496"/>
              <w:spacing w:after="0"/>
              <w:rPr>
                <w:sz w:val="20"/>
                <w:szCs w:val="20"/>
                <w:color w:val="auto"/>
              </w:rPr>
            </w:pPr>
            <w:r>
              <w:rPr>
                <w:rFonts w:ascii="Arial" w:cs="Arial" w:eastAsia="Arial" w:hAnsi="Arial"/>
                <w:sz w:val="13"/>
                <w:szCs w:val="13"/>
                <w:b w:val="1"/>
                <w:bCs w:val="1"/>
                <w:color w:val="auto"/>
              </w:rPr>
              <w:t>2,744</w:t>
            </w:r>
          </w:p>
        </w:tc>
        <w:tc>
          <w:tcPr>
            <w:tcW w:w="1060" w:type="dxa"/>
            <w:vAlign w:val="bottom"/>
          </w:tcPr>
          <w:p>
            <w:pPr>
              <w:jc w:val="right"/>
              <w:ind w:right="76"/>
              <w:spacing w:after="0"/>
              <w:rPr>
                <w:sz w:val="20"/>
                <w:szCs w:val="20"/>
                <w:color w:val="auto"/>
              </w:rPr>
            </w:pPr>
            <w:r>
              <w:rPr>
                <w:rFonts w:ascii="Arial" w:cs="Arial" w:eastAsia="Arial" w:hAnsi="Arial"/>
                <w:sz w:val="13"/>
                <w:szCs w:val="13"/>
                <w:color w:val="auto"/>
              </w:rPr>
              <w:t>2,197</w:t>
            </w:r>
          </w:p>
        </w:tc>
      </w:tr>
      <w:tr>
        <w:trPr>
          <w:trHeight w:val="199"/>
        </w:trPr>
        <w:tc>
          <w:tcPr>
            <w:tcW w:w="6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330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23,082</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24,578</w:t>
            </w:r>
          </w:p>
        </w:tc>
      </w:tr>
      <w:tr>
        <w:trPr>
          <w:trHeight w:val="183"/>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w:t>
            </w:r>
          </w:p>
        </w:tc>
        <w:tc>
          <w:tcPr>
            <w:tcW w:w="33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682</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w:t>
            </w:r>
          </w:p>
        </w:tc>
      </w:tr>
      <w:tr>
        <w:trPr>
          <w:trHeight w:val="189"/>
        </w:trPr>
        <w:tc>
          <w:tcPr>
            <w:tcW w:w="6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deferred taxation assets</w:t>
            </w:r>
          </w:p>
        </w:tc>
        <w:tc>
          <w:tcPr>
            <w:tcW w:w="330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72,240</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64,682</w:t>
            </w:r>
          </w:p>
        </w:tc>
      </w:tr>
      <w:tr>
        <w:trPr>
          <w:trHeight w:val="183"/>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Less: offset against deferred tax liabilities</w:t>
            </w:r>
          </w:p>
        </w:tc>
        <w:tc>
          <w:tcPr>
            <w:tcW w:w="33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(37,485)</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(33,017)</w:t>
            </w:r>
          </w:p>
        </w:tc>
      </w:tr>
      <w:tr>
        <w:trPr>
          <w:trHeight w:val="189"/>
        </w:trPr>
        <w:tc>
          <w:tcPr>
            <w:tcW w:w="6920" w:type="dxa"/>
            <w:vAlign w:val="bottom"/>
            <w:shd w:val="clear" w:color="auto" w:fill="CCEEFF"/>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3"/>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Deferred tax asset disclosed on Consolidated Statement of Financial Position</w:t>
            </w:r>
          </w:p>
        </w:tc>
        <w:tc>
          <w:tcPr>
            <w:tcW w:w="33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34,755</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31,665</w:t>
            </w: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80"/>
          </w:cols>
          <w:pgMar w:left="300" w:top="696" w:right="31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Income tax expense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60" w:type="dxa"/>
            <w:vAlign w:val="bottom"/>
            <w:shd w:val="clear" w:color="auto" w:fill="CCEEFF"/>
          </w:tcPr>
          <w:p>
            <w:pPr>
              <w:spacing w:after="0"/>
              <w:rPr>
                <w:sz w:val="13"/>
                <w:szCs w:val="13"/>
                <w:color w:val="auto"/>
              </w:rPr>
            </w:pP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7"/>
        </w:trPr>
        <w:tc>
          <w:tcPr>
            <w:tcW w:w="6660" w:type="dxa"/>
            <w:vAlign w:val="bottom"/>
            <w:tcBorders>
              <w:bottom w:val="single" w:sz="8" w:color="auto"/>
            </w:tcBorders>
            <w:shd w:val="clear" w:color="auto" w:fill="CCEEFF"/>
          </w:tcPr>
          <w:p>
            <w:pPr>
              <w:spacing w:after="0"/>
              <w:rPr>
                <w:sz w:val="15"/>
                <w:szCs w:val="15"/>
                <w:color w:val="auto"/>
              </w:rPr>
            </w:pPr>
          </w:p>
        </w:tc>
        <w:tc>
          <w:tcPr>
            <w:tcW w:w="358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December 2019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6660" w:type="dxa"/>
            <w:vAlign w:val="bottom"/>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358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0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7"/>
        </w:trPr>
        <w:tc>
          <w:tcPr>
            <w:tcW w:w="666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3"/>
        </w:trPr>
        <w:tc>
          <w:tcPr>
            <w:tcW w:w="666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3580" w:type="dxa"/>
            <w:vAlign w:val="bottom"/>
          </w:tcPr>
          <w:p>
            <w:pPr>
              <w:jc w:val="right"/>
              <w:ind w:right="516"/>
              <w:spacing w:after="0"/>
              <w:rPr>
                <w:sz w:val="20"/>
                <w:szCs w:val="20"/>
                <w:color w:val="auto"/>
              </w:rPr>
            </w:pPr>
            <w:r>
              <w:rPr>
                <w:rFonts w:ascii="Arial" w:cs="Arial" w:eastAsia="Arial" w:hAnsi="Arial"/>
                <w:sz w:val="13"/>
                <w:szCs w:val="13"/>
                <w:b w:val="1"/>
                <w:bCs w:val="1"/>
                <w:color w:val="auto"/>
              </w:rPr>
              <w:t>1,102</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981</w:t>
            </w:r>
          </w:p>
        </w:tc>
      </w:tr>
      <w:tr>
        <w:trPr>
          <w:trHeight w:val="199"/>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and related assets</w:t>
            </w:r>
          </w:p>
        </w:tc>
        <w:tc>
          <w:tcPr>
            <w:tcW w:w="358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27,590</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25,149</w:t>
            </w:r>
          </w:p>
        </w:tc>
      </w:tr>
      <w:tr>
        <w:trPr>
          <w:trHeight w:val="183"/>
        </w:trPr>
        <w:tc>
          <w:tcPr>
            <w:tcW w:w="6660" w:type="dxa"/>
            <w:vAlign w:val="bottom"/>
          </w:tcPr>
          <w:p>
            <w:pPr>
              <w:ind w:left="20"/>
              <w:spacing w:after="0"/>
              <w:rPr>
                <w:sz w:val="20"/>
                <w:szCs w:val="20"/>
                <w:color w:val="auto"/>
              </w:rPr>
            </w:pPr>
            <w:r>
              <w:rPr>
                <w:rFonts w:ascii="Arial" w:cs="Arial" w:eastAsia="Arial" w:hAnsi="Arial"/>
                <w:sz w:val="13"/>
                <w:szCs w:val="13"/>
                <w:color w:val="auto"/>
              </w:rPr>
              <w:t>Other intangible assets</w:t>
            </w:r>
          </w:p>
        </w:tc>
        <w:tc>
          <w:tcPr>
            <w:tcW w:w="3580" w:type="dxa"/>
            <w:vAlign w:val="bottom"/>
          </w:tcPr>
          <w:p>
            <w:pPr>
              <w:jc w:val="right"/>
              <w:ind w:right="516"/>
              <w:spacing w:after="0"/>
              <w:rPr>
                <w:sz w:val="20"/>
                <w:szCs w:val="20"/>
                <w:color w:val="auto"/>
              </w:rPr>
            </w:pPr>
            <w:r>
              <w:rPr>
                <w:rFonts w:ascii="Arial" w:cs="Arial" w:eastAsia="Arial" w:hAnsi="Arial"/>
                <w:sz w:val="13"/>
                <w:szCs w:val="13"/>
                <w:b w:val="1"/>
                <w:bCs w:val="1"/>
                <w:color w:val="auto"/>
              </w:rPr>
              <w:t>11,805</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9,397</w:t>
            </w:r>
          </w:p>
        </w:tc>
      </w:tr>
      <w:tr>
        <w:trPr>
          <w:trHeight w:val="191"/>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Accruals to cash method adjustment</w:t>
            </w:r>
          </w:p>
        </w:tc>
        <w:tc>
          <w:tcPr>
            <w:tcW w:w="35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6,284</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5,703</w:t>
            </w:r>
          </w:p>
        </w:tc>
      </w:tr>
      <w:tr>
        <w:trPr>
          <w:trHeight w:val="182"/>
        </w:trPr>
        <w:tc>
          <w:tcPr>
            <w:tcW w:w="6660" w:type="dxa"/>
            <w:vAlign w:val="bottom"/>
          </w:tcPr>
          <w:p>
            <w:pPr>
              <w:ind w:left="20"/>
              <w:spacing w:after="0"/>
              <w:rPr>
                <w:sz w:val="20"/>
                <w:szCs w:val="20"/>
                <w:color w:val="auto"/>
              </w:rPr>
            </w:pPr>
            <w:r>
              <w:rPr>
                <w:rFonts w:ascii="Arial" w:cs="Arial" w:eastAsia="Arial" w:hAnsi="Arial"/>
                <w:sz w:val="13"/>
                <w:szCs w:val="13"/>
                <w:color w:val="auto"/>
              </w:rPr>
              <w:t>Total deferred taxation liabilities</w:t>
            </w:r>
          </w:p>
        </w:tc>
        <w:tc>
          <w:tcPr>
            <w:tcW w:w="3580" w:type="dxa"/>
            <w:vAlign w:val="bottom"/>
          </w:tcPr>
          <w:p>
            <w:pPr>
              <w:jc w:val="right"/>
              <w:ind w:right="516"/>
              <w:spacing w:after="0"/>
              <w:rPr>
                <w:sz w:val="20"/>
                <w:szCs w:val="20"/>
                <w:color w:val="auto"/>
              </w:rPr>
            </w:pPr>
            <w:r>
              <w:rPr>
                <w:rFonts w:ascii="Arial" w:cs="Arial" w:eastAsia="Arial" w:hAnsi="Arial"/>
                <w:sz w:val="13"/>
                <w:szCs w:val="13"/>
                <w:b w:val="1"/>
                <w:bCs w:val="1"/>
                <w:color w:val="auto"/>
              </w:rPr>
              <w:t>46,781</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41,230</w:t>
            </w:r>
          </w:p>
        </w:tc>
      </w:tr>
      <w:tr>
        <w:trPr>
          <w:trHeight w:val="191"/>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Less: offset against deferred tax assets</w:t>
            </w:r>
          </w:p>
        </w:tc>
        <w:tc>
          <w:tcPr>
            <w:tcW w:w="35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(37,485)</w:t>
            </w: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(33,017)</w:t>
            </w:r>
          </w:p>
        </w:tc>
      </w:tr>
      <w:tr>
        <w:trPr>
          <w:trHeight w:val="157"/>
        </w:trPr>
        <w:tc>
          <w:tcPr>
            <w:tcW w:w="66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3"/>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Deferred tax liability disclosed on Consolidated Statement of Financial Position</w:t>
            </w:r>
          </w:p>
        </w:tc>
        <w:tc>
          <w:tcPr>
            <w:tcW w:w="35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9,296</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8,213</w:t>
            </w:r>
          </w:p>
        </w:tc>
      </w:tr>
      <w:tr>
        <w:trPr>
          <w:trHeight w:val="157"/>
        </w:trPr>
        <w:tc>
          <w:tcPr>
            <w:tcW w:w="66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2"/>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deferred taxation asset</w:t>
            </w:r>
          </w:p>
        </w:tc>
        <w:tc>
          <w:tcPr>
            <w:tcW w:w="35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25,459</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23,452</w:t>
            </w:r>
          </w:p>
        </w:tc>
      </w:tr>
    </w:tbl>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The movement in temporary differences during the year ended 31 December 2019 was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62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Balance 1 January</w:t>
            </w:r>
          </w:p>
        </w:tc>
        <w:tc>
          <w:tcPr>
            <w:tcW w:w="16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Recognised on</w:t>
            </w:r>
          </w:p>
        </w:tc>
        <w:tc>
          <w:tcPr>
            <w:tcW w:w="17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Recognised in Other</w:t>
            </w:r>
          </w:p>
        </w:tc>
        <w:tc>
          <w:tcPr>
            <w:tcW w:w="1240" w:type="dxa"/>
            <w:vAlign w:val="bottom"/>
            <w:gridSpan w:val="2"/>
            <w:shd w:val="clear" w:color="auto" w:fill="CCEEFF"/>
          </w:tcPr>
          <w:p>
            <w:pPr>
              <w:ind w:left="220"/>
              <w:spacing w:after="0"/>
              <w:rPr>
                <w:sz w:val="20"/>
                <w:szCs w:val="20"/>
                <w:color w:val="auto"/>
              </w:rPr>
            </w:pPr>
            <w:r>
              <w:rPr>
                <w:rFonts w:ascii="Arial" w:cs="Arial" w:eastAsia="Arial" w:hAnsi="Arial"/>
                <w:sz w:val="13"/>
                <w:szCs w:val="13"/>
                <w:b w:val="1"/>
                <w:bCs w:val="1"/>
                <w:color w:val="auto"/>
              </w:rPr>
              <w:t>Recognised in</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Balance 31</w:t>
            </w:r>
          </w:p>
        </w:tc>
        <w:tc>
          <w:tcPr>
            <w:tcW w:w="0" w:type="dxa"/>
            <w:vAlign w:val="bottom"/>
          </w:tcPr>
          <w:p>
            <w:pPr>
              <w:spacing w:after="0"/>
              <w:rPr>
                <w:sz w:val="1"/>
                <w:szCs w:val="1"/>
                <w:color w:val="auto"/>
              </w:rPr>
            </w:pPr>
          </w:p>
        </w:tc>
      </w:tr>
      <w:tr>
        <w:trPr>
          <w:trHeight w:val="177"/>
        </w:trPr>
        <w:tc>
          <w:tcPr>
            <w:tcW w:w="262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2019</w:t>
            </w:r>
          </w:p>
        </w:tc>
        <w:tc>
          <w:tcPr>
            <w:tcW w:w="16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w w:val="99"/>
              </w:rPr>
              <w:t>Recognised in Income</w:t>
            </w:r>
          </w:p>
        </w:tc>
        <w:tc>
          <w:tcPr>
            <w:tcW w:w="1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Acquisition</w:t>
            </w:r>
          </w:p>
        </w:tc>
        <w:tc>
          <w:tcPr>
            <w:tcW w:w="17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Comprehensive Income</w:t>
            </w:r>
          </w:p>
        </w:tc>
        <w:tc>
          <w:tcPr>
            <w:tcW w:w="1240" w:type="dxa"/>
            <w:vAlign w:val="bottom"/>
            <w:tcBorders>
              <w:bottom w:val="single" w:sz="8" w:color="auto"/>
            </w:tcBorders>
            <w:gridSpan w:val="2"/>
            <w:shd w:val="clear" w:color="auto" w:fill="CCEEFF"/>
          </w:tcPr>
          <w:p>
            <w:pPr>
              <w:ind w:left="700"/>
              <w:spacing w:after="0"/>
              <w:rPr>
                <w:sz w:val="20"/>
                <w:szCs w:val="20"/>
                <w:color w:val="auto"/>
              </w:rPr>
            </w:pPr>
            <w:r>
              <w:rPr>
                <w:rFonts w:ascii="Arial" w:cs="Arial" w:eastAsia="Arial" w:hAnsi="Arial"/>
                <w:sz w:val="13"/>
                <w:szCs w:val="13"/>
                <w:b w:val="1"/>
                <w:bCs w:val="1"/>
                <w:color w:val="auto"/>
              </w:rPr>
              <w:t>Equity</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December 2019</w:t>
            </w:r>
          </w:p>
        </w:tc>
        <w:tc>
          <w:tcPr>
            <w:tcW w:w="0" w:type="dxa"/>
            <w:vAlign w:val="bottom"/>
          </w:tcPr>
          <w:p>
            <w:pPr>
              <w:spacing w:after="0"/>
              <w:rPr>
                <w:sz w:val="1"/>
                <w:szCs w:val="1"/>
                <w:color w:val="auto"/>
              </w:rPr>
            </w:pPr>
          </w:p>
        </w:tc>
      </w:tr>
      <w:tr>
        <w:trPr>
          <w:trHeight w:val="182"/>
        </w:trPr>
        <w:tc>
          <w:tcPr>
            <w:tcW w:w="26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64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60" w:type="dxa"/>
            <w:vAlign w:val="bottom"/>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78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240" w:type="dxa"/>
            <w:vAlign w:val="bottom"/>
            <w:gridSpan w:val="2"/>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9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16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620" w:type="dxa"/>
            <w:vAlign w:val="bottom"/>
          </w:tcPr>
          <w:p>
            <w:pPr>
              <w:ind w:left="20"/>
              <w:spacing w:after="0"/>
              <w:rPr>
                <w:sz w:val="20"/>
                <w:szCs w:val="20"/>
                <w:color w:val="auto"/>
              </w:rPr>
            </w:pPr>
            <w:r>
              <w:rPr>
                <w:rFonts w:ascii="Arial" w:cs="Arial" w:eastAsia="Arial" w:hAnsi="Arial"/>
                <w:sz w:val="13"/>
                <w:szCs w:val="13"/>
                <w:color w:val="auto"/>
              </w:rPr>
              <w:t>Net operating loss carry forwards</w:t>
            </w:r>
          </w:p>
        </w:tc>
        <w:tc>
          <w:tcPr>
            <w:tcW w:w="1600" w:type="dxa"/>
            <w:vAlign w:val="bottom"/>
          </w:tcPr>
          <w:p>
            <w:pPr>
              <w:jc w:val="right"/>
              <w:ind w:right="136"/>
              <w:spacing w:after="0"/>
              <w:rPr>
                <w:sz w:val="20"/>
                <w:szCs w:val="20"/>
                <w:color w:val="auto"/>
              </w:rPr>
            </w:pPr>
            <w:r>
              <w:rPr>
                <w:rFonts w:ascii="Arial" w:cs="Arial" w:eastAsia="Arial" w:hAnsi="Arial"/>
                <w:sz w:val="13"/>
                <w:szCs w:val="13"/>
                <w:b w:val="1"/>
                <w:bCs w:val="1"/>
                <w:color w:val="auto"/>
              </w:rPr>
              <w:t>3,615</w:t>
            </w:r>
          </w:p>
        </w:tc>
        <w:tc>
          <w:tcPr>
            <w:tcW w:w="1640" w:type="dxa"/>
            <w:vAlign w:val="bottom"/>
          </w:tcPr>
          <w:p>
            <w:pPr>
              <w:jc w:val="right"/>
              <w:ind w:right="316"/>
              <w:spacing w:after="0"/>
              <w:rPr>
                <w:sz w:val="20"/>
                <w:szCs w:val="20"/>
                <w:color w:val="auto"/>
              </w:rPr>
            </w:pPr>
            <w:r>
              <w:rPr>
                <w:rFonts w:ascii="Arial" w:cs="Arial" w:eastAsia="Arial" w:hAnsi="Arial"/>
                <w:sz w:val="13"/>
                <w:szCs w:val="13"/>
                <w:color w:val="auto"/>
              </w:rPr>
              <w:t>3,680</w:t>
            </w:r>
          </w:p>
        </w:tc>
        <w:tc>
          <w:tcPr>
            <w:tcW w:w="1260" w:type="dxa"/>
            <w:vAlign w:val="bottom"/>
          </w:tcPr>
          <w:p>
            <w:pPr>
              <w:jc w:val="right"/>
              <w:ind w:right="176"/>
              <w:spacing w:after="0"/>
              <w:rPr>
                <w:sz w:val="20"/>
                <w:szCs w:val="20"/>
                <w:color w:val="auto"/>
              </w:rPr>
            </w:pPr>
            <w:r>
              <w:rPr>
                <w:rFonts w:ascii="Arial" w:cs="Arial" w:eastAsia="Arial" w:hAnsi="Arial"/>
                <w:sz w:val="13"/>
                <w:szCs w:val="13"/>
                <w:color w:val="auto"/>
              </w:rPr>
              <w:t>4,479</w:t>
            </w:r>
          </w:p>
        </w:tc>
        <w:tc>
          <w:tcPr>
            <w:tcW w:w="1780" w:type="dxa"/>
            <w:vAlign w:val="bottom"/>
          </w:tcPr>
          <w:p>
            <w:pPr>
              <w:ind w:left="130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100" w:type="dxa"/>
            <w:vAlign w:val="bottom"/>
          </w:tcPr>
          <w:p>
            <w:pPr>
              <w:jc w:val="right"/>
              <w:ind w:right="96"/>
              <w:spacing w:after="0"/>
              <w:rPr>
                <w:sz w:val="20"/>
                <w:szCs w:val="20"/>
                <w:color w:val="auto"/>
              </w:rPr>
            </w:pPr>
            <w:r>
              <w:rPr>
                <w:rFonts w:ascii="Arial" w:cs="Arial" w:eastAsia="Arial" w:hAnsi="Arial"/>
                <w:sz w:val="13"/>
                <w:szCs w:val="13"/>
                <w:b w:val="1"/>
                <w:bCs w:val="1"/>
                <w:color w:val="auto"/>
              </w:rPr>
              <w:t>11,774</w:t>
            </w:r>
          </w:p>
        </w:tc>
        <w:tc>
          <w:tcPr>
            <w:tcW w:w="0" w:type="dxa"/>
            <w:vAlign w:val="bottom"/>
          </w:tcPr>
          <w:p>
            <w:pPr>
              <w:spacing w:after="0"/>
              <w:rPr>
                <w:sz w:val="1"/>
                <w:szCs w:val="1"/>
                <w:color w:val="auto"/>
              </w:rPr>
            </w:pPr>
          </w:p>
        </w:tc>
      </w:tr>
      <w:tr>
        <w:trPr>
          <w:trHeight w:val="199"/>
        </w:trPr>
        <w:tc>
          <w:tcPr>
            <w:tcW w:w="2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Accrued expenses</w:t>
            </w:r>
          </w:p>
        </w:tc>
        <w:tc>
          <w:tcPr>
            <w:tcW w:w="160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23,754</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1,139</w:t>
            </w:r>
          </w:p>
        </w:tc>
        <w:tc>
          <w:tcPr>
            <w:tcW w:w="12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120</w:t>
            </w:r>
          </w:p>
        </w:tc>
        <w:tc>
          <w:tcPr>
            <w:tcW w:w="1780" w:type="dxa"/>
            <w:vAlign w:val="bottom"/>
            <w:shd w:val="clear" w:color="auto" w:fill="CCEEFF"/>
          </w:tcPr>
          <w:p>
            <w:pPr>
              <w:ind w:left="1180"/>
              <w:spacing w:after="0"/>
              <w:rPr>
                <w:sz w:val="20"/>
                <w:szCs w:val="20"/>
                <w:color w:val="auto"/>
              </w:rPr>
            </w:pPr>
            <w:r>
              <w:rPr>
                <w:rFonts w:ascii="Arial" w:cs="Arial" w:eastAsia="Arial" w:hAnsi="Arial"/>
                <w:sz w:val="13"/>
                <w:szCs w:val="13"/>
                <w:color w:val="auto"/>
              </w:rPr>
              <w:t>(183)</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24,830</w:t>
            </w:r>
          </w:p>
        </w:tc>
        <w:tc>
          <w:tcPr>
            <w:tcW w:w="0" w:type="dxa"/>
            <w:vAlign w:val="bottom"/>
          </w:tcPr>
          <w:p>
            <w:pPr>
              <w:spacing w:after="0"/>
              <w:rPr>
                <w:sz w:val="1"/>
                <w:szCs w:val="1"/>
                <w:color w:val="auto"/>
              </w:rPr>
            </w:pPr>
          </w:p>
        </w:tc>
      </w:tr>
      <w:tr>
        <w:trPr>
          <w:trHeight w:val="183"/>
        </w:trPr>
        <w:tc>
          <w:tcPr>
            <w:tcW w:w="2620" w:type="dxa"/>
            <w:vAlign w:val="bottom"/>
          </w:tcPr>
          <w:p>
            <w:pPr>
              <w:ind w:left="60"/>
              <w:spacing w:after="0"/>
              <w:rPr>
                <w:sz w:val="20"/>
                <w:szCs w:val="20"/>
                <w:color w:val="auto"/>
              </w:rPr>
            </w:pPr>
            <w:r>
              <w:rPr>
                <w:rFonts w:ascii="Arial" w:cs="Arial" w:eastAsia="Arial" w:hAnsi="Arial"/>
                <w:sz w:val="13"/>
                <w:szCs w:val="13"/>
                <w:color w:val="auto"/>
              </w:rPr>
              <w:t>Property, plant and equipment</w:t>
            </w:r>
          </w:p>
        </w:tc>
        <w:tc>
          <w:tcPr>
            <w:tcW w:w="1600" w:type="dxa"/>
            <w:vAlign w:val="bottom"/>
          </w:tcPr>
          <w:p>
            <w:pPr>
              <w:jc w:val="right"/>
              <w:ind w:right="136"/>
              <w:spacing w:after="0"/>
              <w:rPr>
                <w:sz w:val="20"/>
                <w:szCs w:val="20"/>
                <w:color w:val="auto"/>
              </w:rPr>
            </w:pPr>
            <w:r>
              <w:rPr>
                <w:rFonts w:ascii="Arial" w:cs="Arial" w:eastAsia="Arial" w:hAnsi="Arial"/>
                <w:sz w:val="13"/>
                <w:szCs w:val="13"/>
                <w:b w:val="1"/>
                <w:bCs w:val="1"/>
                <w:color w:val="auto"/>
              </w:rPr>
              <w:t>4,855</w:t>
            </w:r>
          </w:p>
        </w:tc>
        <w:tc>
          <w:tcPr>
            <w:tcW w:w="1640" w:type="dxa"/>
            <w:vAlign w:val="bottom"/>
          </w:tcPr>
          <w:p>
            <w:pPr>
              <w:jc w:val="right"/>
              <w:ind w:right="316"/>
              <w:spacing w:after="0"/>
              <w:rPr>
                <w:sz w:val="20"/>
                <w:szCs w:val="20"/>
                <w:color w:val="auto"/>
              </w:rPr>
            </w:pPr>
            <w:r>
              <w:rPr>
                <w:rFonts w:ascii="Arial" w:cs="Arial" w:eastAsia="Arial" w:hAnsi="Arial"/>
                <w:sz w:val="13"/>
                <w:szCs w:val="13"/>
                <w:color w:val="auto"/>
              </w:rPr>
              <w:t>220</w:t>
            </w:r>
          </w:p>
        </w:tc>
        <w:tc>
          <w:tcPr>
            <w:tcW w:w="1260" w:type="dxa"/>
            <w:vAlign w:val="bottom"/>
          </w:tcPr>
          <w:p>
            <w:pPr>
              <w:jc w:val="right"/>
              <w:ind w:right="176"/>
              <w:spacing w:after="0"/>
              <w:rPr>
                <w:sz w:val="20"/>
                <w:szCs w:val="20"/>
                <w:color w:val="auto"/>
              </w:rPr>
            </w:pPr>
            <w:r>
              <w:rPr>
                <w:rFonts w:ascii="Arial" w:cs="Arial" w:eastAsia="Arial" w:hAnsi="Arial"/>
                <w:sz w:val="13"/>
                <w:szCs w:val="13"/>
                <w:color w:val="auto"/>
              </w:rPr>
              <w:t>120</w:t>
            </w:r>
          </w:p>
        </w:tc>
        <w:tc>
          <w:tcPr>
            <w:tcW w:w="1780" w:type="dxa"/>
            <w:vAlign w:val="bottom"/>
          </w:tcPr>
          <w:p>
            <w:pPr>
              <w:ind w:left="130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100" w:type="dxa"/>
            <w:vAlign w:val="bottom"/>
          </w:tcPr>
          <w:p>
            <w:pPr>
              <w:jc w:val="right"/>
              <w:ind w:right="96"/>
              <w:spacing w:after="0"/>
              <w:rPr>
                <w:sz w:val="20"/>
                <w:szCs w:val="20"/>
                <w:color w:val="auto"/>
              </w:rPr>
            </w:pPr>
            <w:r>
              <w:rPr>
                <w:rFonts w:ascii="Arial" w:cs="Arial" w:eastAsia="Arial" w:hAnsi="Arial"/>
                <w:sz w:val="13"/>
                <w:szCs w:val="13"/>
                <w:b w:val="1"/>
                <w:bCs w:val="1"/>
                <w:color w:val="auto"/>
              </w:rPr>
              <w:t>5,195</w:t>
            </w:r>
          </w:p>
        </w:tc>
        <w:tc>
          <w:tcPr>
            <w:tcW w:w="0" w:type="dxa"/>
            <w:vAlign w:val="bottom"/>
          </w:tcPr>
          <w:p>
            <w:pPr>
              <w:spacing w:after="0"/>
              <w:rPr>
                <w:sz w:val="1"/>
                <w:szCs w:val="1"/>
                <w:color w:val="auto"/>
              </w:rPr>
            </w:pPr>
          </w:p>
        </w:tc>
      </w:tr>
      <w:tr>
        <w:trPr>
          <w:trHeight w:val="199"/>
        </w:trPr>
        <w:tc>
          <w:tcPr>
            <w:tcW w:w="2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Deferred compensation</w:t>
            </w:r>
          </w:p>
        </w:tc>
        <w:tc>
          <w:tcPr>
            <w:tcW w:w="160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2,197</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547</w:t>
            </w:r>
          </w:p>
        </w:tc>
        <w:tc>
          <w:tcPr>
            <w:tcW w:w="12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7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2,744</w:t>
            </w:r>
          </w:p>
        </w:tc>
        <w:tc>
          <w:tcPr>
            <w:tcW w:w="0" w:type="dxa"/>
            <w:vAlign w:val="bottom"/>
          </w:tcPr>
          <w:p>
            <w:pPr>
              <w:spacing w:after="0"/>
              <w:rPr>
                <w:sz w:val="1"/>
                <w:szCs w:val="1"/>
                <w:color w:val="auto"/>
              </w:rPr>
            </w:pPr>
          </w:p>
        </w:tc>
      </w:tr>
      <w:tr>
        <w:trPr>
          <w:trHeight w:val="183"/>
        </w:trPr>
        <w:tc>
          <w:tcPr>
            <w:tcW w:w="2620" w:type="dxa"/>
            <w:vAlign w:val="bottom"/>
          </w:tcPr>
          <w:p>
            <w:pPr>
              <w:ind w:left="60"/>
              <w:spacing w:after="0"/>
              <w:rPr>
                <w:sz w:val="20"/>
                <w:szCs w:val="20"/>
                <w:color w:val="auto"/>
              </w:rPr>
            </w:pPr>
            <w:r>
              <w:rPr>
                <w:rFonts w:ascii="Arial" w:cs="Arial" w:eastAsia="Arial" w:hAnsi="Arial"/>
                <w:sz w:val="13"/>
                <w:szCs w:val="13"/>
                <w:color w:val="auto"/>
              </w:rPr>
              <w:t>Share-based payment</w:t>
            </w:r>
          </w:p>
        </w:tc>
        <w:tc>
          <w:tcPr>
            <w:tcW w:w="1600" w:type="dxa"/>
            <w:vAlign w:val="bottom"/>
          </w:tcPr>
          <w:p>
            <w:pPr>
              <w:jc w:val="right"/>
              <w:ind w:right="136"/>
              <w:spacing w:after="0"/>
              <w:rPr>
                <w:sz w:val="20"/>
                <w:szCs w:val="20"/>
                <w:color w:val="auto"/>
              </w:rPr>
            </w:pPr>
            <w:r>
              <w:rPr>
                <w:rFonts w:ascii="Arial" w:cs="Arial" w:eastAsia="Arial" w:hAnsi="Arial"/>
                <w:sz w:val="13"/>
                <w:szCs w:val="13"/>
                <w:b w:val="1"/>
                <w:bCs w:val="1"/>
                <w:color w:val="auto"/>
              </w:rPr>
              <w:t>24,578</w:t>
            </w:r>
          </w:p>
        </w:tc>
        <w:tc>
          <w:tcPr>
            <w:tcW w:w="1640" w:type="dxa"/>
            <w:vAlign w:val="bottom"/>
          </w:tcPr>
          <w:p>
            <w:pPr>
              <w:jc w:val="right"/>
              <w:ind w:right="276"/>
              <w:spacing w:after="0"/>
              <w:rPr>
                <w:sz w:val="20"/>
                <w:szCs w:val="20"/>
                <w:color w:val="auto"/>
              </w:rPr>
            </w:pPr>
            <w:r>
              <w:rPr>
                <w:rFonts w:ascii="Arial" w:cs="Arial" w:eastAsia="Arial" w:hAnsi="Arial"/>
                <w:sz w:val="13"/>
                <w:szCs w:val="13"/>
                <w:color w:val="auto"/>
              </w:rPr>
              <w:t>(817)</w:t>
            </w:r>
          </w:p>
        </w:tc>
        <w:tc>
          <w:tcPr>
            <w:tcW w:w="12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780" w:type="dxa"/>
            <w:vAlign w:val="bottom"/>
          </w:tcPr>
          <w:p>
            <w:pPr>
              <w:ind w:left="1300"/>
              <w:spacing w:after="0"/>
              <w:rPr>
                <w:sz w:val="20"/>
                <w:szCs w:val="20"/>
                <w:color w:val="auto"/>
              </w:rPr>
            </w:pPr>
            <w:r>
              <w:rPr>
                <w:rFonts w:ascii="Arial" w:cs="Arial" w:eastAsia="Arial" w:hAnsi="Arial"/>
                <w:sz w:val="13"/>
                <w:szCs w:val="13"/>
                <w:color w:val="auto"/>
              </w:rPr>
              <w:t>—</w:t>
            </w:r>
          </w:p>
        </w:tc>
        <w:tc>
          <w:tcPr>
            <w:tcW w:w="1020" w:type="dxa"/>
            <w:vAlign w:val="bottom"/>
          </w:tcPr>
          <w:p>
            <w:pPr>
              <w:ind w:left="700"/>
              <w:spacing w:after="0"/>
              <w:rPr>
                <w:sz w:val="20"/>
                <w:szCs w:val="20"/>
                <w:color w:val="auto"/>
              </w:rPr>
            </w:pPr>
            <w:r>
              <w:rPr>
                <w:rFonts w:ascii="Arial" w:cs="Arial" w:eastAsia="Arial" w:hAnsi="Arial"/>
                <w:sz w:val="13"/>
                <w:szCs w:val="13"/>
                <w:color w:val="auto"/>
                <w:w w:val="98"/>
              </w:rPr>
              <w:t>(679)</w:t>
            </w:r>
          </w:p>
        </w:tc>
        <w:tc>
          <w:tcPr>
            <w:tcW w:w="220" w:type="dxa"/>
            <w:vAlign w:val="bottom"/>
          </w:tcPr>
          <w:p>
            <w:pPr>
              <w:spacing w:after="0"/>
              <w:rPr>
                <w:sz w:val="15"/>
                <w:szCs w:val="15"/>
                <w:color w:val="auto"/>
              </w:rPr>
            </w:pPr>
          </w:p>
        </w:tc>
        <w:tc>
          <w:tcPr>
            <w:tcW w:w="1100" w:type="dxa"/>
            <w:vAlign w:val="bottom"/>
          </w:tcPr>
          <w:p>
            <w:pPr>
              <w:jc w:val="right"/>
              <w:ind w:right="96"/>
              <w:spacing w:after="0"/>
              <w:rPr>
                <w:sz w:val="20"/>
                <w:szCs w:val="20"/>
                <w:color w:val="auto"/>
              </w:rPr>
            </w:pPr>
            <w:r>
              <w:rPr>
                <w:rFonts w:ascii="Arial" w:cs="Arial" w:eastAsia="Arial" w:hAnsi="Arial"/>
                <w:sz w:val="13"/>
                <w:szCs w:val="13"/>
                <w:b w:val="1"/>
                <w:bCs w:val="1"/>
                <w:color w:val="auto"/>
              </w:rPr>
              <w:t>23,082</w:t>
            </w:r>
          </w:p>
        </w:tc>
        <w:tc>
          <w:tcPr>
            <w:tcW w:w="0" w:type="dxa"/>
            <w:vAlign w:val="bottom"/>
          </w:tcPr>
          <w:p>
            <w:pPr>
              <w:spacing w:after="0"/>
              <w:rPr>
                <w:sz w:val="1"/>
                <w:szCs w:val="1"/>
                <w:color w:val="auto"/>
              </w:rPr>
            </w:pPr>
          </w:p>
        </w:tc>
      </w:tr>
      <w:tr>
        <w:trPr>
          <w:trHeight w:val="199"/>
        </w:trPr>
        <w:tc>
          <w:tcPr>
            <w:tcW w:w="2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Deferred revenue</w:t>
            </w:r>
          </w:p>
        </w:tc>
        <w:tc>
          <w:tcPr>
            <w:tcW w:w="160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5,681</w:t>
            </w:r>
          </w:p>
        </w:tc>
        <w:tc>
          <w:tcPr>
            <w:tcW w:w="164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(2,060)</w:t>
            </w:r>
          </w:p>
        </w:tc>
        <w:tc>
          <w:tcPr>
            <w:tcW w:w="12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312</w:t>
            </w:r>
          </w:p>
        </w:tc>
        <w:tc>
          <w:tcPr>
            <w:tcW w:w="17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3,933</w:t>
            </w:r>
          </w:p>
        </w:tc>
        <w:tc>
          <w:tcPr>
            <w:tcW w:w="0" w:type="dxa"/>
            <w:vAlign w:val="bottom"/>
          </w:tcPr>
          <w:p>
            <w:pPr>
              <w:spacing w:after="0"/>
              <w:rPr>
                <w:sz w:val="1"/>
                <w:szCs w:val="1"/>
                <w:color w:val="auto"/>
              </w:rPr>
            </w:pPr>
          </w:p>
        </w:tc>
      </w:tr>
      <w:tr>
        <w:trPr>
          <w:trHeight w:val="183"/>
        </w:trPr>
        <w:tc>
          <w:tcPr>
            <w:tcW w:w="26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Other</w:t>
            </w:r>
          </w:p>
        </w:tc>
        <w:tc>
          <w:tcPr>
            <w:tcW w:w="16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w:t>
            </w:r>
          </w:p>
        </w:tc>
        <w:tc>
          <w:tcPr>
            <w:tcW w:w="16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625</w:t>
            </w:r>
          </w:p>
        </w:tc>
        <w:tc>
          <w:tcPr>
            <w:tcW w:w="12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55</w:t>
            </w:r>
          </w:p>
        </w:tc>
        <w:tc>
          <w:tcPr>
            <w:tcW w:w="1780" w:type="dxa"/>
            <w:vAlign w:val="bottom"/>
            <w:tcBorders>
              <w:bottom w:val="single" w:sz="8" w:color="auto"/>
            </w:tcBorders>
          </w:tcPr>
          <w:p>
            <w:pPr>
              <w:ind w:left="1300"/>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682</w:t>
            </w: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16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64,682</w:t>
            </w:r>
          </w:p>
        </w:tc>
        <w:tc>
          <w:tcPr>
            <w:tcW w:w="16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3,334</w:t>
            </w:r>
          </w:p>
        </w:tc>
        <w:tc>
          <w:tcPr>
            <w:tcW w:w="12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5,086</w:t>
            </w:r>
          </w:p>
        </w:tc>
        <w:tc>
          <w:tcPr>
            <w:tcW w:w="178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(183)</w:t>
            </w:r>
          </w:p>
        </w:tc>
        <w:tc>
          <w:tcPr>
            <w:tcW w:w="1020" w:type="dxa"/>
            <w:vAlign w:val="bottom"/>
            <w:tcBorders>
              <w:bottom w:val="single" w:sz="8" w:color="auto"/>
            </w:tcBorders>
          </w:tcPr>
          <w:p>
            <w:pPr>
              <w:ind w:left="700"/>
              <w:spacing w:after="0"/>
              <w:rPr>
                <w:sz w:val="20"/>
                <w:szCs w:val="20"/>
                <w:color w:val="auto"/>
              </w:rPr>
            </w:pPr>
            <w:r>
              <w:rPr>
                <w:rFonts w:ascii="Arial" w:cs="Arial" w:eastAsia="Arial" w:hAnsi="Arial"/>
                <w:sz w:val="13"/>
                <w:szCs w:val="13"/>
                <w:b w:val="1"/>
                <w:bCs w:val="1"/>
                <w:color w:val="auto"/>
                <w:w w:val="98"/>
              </w:rPr>
              <w:t>(679)</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72,240</w:t>
            </w: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620" w:type="dxa"/>
            <w:vAlign w:val="bottom"/>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16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160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981</w:t>
            </w:r>
          </w:p>
        </w:tc>
        <w:tc>
          <w:tcPr>
            <w:tcW w:w="16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27</w:t>
            </w:r>
          </w:p>
        </w:tc>
        <w:tc>
          <w:tcPr>
            <w:tcW w:w="12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94</w:t>
            </w:r>
          </w:p>
        </w:tc>
        <w:tc>
          <w:tcPr>
            <w:tcW w:w="17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1,102</w:t>
            </w:r>
          </w:p>
        </w:tc>
        <w:tc>
          <w:tcPr>
            <w:tcW w:w="0" w:type="dxa"/>
            <w:vAlign w:val="bottom"/>
          </w:tcPr>
          <w:p>
            <w:pPr>
              <w:spacing w:after="0"/>
              <w:rPr>
                <w:sz w:val="1"/>
                <w:szCs w:val="1"/>
                <w:color w:val="auto"/>
              </w:rPr>
            </w:pPr>
          </w:p>
        </w:tc>
      </w:tr>
      <w:tr>
        <w:trPr>
          <w:trHeight w:val="183"/>
        </w:trPr>
        <w:tc>
          <w:tcPr>
            <w:tcW w:w="2620" w:type="dxa"/>
            <w:vAlign w:val="bottom"/>
          </w:tcPr>
          <w:p>
            <w:pPr>
              <w:ind w:left="20"/>
              <w:spacing w:after="0"/>
              <w:rPr>
                <w:sz w:val="20"/>
                <w:szCs w:val="20"/>
                <w:color w:val="auto"/>
              </w:rPr>
            </w:pPr>
            <w:r>
              <w:rPr>
                <w:rFonts w:ascii="Arial" w:cs="Arial" w:eastAsia="Arial" w:hAnsi="Arial"/>
                <w:sz w:val="13"/>
                <w:szCs w:val="13"/>
                <w:color w:val="auto"/>
              </w:rPr>
              <w:t>Goodwill on acquisition</w:t>
            </w:r>
          </w:p>
        </w:tc>
        <w:tc>
          <w:tcPr>
            <w:tcW w:w="1600" w:type="dxa"/>
            <w:vAlign w:val="bottom"/>
          </w:tcPr>
          <w:p>
            <w:pPr>
              <w:jc w:val="right"/>
              <w:ind w:right="136"/>
              <w:spacing w:after="0"/>
              <w:rPr>
                <w:sz w:val="20"/>
                <w:szCs w:val="20"/>
                <w:color w:val="auto"/>
              </w:rPr>
            </w:pPr>
            <w:r>
              <w:rPr>
                <w:rFonts w:ascii="Arial" w:cs="Arial" w:eastAsia="Arial" w:hAnsi="Arial"/>
                <w:sz w:val="13"/>
                <w:szCs w:val="13"/>
                <w:b w:val="1"/>
                <w:bCs w:val="1"/>
                <w:color w:val="auto"/>
              </w:rPr>
              <w:t>25,149</w:t>
            </w:r>
          </w:p>
        </w:tc>
        <w:tc>
          <w:tcPr>
            <w:tcW w:w="1640" w:type="dxa"/>
            <w:vAlign w:val="bottom"/>
          </w:tcPr>
          <w:p>
            <w:pPr>
              <w:jc w:val="right"/>
              <w:ind w:right="316"/>
              <w:spacing w:after="0"/>
              <w:rPr>
                <w:sz w:val="20"/>
                <w:szCs w:val="20"/>
                <w:color w:val="auto"/>
              </w:rPr>
            </w:pPr>
            <w:r>
              <w:rPr>
                <w:rFonts w:ascii="Arial" w:cs="Arial" w:eastAsia="Arial" w:hAnsi="Arial"/>
                <w:sz w:val="13"/>
                <w:szCs w:val="13"/>
                <w:color w:val="auto"/>
              </w:rPr>
              <w:t>2,441</w:t>
            </w:r>
          </w:p>
        </w:tc>
        <w:tc>
          <w:tcPr>
            <w:tcW w:w="12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780" w:type="dxa"/>
            <w:vAlign w:val="bottom"/>
          </w:tcPr>
          <w:p>
            <w:pPr>
              <w:ind w:left="130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100" w:type="dxa"/>
            <w:vAlign w:val="bottom"/>
          </w:tcPr>
          <w:p>
            <w:pPr>
              <w:jc w:val="right"/>
              <w:ind w:right="96"/>
              <w:spacing w:after="0"/>
              <w:rPr>
                <w:sz w:val="20"/>
                <w:szCs w:val="20"/>
                <w:color w:val="auto"/>
              </w:rPr>
            </w:pPr>
            <w:r>
              <w:rPr>
                <w:rFonts w:ascii="Arial" w:cs="Arial" w:eastAsia="Arial" w:hAnsi="Arial"/>
                <w:sz w:val="13"/>
                <w:szCs w:val="13"/>
                <w:b w:val="1"/>
                <w:bCs w:val="1"/>
                <w:color w:val="auto"/>
              </w:rPr>
              <w:t>27,590</w:t>
            </w: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ind w:left="20"/>
              <w:spacing w:after="0" w:line="147" w:lineRule="exact"/>
              <w:rPr>
                <w:sz w:val="20"/>
                <w:szCs w:val="20"/>
                <w:color w:val="auto"/>
              </w:rPr>
            </w:pPr>
            <w:r>
              <w:rPr>
                <w:rFonts w:ascii="Arial" w:cs="Arial" w:eastAsia="Arial" w:hAnsi="Arial"/>
                <w:sz w:val="13"/>
                <w:szCs w:val="13"/>
                <w:color w:val="auto"/>
              </w:rPr>
              <w:t>Accruals to cash method</w:t>
            </w:r>
          </w:p>
        </w:tc>
        <w:tc>
          <w:tcPr>
            <w:tcW w:w="1600" w:type="dxa"/>
            <w:vAlign w:val="bottom"/>
            <w:vMerge w:val="restart"/>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5,703</w:t>
            </w:r>
          </w:p>
        </w:tc>
        <w:tc>
          <w:tcPr>
            <w:tcW w:w="1640" w:type="dxa"/>
            <w:vAlign w:val="bottom"/>
            <w:vMerge w:val="restart"/>
            <w:shd w:val="clear" w:color="auto" w:fill="CCEEFF"/>
          </w:tcPr>
          <w:p>
            <w:pPr>
              <w:jc w:val="right"/>
              <w:ind w:right="316"/>
              <w:spacing w:after="0"/>
              <w:rPr>
                <w:sz w:val="20"/>
                <w:szCs w:val="20"/>
                <w:color w:val="auto"/>
              </w:rPr>
            </w:pPr>
            <w:r>
              <w:rPr>
                <w:rFonts w:ascii="Arial" w:cs="Arial" w:eastAsia="Arial" w:hAnsi="Arial"/>
                <w:sz w:val="13"/>
                <w:szCs w:val="13"/>
                <w:color w:val="auto"/>
              </w:rPr>
              <w:t>540</w:t>
            </w:r>
          </w:p>
        </w:tc>
        <w:tc>
          <w:tcPr>
            <w:tcW w:w="1260" w:type="dxa"/>
            <w:vAlign w:val="bottom"/>
            <w:vMerge w:val="restart"/>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780" w:type="dxa"/>
            <w:vAlign w:val="bottom"/>
            <w:vMerge w:val="restart"/>
            <w:shd w:val="clear" w:color="auto" w:fill="CCEEFF"/>
          </w:tcPr>
          <w:p>
            <w:pPr>
              <w:ind w:left="1300"/>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22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w w:val="78"/>
              </w:rPr>
              <w:t>*</w:t>
            </w:r>
          </w:p>
        </w:tc>
        <w:tc>
          <w:tcPr>
            <w:tcW w:w="110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6,284</w:t>
            </w:r>
          </w:p>
        </w:tc>
        <w:tc>
          <w:tcPr>
            <w:tcW w:w="0" w:type="dxa"/>
            <w:vAlign w:val="bottom"/>
          </w:tcPr>
          <w:p>
            <w:pPr>
              <w:spacing w:after="0"/>
              <w:rPr>
                <w:sz w:val="1"/>
                <w:szCs w:val="1"/>
                <w:color w:val="auto"/>
              </w:rPr>
            </w:pPr>
          </w:p>
        </w:tc>
      </w:tr>
      <w:tr>
        <w:trPr>
          <w:trHeight w:val="158"/>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w:t>
            </w:r>
          </w:p>
        </w:tc>
        <w:tc>
          <w:tcPr>
            <w:tcW w:w="1600" w:type="dxa"/>
            <w:vAlign w:val="bottom"/>
            <w:vMerge w:val="continue"/>
            <w:shd w:val="clear" w:color="auto" w:fill="CCEEFF"/>
          </w:tcPr>
          <w:p>
            <w:pPr>
              <w:spacing w:after="0"/>
              <w:rPr>
                <w:sz w:val="13"/>
                <w:szCs w:val="13"/>
                <w:color w:val="auto"/>
              </w:rPr>
            </w:pPr>
          </w:p>
        </w:tc>
        <w:tc>
          <w:tcPr>
            <w:tcW w:w="1640" w:type="dxa"/>
            <w:vAlign w:val="bottom"/>
            <w:vMerge w:val="continue"/>
            <w:shd w:val="clear" w:color="auto" w:fill="CCEEFF"/>
          </w:tcPr>
          <w:p>
            <w:pPr>
              <w:spacing w:after="0"/>
              <w:rPr>
                <w:sz w:val="13"/>
                <w:szCs w:val="13"/>
                <w:color w:val="auto"/>
              </w:rPr>
            </w:pPr>
          </w:p>
        </w:tc>
        <w:tc>
          <w:tcPr>
            <w:tcW w:w="1260" w:type="dxa"/>
            <w:vAlign w:val="bottom"/>
            <w:vMerge w:val="continue"/>
            <w:shd w:val="clear" w:color="auto" w:fill="CCEEFF"/>
          </w:tcPr>
          <w:p>
            <w:pPr>
              <w:spacing w:after="0"/>
              <w:rPr>
                <w:sz w:val="13"/>
                <w:szCs w:val="13"/>
                <w:color w:val="auto"/>
              </w:rPr>
            </w:pPr>
          </w:p>
        </w:tc>
        <w:tc>
          <w:tcPr>
            <w:tcW w:w="1780" w:type="dxa"/>
            <w:vAlign w:val="bottom"/>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6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Other intangible assets</w:t>
            </w:r>
          </w:p>
        </w:tc>
        <w:tc>
          <w:tcPr>
            <w:tcW w:w="16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9,397</w:t>
            </w:r>
          </w:p>
        </w:tc>
        <w:tc>
          <w:tcPr>
            <w:tcW w:w="16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(2,240)</w:t>
            </w:r>
          </w:p>
        </w:tc>
        <w:tc>
          <w:tcPr>
            <w:tcW w:w="12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4,648</w:t>
            </w:r>
          </w:p>
        </w:tc>
        <w:tc>
          <w:tcPr>
            <w:tcW w:w="1780" w:type="dxa"/>
            <w:vAlign w:val="bottom"/>
            <w:tcBorders>
              <w:bottom w:val="single" w:sz="8" w:color="auto"/>
            </w:tcBorders>
          </w:tcPr>
          <w:p>
            <w:pPr>
              <w:ind w:left="1300"/>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11,805</w:t>
            </w: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liabilities</w:t>
            </w:r>
          </w:p>
        </w:tc>
        <w:tc>
          <w:tcPr>
            <w:tcW w:w="16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41,230</w:t>
            </w:r>
          </w:p>
        </w:tc>
        <w:tc>
          <w:tcPr>
            <w:tcW w:w="16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768</w:t>
            </w:r>
          </w:p>
        </w:tc>
        <w:tc>
          <w:tcPr>
            <w:tcW w:w="12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4,742</w:t>
            </w:r>
          </w:p>
        </w:tc>
        <w:tc>
          <w:tcPr>
            <w:tcW w:w="1780" w:type="dxa"/>
            <w:vAlign w:val="bottom"/>
            <w:tcBorders>
              <w:bottom w:val="single" w:sz="8" w:color="auto"/>
            </w:tcBorders>
          </w:tcPr>
          <w:p>
            <w:pPr>
              <w:ind w:left="1300"/>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46,781</w:t>
            </w: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deferred taxation asset/(liability)</w:t>
            </w:r>
          </w:p>
        </w:tc>
        <w:tc>
          <w:tcPr>
            <w:tcW w:w="16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23,452</w:t>
            </w:r>
          </w:p>
        </w:tc>
        <w:tc>
          <w:tcPr>
            <w:tcW w:w="16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2,566</w:t>
            </w:r>
          </w:p>
        </w:tc>
        <w:tc>
          <w:tcPr>
            <w:tcW w:w="12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344</w:t>
            </w:r>
          </w:p>
        </w:tc>
        <w:tc>
          <w:tcPr>
            <w:tcW w:w="178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(183)</w:t>
            </w:r>
          </w:p>
        </w:tc>
        <w:tc>
          <w:tcPr>
            <w:tcW w:w="1020" w:type="dxa"/>
            <w:vAlign w:val="bottom"/>
            <w:tcBorders>
              <w:bottom w:val="single" w:sz="8" w:color="auto"/>
            </w:tcBorders>
          </w:tcPr>
          <w:p>
            <w:pPr>
              <w:ind w:left="700"/>
              <w:spacing w:after="0"/>
              <w:rPr>
                <w:sz w:val="20"/>
                <w:szCs w:val="20"/>
                <w:color w:val="auto"/>
              </w:rPr>
            </w:pPr>
            <w:r>
              <w:rPr>
                <w:rFonts w:ascii="Arial" w:cs="Arial" w:eastAsia="Arial" w:hAnsi="Arial"/>
                <w:sz w:val="13"/>
                <w:szCs w:val="13"/>
                <w:b w:val="1"/>
                <w:bCs w:val="1"/>
                <w:color w:val="auto"/>
                <w:w w:val="98"/>
              </w:rPr>
              <w:t>(720)</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25,459</w:t>
            </w:r>
          </w:p>
        </w:tc>
        <w:tc>
          <w:tcPr>
            <w:tcW w:w="0" w:type="dxa"/>
            <w:vAlign w:val="bottom"/>
          </w:tcPr>
          <w:p>
            <w:pPr>
              <w:spacing w:after="0"/>
              <w:rPr>
                <w:sz w:val="1"/>
                <w:szCs w:val="1"/>
                <w:color w:val="auto"/>
              </w:rPr>
            </w:pPr>
          </w:p>
        </w:tc>
      </w:tr>
    </w:tbl>
    <w:p>
      <w:pPr>
        <w:spacing w:after="0" w:line="55"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*These adjustments relate to foreign currency translation on the deferred tax liabilities.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80"/>
          </w:cols>
          <w:pgMar w:left="300" w:top="696" w:right="31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Income tax expense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color w:val="auto"/>
        </w:rPr>
        <w:t>The movement in temporary differences during the year ended 31 December 2018 was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2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Balance 1 January</w:t>
            </w:r>
          </w:p>
        </w:tc>
        <w:tc>
          <w:tcPr>
            <w:tcW w:w="132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Recognised in</w:t>
            </w: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Recognised on</w:t>
            </w:r>
          </w:p>
        </w:tc>
        <w:tc>
          <w:tcPr>
            <w:tcW w:w="1960" w:type="dxa"/>
            <w:vAlign w:val="bottom"/>
            <w:shd w:val="clear" w:color="auto" w:fill="CCEEFF"/>
          </w:tcPr>
          <w:p>
            <w:pPr>
              <w:ind w:left="320"/>
              <w:spacing w:after="0"/>
              <w:rPr>
                <w:sz w:val="20"/>
                <w:szCs w:val="20"/>
                <w:color w:val="auto"/>
              </w:rPr>
            </w:pPr>
            <w:r>
              <w:rPr>
                <w:rFonts w:ascii="Arial" w:cs="Arial" w:eastAsia="Arial" w:hAnsi="Arial"/>
                <w:sz w:val="13"/>
                <w:szCs w:val="13"/>
                <w:b w:val="1"/>
                <w:bCs w:val="1"/>
                <w:color w:val="auto"/>
              </w:rPr>
              <w:t>Recognised in Other</w:t>
            </w: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Balance 31</w:t>
            </w:r>
          </w:p>
        </w:tc>
      </w:tr>
      <w:tr>
        <w:trPr>
          <w:trHeight w:val="177"/>
        </w:trPr>
        <w:tc>
          <w:tcPr>
            <w:tcW w:w="272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gridSpan w:val="2"/>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2018</w:t>
            </w:r>
          </w:p>
        </w:tc>
        <w:tc>
          <w:tcPr>
            <w:tcW w:w="1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Income</w:t>
            </w:r>
          </w:p>
        </w:tc>
        <w:tc>
          <w:tcPr>
            <w:tcW w:w="1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Acquisition</w:t>
            </w:r>
          </w:p>
        </w:tc>
        <w:tc>
          <w:tcPr>
            <w:tcW w:w="302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3"/>
                <w:szCs w:val="13"/>
                <w:b w:val="1"/>
                <w:bCs w:val="1"/>
                <w:color w:val="auto"/>
              </w:rPr>
              <w:t>Comprehensive Income Recognised in Equity</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December 2018</w:t>
            </w:r>
          </w:p>
        </w:tc>
      </w:tr>
      <w:tr>
        <w:trPr>
          <w:trHeight w:val="182"/>
        </w:trPr>
        <w:tc>
          <w:tcPr>
            <w:tcW w:w="2720" w:type="dxa"/>
            <w:vAlign w:val="bottom"/>
          </w:tcPr>
          <w:p>
            <w:pPr>
              <w:spacing w:after="0"/>
              <w:rPr>
                <w:sz w:val="15"/>
                <w:szCs w:val="15"/>
                <w:color w:val="auto"/>
              </w:rPr>
            </w:pPr>
          </w:p>
        </w:tc>
        <w:tc>
          <w:tcPr>
            <w:tcW w:w="1860" w:type="dxa"/>
            <w:vAlign w:val="bottom"/>
            <w:gridSpan w:val="2"/>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32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220" w:type="dxa"/>
            <w:vAlign w:val="bottom"/>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960" w:type="dxa"/>
            <w:vAlign w:val="bottom"/>
          </w:tcPr>
          <w:p>
            <w:pPr>
              <w:ind w:left="1240"/>
              <w:spacing w:after="0"/>
              <w:rPr>
                <w:sz w:val="20"/>
                <w:szCs w:val="20"/>
                <w:color w:val="auto"/>
              </w:rPr>
            </w:pPr>
            <w:r>
              <w:rPr>
                <w:rFonts w:ascii="Arial" w:cs="Arial" w:eastAsia="Arial" w:hAnsi="Arial"/>
                <w:sz w:val="13"/>
                <w:szCs w:val="13"/>
                <w:b w:val="1"/>
                <w:bCs w:val="1"/>
                <w:color w:val="auto"/>
              </w:rPr>
              <w:t>$’000</w:t>
            </w:r>
          </w:p>
        </w:tc>
        <w:tc>
          <w:tcPr>
            <w:tcW w:w="106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9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1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3"/>
        </w:trPr>
        <w:tc>
          <w:tcPr>
            <w:tcW w:w="2720" w:type="dxa"/>
            <w:vAlign w:val="bottom"/>
          </w:tcPr>
          <w:p>
            <w:pPr>
              <w:ind w:left="20"/>
              <w:spacing w:after="0"/>
              <w:rPr>
                <w:sz w:val="20"/>
                <w:szCs w:val="20"/>
                <w:color w:val="auto"/>
              </w:rPr>
            </w:pPr>
            <w:r>
              <w:rPr>
                <w:rFonts w:ascii="Arial" w:cs="Arial" w:eastAsia="Arial" w:hAnsi="Arial"/>
                <w:sz w:val="13"/>
                <w:szCs w:val="13"/>
                <w:color w:val="auto"/>
              </w:rPr>
              <w:t>Net operating loss carry forwards</w:t>
            </w: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rPr>
              <w:t>3,402</w:t>
            </w:r>
          </w:p>
        </w:tc>
        <w:tc>
          <w:tcPr>
            <w:tcW w:w="340" w:type="dxa"/>
            <w:vAlign w:val="bottom"/>
          </w:tcPr>
          <w:p>
            <w:pPr>
              <w:spacing w:after="0"/>
              <w:rPr>
                <w:sz w:val="15"/>
                <w:szCs w:val="15"/>
                <w:color w:val="auto"/>
              </w:rPr>
            </w:pPr>
          </w:p>
        </w:tc>
        <w:tc>
          <w:tcPr>
            <w:tcW w:w="1320" w:type="dxa"/>
            <w:vAlign w:val="bottom"/>
          </w:tcPr>
          <w:p>
            <w:pPr>
              <w:jc w:val="right"/>
              <w:ind w:right="276"/>
              <w:spacing w:after="0"/>
              <w:rPr>
                <w:sz w:val="20"/>
                <w:szCs w:val="20"/>
                <w:color w:val="auto"/>
              </w:rPr>
            </w:pPr>
            <w:r>
              <w:rPr>
                <w:rFonts w:ascii="Arial" w:cs="Arial" w:eastAsia="Arial" w:hAnsi="Arial"/>
                <w:sz w:val="13"/>
                <w:szCs w:val="13"/>
                <w:color w:val="auto"/>
              </w:rPr>
              <w:t>407</w:t>
            </w:r>
          </w:p>
        </w:tc>
        <w:tc>
          <w:tcPr>
            <w:tcW w:w="1220" w:type="dxa"/>
            <w:vAlign w:val="bottom"/>
          </w:tcPr>
          <w:p>
            <w:pPr>
              <w:ind w:left="840"/>
              <w:spacing w:after="0"/>
              <w:rPr>
                <w:sz w:val="20"/>
                <w:szCs w:val="20"/>
                <w:color w:val="auto"/>
              </w:rPr>
            </w:pPr>
            <w:r>
              <w:rPr>
                <w:rFonts w:ascii="Arial" w:cs="Arial" w:eastAsia="Arial" w:hAnsi="Arial"/>
                <w:sz w:val="13"/>
                <w:szCs w:val="13"/>
                <w:color w:val="auto"/>
              </w:rPr>
              <w:t>—</w:t>
            </w:r>
          </w:p>
        </w:tc>
        <w:tc>
          <w:tcPr>
            <w:tcW w:w="1960" w:type="dxa"/>
            <w:vAlign w:val="bottom"/>
          </w:tcPr>
          <w:p>
            <w:pPr>
              <w:ind w:left="1180"/>
              <w:spacing w:after="0"/>
              <w:rPr>
                <w:sz w:val="20"/>
                <w:szCs w:val="20"/>
                <w:color w:val="auto"/>
              </w:rPr>
            </w:pPr>
            <w:r>
              <w:rPr>
                <w:rFonts w:ascii="Arial" w:cs="Arial" w:eastAsia="Arial" w:hAnsi="Arial"/>
                <w:sz w:val="13"/>
                <w:szCs w:val="13"/>
                <w:color w:val="auto"/>
              </w:rPr>
              <w:t>(194)</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100" w:type="dxa"/>
            <w:vAlign w:val="bottom"/>
          </w:tcPr>
          <w:p>
            <w:pPr>
              <w:jc w:val="right"/>
              <w:ind w:right="96"/>
              <w:spacing w:after="0"/>
              <w:rPr>
                <w:sz w:val="20"/>
                <w:szCs w:val="20"/>
                <w:color w:val="auto"/>
              </w:rPr>
            </w:pPr>
            <w:r>
              <w:rPr>
                <w:rFonts w:ascii="Arial" w:cs="Arial" w:eastAsia="Arial" w:hAnsi="Arial"/>
                <w:sz w:val="13"/>
                <w:szCs w:val="13"/>
                <w:b w:val="1"/>
                <w:bCs w:val="1"/>
                <w:color w:val="auto"/>
              </w:rPr>
              <w:t>3,615</w:t>
            </w:r>
          </w:p>
        </w:tc>
      </w:tr>
      <w:tr>
        <w:trPr>
          <w:trHeight w:val="19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expenses</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23,627</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127</w:t>
            </w:r>
          </w:p>
        </w:tc>
        <w:tc>
          <w:tcPr>
            <w:tcW w:w="1220" w:type="dxa"/>
            <w:vAlign w:val="bottom"/>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96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23,754</w:t>
            </w:r>
          </w:p>
        </w:tc>
      </w:tr>
      <w:tr>
        <w:trPr>
          <w:trHeight w:val="183"/>
        </w:trPr>
        <w:tc>
          <w:tcPr>
            <w:tcW w:w="2720" w:type="dxa"/>
            <w:vAlign w:val="bottom"/>
          </w:tcPr>
          <w:p>
            <w:pPr>
              <w:ind w:left="60"/>
              <w:spacing w:after="0"/>
              <w:rPr>
                <w:sz w:val="20"/>
                <w:szCs w:val="20"/>
                <w:color w:val="auto"/>
              </w:rPr>
            </w:pPr>
            <w:r>
              <w:rPr>
                <w:rFonts w:ascii="Arial" w:cs="Arial" w:eastAsia="Arial" w:hAnsi="Arial"/>
                <w:sz w:val="13"/>
                <w:szCs w:val="13"/>
                <w:color w:val="auto"/>
              </w:rPr>
              <w:t>Property, plant and equipment</w:t>
            </w: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rPr>
              <w:t>3,989</w:t>
            </w:r>
          </w:p>
        </w:tc>
        <w:tc>
          <w:tcPr>
            <w:tcW w:w="340" w:type="dxa"/>
            <w:vAlign w:val="bottom"/>
          </w:tcPr>
          <w:p>
            <w:pPr>
              <w:spacing w:after="0"/>
              <w:rPr>
                <w:sz w:val="15"/>
                <w:szCs w:val="15"/>
                <w:color w:val="auto"/>
              </w:rPr>
            </w:pPr>
          </w:p>
        </w:tc>
        <w:tc>
          <w:tcPr>
            <w:tcW w:w="1320" w:type="dxa"/>
            <w:vAlign w:val="bottom"/>
          </w:tcPr>
          <w:p>
            <w:pPr>
              <w:jc w:val="right"/>
              <w:ind w:right="276"/>
              <w:spacing w:after="0"/>
              <w:rPr>
                <w:sz w:val="20"/>
                <w:szCs w:val="20"/>
                <w:color w:val="auto"/>
              </w:rPr>
            </w:pPr>
            <w:r>
              <w:rPr>
                <w:rFonts w:ascii="Arial" w:cs="Arial" w:eastAsia="Arial" w:hAnsi="Arial"/>
                <w:sz w:val="13"/>
                <w:szCs w:val="13"/>
                <w:color w:val="auto"/>
              </w:rPr>
              <w:t>866</w:t>
            </w:r>
          </w:p>
        </w:tc>
        <w:tc>
          <w:tcPr>
            <w:tcW w:w="1220" w:type="dxa"/>
            <w:vAlign w:val="bottom"/>
          </w:tcPr>
          <w:p>
            <w:pPr>
              <w:ind w:left="840"/>
              <w:spacing w:after="0"/>
              <w:rPr>
                <w:sz w:val="20"/>
                <w:szCs w:val="20"/>
                <w:color w:val="auto"/>
              </w:rPr>
            </w:pPr>
            <w:r>
              <w:rPr>
                <w:rFonts w:ascii="Arial" w:cs="Arial" w:eastAsia="Arial" w:hAnsi="Arial"/>
                <w:sz w:val="13"/>
                <w:szCs w:val="13"/>
                <w:color w:val="auto"/>
              </w:rPr>
              <w:t>—</w:t>
            </w:r>
          </w:p>
        </w:tc>
        <w:tc>
          <w:tcPr>
            <w:tcW w:w="1960" w:type="dxa"/>
            <w:vAlign w:val="bottom"/>
          </w:tcPr>
          <w:p>
            <w:pPr>
              <w:ind w:left="130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100" w:type="dxa"/>
            <w:vAlign w:val="bottom"/>
          </w:tcPr>
          <w:p>
            <w:pPr>
              <w:jc w:val="right"/>
              <w:ind w:right="96"/>
              <w:spacing w:after="0"/>
              <w:rPr>
                <w:sz w:val="20"/>
                <w:szCs w:val="20"/>
                <w:color w:val="auto"/>
              </w:rPr>
            </w:pPr>
            <w:r>
              <w:rPr>
                <w:rFonts w:ascii="Arial" w:cs="Arial" w:eastAsia="Arial" w:hAnsi="Arial"/>
                <w:sz w:val="13"/>
                <w:szCs w:val="13"/>
                <w:b w:val="1"/>
                <w:bCs w:val="1"/>
                <w:color w:val="auto"/>
              </w:rPr>
              <w:t>4,855</w:t>
            </w:r>
          </w:p>
        </w:tc>
      </w:tr>
      <w:tr>
        <w:trPr>
          <w:trHeight w:val="199"/>
        </w:trPr>
        <w:tc>
          <w:tcPr>
            <w:tcW w:w="27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Deferred compensation</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2,548</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(351)</w:t>
            </w:r>
          </w:p>
        </w:tc>
        <w:tc>
          <w:tcPr>
            <w:tcW w:w="1220" w:type="dxa"/>
            <w:vAlign w:val="bottom"/>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96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2,197</w:t>
            </w:r>
          </w:p>
        </w:tc>
      </w:tr>
      <w:tr>
        <w:trPr>
          <w:trHeight w:val="183"/>
        </w:trPr>
        <w:tc>
          <w:tcPr>
            <w:tcW w:w="2720" w:type="dxa"/>
            <w:vAlign w:val="bottom"/>
          </w:tcPr>
          <w:p>
            <w:pPr>
              <w:ind w:left="60"/>
              <w:spacing w:after="0"/>
              <w:rPr>
                <w:sz w:val="20"/>
                <w:szCs w:val="20"/>
                <w:color w:val="auto"/>
              </w:rPr>
            </w:pPr>
            <w:r>
              <w:rPr>
                <w:rFonts w:ascii="Arial" w:cs="Arial" w:eastAsia="Arial" w:hAnsi="Arial"/>
                <w:sz w:val="13"/>
                <w:szCs w:val="13"/>
                <w:color w:val="auto"/>
              </w:rPr>
              <w:t>Share-based payment</w:t>
            </w: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rPr>
              <w:t>31,044</w:t>
            </w:r>
          </w:p>
        </w:tc>
        <w:tc>
          <w:tcPr>
            <w:tcW w:w="340" w:type="dxa"/>
            <w:vAlign w:val="bottom"/>
          </w:tcPr>
          <w:p>
            <w:pPr>
              <w:spacing w:after="0"/>
              <w:rPr>
                <w:sz w:val="15"/>
                <w:szCs w:val="15"/>
                <w:color w:val="auto"/>
              </w:rPr>
            </w:pPr>
          </w:p>
        </w:tc>
        <w:tc>
          <w:tcPr>
            <w:tcW w:w="1320" w:type="dxa"/>
            <w:vAlign w:val="bottom"/>
          </w:tcPr>
          <w:p>
            <w:pPr>
              <w:jc w:val="right"/>
              <w:ind w:right="276"/>
              <w:spacing w:after="0"/>
              <w:rPr>
                <w:sz w:val="20"/>
                <w:szCs w:val="20"/>
                <w:color w:val="auto"/>
              </w:rPr>
            </w:pPr>
            <w:r>
              <w:rPr>
                <w:rFonts w:ascii="Arial" w:cs="Arial" w:eastAsia="Arial" w:hAnsi="Arial"/>
                <w:sz w:val="13"/>
                <w:szCs w:val="13"/>
                <w:color w:val="auto"/>
              </w:rPr>
              <w:t>1,729</w:t>
            </w:r>
          </w:p>
        </w:tc>
        <w:tc>
          <w:tcPr>
            <w:tcW w:w="1220" w:type="dxa"/>
            <w:vAlign w:val="bottom"/>
          </w:tcPr>
          <w:p>
            <w:pPr>
              <w:ind w:left="840"/>
              <w:spacing w:after="0"/>
              <w:rPr>
                <w:sz w:val="20"/>
                <w:szCs w:val="20"/>
                <w:color w:val="auto"/>
              </w:rPr>
            </w:pPr>
            <w:r>
              <w:rPr>
                <w:rFonts w:ascii="Arial" w:cs="Arial" w:eastAsia="Arial" w:hAnsi="Arial"/>
                <w:sz w:val="13"/>
                <w:szCs w:val="13"/>
                <w:color w:val="auto"/>
              </w:rPr>
              <w:t>—</w:t>
            </w:r>
          </w:p>
        </w:tc>
        <w:tc>
          <w:tcPr>
            <w:tcW w:w="1960" w:type="dxa"/>
            <w:vAlign w:val="bottom"/>
          </w:tcPr>
          <w:p>
            <w:pPr>
              <w:ind w:left="130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(8,195)</w:t>
            </w:r>
          </w:p>
        </w:tc>
        <w:tc>
          <w:tcPr>
            <w:tcW w:w="240" w:type="dxa"/>
            <w:vAlign w:val="bottom"/>
          </w:tcPr>
          <w:p>
            <w:pPr>
              <w:spacing w:after="0"/>
              <w:rPr>
                <w:sz w:val="15"/>
                <w:szCs w:val="15"/>
                <w:color w:val="auto"/>
              </w:rPr>
            </w:pPr>
          </w:p>
        </w:tc>
        <w:tc>
          <w:tcPr>
            <w:tcW w:w="1100" w:type="dxa"/>
            <w:vAlign w:val="bottom"/>
          </w:tcPr>
          <w:p>
            <w:pPr>
              <w:jc w:val="right"/>
              <w:ind w:right="96"/>
              <w:spacing w:after="0"/>
              <w:rPr>
                <w:sz w:val="20"/>
                <w:szCs w:val="20"/>
                <w:color w:val="auto"/>
              </w:rPr>
            </w:pPr>
            <w:r>
              <w:rPr>
                <w:rFonts w:ascii="Arial" w:cs="Arial" w:eastAsia="Arial" w:hAnsi="Arial"/>
                <w:sz w:val="13"/>
                <w:szCs w:val="13"/>
                <w:b w:val="1"/>
                <w:bCs w:val="1"/>
                <w:color w:val="auto"/>
              </w:rPr>
              <w:t>24,578</w:t>
            </w:r>
          </w:p>
        </w:tc>
      </w:tr>
      <w:tr>
        <w:trPr>
          <w:trHeight w:val="199"/>
        </w:trPr>
        <w:tc>
          <w:tcPr>
            <w:tcW w:w="27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Deferred revenue</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6,872</w:t>
            </w: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w:t>
            </w:r>
          </w:p>
        </w:tc>
        <w:tc>
          <w:tcPr>
            <w:tcW w:w="13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(1,191)</w:t>
            </w:r>
          </w:p>
        </w:tc>
        <w:tc>
          <w:tcPr>
            <w:tcW w:w="1220" w:type="dxa"/>
            <w:vAlign w:val="bottom"/>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96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5,681</w:t>
            </w:r>
          </w:p>
        </w:tc>
      </w:tr>
      <w:tr>
        <w:trPr>
          <w:trHeight w:val="183"/>
        </w:trPr>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Other</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740</w:t>
            </w: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(738)</w:t>
            </w:r>
          </w:p>
        </w:tc>
        <w:tc>
          <w:tcPr>
            <w:tcW w:w="1220" w:type="dxa"/>
            <w:vAlign w:val="bottom"/>
            <w:tcBorders>
              <w:bottom w:val="single" w:sz="8" w:color="auto"/>
            </w:tcBorders>
          </w:tcPr>
          <w:p>
            <w:pPr>
              <w:ind w:left="840"/>
              <w:spacing w:after="0"/>
              <w:rPr>
                <w:sz w:val="20"/>
                <w:szCs w:val="20"/>
                <w:color w:val="auto"/>
              </w:rPr>
            </w:pPr>
            <w:r>
              <w:rPr>
                <w:rFonts w:ascii="Arial" w:cs="Arial" w:eastAsia="Arial" w:hAnsi="Arial"/>
                <w:sz w:val="13"/>
                <w:szCs w:val="13"/>
                <w:color w:val="auto"/>
              </w:rPr>
              <w:t>—</w:t>
            </w:r>
          </w:p>
        </w:tc>
        <w:tc>
          <w:tcPr>
            <w:tcW w:w="1960" w:type="dxa"/>
            <w:vAlign w:val="bottom"/>
            <w:tcBorders>
              <w:bottom w:val="single" w:sz="8" w:color="auto"/>
            </w:tcBorders>
          </w:tcPr>
          <w:p>
            <w:pPr>
              <w:ind w:left="130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w:t>
            </w:r>
          </w:p>
        </w:tc>
      </w:tr>
      <w:tr>
        <w:trPr>
          <w:trHeight w:val="189"/>
        </w:trPr>
        <w:tc>
          <w:tcPr>
            <w:tcW w:w="27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3"/>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72,222</w:t>
            </w: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849</w:t>
            </w:r>
          </w:p>
        </w:tc>
        <w:tc>
          <w:tcPr>
            <w:tcW w:w="1220" w:type="dxa"/>
            <w:vAlign w:val="bottom"/>
            <w:tcBorders>
              <w:bottom w:val="single" w:sz="8" w:color="auto"/>
            </w:tcBorders>
          </w:tcPr>
          <w:p>
            <w:pPr>
              <w:ind w:left="840"/>
              <w:spacing w:after="0"/>
              <w:rPr>
                <w:sz w:val="20"/>
                <w:szCs w:val="20"/>
                <w:color w:val="auto"/>
              </w:rPr>
            </w:pPr>
            <w:r>
              <w:rPr>
                <w:rFonts w:ascii="Arial" w:cs="Arial" w:eastAsia="Arial" w:hAnsi="Arial"/>
                <w:sz w:val="13"/>
                <w:szCs w:val="13"/>
                <w:b w:val="1"/>
                <w:bCs w:val="1"/>
                <w:color w:val="auto"/>
              </w:rPr>
              <w:t>—</w:t>
            </w:r>
          </w:p>
        </w:tc>
        <w:tc>
          <w:tcPr>
            <w:tcW w:w="196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(194)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(8,195)</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64,682</w:t>
            </w:r>
          </w:p>
        </w:tc>
      </w:tr>
      <w:tr>
        <w:trPr>
          <w:trHeight w:val="189"/>
        </w:trPr>
        <w:tc>
          <w:tcPr>
            <w:tcW w:w="27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3"/>
        </w:trPr>
        <w:tc>
          <w:tcPr>
            <w:tcW w:w="2720" w:type="dxa"/>
            <w:vAlign w:val="bottom"/>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1,139</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(158)</w:t>
            </w:r>
          </w:p>
        </w:tc>
        <w:tc>
          <w:tcPr>
            <w:tcW w:w="1220" w:type="dxa"/>
            <w:vAlign w:val="bottom"/>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96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981</w:t>
            </w:r>
          </w:p>
        </w:tc>
      </w:tr>
      <w:tr>
        <w:trPr>
          <w:trHeight w:val="183"/>
        </w:trPr>
        <w:tc>
          <w:tcPr>
            <w:tcW w:w="2720" w:type="dxa"/>
            <w:vAlign w:val="bottom"/>
          </w:tcPr>
          <w:p>
            <w:pPr>
              <w:ind w:left="20"/>
              <w:spacing w:after="0"/>
              <w:rPr>
                <w:sz w:val="20"/>
                <w:szCs w:val="20"/>
                <w:color w:val="auto"/>
              </w:rPr>
            </w:pPr>
            <w:r>
              <w:rPr>
                <w:rFonts w:ascii="Arial" w:cs="Arial" w:eastAsia="Arial" w:hAnsi="Arial"/>
                <w:sz w:val="13"/>
                <w:szCs w:val="13"/>
                <w:color w:val="auto"/>
              </w:rPr>
              <w:t>Goodwill on acquisition</w:t>
            </w: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rPr>
              <w:t>22,655</w:t>
            </w:r>
          </w:p>
        </w:tc>
        <w:tc>
          <w:tcPr>
            <w:tcW w:w="340" w:type="dxa"/>
            <w:vAlign w:val="bottom"/>
          </w:tcPr>
          <w:p>
            <w:pPr>
              <w:spacing w:after="0"/>
              <w:rPr>
                <w:sz w:val="15"/>
                <w:szCs w:val="15"/>
                <w:color w:val="auto"/>
              </w:rPr>
            </w:pPr>
          </w:p>
        </w:tc>
        <w:tc>
          <w:tcPr>
            <w:tcW w:w="1320" w:type="dxa"/>
            <w:vAlign w:val="bottom"/>
          </w:tcPr>
          <w:p>
            <w:pPr>
              <w:jc w:val="right"/>
              <w:ind w:right="276"/>
              <w:spacing w:after="0"/>
              <w:rPr>
                <w:sz w:val="20"/>
                <w:szCs w:val="20"/>
                <w:color w:val="auto"/>
              </w:rPr>
            </w:pPr>
            <w:r>
              <w:rPr>
                <w:rFonts w:ascii="Arial" w:cs="Arial" w:eastAsia="Arial" w:hAnsi="Arial"/>
                <w:sz w:val="13"/>
                <w:szCs w:val="13"/>
                <w:color w:val="auto"/>
              </w:rPr>
              <w:t>2,494</w:t>
            </w:r>
          </w:p>
        </w:tc>
        <w:tc>
          <w:tcPr>
            <w:tcW w:w="1220" w:type="dxa"/>
            <w:vAlign w:val="bottom"/>
          </w:tcPr>
          <w:p>
            <w:pPr>
              <w:ind w:left="840"/>
              <w:spacing w:after="0"/>
              <w:rPr>
                <w:sz w:val="20"/>
                <w:szCs w:val="20"/>
                <w:color w:val="auto"/>
              </w:rPr>
            </w:pPr>
            <w:r>
              <w:rPr>
                <w:rFonts w:ascii="Arial" w:cs="Arial" w:eastAsia="Arial" w:hAnsi="Arial"/>
                <w:sz w:val="13"/>
                <w:szCs w:val="13"/>
                <w:color w:val="auto"/>
              </w:rPr>
              <w:t>—</w:t>
            </w:r>
          </w:p>
        </w:tc>
        <w:tc>
          <w:tcPr>
            <w:tcW w:w="1960" w:type="dxa"/>
            <w:vAlign w:val="bottom"/>
          </w:tcPr>
          <w:p>
            <w:pPr>
              <w:ind w:left="130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100" w:type="dxa"/>
            <w:vAlign w:val="bottom"/>
          </w:tcPr>
          <w:p>
            <w:pPr>
              <w:jc w:val="right"/>
              <w:ind w:right="96"/>
              <w:spacing w:after="0"/>
              <w:rPr>
                <w:sz w:val="20"/>
                <w:szCs w:val="20"/>
                <w:color w:val="auto"/>
              </w:rPr>
            </w:pPr>
            <w:r>
              <w:rPr>
                <w:rFonts w:ascii="Arial" w:cs="Arial" w:eastAsia="Arial" w:hAnsi="Arial"/>
                <w:sz w:val="13"/>
                <w:szCs w:val="13"/>
                <w:b w:val="1"/>
                <w:bCs w:val="1"/>
                <w:color w:val="auto"/>
              </w:rPr>
              <w:t>25,149</w:t>
            </w:r>
          </w:p>
        </w:tc>
      </w:tr>
      <w:tr>
        <w:trPr>
          <w:trHeight w:val="19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Accruals to cash method adjustment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4,139</w:t>
            </w: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1,349</w:t>
            </w:r>
          </w:p>
        </w:tc>
        <w:tc>
          <w:tcPr>
            <w:tcW w:w="1220" w:type="dxa"/>
            <w:vAlign w:val="bottom"/>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96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78"/>
              </w:rPr>
              <w:t>**</w:t>
            </w: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5,703</w:t>
            </w:r>
          </w:p>
        </w:tc>
      </w:tr>
      <w:tr>
        <w:trPr>
          <w:trHeight w:val="183"/>
        </w:trPr>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Other intangible assets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11,801</w:t>
            </w: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(2,404)</w:t>
            </w:r>
          </w:p>
        </w:tc>
        <w:tc>
          <w:tcPr>
            <w:tcW w:w="1220" w:type="dxa"/>
            <w:vAlign w:val="bottom"/>
            <w:tcBorders>
              <w:bottom w:val="single" w:sz="8" w:color="auto"/>
            </w:tcBorders>
          </w:tcPr>
          <w:p>
            <w:pPr>
              <w:ind w:left="840"/>
              <w:spacing w:after="0"/>
              <w:rPr>
                <w:sz w:val="20"/>
                <w:szCs w:val="20"/>
                <w:color w:val="auto"/>
              </w:rPr>
            </w:pPr>
            <w:r>
              <w:rPr>
                <w:rFonts w:ascii="Arial" w:cs="Arial" w:eastAsia="Arial" w:hAnsi="Arial"/>
                <w:sz w:val="13"/>
                <w:szCs w:val="13"/>
                <w:color w:val="auto"/>
              </w:rPr>
              <w:t>—</w:t>
            </w:r>
          </w:p>
        </w:tc>
        <w:tc>
          <w:tcPr>
            <w:tcW w:w="1960" w:type="dxa"/>
            <w:vAlign w:val="bottom"/>
            <w:tcBorders>
              <w:bottom w:val="single" w:sz="8" w:color="auto"/>
            </w:tcBorders>
          </w:tcPr>
          <w:p>
            <w:pPr>
              <w:ind w:left="130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9,397</w:t>
            </w:r>
          </w:p>
        </w:tc>
      </w:tr>
      <w:tr>
        <w:trPr>
          <w:trHeight w:val="189"/>
        </w:trPr>
        <w:tc>
          <w:tcPr>
            <w:tcW w:w="27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3"/>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deferred taxation liabilities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39,734</w:t>
            </w: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1,281</w:t>
            </w:r>
          </w:p>
        </w:tc>
        <w:tc>
          <w:tcPr>
            <w:tcW w:w="1220" w:type="dxa"/>
            <w:vAlign w:val="bottom"/>
            <w:tcBorders>
              <w:bottom w:val="single" w:sz="8" w:color="auto"/>
            </w:tcBorders>
          </w:tcPr>
          <w:p>
            <w:pPr>
              <w:ind w:left="840"/>
              <w:spacing w:after="0"/>
              <w:rPr>
                <w:sz w:val="20"/>
                <w:szCs w:val="20"/>
                <w:color w:val="auto"/>
              </w:rPr>
            </w:pPr>
            <w:r>
              <w:rPr>
                <w:rFonts w:ascii="Arial" w:cs="Arial" w:eastAsia="Arial" w:hAnsi="Arial"/>
                <w:sz w:val="13"/>
                <w:szCs w:val="13"/>
                <w:b w:val="1"/>
                <w:bCs w:val="1"/>
                <w:color w:val="auto"/>
              </w:rPr>
              <w:t>—</w:t>
            </w:r>
          </w:p>
        </w:tc>
        <w:tc>
          <w:tcPr>
            <w:tcW w:w="1960" w:type="dxa"/>
            <w:vAlign w:val="bottom"/>
            <w:tcBorders>
              <w:bottom w:val="single" w:sz="8" w:color="auto"/>
            </w:tcBorders>
          </w:tcPr>
          <w:p>
            <w:pPr>
              <w:ind w:left="1300"/>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215</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41,230</w:t>
            </w:r>
          </w:p>
        </w:tc>
      </w:tr>
      <w:tr>
        <w:trPr>
          <w:trHeight w:val="189"/>
        </w:trPr>
        <w:tc>
          <w:tcPr>
            <w:tcW w:w="27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2"/>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deferred taxation asset/(liability)</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32,488</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(432)</w:t>
            </w:r>
          </w:p>
        </w:tc>
        <w:tc>
          <w:tcPr>
            <w:tcW w:w="1220" w:type="dxa"/>
            <w:vAlign w:val="bottom"/>
            <w:tcBorders>
              <w:bottom w:val="single" w:sz="8" w:color="auto"/>
            </w:tcBorders>
          </w:tcPr>
          <w:p>
            <w:pPr>
              <w:ind w:left="840"/>
              <w:spacing w:after="0"/>
              <w:rPr>
                <w:sz w:val="20"/>
                <w:szCs w:val="20"/>
                <w:color w:val="auto"/>
              </w:rPr>
            </w:pPr>
            <w:r>
              <w:rPr>
                <w:rFonts w:ascii="Arial" w:cs="Arial" w:eastAsia="Arial" w:hAnsi="Arial"/>
                <w:sz w:val="13"/>
                <w:szCs w:val="13"/>
                <w:b w:val="1"/>
                <w:bCs w:val="1"/>
                <w:color w:val="auto"/>
              </w:rPr>
              <w:t>—</w:t>
            </w:r>
          </w:p>
        </w:tc>
        <w:tc>
          <w:tcPr>
            <w:tcW w:w="196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(194)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(8,410)</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23,452</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*The balance at 1 January 2018 includes the effect of initially applying IFRS 15.</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**These adjustments relate to foreign currency translation on the deferred tax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Unrecognised deferred tax assets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Deferred tax assets relating to the following net operating losses have not been recognised to the extent that it is considered unlikely that a benefit will be received in the future.</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At 31 December 2019, non-US subsidiaries had operating loss carry-forwards for income tax purposes that may be carried forward indefinitely, available to offset against future taxable income, if any, of approximately $37.9 million (31 December 2018: $70.0 million). At 31 December 2019, non–US subsidiaries also had additional operating loss carry forwards of $15.8 million which are due to expire between 2020 and 2026 and operating loss carry forwards of $19.1 million which are due to expire between 2027 and 2036.</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At 31 December 2019, U.S. subsidiaries also had excess disallowed interest carry-forwards of $10.5 million. These carry-forwards are available for offset against future taxable income in the event that the U.S. subsidiaries have excess capacity for interest deduction in future tax years.</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total, the Group has unrecognised deferred tax assets of $28.1 million at 31 December 2019 and $27.4 million at 31 December 2018. The Group has not recognised these remaining deferred tax assets because it believes that it is more likely than not that the losses and other deferred tax assets will not be utilised given their history of operating losses.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80"/>
          </w:cols>
          <w:pgMar w:left="300" w:top="696" w:right="31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Income tax expense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Unrecognised deferred tax liabilities</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Company has recognised a deferred tax liability of $5.4 million (2018: $4.9 million) for investments in foreign subsidiaries where the Company does not consider the earnings to be indefinitely reinvested. For the deferred tax liability not recognised in respect of temporary differences related to investments in foreign subsidiaries which are considered to be indefinitely reinvested, it is not practicable to calculate the exact unrecognised deferred tax liability, however it is not expected to be material as Ireland allows a tax credit in respect of distributions from foreign subsidiaries at the statutory tax rate in the jurisdiction of the subsidiary so that no material tax liability would be expected to arise in Ireland in the event these earnings were ever remitted. In addition, withholding taxes applicable to remittances from foreign subsidiaries would not be expected to be material given Ireland’s tax treaty network and the EU parent subsidiary directive.</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Earnings per share</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computation for basic and diluted net earnings per share for the year ended 31 December 2019:</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Borders>
              <w:bottom w:val="single" w:sz="8" w:color="auto"/>
            </w:tcBorders>
            <w:shd w:val="clear" w:color="auto" w:fill="CCEEFF"/>
          </w:tcPr>
          <w:p>
            <w:pPr>
              <w:spacing w:after="0"/>
              <w:rPr>
                <w:sz w:val="16"/>
                <w:szCs w:val="16"/>
                <w:color w:val="auto"/>
              </w:rPr>
            </w:pPr>
          </w:p>
        </w:tc>
        <w:tc>
          <w:tcPr>
            <w:tcW w:w="20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31 December 2019</w:t>
            </w:r>
          </w:p>
        </w:tc>
        <w:tc>
          <w:tcPr>
            <w:tcW w:w="218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color w:val="auto"/>
              </w:rPr>
              <w:t>31 December 2018</w:t>
            </w:r>
          </w:p>
        </w:tc>
        <w:tc>
          <w:tcPr>
            <w:tcW w:w="16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rPr>
              <w:t>31 December 2018</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206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2180" w:type="dxa"/>
            <w:vAlign w:val="bottom"/>
          </w:tcPr>
          <w:p>
            <w:pPr>
              <w:jc w:val="right"/>
              <w:ind w:right="636"/>
              <w:spacing w:after="0"/>
              <w:rPr>
                <w:sz w:val="20"/>
                <w:szCs w:val="20"/>
                <w:color w:val="auto"/>
              </w:rPr>
            </w:pPr>
            <w:r>
              <w:rPr>
                <w:rFonts w:ascii="Arial" w:cs="Arial" w:eastAsia="Arial" w:hAnsi="Arial"/>
                <w:sz w:val="13"/>
                <w:szCs w:val="13"/>
                <w:color w:val="auto"/>
              </w:rPr>
              <w:t>$’000</w:t>
            </w:r>
          </w:p>
        </w:tc>
        <w:tc>
          <w:tcPr>
            <w:tcW w:w="1640" w:type="dxa"/>
            <w:vAlign w:val="bottom"/>
          </w:tcPr>
          <w:p>
            <w:pPr>
              <w:jc w:val="right"/>
              <w:ind w:right="376"/>
              <w:spacing w:after="0"/>
              <w:rPr>
                <w:sz w:val="20"/>
                <w:szCs w:val="20"/>
                <w:color w:val="auto"/>
              </w:rPr>
            </w:pPr>
            <w:r>
              <w:rPr>
                <w:rFonts w:ascii="Arial" w:cs="Arial" w:eastAsia="Arial" w:hAnsi="Arial"/>
                <w:sz w:val="13"/>
                <w:szCs w:val="13"/>
                <w:color w:val="auto"/>
              </w:rPr>
              <w:t>$’000</w:t>
            </w:r>
          </w:p>
        </w:tc>
        <w:tc>
          <w:tcPr>
            <w:tcW w:w="1500" w:type="dxa"/>
            <w:vAlign w:val="bottom"/>
            <w:gridSpan w:val="2"/>
          </w:tcPr>
          <w:p>
            <w:pPr>
              <w:jc w:val="right"/>
              <w:ind w:right="4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9"/>
        </w:trPr>
        <w:tc>
          <w:tcPr>
            <w:tcW w:w="39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1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rPr>
              <w:t>Excluding</w:t>
            </w:r>
          </w:p>
        </w:tc>
        <w:tc>
          <w:tcPr>
            <w:tcW w:w="16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Exceptional items</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Including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900" w:type="dxa"/>
            <w:vAlign w:val="bottom"/>
            <w:tcBorders>
              <w:bottom w:val="single" w:sz="8" w:color="auto"/>
            </w:tcBorders>
            <w:shd w:val="clear" w:color="auto" w:fill="CCEEFF"/>
          </w:tcPr>
          <w:p>
            <w:pPr>
              <w:spacing w:after="0"/>
              <w:rPr>
                <w:sz w:val="13"/>
                <w:szCs w:val="13"/>
                <w:color w:val="auto"/>
              </w:rPr>
            </w:pPr>
          </w:p>
        </w:tc>
        <w:tc>
          <w:tcPr>
            <w:tcW w:w="2060" w:type="dxa"/>
            <w:vAlign w:val="bottom"/>
            <w:tcBorders>
              <w:bottom w:val="single" w:sz="8" w:color="auto"/>
            </w:tcBorders>
            <w:shd w:val="clear" w:color="auto" w:fill="CCEEFF"/>
          </w:tcPr>
          <w:p>
            <w:pPr>
              <w:spacing w:after="0"/>
              <w:rPr>
                <w:sz w:val="13"/>
                <w:szCs w:val="13"/>
                <w:color w:val="auto"/>
              </w:rPr>
            </w:pPr>
          </w:p>
        </w:tc>
        <w:tc>
          <w:tcPr>
            <w:tcW w:w="218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color w:val="auto"/>
              </w:rPr>
              <w:t>Exceptional items</w:t>
            </w:r>
          </w:p>
        </w:tc>
        <w:tc>
          <w:tcPr>
            <w:tcW w:w="164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Exceptional items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900" w:type="dxa"/>
            <w:vAlign w:val="bottom"/>
          </w:tcPr>
          <w:p>
            <w:pPr>
              <w:ind w:left="20"/>
              <w:spacing w:after="0"/>
              <w:rPr>
                <w:sz w:val="20"/>
                <w:szCs w:val="20"/>
                <w:color w:val="auto"/>
              </w:rPr>
            </w:pPr>
            <w:r>
              <w:rPr>
                <w:rFonts w:ascii="Arial" w:cs="Arial" w:eastAsia="Arial" w:hAnsi="Arial"/>
                <w:sz w:val="13"/>
                <w:szCs w:val="13"/>
                <w:b w:val="1"/>
                <w:bCs w:val="1"/>
                <w:color w:val="auto"/>
              </w:rPr>
              <w:t>Numerator computations</w:t>
            </w:r>
          </w:p>
        </w:tc>
        <w:tc>
          <w:tcPr>
            <w:tcW w:w="20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Basic and diluted earnings per share</w:t>
            </w:r>
          </w:p>
        </w:tc>
        <w:tc>
          <w:tcPr>
            <w:tcW w:w="20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Profit for the period</w:t>
            </w:r>
          </w:p>
        </w:tc>
        <w:tc>
          <w:tcPr>
            <w:tcW w:w="20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361,033</w:t>
            </w:r>
          </w:p>
        </w:tc>
        <w:tc>
          <w:tcPr>
            <w:tcW w:w="218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color w:val="auto"/>
              </w:rPr>
              <w:t>333,854</w:t>
            </w:r>
          </w:p>
        </w:tc>
        <w:tc>
          <w:tcPr>
            <w:tcW w:w="164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(11,037)</w:t>
            </w:r>
          </w:p>
        </w:tc>
        <w:tc>
          <w:tcPr>
            <w:tcW w:w="14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322,817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Profit attributable to equity holders</w:t>
            </w:r>
          </w:p>
        </w:tc>
        <w:tc>
          <w:tcPr>
            <w:tcW w:w="206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361,033</w:t>
            </w:r>
          </w:p>
        </w:tc>
        <w:tc>
          <w:tcPr>
            <w:tcW w:w="218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3"/>
                <w:szCs w:val="13"/>
                <w:color w:val="auto"/>
              </w:rPr>
              <w:t>333,854</w:t>
            </w:r>
          </w:p>
        </w:tc>
        <w:tc>
          <w:tcPr>
            <w:tcW w:w="16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(11,037)</w:t>
            </w:r>
          </w:p>
        </w:tc>
        <w:tc>
          <w:tcPr>
            <w:tcW w:w="14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322,817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Denominator computations</w:t>
            </w:r>
          </w:p>
        </w:tc>
        <w:tc>
          <w:tcPr>
            <w:tcW w:w="2060" w:type="dxa"/>
            <w:vAlign w:val="bottom"/>
            <w:tcBorders>
              <w:bottom w:val="single" w:sz="8" w:color="auto"/>
            </w:tcBorders>
            <w:shd w:val="clear" w:color="auto" w:fill="CCEEFF"/>
          </w:tcPr>
          <w:p>
            <w:pPr>
              <w:spacing w:after="0"/>
              <w:rPr>
                <w:sz w:val="15"/>
                <w:szCs w:val="15"/>
                <w:color w:val="auto"/>
              </w:rPr>
            </w:pPr>
          </w:p>
        </w:tc>
        <w:tc>
          <w:tcPr>
            <w:tcW w:w="21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Number of Shares</w:t>
            </w:r>
          </w:p>
        </w:tc>
        <w:tc>
          <w:tcPr>
            <w:tcW w:w="16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Arial" w:cs="Arial" w:eastAsia="Arial" w:hAnsi="Arial"/>
                <w:sz w:val="13"/>
                <w:szCs w:val="13"/>
                <w:color w:val="auto"/>
              </w:rPr>
              <w:t>Weighted average number of ordinary shares outstanding –</w:t>
            </w:r>
          </w:p>
        </w:tc>
        <w:tc>
          <w:tcPr>
            <w:tcW w:w="2060" w:type="dxa"/>
            <w:vAlign w:val="bottom"/>
            <w:vMerge w:val="restart"/>
          </w:tcPr>
          <w:p>
            <w:pPr>
              <w:jc w:val="right"/>
              <w:ind w:right="476"/>
              <w:spacing w:after="0"/>
              <w:rPr>
                <w:sz w:val="20"/>
                <w:szCs w:val="20"/>
                <w:color w:val="auto"/>
              </w:rPr>
            </w:pPr>
            <w:r>
              <w:rPr>
                <w:rFonts w:ascii="Arial" w:cs="Arial" w:eastAsia="Arial" w:hAnsi="Arial"/>
                <w:sz w:val="13"/>
                <w:szCs w:val="13"/>
                <w:b w:val="1"/>
                <w:bCs w:val="1"/>
                <w:color w:val="auto"/>
              </w:rPr>
              <w:t>53,859,537</w:t>
            </w:r>
          </w:p>
        </w:tc>
        <w:tc>
          <w:tcPr>
            <w:tcW w:w="2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00" w:type="dxa"/>
            <w:vAlign w:val="bottom"/>
          </w:tcPr>
          <w:p>
            <w:pPr>
              <w:ind w:left="20"/>
              <w:spacing w:after="0"/>
              <w:rPr>
                <w:sz w:val="20"/>
                <w:szCs w:val="20"/>
                <w:color w:val="auto"/>
              </w:rPr>
            </w:pPr>
            <w:r>
              <w:rPr>
                <w:rFonts w:ascii="Arial" w:cs="Arial" w:eastAsia="Arial" w:hAnsi="Arial"/>
                <w:sz w:val="13"/>
                <w:szCs w:val="13"/>
                <w:color w:val="auto"/>
              </w:rPr>
              <w:t>basic</w:t>
            </w:r>
          </w:p>
        </w:tc>
        <w:tc>
          <w:tcPr>
            <w:tcW w:w="2060" w:type="dxa"/>
            <w:vAlign w:val="bottom"/>
            <w:vMerge w:val="continue"/>
          </w:tcPr>
          <w:p>
            <w:pPr>
              <w:spacing w:after="0"/>
              <w:rPr>
                <w:sz w:val="13"/>
                <w:szCs w:val="13"/>
                <w:color w:val="auto"/>
              </w:rPr>
            </w:pPr>
          </w:p>
        </w:tc>
        <w:tc>
          <w:tcPr>
            <w:tcW w:w="2180" w:type="dxa"/>
            <w:vAlign w:val="bottom"/>
          </w:tcPr>
          <w:p>
            <w:pPr>
              <w:jc w:val="right"/>
              <w:ind w:right="736"/>
              <w:spacing w:after="0"/>
              <w:rPr>
                <w:sz w:val="20"/>
                <w:szCs w:val="20"/>
                <w:color w:val="auto"/>
              </w:rPr>
            </w:pPr>
            <w:r>
              <w:rPr>
                <w:rFonts w:ascii="Arial" w:cs="Arial" w:eastAsia="Arial" w:hAnsi="Arial"/>
                <w:sz w:val="13"/>
                <w:szCs w:val="13"/>
                <w:color w:val="auto"/>
              </w:rPr>
              <w:t>54,118,764</w:t>
            </w:r>
          </w:p>
        </w:tc>
        <w:tc>
          <w:tcPr>
            <w:tcW w:w="1640" w:type="dxa"/>
            <w:vAlign w:val="bottom"/>
          </w:tcPr>
          <w:p>
            <w:pPr>
              <w:jc w:val="right"/>
              <w:ind w:right="456"/>
              <w:spacing w:after="0"/>
              <w:rPr>
                <w:sz w:val="20"/>
                <w:szCs w:val="20"/>
                <w:color w:val="auto"/>
              </w:rPr>
            </w:pPr>
            <w:r>
              <w:rPr>
                <w:rFonts w:ascii="Arial" w:cs="Arial" w:eastAsia="Arial" w:hAnsi="Arial"/>
                <w:sz w:val="13"/>
                <w:szCs w:val="13"/>
                <w:color w:val="auto"/>
              </w:rPr>
              <w:t>54,118,764</w:t>
            </w:r>
          </w:p>
        </w:tc>
        <w:tc>
          <w:tcPr>
            <w:tcW w:w="1480" w:type="dxa"/>
            <w:vAlign w:val="bottom"/>
          </w:tcPr>
          <w:p>
            <w:pPr>
              <w:jc w:val="right"/>
              <w:ind w:right="56"/>
              <w:spacing w:after="0"/>
              <w:rPr>
                <w:sz w:val="20"/>
                <w:szCs w:val="20"/>
                <w:color w:val="auto"/>
              </w:rPr>
            </w:pPr>
            <w:r>
              <w:rPr>
                <w:rFonts w:ascii="Arial" w:cs="Arial" w:eastAsia="Arial" w:hAnsi="Arial"/>
                <w:sz w:val="13"/>
                <w:szCs w:val="13"/>
                <w:color w:val="auto"/>
              </w:rPr>
              <w:t>54,118,764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Effect of dilutive potential ordinary shares</w:t>
            </w:r>
          </w:p>
        </w:tc>
        <w:tc>
          <w:tcPr>
            <w:tcW w:w="206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499,015</w:t>
            </w:r>
          </w:p>
        </w:tc>
        <w:tc>
          <w:tcPr>
            <w:tcW w:w="218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620,574</w:t>
            </w:r>
          </w:p>
        </w:tc>
        <w:tc>
          <w:tcPr>
            <w:tcW w:w="16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620,574</w:t>
            </w:r>
          </w:p>
        </w:tc>
        <w:tc>
          <w:tcPr>
            <w:tcW w:w="14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620,574</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Arial" w:cs="Arial" w:eastAsia="Arial" w:hAnsi="Arial"/>
                <w:sz w:val="13"/>
                <w:szCs w:val="13"/>
                <w:color w:val="auto"/>
              </w:rPr>
              <w:t>Weighted average number of ordinary shares outstanding -</w:t>
            </w:r>
          </w:p>
        </w:tc>
        <w:tc>
          <w:tcPr>
            <w:tcW w:w="2060" w:type="dxa"/>
            <w:vAlign w:val="bottom"/>
            <w:vMerge w:val="restart"/>
          </w:tcPr>
          <w:p>
            <w:pPr>
              <w:jc w:val="right"/>
              <w:ind w:right="476"/>
              <w:spacing w:after="0"/>
              <w:rPr>
                <w:sz w:val="20"/>
                <w:szCs w:val="20"/>
                <w:color w:val="auto"/>
              </w:rPr>
            </w:pPr>
            <w:r>
              <w:rPr>
                <w:rFonts w:ascii="Arial" w:cs="Arial" w:eastAsia="Arial" w:hAnsi="Arial"/>
                <w:sz w:val="13"/>
                <w:szCs w:val="13"/>
                <w:b w:val="1"/>
                <w:bCs w:val="1"/>
                <w:color w:val="auto"/>
              </w:rPr>
              <w:t>54,358,552</w:t>
            </w:r>
          </w:p>
        </w:tc>
        <w:tc>
          <w:tcPr>
            <w:tcW w:w="2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diluted</w:t>
            </w:r>
          </w:p>
        </w:tc>
        <w:tc>
          <w:tcPr>
            <w:tcW w:w="2060" w:type="dxa"/>
            <w:vAlign w:val="bottom"/>
            <w:tcBorders>
              <w:bottom w:val="single" w:sz="8" w:color="auto"/>
            </w:tcBorders>
            <w:vMerge w:val="continue"/>
          </w:tcPr>
          <w:p>
            <w:pPr>
              <w:spacing w:after="0"/>
              <w:rPr>
                <w:sz w:val="14"/>
                <w:szCs w:val="14"/>
                <w:color w:val="auto"/>
              </w:rPr>
            </w:pPr>
          </w:p>
        </w:tc>
        <w:tc>
          <w:tcPr>
            <w:tcW w:w="218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color w:val="auto"/>
              </w:rPr>
              <w:t>54,739,338</w:t>
            </w:r>
          </w:p>
        </w:tc>
        <w:tc>
          <w:tcPr>
            <w:tcW w:w="164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54,739,338</w:t>
            </w:r>
          </w:p>
        </w:tc>
        <w:tc>
          <w:tcPr>
            <w:tcW w:w="14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54,739,338</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5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Earnings per Share</w:t>
            </w:r>
          </w:p>
        </w:tc>
        <w:tc>
          <w:tcPr>
            <w:tcW w:w="20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218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900" w:type="dxa"/>
            <w:vAlign w:val="bottom"/>
          </w:tcPr>
          <w:p>
            <w:pPr>
              <w:ind w:left="20"/>
              <w:spacing w:after="0"/>
              <w:rPr>
                <w:sz w:val="20"/>
                <w:szCs w:val="20"/>
                <w:color w:val="auto"/>
              </w:rPr>
            </w:pPr>
            <w:r>
              <w:rPr>
                <w:rFonts w:ascii="Arial" w:cs="Arial" w:eastAsia="Arial" w:hAnsi="Arial"/>
                <w:sz w:val="13"/>
                <w:szCs w:val="13"/>
                <w:color w:val="auto"/>
              </w:rPr>
              <w:t>Basic earnings per ordinary share</w:t>
            </w:r>
          </w:p>
        </w:tc>
        <w:tc>
          <w:tcPr>
            <w:tcW w:w="2060" w:type="dxa"/>
            <w:vAlign w:val="bottom"/>
          </w:tcPr>
          <w:p>
            <w:pPr>
              <w:jc w:val="right"/>
              <w:ind w:right="476"/>
              <w:spacing w:after="0"/>
              <w:rPr>
                <w:sz w:val="20"/>
                <w:szCs w:val="20"/>
                <w:color w:val="auto"/>
              </w:rPr>
            </w:pPr>
            <w:r>
              <w:rPr>
                <w:rFonts w:ascii="Arial" w:cs="Arial" w:eastAsia="Arial" w:hAnsi="Arial"/>
                <w:sz w:val="13"/>
                <w:szCs w:val="13"/>
                <w:b w:val="1"/>
                <w:bCs w:val="1"/>
                <w:color w:val="auto"/>
              </w:rPr>
              <w:t>6.70</w:t>
            </w:r>
          </w:p>
        </w:tc>
        <w:tc>
          <w:tcPr>
            <w:tcW w:w="2180" w:type="dxa"/>
            <w:vAlign w:val="bottom"/>
          </w:tcPr>
          <w:p>
            <w:pPr>
              <w:jc w:val="right"/>
              <w:ind w:right="736"/>
              <w:spacing w:after="0"/>
              <w:rPr>
                <w:sz w:val="20"/>
                <w:szCs w:val="20"/>
                <w:color w:val="auto"/>
              </w:rPr>
            </w:pPr>
            <w:r>
              <w:rPr>
                <w:rFonts w:ascii="Arial" w:cs="Arial" w:eastAsia="Arial" w:hAnsi="Arial"/>
                <w:sz w:val="13"/>
                <w:szCs w:val="13"/>
                <w:color w:val="auto"/>
              </w:rPr>
              <w:t>6.16</w:t>
            </w:r>
          </w:p>
        </w:tc>
        <w:tc>
          <w:tcPr>
            <w:tcW w:w="1640" w:type="dxa"/>
            <w:vAlign w:val="bottom"/>
          </w:tcPr>
          <w:p>
            <w:pPr>
              <w:jc w:val="right"/>
              <w:ind w:right="436"/>
              <w:spacing w:after="0"/>
              <w:rPr>
                <w:sz w:val="20"/>
                <w:szCs w:val="20"/>
                <w:color w:val="auto"/>
              </w:rPr>
            </w:pPr>
            <w:r>
              <w:rPr>
                <w:rFonts w:ascii="Arial" w:cs="Arial" w:eastAsia="Arial" w:hAnsi="Arial"/>
                <w:sz w:val="13"/>
                <w:szCs w:val="13"/>
                <w:color w:val="auto"/>
              </w:rPr>
              <w:t>(0.20)</w:t>
            </w:r>
          </w:p>
        </w:tc>
        <w:tc>
          <w:tcPr>
            <w:tcW w:w="1480" w:type="dxa"/>
            <w:vAlign w:val="bottom"/>
          </w:tcPr>
          <w:p>
            <w:pPr>
              <w:jc w:val="right"/>
              <w:ind w:right="56"/>
              <w:spacing w:after="0"/>
              <w:rPr>
                <w:sz w:val="20"/>
                <w:szCs w:val="20"/>
                <w:color w:val="auto"/>
              </w:rPr>
            </w:pPr>
            <w:r>
              <w:rPr>
                <w:rFonts w:ascii="Arial" w:cs="Arial" w:eastAsia="Arial" w:hAnsi="Arial"/>
                <w:sz w:val="13"/>
                <w:szCs w:val="13"/>
                <w:color w:val="auto"/>
              </w:rPr>
              <w:t>5.96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Diluted earnings per ordinary share</w:t>
            </w:r>
          </w:p>
        </w:tc>
        <w:tc>
          <w:tcPr>
            <w:tcW w:w="206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6.64</w:t>
            </w:r>
          </w:p>
        </w:tc>
        <w:tc>
          <w:tcPr>
            <w:tcW w:w="218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6.10</w:t>
            </w:r>
          </w:p>
        </w:tc>
        <w:tc>
          <w:tcPr>
            <w:tcW w:w="1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rPr>
              <w:t>(0.20)</w:t>
            </w:r>
          </w:p>
        </w:tc>
        <w:tc>
          <w:tcPr>
            <w:tcW w:w="14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5.90</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The Company had 123,997 anti-dilutive shares in issue at 31 December 2019 comprised of 94,665 options and 29,332 PSUs (31 December 2018: 204,553).</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80"/>
          </w:cols>
          <w:pgMar w:left="300" w:top="696" w:right="31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Exceptional items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Exceptional items are comprised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140" w:type="dxa"/>
            <w:vAlign w:val="bottom"/>
            <w:shd w:val="clear" w:color="auto" w:fill="CCEEFF"/>
          </w:tcPr>
          <w:p>
            <w:pPr>
              <w:spacing w:after="0"/>
              <w:rPr>
                <w:sz w:val="13"/>
                <w:szCs w:val="13"/>
                <w:color w:val="auto"/>
              </w:rPr>
            </w:pPr>
          </w:p>
        </w:tc>
        <w:tc>
          <w:tcPr>
            <w:tcW w:w="61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7"/>
        </w:trPr>
        <w:tc>
          <w:tcPr>
            <w:tcW w:w="5140" w:type="dxa"/>
            <w:vAlign w:val="bottom"/>
            <w:tcBorders>
              <w:bottom w:val="single" w:sz="8" w:color="auto"/>
            </w:tcBorders>
            <w:shd w:val="clear" w:color="auto" w:fill="CCEEFF"/>
          </w:tcPr>
          <w:p>
            <w:pPr>
              <w:spacing w:after="0"/>
              <w:rPr>
                <w:sz w:val="15"/>
                <w:szCs w:val="15"/>
                <w:color w:val="auto"/>
              </w:rPr>
            </w:pPr>
          </w:p>
        </w:tc>
        <w:tc>
          <w:tcPr>
            <w:tcW w:w="51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December 2019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5140" w:type="dxa"/>
            <w:vAlign w:val="bottom"/>
          </w:tcPr>
          <w:p>
            <w:pPr>
              <w:spacing w:after="0"/>
              <w:rPr>
                <w:sz w:val="15"/>
                <w:szCs w:val="15"/>
                <w:color w:val="auto"/>
              </w:rPr>
            </w:pPr>
          </w:p>
        </w:tc>
        <w:tc>
          <w:tcPr>
            <w:tcW w:w="5140" w:type="dxa"/>
            <w:vAlign w:val="bottom"/>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0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9"/>
        </w:trPr>
        <w:tc>
          <w:tcPr>
            <w:tcW w:w="514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83"/>
        </w:trPr>
        <w:tc>
          <w:tcPr>
            <w:tcW w:w="5140" w:type="dxa"/>
            <w:vAlign w:val="bottom"/>
          </w:tcPr>
          <w:p>
            <w:pPr>
              <w:ind w:left="20"/>
              <w:spacing w:after="0"/>
              <w:rPr>
                <w:sz w:val="20"/>
                <w:szCs w:val="20"/>
                <w:color w:val="auto"/>
              </w:rPr>
            </w:pPr>
            <w:r>
              <w:rPr>
                <w:rFonts w:ascii="Arial" w:cs="Arial" w:eastAsia="Arial" w:hAnsi="Arial"/>
                <w:sz w:val="13"/>
                <w:szCs w:val="13"/>
                <w:color w:val="auto"/>
              </w:rPr>
              <w:t>Restructuring charges</w:t>
            </w:r>
          </w:p>
        </w:tc>
        <w:tc>
          <w:tcPr>
            <w:tcW w:w="5140" w:type="dxa"/>
            <w:vAlign w:val="bottom"/>
          </w:tcPr>
          <w:p>
            <w:pPr>
              <w:ind w:left="4400"/>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12,490</w:t>
            </w:r>
          </w:p>
        </w:tc>
      </w:tr>
      <w:tr>
        <w:trPr>
          <w:trHeight w:val="191"/>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Income tax</w:t>
            </w:r>
          </w:p>
        </w:tc>
        <w:tc>
          <w:tcPr>
            <w:tcW w:w="5140" w:type="dxa"/>
            <w:vAlign w:val="bottom"/>
            <w:tcBorders>
              <w:bottom w:val="single" w:sz="8" w:color="auto"/>
            </w:tcBorders>
            <w:shd w:val="clear" w:color="auto" w:fill="CCEEFF"/>
          </w:tcPr>
          <w:p>
            <w:pPr>
              <w:ind w:left="4400"/>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(1,453)</w:t>
            </w:r>
          </w:p>
        </w:tc>
      </w:tr>
      <w:tr>
        <w:trPr>
          <w:trHeight w:val="19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Exceptional items (net)</w:t>
            </w:r>
          </w:p>
        </w:tc>
        <w:tc>
          <w:tcPr>
            <w:tcW w:w="5140" w:type="dxa"/>
            <w:vAlign w:val="bottom"/>
            <w:tcBorders>
              <w:bottom w:val="single" w:sz="8" w:color="auto"/>
            </w:tcBorders>
          </w:tcPr>
          <w:p>
            <w:pPr>
              <w:ind w:left="4400"/>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11,037</w:t>
            </w:r>
          </w:p>
        </w:tc>
      </w:tr>
    </w:tbl>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No restructuring charge was recognised during the year ended 31 December 2019.</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Prior Period Restructuring Charges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 restructuring charge of $12.5 million was recognised during the year ended 31 December 2018, under a restructuring plan adopted following a review of operations. The restructuring plan reflected resource rationalisation across the business to improve resource utilisation resulting in a charge of $9.7 million and office consolidation resulting in the recognition of an onerous lease obligation of $2.8 million. No additional charge was recorded during the twelve months ended 31 December 2019.</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00" w:type="dxa"/>
            <w:vAlign w:val="bottom"/>
            <w:shd w:val="clear" w:color="auto" w:fill="CCEEFF"/>
          </w:tcPr>
          <w:p>
            <w:pPr>
              <w:spacing w:after="0"/>
              <w:rPr>
                <w:sz w:val="13"/>
                <w:szCs w:val="13"/>
                <w:color w:val="auto"/>
              </w:rPr>
            </w:pPr>
          </w:p>
        </w:tc>
        <w:tc>
          <w:tcPr>
            <w:tcW w:w="402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Workforce</w:t>
            </w:r>
          </w:p>
        </w:tc>
        <w:tc>
          <w:tcPr>
            <w:tcW w:w="1520" w:type="dxa"/>
            <w:vAlign w:val="bottom"/>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Onerous</w:t>
            </w:r>
          </w:p>
        </w:tc>
        <w:tc>
          <w:tcPr>
            <w:tcW w:w="1020" w:type="dxa"/>
            <w:vAlign w:val="bottom"/>
            <w:shd w:val="clear" w:color="auto" w:fill="CCEEFF"/>
          </w:tcPr>
          <w:p>
            <w:pPr>
              <w:spacing w:after="0"/>
              <w:rPr>
                <w:sz w:val="13"/>
                <w:szCs w:val="13"/>
                <w:color w:val="auto"/>
              </w:rPr>
            </w:pPr>
          </w:p>
        </w:tc>
      </w:tr>
      <w:tr>
        <w:trPr>
          <w:trHeight w:val="177"/>
        </w:trPr>
        <w:tc>
          <w:tcPr>
            <w:tcW w:w="4700" w:type="dxa"/>
            <w:vAlign w:val="bottom"/>
            <w:tcBorders>
              <w:bottom w:val="single" w:sz="8" w:color="auto"/>
            </w:tcBorders>
            <w:shd w:val="clear" w:color="auto" w:fill="CCEEFF"/>
          </w:tcPr>
          <w:p>
            <w:pPr>
              <w:spacing w:after="0"/>
              <w:rPr>
                <w:sz w:val="15"/>
                <w:szCs w:val="15"/>
                <w:color w:val="auto"/>
              </w:rPr>
            </w:pPr>
          </w:p>
        </w:tc>
        <w:tc>
          <w:tcPr>
            <w:tcW w:w="40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reductions</w:t>
            </w:r>
          </w:p>
        </w:tc>
        <w:tc>
          <w:tcPr>
            <w:tcW w:w="152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Lease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82"/>
        </w:trPr>
        <w:tc>
          <w:tcPr>
            <w:tcW w:w="4700" w:type="dxa"/>
            <w:vAlign w:val="bottom"/>
          </w:tcPr>
          <w:p>
            <w:pPr>
              <w:spacing w:after="0"/>
              <w:rPr>
                <w:sz w:val="15"/>
                <w:szCs w:val="15"/>
                <w:color w:val="auto"/>
              </w:rPr>
            </w:pPr>
          </w:p>
        </w:tc>
        <w:tc>
          <w:tcPr>
            <w:tcW w:w="4020" w:type="dxa"/>
            <w:vAlign w:val="bottom"/>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520" w:type="dxa"/>
            <w:vAlign w:val="bottom"/>
          </w:tcPr>
          <w:p>
            <w:pPr>
              <w:jc w:val="right"/>
              <w:ind w:right="436"/>
              <w:spacing w:after="0"/>
              <w:rPr>
                <w:sz w:val="20"/>
                <w:szCs w:val="20"/>
                <w:color w:val="auto"/>
              </w:rPr>
            </w:pPr>
            <w:r>
              <w:rPr>
                <w:rFonts w:ascii="Arial" w:cs="Arial" w:eastAsia="Arial" w:hAnsi="Arial"/>
                <w:sz w:val="13"/>
                <w:szCs w:val="13"/>
                <w:b w:val="1"/>
                <w:bCs w:val="1"/>
                <w:color w:val="auto"/>
              </w:rPr>
              <w:t>$’000</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99"/>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provision recognised</w:t>
            </w:r>
          </w:p>
        </w:tc>
        <w:tc>
          <w:tcPr>
            <w:tcW w:w="402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9,684</w:t>
            </w:r>
          </w:p>
        </w:tc>
        <w:tc>
          <w:tcPr>
            <w:tcW w:w="152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2,806</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12,490</w:t>
            </w:r>
          </w:p>
        </w:tc>
      </w:tr>
      <w:tr>
        <w:trPr>
          <w:trHeight w:val="183"/>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Utilisation</w:t>
            </w:r>
          </w:p>
        </w:tc>
        <w:tc>
          <w:tcPr>
            <w:tcW w:w="40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rPr>
              <w:t>(5,399)</w:t>
            </w:r>
          </w:p>
        </w:tc>
        <w:tc>
          <w:tcPr>
            <w:tcW w:w="15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(672)</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(6,071)</w:t>
            </w:r>
          </w:p>
        </w:tc>
      </w:tr>
      <w:tr>
        <w:trPr>
          <w:trHeight w:val="189"/>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at 31 December 2018</w:t>
            </w:r>
          </w:p>
        </w:tc>
        <w:tc>
          <w:tcPr>
            <w:tcW w:w="402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4,285</w:t>
            </w:r>
          </w:p>
        </w:tc>
        <w:tc>
          <w:tcPr>
            <w:tcW w:w="152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2,134</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6,419</w:t>
            </w:r>
          </w:p>
        </w:tc>
      </w:tr>
      <w:tr>
        <w:trPr>
          <w:trHeight w:val="183"/>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Utilisation</w:t>
            </w:r>
          </w:p>
        </w:tc>
        <w:tc>
          <w:tcPr>
            <w:tcW w:w="40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rPr>
              <w:t>(3,554)</w:t>
            </w:r>
          </w:p>
        </w:tc>
        <w:tc>
          <w:tcPr>
            <w:tcW w:w="15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rPr>
              <w:t>(1,228)</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(4,782)</w:t>
            </w:r>
          </w:p>
        </w:tc>
      </w:tr>
      <w:tr>
        <w:trPr>
          <w:trHeight w:val="190"/>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Provision at 31 December 2019</w:t>
            </w:r>
          </w:p>
        </w:tc>
        <w:tc>
          <w:tcPr>
            <w:tcW w:w="402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731</w:t>
            </w:r>
          </w:p>
        </w:tc>
        <w:tc>
          <w:tcPr>
            <w:tcW w:w="152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906</w:t>
            </w: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1,637</w:t>
            </w:r>
          </w:p>
        </w:tc>
      </w:tr>
    </w:tbl>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 restructuring charge of $7.8 million was recognised during the year ended 31 December 2017, under a restructuring plan adopted following a review of operations. The restructuring plan reflected resource rationalisation across the business to improve resource utilisation. No additional charge was recorded during the twelve months ended 31 December 2019.</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20" w:type="dxa"/>
            <w:vAlign w:val="bottom"/>
            <w:shd w:val="clear" w:color="auto" w:fill="CCEEFF"/>
          </w:tcPr>
          <w:p>
            <w:pPr>
              <w:spacing w:after="0"/>
              <w:rPr>
                <w:sz w:val="13"/>
                <w:szCs w:val="13"/>
                <w:color w:val="auto"/>
              </w:rPr>
            </w:pPr>
          </w:p>
        </w:tc>
        <w:tc>
          <w:tcPr>
            <w:tcW w:w="5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Workforce</w:t>
            </w:r>
          </w:p>
        </w:tc>
      </w:tr>
      <w:tr>
        <w:trPr>
          <w:trHeight w:val="177"/>
        </w:trPr>
        <w:tc>
          <w:tcPr>
            <w:tcW w:w="6220" w:type="dxa"/>
            <w:vAlign w:val="bottom"/>
            <w:tcBorders>
              <w:bottom w:val="single" w:sz="8" w:color="auto"/>
            </w:tcBorders>
            <w:shd w:val="clear" w:color="auto" w:fill="CCEEFF"/>
          </w:tcPr>
          <w:p>
            <w:pPr>
              <w:spacing w:after="0"/>
              <w:rPr>
                <w:sz w:val="15"/>
                <w:szCs w:val="15"/>
                <w:color w:val="auto"/>
              </w:rPr>
            </w:pPr>
          </w:p>
        </w:tc>
        <w:tc>
          <w:tcPr>
            <w:tcW w:w="5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reductions</w:t>
            </w:r>
          </w:p>
        </w:tc>
      </w:tr>
      <w:tr>
        <w:trPr>
          <w:trHeight w:val="182"/>
        </w:trPr>
        <w:tc>
          <w:tcPr>
            <w:tcW w:w="6220" w:type="dxa"/>
            <w:vAlign w:val="bottom"/>
          </w:tcPr>
          <w:p>
            <w:pPr>
              <w:spacing w:after="0"/>
              <w:rPr>
                <w:sz w:val="15"/>
                <w:szCs w:val="15"/>
                <w:color w:val="auto"/>
              </w:rPr>
            </w:pPr>
          </w:p>
        </w:tc>
        <w:tc>
          <w:tcPr>
            <w:tcW w:w="50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99"/>
        </w:trPr>
        <w:tc>
          <w:tcPr>
            <w:tcW w:w="6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 charges</w:t>
            </w:r>
          </w:p>
        </w:tc>
        <w:tc>
          <w:tcPr>
            <w:tcW w:w="5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7,753</w:t>
            </w:r>
          </w:p>
        </w:tc>
      </w:tr>
      <w:tr>
        <w:trPr>
          <w:trHeight w:val="18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Utilisation</w:t>
            </w:r>
          </w:p>
        </w:tc>
        <w:tc>
          <w:tcPr>
            <w:tcW w:w="5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(4,656)</w:t>
            </w:r>
          </w:p>
        </w:tc>
      </w:tr>
      <w:tr>
        <w:trPr>
          <w:trHeight w:val="189"/>
        </w:trPr>
        <w:tc>
          <w:tcPr>
            <w:tcW w:w="6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at 31 December 2017</w:t>
            </w:r>
          </w:p>
        </w:tc>
        <w:tc>
          <w:tcPr>
            <w:tcW w:w="5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3,097</w:t>
            </w:r>
          </w:p>
        </w:tc>
      </w:tr>
      <w:tr>
        <w:trPr>
          <w:trHeight w:val="18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Utilisation</w:t>
            </w:r>
          </w:p>
        </w:tc>
        <w:tc>
          <w:tcPr>
            <w:tcW w:w="5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(1,015)</w:t>
            </w:r>
          </w:p>
        </w:tc>
      </w:tr>
      <w:tr>
        <w:trPr>
          <w:trHeight w:val="189"/>
        </w:trPr>
        <w:tc>
          <w:tcPr>
            <w:tcW w:w="6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at 31 December 2018</w:t>
            </w:r>
          </w:p>
        </w:tc>
        <w:tc>
          <w:tcPr>
            <w:tcW w:w="50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2,082</w:t>
            </w:r>
          </w:p>
        </w:tc>
      </w:tr>
      <w:tr>
        <w:trPr>
          <w:trHeight w:val="18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Utilisation</w:t>
            </w:r>
          </w:p>
        </w:tc>
        <w:tc>
          <w:tcPr>
            <w:tcW w:w="5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(2,082)</w:t>
            </w:r>
          </w:p>
        </w:tc>
      </w:tr>
      <w:tr>
        <w:trPr>
          <w:trHeight w:val="190"/>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Provision at 31 December 2019</w:t>
            </w:r>
          </w:p>
        </w:tc>
        <w:tc>
          <w:tcPr>
            <w:tcW w:w="5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80"/>
          </w:cols>
          <w:pgMar w:left="300" w:top="696" w:right="31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Payroll and related benefits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Payroll costs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aggregate payroll costs of employees of the Group for the year ended 31 December 2019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20" w:type="dxa"/>
            <w:vAlign w:val="bottom"/>
            <w:shd w:val="clear" w:color="auto" w:fill="CCEEFF"/>
          </w:tcPr>
          <w:p>
            <w:pPr>
              <w:spacing w:after="0"/>
              <w:rPr>
                <w:sz w:val="13"/>
                <w:szCs w:val="13"/>
                <w:color w:val="auto"/>
              </w:rPr>
            </w:pPr>
          </w:p>
        </w:tc>
        <w:tc>
          <w:tcPr>
            <w:tcW w:w="2960" w:type="dxa"/>
            <w:vAlign w:val="bottom"/>
            <w:shd w:val="clear" w:color="auto" w:fill="CCEEFF"/>
          </w:tcPr>
          <w:p>
            <w:pPr>
              <w:spacing w:after="0"/>
              <w:rPr>
                <w:sz w:val="13"/>
                <w:szCs w:val="13"/>
                <w:color w:val="auto"/>
              </w:rPr>
            </w:pP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7"/>
        </w:trPr>
        <w:tc>
          <w:tcPr>
            <w:tcW w:w="5620" w:type="dxa"/>
            <w:vAlign w:val="bottom"/>
            <w:tcBorders>
              <w:bottom w:val="single" w:sz="8" w:color="auto"/>
            </w:tcBorders>
            <w:shd w:val="clear" w:color="auto" w:fill="CCEEFF"/>
          </w:tcPr>
          <w:p>
            <w:pPr>
              <w:spacing w:after="0"/>
              <w:rPr>
                <w:sz w:val="15"/>
                <w:szCs w:val="15"/>
                <w:color w:val="auto"/>
              </w:rPr>
            </w:pPr>
          </w:p>
        </w:tc>
        <w:tc>
          <w:tcPr>
            <w:tcW w:w="29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i w:val="1"/>
                <w:iCs w:val="1"/>
                <w:color w:val="auto"/>
              </w:rPr>
              <w:t>Note</w:t>
            </w:r>
          </w:p>
        </w:tc>
        <w:tc>
          <w:tcPr>
            <w:tcW w:w="16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December 2019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56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00" w:type="dxa"/>
            <w:vAlign w:val="bottom"/>
          </w:tcPr>
          <w:p>
            <w:pPr>
              <w:jc w:val="right"/>
              <w:ind w:right="31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9"/>
        </w:trPr>
        <w:tc>
          <w:tcPr>
            <w:tcW w:w="56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83"/>
        </w:trPr>
        <w:tc>
          <w:tcPr>
            <w:tcW w:w="5620" w:type="dxa"/>
            <w:vAlign w:val="bottom"/>
          </w:tcPr>
          <w:p>
            <w:pPr>
              <w:ind w:left="20"/>
              <w:spacing w:after="0"/>
              <w:rPr>
                <w:sz w:val="20"/>
                <w:szCs w:val="20"/>
                <w:color w:val="auto"/>
              </w:rPr>
            </w:pPr>
            <w:r>
              <w:rPr>
                <w:rFonts w:ascii="Arial" w:cs="Arial" w:eastAsia="Arial" w:hAnsi="Arial"/>
                <w:sz w:val="13"/>
                <w:szCs w:val="13"/>
                <w:color w:val="auto"/>
              </w:rPr>
              <w:t>Wages and salaries</w:t>
            </w:r>
          </w:p>
        </w:tc>
        <w:tc>
          <w:tcPr>
            <w:tcW w:w="2960" w:type="dxa"/>
            <w:vAlign w:val="bottom"/>
          </w:tcPr>
          <w:p>
            <w:pPr>
              <w:spacing w:after="0"/>
              <w:rPr>
                <w:sz w:val="15"/>
                <w:szCs w:val="15"/>
                <w:color w:val="auto"/>
              </w:rPr>
            </w:pPr>
          </w:p>
        </w:tc>
        <w:tc>
          <w:tcPr>
            <w:tcW w:w="1600" w:type="dxa"/>
            <w:vAlign w:val="bottom"/>
          </w:tcPr>
          <w:p>
            <w:pPr>
              <w:jc w:val="right"/>
              <w:ind w:right="456"/>
              <w:spacing w:after="0"/>
              <w:rPr>
                <w:sz w:val="20"/>
                <w:szCs w:val="20"/>
                <w:color w:val="auto"/>
              </w:rPr>
            </w:pPr>
            <w:r>
              <w:rPr>
                <w:rFonts w:ascii="Arial" w:cs="Arial" w:eastAsia="Arial" w:hAnsi="Arial"/>
                <w:sz w:val="13"/>
                <w:szCs w:val="13"/>
                <w:b w:val="1"/>
                <w:bCs w:val="1"/>
                <w:color w:val="auto"/>
              </w:rPr>
              <w:t>1,040,268</w:t>
            </w:r>
          </w:p>
        </w:tc>
        <w:tc>
          <w:tcPr>
            <w:tcW w:w="1100" w:type="dxa"/>
            <w:vAlign w:val="bottom"/>
          </w:tcPr>
          <w:p>
            <w:pPr>
              <w:jc w:val="right"/>
              <w:ind w:right="76"/>
              <w:spacing w:after="0"/>
              <w:rPr>
                <w:sz w:val="20"/>
                <w:szCs w:val="20"/>
                <w:color w:val="auto"/>
              </w:rPr>
            </w:pPr>
            <w:r>
              <w:rPr>
                <w:rFonts w:ascii="Arial" w:cs="Arial" w:eastAsia="Arial" w:hAnsi="Arial"/>
                <w:sz w:val="13"/>
                <w:szCs w:val="13"/>
                <w:color w:val="auto"/>
              </w:rPr>
              <w:t>994,169</w:t>
            </w:r>
          </w:p>
        </w:tc>
      </w:tr>
      <w:tr>
        <w:trPr>
          <w:trHeight w:val="199"/>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Social welfare costs</w:t>
            </w:r>
          </w:p>
        </w:tc>
        <w:tc>
          <w:tcPr>
            <w:tcW w:w="29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147,850</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141,906</w:t>
            </w:r>
          </w:p>
        </w:tc>
      </w:tr>
      <w:tr>
        <w:trPr>
          <w:trHeight w:val="183"/>
        </w:trPr>
        <w:tc>
          <w:tcPr>
            <w:tcW w:w="5620" w:type="dxa"/>
            <w:vAlign w:val="bottom"/>
          </w:tcPr>
          <w:p>
            <w:pPr>
              <w:ind w:left="20"/>
              <w:spacing w:after="0"/>
              <w:rPr>
                <w:sz w:val="20"/>
                <w:szCs w:val="20"/>
                <w:color w:val="auto"/>
              </w:rPr>
            </w:pPr>
            <w:r>
              <w:rPr>
                <w:rFonts w:ascii="Arial" w:cs="Arial" w:eastAsia="Arial" w:hAnsi="Arial"/>
                <w:sz w:val="13"/>
                <w:szCs w:val="13"/>
                <w:color w:val="auto"/>
              </w:rPr>
              <w:t>Pension costs for defined contribution pension schemes</w:t>
            </w:r>
          </w:p>
        </w:tc>
        <w:tc>
          <w:tcPr>
            <w:tcW w:w="2960" w:type="dxa"/>
            <w:vAlign w:val="bottom"/>
          </w:tcPr>
          <w:p>
            <w:pPr>
              <w:jc w:val="right"/>
              <w:ind w:right="196"/>
              <w:spacing w:after="0"/>
              <w:rPr>
                <w:sz w:val="20"/>
                <w:szCs w:val="20"/>
                <w:color w:val="auto"/>
              </w:rPr>
            </w:pPr>
            <w:r>
              <w:rPr>
                <w:rFonts w:ascii="Arial" w:cs="Arial" w:eastAsia="Arial" w:hAnsi="Arial"/>
                <w:sz w:val="13"/>
                <w:szCs w:val="13"/>
                <w:i w:val="1"/>
                <w:iCs w:val="1"/>
                <w:color w:val="auto"/>
              </w:rPr>
              <w:t>10</w:t>
            </w:r>
          </w:p>
        </w:tc>
        <w:tc>
          <w:tcPr>
            <w:tcW w:w="1600" w:type="dxa"/>
            <w:vAlign w:val="bottom"/>
          </w:tcPr>
          <w:p>
            <w:pPr>
              <w:jc w:val="right"/>
              <w:ind w:right="456"/>
              <w:spacing w:after="0"/>
              <w:rPr>
                <w:sz w:val="20"/>
                <w:szCs w:val="20"/>
                <w:color w:val="auto"/>
              </w:rPr>
            </w:pPr>
            <w:r>
              <w:rPr>
                <w:rFonts w:ascii="Arial" w:cs="Arial" w:eastAsia="Arial" w:hAnsi="Arial"/>
                <w:sz w:val="13"/>
                <w:szCs w:val="13"/>
                <w:b w:val="1"/>
                <w:bCs w:val="1"/>
                <w:color w:val="auto"/>
              </w:rPr>
              <w:t>42,952</w:t>
            </w:r>
          </w:p>
        </w:tc>
        <w:tc>
          <w:tcPr>
            <w:tcW w:w="1100" w:type="dxa"/>
            <w:vAlign w:val="bottom"/>
          </w:tcPr>
          <w:p>
            <w:pPr>
              <w:jc w:val="right"/>
              <w:ind w:right="76"/>
              <w:spacing w:after="0"/>
              <w:rPr>
                <w:sz w:val="20"/>
                <w:szCs w:val="20"/>
                <w:color w:val="auto"/>
              </w:rPr>
            </w:pPr>
            <w:r>
              <w:rPr>
                <w:rFonts w:ascii="Arial" w:cs="Arial" w:eastAsia="Arial" w:hAnsi="Arial"/>
                <w:sz w:val="13"/>
                <w:szCs w:val="13"/>
                <w:color w:val="auto"/>
              </w:rPr>
              <w:t>40,773</w:t>
            </w:r>
          </w:p>
        </w:tc>
      </w:tr>
      <w:tr>
        <w:trPr>
          <w:trHeight w:val="199"/>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costs for defined benefit pension schemes</w:t>
            </w:r>
          </w:p>
        </w:tc>
        <w:tc>
          <w:tcPr>
            <w:tcW w:w="2960" w:type="dxa"/>
            <w:vAlign w:val="bottom"/>
            <w:shd w:val="clear" w:color="auto" w:fill="CCEEFF"/>
          </w:tcPr>
          <w:p>
            <w:pPr>
              <w:jc w:val="right"/>
              <w:ind w:right="196"/>
              <w:spacing w:after="0"/>
              <w:rPr>
                <w:sz w:val="20"/>
                <w:szCs w:val="20"/>
                <w:color w:val="auto"/>
              </w:rPr>
            </w:pPr>
            <w:r>
              <w:rPr>
                <w:rFonts w:ascii="Arial" w:cs="Arial" w:eastAsia="Arial" w:hAnsi="Arial"/>
                <w:sz w:val="13"/>
                <w:szCs w:val="13"/>
                <w:i w:val="1"/>
                <w:iCs w:val="1"/>
                <w:color w:val="auto"/>
              </w:rPr>
              <w:t>10</w:t>
            </w:r>
          </w:p>
        </w:tc>
        <w:tc>
          <w:tcPr>
            <w:tcW w:w="160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304</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392</w:t>
            </w:r>
          </w:p>
        </w:tc>
      </w:tr>
      <w:tr>
        <w:trPr>
          <w:trHeight w:val="183"/>
        </w:trPr>
        <w:tc>
          <w:tcPr>
            <w:tcW w:w="5620" w:type="dxa"/>
            <w:vAlign w:val="bottom"/>
          </w:tcPr>
          <w:p>
            <w:pPr>
              <w:ind w:left="20"/>
              <w:spacing w:after="0"/>
              <w:rPr>
                <w:sz w:val="20"/>
                <w:szCs w:val="20"/>
                <w:color w:val="auto"/>
              </w:rPr>
            </w:pPr>
            <w:r>
              <w:rPr>
                <w:rFonts w:ascii="Arial" w:cs="Arial" w:eastAsia="Arial" w:hAnsi="Arial"/>
                <w:sz w:val="13"/>
                <w:szCs w:val="13"/>
                <w:color w:val="auto"/>
              </w:rPr>
              <w:t>Termination benefits</w:t>
            </w:r>
          </w:p>
        </w:tc>
        <w:tc>
          <w:tcPr>
            <w:tcW w:w="2960" w:type="dxa"/>
            <w:vAlign w:val="bottom"/>
          </w:tcPr>
          <w:p>
            <w:pPr>
              <w:jc w:val="right"/>
              <w:ind w:right="196"/>
              <w:spacing w:after="0"/>
              <w:rPr>
                <w:sz w:val="20"/>
                <w:szCs w:val="20"/>
                <w:color w:val="auto"/>
              </w:rPr>
            </w:pPr>
            <w:r>
              <w:rPr>
                <w:rFonts w:ascii="Arial" w:cs="Arial" w:eastAsia="Arial" w:hAnsi="Arial"/>
                <w:sz w:val="13"/>
                <w:szCs w:val="13"/>
                <w:i w:val="1"/>
                <w:iCs w:val="1"/>
                <w:color w:val="auto"/>
              </w:rPr>
              <w:t>8</w:t>
            </w:r>
          </w:p>
        </w:tc>
        <w:tc>
          <w:tcPr>
            <w:tcW w:w="1600" w:type="dxa"/>
            <w:vAlign w:val="bottom"/>
          </w:tcPr>
          <w:p>
            <w:pPr>
              <w:jc w:val="right"/>
              <w:ind w:right="45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76"/>
              <w:spacing w:after="0"/>
              <w:rPr>
                <w:sz w:val="20"/>
                <w:szCs w:val="20"/>
                <w:color w:val="auto"/>
              </w:rPr>
            </w:pPr>
            <w:r>
              <w:rPr>
                <w:rFonts w:ascii="Arial" w:cs="Arial" w:eastAsia="Arial" w:hAnsi="Arial"/>
                <w:sz w:val="13"/>
                <w:szCs w:val="13"/>
                <w:color w:val="auto"/>
              </w:rPr>
              <w:t>9,684</w:t>
            </w:r>
          </w:p>
        </w:tc>
      </w:tr>
      <w:tr>
        <w:trPr>
          <w:trHeight w:val="191"/>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Share-based payment*</w:t>
            </w:r>
          </w:p>
        </w:tc>
        <w:tc>
          <w:tcPr>
            <w:tcW w:w="29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i w:val="1"/>
                <w:iCs w:val="1"/>
                <w:color w:val="auto"/>
              </w:rPr>
              <w:t>11</w:t>
            </w:r>
          </w:p>
        </w:tc>
        <w:tc>
          <w:tcPr>
            <w:tcW w:w="16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25,886</w:t>
            </w: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28,059</w:t>
            </w:r>
          </w:p>
        </w:tc>
      </w:tr>
      <w:tr>
        <w:trPr>
          <w:trHeight w:val="182"/>
        </w:trPr>
        <w:tc>
          <w:tcPr>
            <w:tcW w:w="5620" w:type="dxa"/>
            <w:vAlign w:val="bottom"/>
          </w:tcPr>
          <w:p>
            <w:pPr>
              <w:ind w:left="20"/>
              <w:spacing w:after="0"/>
              <w:rPr>
                <w:sz w:val="20"/>
                <w:szCs w:val="20"/>
                <w:color w:val="auto"/>
              </w:rPr>
            </w:pPr>
            <w:r>
              <w:rPr>
                <w:rFonts w:ascii="Arial" w:cs="Arial" w:eastAsia="Arial" w:hAnsi="Arial"/>
                <w:sz w:val="13"/>
                <w:szCs w:val="13"/>
                <w:b w:val="1"/>
                <w:bCs w:val="1"/>
                <w:color w:val="auto"/>
              </w:rPr>
              <w:t>Total charge to income</w:t>
            </w:r>
          </w:p>
        </w:tc>
        <w:tc>
          <w:tcPr>
            <w:tcW w:w="2960" w:type="dxa"/>
            <w:vAlign w:val="bottom"/>
          </w:tcPr>
          <w:p>
            <w:pPr>
              <w:spacing w:after="0"/>
              <w:rPr>
                <w:sz w:val="15"/>
                <w:szCs w:val="15"/>
                <w:color w:val="auto"/>
              </w:rPr>
            </w:pPr>
          </w:p>
        </w:tc>
        <w:tc>
          <w:tcPr>
            <w:tcW w:w="1600" w:type="dxa"/>
            <w:vAlign w:val="bottom"/>
          </w:tcPr>
          <w:p>
            <w:pPr>
              <w:jc w:val="right"/>
              <w:ind w:right="456"/>
              <w:spacing w:after="0"/>
              <w:rPr>
                <w:sz w:val="20"/>
                <w:szCs w:val="20"/>
                <w:color w:val="auto"/>
              </w:rPr>
            </w:pPr>
            <w:r>
              <w:rPr>
                <w:rFonts w:ascii="Arial" w:cs="Arial" w:eastAsia="Arial" w:hAnsi="Arial"/>
                <w:sz w:val="13"/>
                <w:szCs w:val="13"/>
                <w:b w:val="1"/>
                <w:bCs w:val="1"/>
                <w:color w:val="auto"/>
              </w:rPr>
              <w:t>1,257,260</w:t>
            </w:r>
          </w:p>
        </w:tc>
        <w:tc>
          <w:tcPr>
            <w:tcW w:w="1100" w:type="dxa"/>
            <w:vAlign w:val="bottom"/>
          </w:tcPr>
          <w:p>
            <w:pPr>
              <w:jc w:val="right"/>
              <w:ind w:right="76"/>
              <w:spacing w:after="0"/>
              <w:rPr>
                <w:sz w:val="20"/>
                <w:szCs w:val="20"/>
                <w:color w:val="auto"/>
              </w:rPr>
            </w:pPr>
            <w:r>
              <w:rPr>
                <w:rFonts w:ascii="Arial" w:cs="Arial" w:eastAsia="Arial" w:hAnsi="Arial"/>
                <w:sz w:val="13"/>
                <w:szCs w:val="13"/>
                <w:color w:val="auto"/>
              </w:rPr>
              <w:t>1,214,983</w:t>
            </w:r>
          </w:p>
        </w:tc>
      </w:tr>
      <w:tr>
        <w:trPr>
          <w:trHeight w:val="191"/>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Re-measurement of post-employment benefit obligations</w:t>
            </w:r>
          </w:p>
        </w:tc>
        <w:tc>
          <w:tcPr>
            <w:tcW w:w="29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i w:val="1"/>
                <w:iCs w:val="1"/>
                <w:color w:val="auto"/>
              </w:rPr>
              <w:t>10</w:t>
            </w:r>
          </w:p>
        </w:tc>
        <w:tc>
          <w:tcPr>
            <w:tcW w:w="16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2,407</w:t>
            </w: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(2,640)</w:t>
            </w:r>
          </w:p>
        </w:tc>
      </w:tr>
      <w:tr>
        <w:trPr>
          <w:trHeight w:val="189"/>
        </w:trPr>
        <w:tc>
          <w:tcPr>
            <w:tcW w:w="56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2"/>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payroll and related benefit costs</w:t>
            </w:r>
          </w:p>
        </w:tc>
        <w:tc>
          <w:tcPr>
            <w:tcW w:w="29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1,259,667</w:t>
            </w: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1,212,343</w:t>
            </w:r>
          </w:p>
        </w:tc>
      </w:tr>
    </w:tbl>
    <w:p>
      <w:pPr>
        <w:spacing w:after="0" w:line="66" w:lineRule="exact"/>
        <w:rPr>
          <w:sz w:val="20"/>
          <w:szCs w:val="20"/>
          <w:color w:val="auto"/>
        </w:rPr>
      </w:pPr>
    </w:p>
    <w:p>
      <w:pPr>
        <w:ind w:left="80" w:hanging="75"/>
        <w:spacing w:after="0"/>
        <w:tabs>
          <w:tab w:leader="none" w:pos="80" w:val="left"/>
        </w:tabs>
        <w:numPr>
          <w:ilvl w:val="0"/>
          <w:numId w:val="26"/>
        </w:numPr>
        <w:rPr>
          <w:rFonts w:ascii="Arial" w:cs="Arial" w:eastAsia="Arial" w:hAnsi="Arial"/>
          <w:sz w:val="11"/>
          <w:szCs w:val="11"/>
          <w:color w:val="auto"/>
        </w:rPr>
      </w:pPr>
      <w:r>
        <w:rPr>
          <w:rFonts w:ascii="Arial" w:cs="Arial" w:eastAsia="Arial" w:hAnsi="Arial"/>
          <w:sz w:val="11"/>
          <w:szCs w:val="11"/>
          <w:i w:val="1"/>
          <w:iCs w:val="1"/>
          <w:color w:val="auto"/>
        </w:rPr>
        <w:t>IFRS 2 requires that the fair value of share options, restricted share units or performance share units is amortised over the vesting period of the award.</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Average employee numbers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average number of employees, including executive Directors, employed by the Group during the year ended 31 December 2019 was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160" w:type="dxa"/>
            <w:vAlign w:val="bottom"/>
            <w:shd w:val="clear" w:color="auto" w:fill="CCEEFF"/>
          </w:tcPr>
          <w:p>
            <w:pPr>
              <w:spacing w:after="0"/>
              <w:rPr>
                <w:sz w:val="13"/>
                <w:szCs w:val="13"/>
                <w:color w:val="auto"/>
              </w:rPr>
            </w:pPr>
          </w:p>
        </w:tc>
        <w:tc>
          <w:tcPr>
            <w:tcW w:w="61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7"/>
        </w:trPr>
        <w:tc>
          <w:tcPr>
            <w:tcW w:w="5160" w:type="dxa"/>
            <w:vAlign w:val="bottom"/>
            <w:tcBorders>
              <w:bottom w:val="single" w:sz="8" w:color="auto"/>
            </w:tcBorders>
            <w:shd w:val="clear" w:color="auto" w:fill="CCEEFF"/>
          </w:tcPr>
          <w:p>
            <w:pPr>
              <w:spacing w:after="0"/>
              <w:rPr>
                <w:sz w:val="15"/>
                <w:szCs w:val="15"/>
                <w:color w:val="auto"/>
              </w:rPr>
            </w:pPr>
          </w:p>
        </w:tc>
        <w:tc>
          <w:tcPr>
            <w:tcW w:w="51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December 2019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57"/>
        </w:trPr>
        <w:tc>
          <w:tcPr>
            <w:tcW w:w="516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1"/>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Marketing</w:t>
            </w:r>
          </w:p>
        </w:tc>
        <w:tc>
          <w:tcPr>
            <w:tcW w:w="5120" w:type="dxa"/>
            <w:vAlign w:val="bottom"/>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190</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192</w:t>
            </w:r>
          </w:p>
        </w:tc>
      </w:tr>
      <w:tr>
        <w:trPr>
          <w:trHeight w:val="183"/>
        </w:trPr>
        <w:tc>
          <w:tcPr>
            <w:tcW w:w="5160" w:type="dxa"/>
            <w:vAlign w:val="bottom"/>
          </w:tcPr>
          <w:p>
            <w:pPr>
              <w:ind w:left="20"/>
              <w:spacing w:after="0"/>
              <w:rPr>
                <w:sz w:val="20"/>
                <w:szCs w:val="20"/>
                <w:color w:val="auto"/>
              </w:rPr>
            </w:pPr>
            <w:r>
              <w:rPr>
                <w:rFonts w:ascii="Arial" w:cs="Arial" w:eastAsia="Arial" w:hAnsi="Arial"/>
                <w:sz w:val="13"/>
                <w:szCs w:val="13"/>
                <w:color w:val="auto"/>
              </w:rPr>
              <w:t>Administration</w:t>
            </w:r>
          </w:p>
        </w:tc>
        <w:tc>
          <w:tcPr>
            <w:tcW w:w="5120" w:type="dxa"/>
            <w:vAlign w:val="bottom"/>
          </w:tcPr>
          <w:p>
            <w:pPr>
              <w:jc w:val="right"/>
              <w:ind w:right="556"/>
              <w:spacing w:after="0"/>
              <w:rPr>
                <w:sz w:val="20"/>
                <w:szCs w:val="20"/>
                <w:color w:val="auto"/>
              </w:rPr>
            </w:pPr>
            <w:r>
              <w:rPr>
                <w:rFonts w:ascii="Arial" w:cs="Arial" w:eastAsia="Arial" w:hAnsi="Arial"/>
                <w:sz w:val="13"/>
                <w:szCs w:val="13"/>
                <w:b w:val="1"/>
                <w:bCs w:val="1"/>
                <w:color w:val="auto"/>
              </w:rPr>
              <w:t>1,782</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1,578</w:t>
            </w:r>
          </w:p>
        </w:tc>
      </w:tr>
      <w:tr>
        <w:trPr>
          <w:trHeight w:val="199"/>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Clinical research</w:t>
            </w:r>
          </w:p>
        </w:tc>
        <w:tc>
          <w:tcPr>
            <w:tcW w:w="5120" w:type="dxa"/>
            <w:vAlign w:val="bottom"/>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11,622</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11,249</w:t>
            </w:r>
          </w:p>
        </w:tc>
      </w:tr>
      <w:tr>
        <w:trPr>
          <w:trHeight w:val="18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Laboratory</w:t>
            </w:r>
          </w:p>
        </w:tc>
        <w:tc>
          <w:tcPr>
            <w:tcW w:w="512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653</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557</w:t>
            </w:r>
          </w:p>
        </w:tc>
      </w:tr>
      <w:tr>
        <w:trPr>
          <w:trHeight w:val="157"/>
        </w:trPr>
        <w:tc>
          <w:tcPr>
            <w:tcW w:w="5160" w:type="dxa"/>
            <w:vAlign w:val="bottom"/>
            <w:shd w:val="clear" w:color="auto" w:fill="CCEEFF"/>
          </w:tcPr>
          <w:p>
            <w:pPr>
              <w:spacing w:after="0"/>
              <w:rPr>
                <w:sz w:val="13"/>
                <w:szCs w:val="13"/>
                <w:color w:val="auto"/>
              </w:rPr>
            </w:pPr>
          </w:p>
        </w:tc>
        <w:tc>
          <w:tcPr>
            <w:tcW w:w="5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92"/>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512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14,247</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13,576</w:t>
            </w:r>
          </w:p>
        </w:tc>
      </w:tr>
      <w:tr>
        <w:trPr>
          <w:trHeight w:val="409"/>
        </w:trPr>
        <w:tc>
          <w:tcPr>
            <w:tcW w:w="5160" w:type="dxa"/>
            <w:vAlign w:val="bottom"/>
          </w:tcPr>
          <w:p>
            <w:pPr>
              <w:spacing w:after="0"/>
              <w:rPr>
                <w:sz w:val="20"/>
                <w:szCs w:val="20"/>
                <w:color w:val="auto"/>
              </w:rPr>
            </w:pPr>
            <w:r>
              <w:rPr>
                <w:rFonts w:ascii="Arial" w:cs="Arial" w:eastAsia="Arial" w:hAnsi="Arial"/>
                <w:sz w:val="13"/>
                <w:szCs w:val="13"/>
                <w:b w:val="1"/>
                <w:bCs w:val="1"/>
                <w:color w:val="auto"/>
              </w:rPr>
              <w:t>Directors’ remuneration</w:t>
            </w:r>
          </w:p>
        </w:tc>
        <w:tc>
          <w:tcPr>
            <w:tcW w:w="5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40"/>
        </w:trPr>
        <w:tc>
          <w:tcPr>
            <w:tcW w:w="5160" w:type="dxa"/>
            <w:vAlign w:val="bottom"/>
          </w:tcPr>
          <w:p>
            <w:pPr>
              <w:spacing w:after="0"/>
              <w:rPr>
                <w:sz w:val="20"/>
                <w:szCs w:val="20"/>
                <w:color w:val="auto"/>
              </w:rPr>
            </w:pPr>
            <w:r>
              <w:rPr>
                <w:rFonts w:ascii="Arial" w:cs="Arial" w:eastAsia="Arial" w:hAnsi="Arial"/>
                <w:sz w:val="13"/>
                <w:szCs w:val="13"/>
                <w:i w:val="1"/>
                <w:iCs w:val="1"/>
                <w:color w:val="auto"/>
              </w:rPr>
              <w:t>Remuneration policy</w:t>
            </w:r>
          </w:p>
        </w:tc>
        <w:tc>
          <w:tcPr>
            <w:tcW w:w="51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Compensation and Organisation Committee seeks to achieve the following goals with the Company’s executive compensation programmes: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and its shareholders.</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Company’s executive compensation programme has three main elements: base salary, a bonus plan and equity incentives in the form of share related awards granted under the Company’s equity incentive plans. All elements of key executives’ compensation are determined by the Compensation and Organisation Committee based on the achievement of the Group’s and individual performance objectives.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80"/>
          </w:cols>
          <w:pgMar w:left="300" w:top="696" w:right="31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Non-Executive Directors’ remuneration</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Non-Executive Directors are remunerated by way of Directors’ fees and are also eligible for participation in the share equity incentive schemes. During 2019, each Non-Executive Director (excluding the Board Chairman) was paid an annual retainer of $65,000 and additional fees for Board Committee service.</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Mr. Murray’s Executive Chairman term expired on 12 May 2018 and he transitioned to the role of Non-Executive Chairman. The arrangements with the Non-Executive Chairman of the Board provide for payment of €300,000 (translated at average rate for the year: $335,490) annually.</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Mr. Rónán Murphy was appointed as Lead Independent Director with effect from 1 January 2019. He received an additional fee of $25,000 for this role.</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Non-Executive Directors are not eligible for performance related cash bonuses and no pension contributions are made on their behalf. The Compensation and Organisation Committee sets non-Executive remuneration.</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Directors’ and Key Executive Officers’ remuneration</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Total cash compensation is divided into a base salary portion and a bonus incentive portion. The Committee targets total cash compensation with regard to healthcare/ biopharmaceutical companies of similar market capitalisation and peer CRO companies, adjusted upward or downward based on individual performance and experience and level of responsibility. The Compensation and Organisation Committee believes that the higher the executive’s level of responsibility within the Company, the greater the percentage of the executive’s compensation that should be tied to the Company’s performance. Target bonus incentive for executive officers range between 50% and 100% with actual pay outs for 2019 ranging from 40% to 85% of salary based on group and individual performance.</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 total bonus of $1.2 million was awarded to the following individuals; Dr. Steve Cutler, Chief Executive Officer ($0.9 million) and Mr. Brendan Brennan, Chief Financial Officer ($0.3 million) to reflect their contribution to the performance of the Company during 2019. These amounts were approved by the Compensation and Organisation Committee and have been paid during the year ended 31 December 2020.</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scheduled meeting of the Committee in the fiscal year. The grant date is determined by the Committee, and grants are awarded at the closing price on the day of grant. Newly hired executives may receive sign-on grants. In addition, the Committee may, in its discretion, issue additional equity incentive awards to executives if the Committee determines such awards are necessary to ensure appropriate incentives are in place. The number of equity awards granted to each participant is determined primarily by the Committee at the start of each year based on peer groups and advice from independent compensation consultants.</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All executive officers are eligible to participate in pension plans. The Company’s contributions are generally a fixed percentage of their annual compensation, supplementing contributions by the executive. The Company has the discretion to make additional contributions if deemed appropriate by the Committee. Contributions to this plan are recorded as an expense in the Consolidated Statement of Operations.</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Directors, Executive Officers and Company Secretary have the following interests, all of which are beneficial, other than as stated, in the shares and share options of the Company or other Group companies at the following dates: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80"/>
          </w:cols>
          <w:pgMar w:left="300" w:top="696" w:right="31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60" w:type="dxa"/>
            <w:vAlign w:val="bottom"/>
            <w:shd w:val="clear" w:color="auto" w:fill="CCEEFF"/>
          </w:tcPr>
          <w:p>
            <w:pPr>
              <w:spacing w:after="0"/>
              <w:rPr>
                <w:sz w:val="16"/>
                <w:szCs w:val="16"/>
                <w:color w:val="auto"/>
              </w:rPr>
            </w:pPr>
          </w:p>
        </w:tc>
        <w:tc>
          <w:tcPr>
            <w:tcW w:w="398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Interest at</w:t>
            </w:r>
          </w:p>
        </w:tc>
        <w:tc>
          <w:tcPr>
            <w:tcW w:w="8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Interest at</w:t>
            </w:r>
          </w:p>
        </w:tc>
        <w:tc>
          <w:tcPr>
            <w:tcW w:w="860" w:type="dxa"/>
            <w:vAlign w:val="bottom"/>
            <w:shd w:val="clear" w:color="auto" w:fill="CCEEFF"/>
          </w:tcPr>
          <w:p>
            <w:pPr>
              <w:spacing w:after="0"/>
              <w:rPr>
                <w:sz w:val="16"/>
                <w:szCs w:val="16"/>
                <w:color w:val="auto"/>
              </w:rPr>
            </w:pPr>
          </w:p>
        </w:tc>
      </w:tr>
      <w:tr>
        <w:trPr>
          <w:trHeight w:val="183"/>
        </w:trPr>
        <w:tc>
          <w:tcPr>
            <w:tcW w:w="206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2"/>
          </w:tcPr>
          <w:p>
            <w:pPr>
              <w:jc w:val="right"/>
              <w:ind w:right="556"/>
              <w:spacing w:after="0"/>
              <w:rPr>
                <w:sz w:val="20"/>
                <w:szCs w:val="20"/>
                <w:color w:val="auto"/>
              </w:rPr>
            </w:pPr>
            <w:r>
              <w:rPr>
                <w:rFonts w:ascii="Arial" w:cs="Arial" w:eastAsia="Arial" w:hAnsi="Arial"/>
                <w:sz w:val="13"/>
                <w:szCs w:val="13"/>
                <w:b w:val="1"/>
                <w:bCs w:val="1"/>
                <w:color w:val="auto"/>
              </w:rPr>
              <w:t>31 December 2019</w:t>
            </w:r>
          </w:p>
        </w:tc>
        <w:tc>
          <w:tcPr>
            <w:tcW w:w="2420" w:type="dxa"/>
            <w:vAlign w:val="bottom"/>
            <w:tcBorders>
              <w:bottom w:val="single" w:sz="8" w:color="auto"/>
            </w:tcBorders>
            <w:gridSpan w:val="2"/>
          </w:tcPr>
          <w:p>
            <w:pPr>
              <w:jc w:val="right"/>
              <w:ind w:right="596"/>
              <w:spacing w:after="0"/>
              <w:rPr>
                <w:sz w:val="20"/>
                <w:szCs w:val="20"/>
                <w:color w:val="auto"/>
              </w:rPr>
            </w:pPr>
            <w:r>
              <w:rPr>
                <w:rFonts w:ascii="Arial" w:cs="Arial" w:eastAsia="Arial" w:hAnsi="Arial"/>
                <w:sz w:val="13"/>
                <w:szCs w:val="13"/>
                <w:color w:val="auto"/>
              </w:rPr>
              <w:t>31 December 2018</w:t>
            </w:r>
          </w:p>
        </w:tc>
      </w:tr>
      <w:tr>
        <w:trPr>
          <w:trHeight w:val="357"/>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b w:val="1"/>
                <w:bCs w:val="1"/>
                <w:color w:val="auto"/>
              </w:rPr>
              <w:t>Name of company and description of shares</w:t>
            </w:r>
          </w:p>
        </w:tc>
        <w:tc>
          <w:tcPr>
            <w:tcW w:w="19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Number of shares</w:t>
            </w:r>
          </w:p>
        </w:tc>
        <w:tc>
          <w:tcPr>
            <w:tcW w:w="8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w w:val="97"/>
              </w:rPr>
              <w:t>Options</w:t>
            </w:r>
          </w:p>
        </w:tc>
        <w:tc>
          <w:tcPr>
            <w:tcW w:w="15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Number of shares</w:t>
            </w:r>
          </w:p>
        </w:tc>
        <w:tc>
          <w:tcPr>
            <w:tcW w:w="8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Options</w:t>
            </w:r>
          </w:p>
        </w:tc>
      </w:tr>
      <w:tr>
        <w:trPr>
          <w:trHeight w:val="184"/>
        </w:trPr>
        <w:tc>
          <w:tcPr>
            <w:tcW w:w="20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1"/>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3980" w:type="dxa"/>
            <w:vAlign w:val="bottom"/>
            <w:shd w:val="clear" w:color="auto" w:fill="CCEEFF"/>
          </w:tcPr>
          <w:p>
            <w:pPr>
              <w:ind w:left="800"/>
              <w:spacing w:after="0"/>
              <w:rPr>
                <w:sz w:val="20"/>
                <w:szCs w:val="20"/>
                <w:color w:val="auto"/>
              </w:rPr>
            </w:pPr>
            <w:r>
              <w:rPr>
                <w:rFonts w:ascii="Arial" w:cs="Arial" w:eastAsia="Arial" w:hAnsi="Arial"/>
                <w:sz w:val="13"/>
                <w:szCs w:val="13"/>
                <w:color w:val="auto"/>
              </w:rPr>
              <w:t>ICON plc</w:t>
            </w:r>
          </w:p>
        </w:tc>
        <w:tc>
          <w:tcPr>
            <w:tcW w:w="1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3"/>
        </w:trPr>
        <w:tc>
          <w:tcPr>
            <w:tcW w:w="206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Ordinary Shares €0.06</w:t>
            </w:r>
          </w:p>
        </w:tc>
        <w:tc>
          <w:tcPr>
            <w:tcW w:w="19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58,646</w:t>
            </w:r>
          </w:p>
        </w:tc>
        <w:tc>
          <w:tcPr>
            <w:tcW w:w="15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133,259</w:t>
            </w:r>
          </w:p>
        </w:tc>
      </w:tr>
      <w:tr>
        <w:trPr>
          <w:trHeight w:val="189"/>
        </w:trPr>
        <w:tc>
          <w:tcPr>
            <w:tcW w:w="2060" w:type="dxa"/>
            <w:vAlign w:val="bottom"/>
            <w:shd w:val="clear" w:color="auto" w:fill="CCEEFF"/>
          </w:tcPr>
          <w:p>
            <w:pPr>
              <w:spacing w:after="0"/>
              <w:rPr>
                <w:sz w:val="16"/>
                <w:szCs w:val="16"/>
                <w:color w:val="auto"/>
              </w:rPr>
            </w:pPr>
          </w:p>
        </w:tc>
        <w:tc>
          <w:tcPr>
            <w:tcW w:w="39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3"/>
        </w:trPr>
        <w:tc>
          <w:tcPr>
            <w:tcW w:w="2060" w:type="dxa"/>
            <w:vAlign w:val="bottom"/>
          </w:tcPr>
          <w:p>
            <w:pPr>
              <w:ind w:left="20"/>
              <w:spacing w:after="0"/>
              <w:rPr>
                <w:sz w:val="20"/>
                <w:szCs w:val="20"/>
                <w:color w:val="auto"/>
              </w:rPr>
            </w:pPr>
            <w:r>
              <w:rPr>
                <w:rFonts w:ascii="Arial" w:cs="Arial" w:eastAsia="Arial" w:hAnsi="Arial"/>
                <w:sz w:val="13"/>
                <w:szCs w:val="13"/>
                <w:color w:val="auto"/>
              </w:rPr>
              <w:t>Dr. Steve Cutler</w:t>
            </w:r>
          </w:p>
        </w:tc>
        <w:tc>
          <w:tcPr>
            <w:tcW w:w="3980" w:type="dxa"/>
            <w:vAlign w:val="bottom"/>
          </w:tcPr>
          <w:p>
            <w:pPr>
              <w:ind w:left="800"/>
              <w:spacing w:after="0"/>
              <w:rPr>
                <w:sz w:val="20"/>
                <w:szCs w:val="20"/>
                <w:color w:val="auto"/>
              </w:rPr>
            </w:pPr>
            <w:r>
              <w:rPr>
                <w:rFonts w:ascii="Arial" w:cs="Arial" w:eastAsia="Arial" w:hAnsi="Arial"/>
                <w:sz w:val="13"/>
                <w:szCs w:val="13"/>
                <w:color w:val="auto"/>
              </w:rPr>
              <w:t>ICON plc</w:t>
            </w:r>
          </w:p>
        </w:tc>
        <w:tc>
          <w:tcPr>
            <w:tcW w:w="1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1"/>
        </w:trPr>
        <w:tc>
          <w:tcPr>
            <w:tcW w:w="2060" w:type="dxa"/>
            <w:vAlign w:val="bottom"/>
            <w:tcBorders>
              <w:bottom w:val="single" w:sz="8" w:color="auto"/>
            </w:tcBorders>
            <w:shd w:val="clear" w:color="auto" w:fill="CCEEFF"/>
          </w:tcPr>
          <w:p>
            <w:pPr>
              <w:spacing w:after="0"/>
              <w:rPr>
                <w:sz w:val="16"/>
                <w:szCs w:val="16"/>
                <w:color w:val="auto"/>
              </w:rPr>
            </w:pPr>
          </w:p>
        </w:tc>
        <w:tc>
          <w:tcPr>
            <w:tcW w:w="3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Ordinary Shares €0.06</w:t>
            </w:r>
          </w:p>
        </w:tc>
        <w:tc>
          <w:tcPr>
            <w:tcW w:w="19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30,686</w:t>
            </w: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149,098</w:t>
            </w:r>
          </w:p>
        </w:tc>
        <w:tc>
          <w:tcPr>
            <w:tcW w:w="15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40,424</w:t>
            </w:r>
          </w:p>
        </w:tc>
        <w:tc>
          <w:tcPr>
            <w:tcW w:w="8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165,328</w:t>
            </w:r>
          </w:p>
        </w:tc>
      </w:tr>
      <w:tr>
        <w:trPr>
          <w:trHeight w:val="189"/>
        </w:trPr>
        <w:tc>
          <w:tcPr>
            <w:tcW w:w="20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3980" w:type="dxa"/>
            <w:vAlign w:val="bottom"/>
            <w:shd w:val="clear" w:color="auto" w:fill="CCEEFF"/>
          </w:tcPr>
          <w:p>
            <w:pPr>
              <w:ind w:left="800"/>
              <w:spacing w:after="0"/>
              <w:rPr>
                <w:sz w:val="20"/>
                <w:szCs w:val="20"/>
                <w:color w:val="auto"/>
              </w:rPr>
            </w:pPr>
            <w:r>
              <w:rPr>
                <w:rFonts w:ascii="Arial" w:cs="Arial" w:eastAsia="Arial" w:hAnsi="Arial"/>
                <w:sz w:val="13"/>
                <w:szCs w:val="13"/>
                <w:color w:val="auto"/>
              </w:rPr>
              <w:t>ICON plc</w:t>
            </w:r>
          </w:p>
        </w:tc>
        <w:tc>
          <w:tcPr>
            <w:tcW w:w="1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3"/>
        </w:trPr>
        <w:tc>
          <w:tcPr>
            <w:tcW w:w="206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Ordinary Shares €0.06</w:t>
            </w:r>
          </w:p>
        </w:tc>
        <w:tc>
          <w:tcPr>
            <w:tcW w:w="19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14,640</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72,295</w:t>
            </w:r>
          </w:p>
        </w:tc>
        <w:tc>
          <w:tcPr>
            <w:tcW w:w="15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9,199</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73,472</w:t>
            </w:r>
          </w:p>
        </w:tc>
      </w:tr>
      <w:tr>
        <w:trPr>
          <w:trHeight w:val="189"/>
        </w:trPr>
        <w:tc>
          <w:tcPr>
            <w:tcW w:w="2060" w:type="dxa"/>
            <w:vAlign w:val="bottom"/>
            <w:shd w:val="clear" w:color="auto" w:fill="CCEEFF"/>
          </w:tcPr>
          <w:p>
            <w:pPr>
              <w:spacing w:after="0"/>
              <w:rPr>
                <w:sz w:val="16"/>
                <w:szCs w:val="16"/>
                <w:color w:val="auto"/>
              </w:rPr>
            </w:pPr>
          </w:p>
        </w:tc>
        <w:tc>
          <w:tcPr>
            <w:tcW w:w="39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3"/>
        </w:trPr>
        <w:tc>
          <w:tcPr>
            <w:tcW w:w="2060" w:type="dxa"/>
            <w:vAlign w:val="bottom"/>
          </w:tcPr>
          <w:p>
            <w:pPr>
              <w:ind w:left="20"/>
              <w:spacing w:after="0"/>
              <w:rPr>
                <w:sz w:val="20"/>
                <w:szCs w:val="20"/>
                <w:color w:val="auto"/>
              </w:rPr>
            </w:pPr>
            <w:r>
              <w:rPr>
                <w:rFonts w:ascii="Arial" w:cs="Arial" w:eastAsia="Arial" w:hAnsi="Arial"/>
                <w:sz w:val="13"/>
                <w:szCs w:val="13"/>
                <w:color w:val="auto"/>
              </w:rPr>
              <w:t>Rónán Murphy</w:t>
            </w:r>
          </w:p>
        </w:tc>
        <w:tc>
          <w:tcPr>
            <w:tcW w:w="3980" w:type="dxa"/>
            <w:vAlign w:val="bottom"/>
          </w:tcPr>
          <w:p>
            <w:pPr>
              <w:ind w:left="800"/>
              <w:spacing w:after="0"/>
              <w:rPr>
                <w:sz w:val="20"/>
                <w:szCs w:val="20"/>
                <w:color w:val="auto"/>
              </w:rPr>
            </w:pPr>
            <w:r>
              <w:rPr>
                <w:rFonts w:ascii="Arial" w:cs="Arial" w:eastAsia="Arial" w:hAnsi="Arial"/>
                <w:sz w:val="13"/>
                <w:szCs w:val="13"/>
                <w:color w:val="auto"/>
              </w:rPr>
              <w:t>ICON plc</w:t>
            </w:r>
          </w:p>
        </w:tc>
        <w:tc>
          <w:tcPr>
            <w:tcW w:w="1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1"/>
        </w:trPr>
        <w:tc>
          <w:tcPr>
            <w:tcW w:w="2060" w:type="dxa"/>
            <w:vAlign w:val="bottom"/>
            <w:tcBorders>
              <w:bottom w:val="single" w:sz="8" w:color="auto"/>
            </w:tcBorders>
            <w:shd w:val="clear" w:color="auto" w:fill="CCEEFF"/>
          </w:tcPr>
          <w:p>
            <w:pPr>
              <w:spacing w:after="0"/>
              <w:rPr>
                <w:sz w:val="16"/>
                <w:szCs w:val="16"/>
                <w:color w:val="auto"/>
              </w:rPr>
            </w:pPr>
          </w:p>
        </w:tc>
        <w:tc>
          <w:tcPr>
            <w:tcW w:w="3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Ordinary Shares €0.06</w:t>
            </w:r>
          </w:p>
        </w:tc>
        <w:tc>
          <w:tcPr>
            <w:tcW w:w="19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11,160</w:t>
            </w:r>
          </w:p>
        </w:tc>
        <w:tc>
          <w:tcPr>
            <w:tcW w:w="15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12,698</w:t>
            </w:r>
          </w:p>
        </w:tc>
      </w:tr>
      <w:tr>
        <w:trPr>
          <w:trHeight w:val="189"/>
        </w:trPr>
        <w:tc>
          <w:tcPr>
            <w:tcW w:w="20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Professor Hugh Brady</w:t>
            </w:r>
          </w:p>
        </w:tc>
        <w:tc>
          <w:tcPr>
            <w:tcW w:w="3980" w:type="dxa"/>
            <w:vAlign w:val="bottom"/>
            <w:shd w:val="clear" w:color="auto" w:fill="CCEEFF"/>
          </w:tcPr>
          <w:p>
            <w:pPr>
              <w:ind w:left="800"/>
              <w:spacing w:after="0"/>
              <w:rPr>
                <w:sz w:val="20"/>
                <w:szCs w:val="20"/>
                <w:color w:val="auto"/>
              </w:rPr>
            </w:pPr>
            <w:r>
              <w:rPr>
                <w:rFonts w:ascii="Arial" w:cs="Arial" w:eastAsia="Arial" w:hAnsi="Arial"/>
                <w:sz w:val="13"/>
                <w:szCs w:val="13"/>
                <w:color w:val="auto"/>
              </w:rPr>
              <w:t>ICON plc</w:t>
            </w:r>
          </w:p>
        </w:tc>
        <w:tc>
          <w:tcPr>
            <w:tcW w:w="1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3"/>
        </w:trPr>
        <w:tc>
          <w:tcPr>
            <w:tcW w:w="206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Ordinary Shares €0.06</w:t>
            </w:r>
          </w:p>
        </w:tc>
        <w:tc>
          <w:tcPr>
            <w:tcW w:w="19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10,841</w:t>
            </w:r>
          </w:p>
        </w:tc>
        <w:tc>
          <w:tcPr>
            <w:tcW w:w="15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43,255</w:t>
            </w:r>
          </w:p>
        </w:tc>
      </w:tr>
      <w:tr>
        <w:trPr>
          <w:trHeight w:val="189"/>
        </w:trPr>
        <w:tc>
          <w:tcPr>
            <w:tcW w:w="2060" w:type="dxa"/>
            <w:vAlign w:val="bottom"/>
            <w:shd w:val="clear" w:color="auto" w:fill="CCEEFF"/>
          </w:tcPr>
          <w:p>
            <w:pPr>
              <w:spacing w:after="0"/>
              <w:rPr>
                <w:sz w:val="16"/>
                <w:szCs w:val="16"/>
                <w:color w:val="auto"/>
              </w:rPr>
            </w:pPr>
          </w:p>
        </w:tc>
        <w:tc>
          <w:tcPr>
            <w:tcW w:w="39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3"/>
        </w:trPr>
        <w:tc>
          <w:tcPr>
            <w:tcW w:w="2060" w:type="dxa"/>
            <w:vAlign w:val="bottom"/>
          </w:tcPr>
          <w:p>
            <w:pPr>
              <w:ind w:left="20"/>
              <w:spacing w:after="0"/>
              <w:rPr>
                <w:sz w:val="20"/>
                <w:szCs w:val="20"/>
                <w:color w:val="auto"/>
              </w:rPr>
            </w:pPr>
            <w:r>
              <w:rPr>
                <w:rFonts w:ascii="Arial" w:cs="Arial" w:eastAsia="Arial" w:hAnsi="Arial"/>
                <w:sz w:val="13"/>
                <w:szCs w:val="13"/>
                <w:color w:val="auto"/>
              </w:rPr>
              <w:t>Dr. John Climax</w:t>
            </w:r>
          </w:p>
        </w:tc>
        <w:tc>
          <w:tcPr>
            <w:tcW w:w="3980" w:type="dxa"/>
            <w:vAlign w:val="bottom"/>
          </w:tcPr>
          <w:p>
            <w:pPr>
              <w:ind w:left="800"/>
              <w:spacing w:after="0"/>
              <w:rPr>
                <w:sz w:val="20"/>
                <w:szCs w:val="20"/>
                <w:color w:val="auto"/>
              </w:rPr>
            </w:pPr>
            <w:r>
              <w:rPr>
                <w:rFonts w:ascii="Arial" w:cs="Arial" w:eastAsia="Arial" w:hAnsi="Arial"/>
                <w:sz w:val="13"/>
                <w:szCs w:val="13"/>
                <w:color w:val="auto"/>
              </w:rPr>
              <w:t>ICON plc</w:t>
            </w:r>
          </w:p>
        </w:tc>
        <w:tc>
          <w:tcPr>
            <w:tcW w:w="1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1"/>
        </w:trPr>
        <w:tc>
          <w:tcPr>
            <w:tcW w:w="2060" w:type="dxa"/>
            <w:vAlign w:val="bottom"/>
            <w:tcBorders>
              <w:bottom w:val="single" w:sz="8" w:color="auto"/>
            </w:tcBorders>
            <w:shd w:val="clear" w:color="auto" w:fill="CCEEFF"/>
          </w:tcPr>
          <w:p>
            <w:pPr>
              <w:spacing w:after="0"/>
              <w:rPr>
                <w:sz w:val="16"/>
                <w:szCs w:val="16"/>
                <w:color w:val="auto"/>
              </w:rPr>
            </w:pPr>
          </w:p>
        </w:tc>
        <w:tc>
          <w:tcPr>
            <w:tcW w:w="3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Ordinary Shares €0.06</w:t>
            </w:r>
          </w:p>
        </w:tc>
        <w:tc>
          <w:tcPr>
            <w:tcW w:w="19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610,511</w:t>
            </w: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47,755</w:t>
            </w:r>
          </w:p>
        </w:tc>
        <w:tc>
          <w:tcPr>
            <w:tcW w:w="15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685,011</w:t>
            </w:r>
          </w:p>
        </w:tc>
        <w:tc>
          <w:tcPr>
            <w:tcW w:w="8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47,755</w:t>
            </w:r>
          </w:p>
        </w:tc>
      </w:tr>
      <w:tr>
        <w:trPr>
          <w:trHeight w:val="189"/>
        </w:trPr>
        <w:tc>
          <w:tcPr>
            <w:tcW w:w="20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Joan Garahy</w:t>
            </w:r>
          </w:p>
        </w:tc>
        <w:tc>
          <w:tcPr>
            <w:tcW w:w="3980" w:type="dxa"/>
            <w:vAlign w:val="bottom"/>
            <w:shd w:val="clear" w:color="auto" w:fill="CCEEFF"/>
          </w:tcPr>
          <w:p>
            <w:pPr>
              <w:ind w:left="800"/>
              <w:spacing w:after="0"/>
              <w:rPr>
                <w:sz w:val="20"/>
                <w:szCs w:val="20"/>
                <w:color w:val="auto"/>
              </w:rPr>
            </w:pPr>
            <w:r>
              <w:rPr>
                <w:rFonts w:ascii="Arial" w:cs="Arial" w:eastAsia="Arial" w:hAnsi="Arial"/>
                <w:sz w:val="13"/>
                <w:szCs w:val="13"/>
                <w:color w:val="auto"/>
              </w:rPr>
              <w:t>ICON plc</w:t>
            </w:r>
          </w:p>
        </w:tc>
        <w:tc>
          <w:tcPr>
            <w:tcW w:w="1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3"/>
        </w:trPr>
        <w:tc>
          <w:tcPr>
            <w:tcW w:w="206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Ordinary Shares €0.06</w:t>
            </w:r>
          </w:p>
        </w:tc>
        <w:tc>
          <w:tcPr>
            <w:tcW w:w="19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5,005</w:t>
            </w:r>
          </w:p>
        </w:tc>
        <w:tc>
          <w:tcPr>
            <w:tcW w:w="15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5,005</w:t>
            </w:r>
          </w:p>
        </w:tc>
      </w:tr>
      <w:tr>
        <w:trPr>
          <w:trHeight w:val="189"/>
        </w:trPr>
        <w:tc>
          <w:tcPr>
            <w:tcW w:w="2060" w:type="dxa"/>
            <w:vAlign w:val="bottom"/>
            <w:shd w:val="clear" w:color="auto" w:fill="CCEEFF"/>
          </w:tcPr>
          <w:p>
            <w:pPr>
              <w:spacing w:after="0"/>
              <w:rPr>
                <w:sz w:val="16"/>
                <w:szCs w:val="16"/>
                <w:color w:val="auto"/>
              </w:rPr>
            </w:pPr>
          </w:p>
        </w:tc>
        <w:tc>
          <w:tcPr>
            <w:tcW w:w="39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3"/>
        </w:trPr>
        <w:tc>
          <w:tcPr>
            <w:tcW w:w="2060" w:type="dxa"/>
            <w:vAlign w:val="bottom"/>
          </w:tcPr>
          <w:p>
            <w:pPr>
              <w:ind w:left="20"/>
              <w:spacing w:after="0"/>
              <w:rPr>
                <w:sz w:val="20"/>
                <w:szCs w:val="20"/>
                <w:color w:val="auto"/>
              </w:rPr>
            </w:pPr>
            <w:r>
              <w:rPr>
                <w:rFonts w:ascii="Arial" w:cs="Arial" w:eastAsia="Arial" w:hAnsi="Arial"/>
                <w:sz w:val="13"/>
                <w:szCs w:val="13"/>
                <w:color w:val="auto"/>
              </w:rPr>
              <w:t>Professor William Hall</w:t>
            </w:r>
          </w:p>
        </w:tc>
        <w:tc>
          <w:tcPr>
            <w:tcW w:w="3980" w:type="dxa"/>
            <w:vAlign w:val="bottom"/>
          </w:tcPr>
          <w:p>
            <w:pPr>
              <w:ind w:left="800"/>
              <w:spacing w:after="0"/>
              <w:rPr>
                <w:sz w:val="20"/>
                <w:szCs w:val="20"/>
                <w:color w:val="auto"/>
              </w:rPr>
            </w:pPr>
            <w:r>
              <w:rPr>
                <w:rFonts w:ascii="Arial" w:cs="Arial" w:eastAsia="Arial" w:hAnsi="Arial"/>
                <w:sz w:val="13"/>
                <w:szCs w:val="13"/>
                <w:color w:val="auto"/>
              </w:rPr>
              <w:t>ICON plc</w:t>
            </w:r>
          </w:p>
        </w:tc>
        <w:tc>
          <w:tcPr>
            <w:tcW w:w="1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1"/>
        </w:trPr>
        <w:tc>
          <w:tcPr>
            <w:tcW w:w="2060" w:type="dxa"/>
            <w:vAlign w:val="bottom"/>
            <w:tcBorders>
              <w:bottom w:val="single" w:sz="8" w:color="auto"/>
            </w:tcBorders>
            <w:shd w:val="clear" w:color="auto" w:fill="CCEEFF"/>
          </w:tcPr>
          <w:p>
            <w:pPr>
              <w:spacing w:after="0"/>
              <w:rPr>
                <w:sz w:val="16"/>
                <w:szCs w:val="16"/>
                <w:color w:val="auto"/>
              </w:rPr>
            </w:pPr>
          </w:p>
        </w:tc>
        <w:tc>
          <w:tcPr>
            <w:tcW w:w="3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Ordinary Shares €0.06</w:t>
            </w:r>
          </w:p>
        </w:tc>
        <w:tc>
          <w:tcPr>
            <w:tcW w:w="19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10,841</w:t>
            </w:r>
          </w:p>
        </w:tc>
        <w:tc>
          <w:tcPr>
            <w:tcW w:w="15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23,495</w:t>
            </w:r>
          </w:p>
        </w:tc>
      </w:tr>
      <w:tr>
        <w:trPr>
          <w:trHeight w:val="189"/>
        </w:trPr>
        <w:tc>
          <w:tcPr>
            <w:tcW w:w="20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3980" w:type="dxa"/>
            <w:vAlign w:val="bottom"/>
            <w:shd w:val="clear" w:color="auto" w:fill="CCEEFF"/>
          </w:tcPr>
          <w:p>
            <w:pPr>
              <w:ind w:left="800"/>
              <w:spacing w:after="0"/>
              <w:rPr>
                <w:sz w:val="20"/>
                <w:szCs w:val="20"/>
                <w:color w:val="auto"/>
              </w:rPr>
            </w:pPr>
            <w:r>
              <w:rPr>
                <w:rFonts w:ascii="Arial" w:cs="Arial" w:eastAsia="Arial" w:hAnsi="Arial"/>
                <w:sz w:val="13"/>
                <w:szCs w:val="13"/>
                <w:color w:val="auto"/>
              </w:rPr>
              <w:t>ICON plc</w:t>
            </w:r>
          </w:p>
        </w:tc>
        <w:tc>
          <w:tcPr>
            <w:tcW w:w="1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3"/>
        </w:trPr>
        <w:tc>
          <w:tcPr>
            <w:tcW w:w="206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Ordinary Shares €0.06</w:t>
            </w:r>
          </w:p>
        </w:tc>
        <w:tc>
          <w:tcPr>
            <w:tcW w:w="19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5,005</w:t>
            </w:r>
          </w:p>
        </w:tc>
        <w:tc>
          <w:tcPr>
            <w:tcW w:w="15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5,005</w:t>
            </w:r>
          </w:p>
        </w:tc>
      </w:tr>
      <w:tr>
        <w:trPr>
          <w:trHeight w:val="189"/>
        </w:trPr>
        <w:tc>
          <w:tcPr>
            <w:tcW w:w="2060" w:type="dxa"/>
            <w:vAlign w:val="bottom"/>
            <w:shd w:val="clear" w:color="auto" w:fill="CCEEFF"/>
          </w:tcPr>
          <w:p>
            <w:pPr>
              <w:spacing w:after="0"/>
              <w:rPr>
                <w:sz w:val="16"/>
                <w:szCs w:val="16"/>
                <w:color w:val="auto"/>
              </w:rPr>
            </w:pPr>
          </w:p>
        </w:tc>
        <w:tc>
          <w:tcPr>
            <w:tcW w:w="39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3"/>
        </w:trPr>
        <w:tc>
          <w:tcPr>
            <w:tcW w:w="2060" w:type="dxa"/>
            <w:vAlign w:val="bottom"/>
          </w:tcPr>
          <w:p>
            <w:pPr>
              <w:ind w:left="20"/>
              <w:spacing w:after="0"/>
              <w:rPr>
                <w:sz w:val="20"/>
                <w:szCs w:val="20"/>
                <w:color w:val="auto"/>
              </w:rPr>
            </w:pPr>
            <w:r>
              <w:rPr>
                <w:rFonts w:ascii="Arial" w:cs="Arial" w:eastAsia="Arial" w:hAnsi="Arial"/>
                <w:sz w:val="13"/>
                <w:szCs w:val="13"/>
                <w:color w:val="auto"/>
              </w:rPr>
              <w:t>Julie O'Neill</w:t>
            </w:r>
          </w:p>
        </w:tc>
        <w:tc>
          <w:tcPr>
            <w:tcW w:w="3980" w:type="dxa"/>
            <w:vAlign w:val="bottom"/>
          </w:tcPr>
          <w:p>
            <w:pPr>
              <w:ind w:left="800"/>
              <w:spacing w:after="0"/>
              <w:rPr>
                <w:sz w:val="20"/>
                <w:szCs w:val="20"/>
                <w:color w:val="auto"/>
              </w:rPr>
            </w:pPr>
            <w:r>
              <w:rPr>
                <w:rFonts w:ascii="Arial" w:cs="Arial" w:eastAsia="Arial" w:hAnsi="Arial"/>
                <w:sz w:val="13"/>
                <w:szCs w:val="13"/>
                <w:color w:val="auto"/>
              </w:rPr>
              <w:t>ICON plc</w:t>
            </w:r>
          </w:p>
        </w:tc>
        <w:tc>
          <w:tcPr>
            <w:tcW w:w="1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1"/>
        </w:trPr>
        <w:tc>
          <w:tcPr>
            <w:tcW w:w="2060" w:type="dxa"/>
            <w:vAlign w:val="bottom"/>
            <w:tcBorders>
              <w:bottom w:val="single" w:sz="8" w:color="auto"/>
            </w:tcBorders>
            <w:shd w:val="clear" w:color="auto" w:fill="CCEEFF"/>
          </w:tcPr>
          <w:p>
            <w:pPr>
              <w:spacing w:after="0"/>
              <w:rPr>
                <w:sz w:val="16"/>
                <w:szCs w:val="16"/>
                <w:color w:val="auto"/>
              </w:rPr>
            </w:pPr>
          </w:p>
        </w:tc>
        <w:tc>
          <w:tcPr>
            <w:tcW w:w="3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Ordinary Shares €0.06</w:t>
            </w:r>
          </w:p>
        </w:tc>
        <w:tc>
          <w:tcPr>
            <w:tcW w:w="19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15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r>
        <w:trPr>
          <w:trHeight w:val="189"/>
        </w:trPr>
        <w:tc>
          <w:tcPr>
            <w:tcW w:w="20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 Pendergast</w:t>
            </w:r>
          </w:p>
        </w:tc>
        <w:tc>
          <w:tcPr>
            <w:tcW w:w="3980" w:type="dxa"/>
            <w:vAlign w:val="bottom"/>
            <w:shd w:val="clear" w:color="auto" w:fill="CCEEFF"/>
          </w:tcPr>
          <w:p>
            <w:pPr>
              <w:ind w:left="800"/>
              <w:spacing w:after="0"/>
              <w:rPr>
                <w:sz w:val="20"/>
                <w:szCs w:val="20"/>
                <w:color w:val="auto"/>
              </w:rPr>
            </w:pPr>
            <w:r>
              <w:rPr>
                <w:rFonts w:ascii="Arial" w:cs="Arial" w:eastAsia="Arial" w:hAnsi="Arial"/>
                <w:sz w:val="13"/>
                <w:szCs w:val="13"/>
                <w:color w:val="auto"/>
              </w:rPr>
              <w:t>ICON plc</w:t>
            </w:r>
          </w:p>
        </w:tc>
        <w:tc>
          <w:tcPr>
            <w:tcW w:w="1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3"/>
        </w:trPr>
        <w:tc>
          <w:tcPr>
            <w:tcW w:w="206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Ordinary Shares €0.06</w:t>
            </w:r>
          </w:p>
        </w:tc>
        <w:tc>
          <w:tcPr>
            <w:tcW w:w="19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43,255</w:t>
            </w:r>
          </w:p>
        </w:tc>
        <w:tc>
          <w:tcPr>
            <w:tcW w:w="15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43,255</w:t>
            </w:r>
          </w:p>
        </w:tc>
      </w:tr>
      <w:tr>
        <w:trPr>
          <w:trHeight w:val="189"/>
        </w:trPr>
        <w:tc>
          <w:tcPr>
            <w:tcW w:w="2060" w:type="dxa"/>
            <w:vAlign w:val="bottom"/>
            <w:shd w:val="clear" w:color="auto" w:fill="CCEEFF"/>
          </w:tcPr>
          <w:p>
            <w:pPr>
              <w:spacing w:after="0"/>
              <w:rPr>
                <w:sz w:val="16"/>
                <w:szCs w:val="16"/>
                <w:color w:val="auto"/>
              </w:rPr>
            </w:pPr>
          </w:p>
        </w:tc>
        <w:tc>
          <w:tcPr>
            <w:tcW w:w="39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3"/>
        </w:trPr>
        <w:tc>
          <w:tcPr>
            <w:tcW w:w="2060" w:type="dxa"/>
            <w:vAlign w:val="bottom"/>
          </w:tcPr>
          <w:p>
            <w:pPr>
              <w:ind w:left="20"/>
              <w:spacing w:after="0"/>
              <w:rPr>
                <w:sz w:val="20"/>
                <w:szCs w:val="20"/>
                <w:color w:val="auto"/>
              </w:rPr>
            </w:pPr>
            <w:r>
              <w:rPr>
                <w:rFonts w:ascii="Arial" w:cs="Arial" w:eastAsia="Arial" w:hAnsi="Arial"/>
                <w:sz w:val="13"/>
                <w:szCs w:val="13"/>
                <w:color w:val="auto"/>
              </w:rPr>
              <w:t>Diarmaid Cunningham</w:t>
            </w:r>
          </w:p>
        </w:tc>
        <w:tc>
          <w:tcPr>
            <w:tcW w:w="3980" w:type="dxa"/>
            <w:vAlign w:val="bottom"/>
          </w:tcPr>
          <w:p>
            <w:pPr>
              <w:ind w:left="800"/>
              <w:spacing w:after="0"/>
              <w:rPr>
                <w:sz w:val="20"/>
                <w:szCs w:val="20"/>
                <w:color w:val="auto"/>
              </w:rPr>
            </w:pPr>
            <w:r>
              <w:rPr>
                <w:rFonts w:ascii="Arial" w:cs="Arial" w:eastAsia="Arial" w:hAnsi="Arial"/>
                <w:sz w:val="13"/>
                <w:szCs w:val="13"/>
                <w:color w:val="auto"/>
              </w:rPr>
              <w:t>ICON plc</w:t>
            </w:r>
          </w:p>
        </w:tc>
        <w:tc>
          <w:tcPr>
            <w:tcW w:w="1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1"/>
        </w:trPr>
        <w:tc>
          <w:tcPr>
            <w:tcW w:w="2060" w:type="dxa"/>
            <w:vAlign w:val="bottom"/>
            <w:tcBorders>
              <w:bottom w:val="single" w:sz="8" w:color="auto"/>
            </w:tcBorders>
            <w:shd w:val="clear" w:color="auto" w:fill="CCEEFF"/>
          </w:tcPr>
          <w:p>
            <w:pPr>
              <w:spacing w:after="0"/>
              <w:rPr>
                <w:sz w:val="16"/>
                <w:szCs w:val="16"/>
                <w:color w:val="auto"/>
              </w:rPr>
            </w:pPr>
          </w:p>
        </w:tc>
        <w:tc>
          <w:tcPr>
            <w:tcW w:w="3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Ordinary Shares €0.06</w:t>
            </w:r>
          </w:p>
        </w:tc>
        <w:tc>
          <w:tcPr>
            <w:tcW w:w="19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35,471</w:t>
            </w:r>
          </w:p>
        </w:tc>
        <w:tc>
          <w:tcPr>
            <w:tcW w:w="15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34,398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80"/>
          </w:cols>
          <w:pgMar w:left="300" w:top="696" w:right="31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Further details regarding the above share options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359"/>
        </w:trPr>
        <w:tc>
          <w:tcPr>
            <w:tcW w:w="2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2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Options</w:t>
            </w:r>
          </w:p>
        </w:tc>
        <w:tc>
          <w:tcPr>
            <w:tcW w:w="220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3"/>
                <w:szCs w:val="13"/>
                <w:b w:val="1"/>
                <w:bCs w:val="1"/>
                <w:color w:val="auto"/>
              </w:rPr>
              <w:t>Exercise price</w:t>
            </w:r>
          </w:p>
        </w:tc>
        <w:tc>
          <w:tcPr>
            <w:tcW w:w="128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gridSpan w:val="2"/>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Grant date</w:t>
            </w:r>
          </w:p>
        </w:tc>
        <w:tc>
          <w:tcPr>
            <w:tcW w:w="8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94"/>
              </w:rPr>
              <w:t>Expiry date</w:t>
            </w:r>
          </w:p>
        </w:tc>
      </w:tr>
      <w:tr>
        <w:trPr>
          <w:trHeight w:val="152"/>
        </w:trPr>
        <w:tc>
          <w:tcPr>
            <w:tcW w:w="27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91"/>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22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45,948</w:t>
            </w:r>
          </w:p>
        </w:tc>
        <w:tc>
          <w:tcPr>
            <w:tcW w:w="2200" w:type="dxa"/>
            <w:vAlign w:val="bottom"/>
            <w:shd w:val="clear" w:color="auto" w:fill="CCEEFF"/>
          </w:tcPr>
          <w:p>
            <w:pPr>
              <w:jc w:val="right"/>
              <w:ind w:right="1176"/>
              <w:spacing w:after="0"/>
              <w:rPr>
                <w:sz w:val="20"/>
                <w:szCs w:val="20"/>
                <w:color w:val="auto"/>
              </w:rPr>
            </w:pPr>
            <w:r>
              <w:rPr>
                <w:rFonts w:ascii="Arial" w:cs="Arial" w:eastAsia="Arial" w:hAnsi="Arial"/>
                <w:sz w:val="13"/>
                <w:szCs w:val="13"/>
                <w:color w:val="auto"/>
              </w:rPr>
              <w:t>$71.95</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360" w:type="dxa"/>
            <w:vAlign w:val="bottom"/>
            <w:gridSpan w:val="2"/>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2016</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6"/>
              </w:rPr>
              <w:t>March 2024</w:t>
            </w:r>
          </w:p>
        </w:tc>
      </w:tr>
      <w:tr>
        <w:trPr>
          <w:trHeight w:val="183"/>
        </w:trPr>
        <w:tc>
          <w:tcPr>
            <w:tcW w:w="2700" w:type="dxa"/>
            <w:vAlign w:val="bottom"/>
          </w:tcPr>
          <w:p>
            <w:pPr>
              <w:spacing w:after="0"/>
              <w:rPr>
                <w:sz w:val="15"/>
                <w:szCs w:val="15"/>
                <w:color w:val="auto"/>
              </w:rPr>
            </w:pPr>
          </w:p>
        </w:tc>
        <w:tc>
          <w:tcPr>
            <w:tcW w:w="2200" w:type="dxa"/>
            <w:vAlign w:val="bottom"/>
          </w:tcPr>
          <w:p>
            <w:pPr>
              <w:jc w:val="right"/>
              <w:ind w:right="296"/>
              <w:spacing w:after="0"/>
              <w:rPr>
                <w:sz w:val="20"/>
                <w:szCs w:val="20"/>
                <w:color w:val="auto"/>
              </w:rPr>
            </w:pPr>
            <w:r>
              <w:rPr>
                <w:rFonts w:ascii="Arial" w:cs="Arial" w:eastAsia="Arial" w:hAnsi="Arial"/>
                <w:sz w:val="13"/>
                <w:szCs w:val="13"/>
                <w:color w:val="auto"/>
              </w:rPr>
              <w:t>7,693</w:t>
            </w:r>
          </w:p>
        </w:tc>
        <w:tc>
          <w:tcPr>
            <w:tcW w:w="2200" w:type="dxa"/>
            <w:vAlign w:val="bottom"/>
          </w:tcPr>
          <w:p>
            <w:pPr>
              <w:jc w:val="right"/>
              <w:ind w:right="1176"/>
              <w:spacing w:after="0"/>
              <w:rPr>
                <w:sz w:val="20"/>
                <w:szCs w:val="20"/>
                <w:color w:val="auto"/>
              </w:rPr>
            </w:pPr>
            <w:r>
              <w:rPr>
                <w:rFonts w:ascii="Arial" w:cs="Arial" w:eastAsia="Arial" w:hAnsi="Arial"/>
                <w:sz w:val="13"/>
                <w:szCs w:val="13"/>
                <w:color w:val="auto"/>
              </w:rPr>
              <w:t>$90.03</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1240" w:type="dxa"/>
            <w:vAlign w:val="bottom"/>
          </w:tcPr>
          <w:p>
            <w:pPr>
              <w:jc w:val="right"/>
              <w:ind w:right="596"/>
              <w:spacing w:after="0"/>
              <w:rPr>
                <w:sz w:val="20"/>
                <w:szCs w:val="20"/>
                <w:color w:val="auto"/>
              </w:rPr>
            </w:pPr>
            <w:r>
              <w:rPr>
                <w:rFonts w:ascii="Arial" w:cs="Arial" w:eastAsia="Arial" w:hAnsi="Arial"/>
                <w:sz w:val="13"/>
                <w:szCs w:val="13"/>
                <w:color w:val="auto"/>
                <w:w w:val="98"/>
              </w:rPr>
              <w:t>May 2017</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580" w:type="dxa"/>
            <w:vAlign w:val="bottom"/>
          </w:tcPr>
          <w:p>
            <w:pPr>
              <w:jc w:val="right"/>
              <w:spacing w:after="0"/>
              <w:rPr>
                <w:sz w:val="20"/>
                <w:szCs w:val="20"/>
                <w:color w:val="auto"/>
              </w:rPr>
            </w:pPr>
            <w:r>
              <w:rPr>
                <w:rFonts w:ascii="Arial" w:cs="Arial" w:eastAsia="Arial" w:hAnsi="Arial"/>
                <w:sz w:val="13"/>
                <w:szCs w:val="13"/>
                <w:color w:val="auto"/>
                <w:w w:val="94"/>
              </w:rPr>
              <w:t>May 2025</w:t>
            </w:r>
          </w:p>
        </w:tc>
      </w:tr>
      <w:tr>
        <w:trPr>
          <w:trHeight w:val="191"/>
        </w:trPr>
        <w:tc>
          <w:tcPr>
            <w:tcW w:w="2700" w:type="dxa"/>
            <w:vAlign w:val="bottom"/>
            <w:tcBorders>
              <w:bottom w:val="single" w:sz="8" w:color="auto"/>
            </w:tcBorders>
            <w:shd w:val="clear" w:color="auto" w:fill="CCEEFF"/>
          </w:tcPr>
          <w:p>
            <w:pPr>
              <w:spacing w:after="0"/>
              <w:rPr>
                <w:sz w:val="16"/>
                <w:szCs w:val="16"/>
                <w:color w:val="auto"/>
              </w:rPr>
            </w:pPr>
          </w:p>
        </w:tc>
        <w:tc>
          <w:tcPr>
            <w:tcW w:w="22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5,005</w:t>
            </w:r>
          </w:p>
        </w:tc>
        <w:tc>
          <w:tcPr>
            <w:tcW w:w="2200" w:type="dxa"/>
            <w:vAlign w:val="bottom"/>
            <w:tcBorders>
              <w:bottom w:val="single" w:sz="8" w:color="auto"/>
            </w:tcBorders>
            <w:shd w:val="clear" w:color="auto" w:fill="CCEEFF"/>
          </w:tcPr>
          <w:p>
            <w:pPr>
              <w:jc w:val="right"/>
              <w:ind w:right="1176"/>
              <w:spacing w:after="0"/>
              <w:rPr>
                <w:sz w:val="20"/>
                <w:szCs w:val="20"/>
                <w:color w:val="auto"/>
              </w:rPr>
            </w:pPr>
            <w:r>
              <w:rPr>
                <w:rFonts w:ascii="Arial" w:cs="Arial" w:eastAsia="Arial" w:hAnsi="Arial"/>
                <w:sz w:val="13"/>
                <w:szCs w:val="13"/>
                <w:color w:val="auto"/>
              </w:rPr>
              <w:t>$125.74</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24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color w:val="auto"/>
                <w:w w:val="98"/>
              </w:rPr>
              <w:t>May 2018</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May 2026</w:t>
            </w:r>
          </w:p>
        </w:tc>
      </w:tr>
      <w:tr>
        <w:trPr>
          <w:trHeight w:val="157"/>
        </w:trPr>
        <w:tc>
          <w:tcPr>
            <w:tcW w:w="27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91"/>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Steve Cutler</w:t>
            </w:r>
          </w:p>
        </w:tc>
        <w:tc>
          <w:tcPr>
            <w:tcW w:w="22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6,789</w:t>
            </w:r>
          </w:p>
        </w:tc>
        <w:tc>
          <w:tcPr>
            <w:tcW w:w="2200" w:type="dxa"/>
            <w:vAlign w:val="bottom"/>
            <w:shd w:val="clear" w:color="auto" w:fill="CCEEFF"/>
          </w:tcPr>
          <w:p>
            <w:pPr>
              <w:jc w:val="right"/>
              <w:ind w:right="1176"/>
              <w:spacing w:after="0"/>
              <w:rPr>
                <w:sz w:val="20"/>
                <w:szCs w:val="20"/>
                <w:color w:val="auto"/>
              </w:rPr>
            </w:pPr>
            <w:r>
              <w:rPr>
                <w:rFonts w:ascii="Arial" w:cs="Arial" w:eastAsia="Arial" w:hAnsi="Arial"/>
                <w:sz w:val="13"/>
                <w:szCs w:val="13"/>
                <w:color w:val="auto"/>
              </w:rPr>
              <w:t>$48.67</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360" w:type="dxa"/>
            <w:vAlign w:val="bottom"/>
            <w:gridSpan w:val="2"/>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2014</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6"/>
              </w:rPr>
              <w:t>March 2022</w:t>
            </w:r>
          </w:p>
        </w:tc>
      </w:tr>
      <w:tr>
        <w:trPr>
          <w:trHeight w:val="183"/>
        </w:trPr>
        <w:tc>
          <w:tcPr>
            <w:tcW w:w="2700" w:type="dxa"/>
            <w:vAlign w:val="bottom"/>
          </w:tcPr>
          <w:p>
            <w:pPr>
              <w:spacing w:after="0"/>
              <w:rPr>
                <w:sz w:val="15"/>
                <w:szCs w:val="15"/>
                <w:color w:val="auto"/>
              </w:rPr>
            </w:pPr>
          </w:p>
        </w:tc>
        <w:tc>
          <w:tcPr>
            <w:tcW w:w="2200" w:type="dxa"/>
            <w:vAlign w:val="bottom"/>
          </w:tcPr>
          <w:p>
            <w:pPr>
              <w:jc w:val="right"/>
              <w:ind w:right="296"/>
              <w:spacing w:after="0"/>
              <w:rPr>
                <w:sz w:val="20"/>
                <w:szCs w:val="20"/>
                <w:color w:val="auto"/>
              </w:rPr>
            </w:pPr>
            <w:r>
              <w:rPr>
                <w:rFonts w:ascii="Arial" w:cs="Arial" w:eastAsia="Arial" w:hAnsi="Arial"/>
                <w:sz w:val="13"/>
                <w:szCs w:val="13"/>
                <w:color w:val="auto"/>
              </w:rPr>
              <w:t>12,500</w:t>
            </w:r>
          </w:p>
        </w:tc>
        <w:tc>
          <w:tcPr>
            <w:tcW w:w="2200" w:type="dxa"/>
            <w:vAlign w:val="bottom"/>
          </w:tcPr>
          <w:p>
            <w:pPr>
              <w:jc w:val="right"/>
              <w:ind w:right="1176"/>
              <w:spacing w:after="0"/>
              <w:rPr>
                <w:sz w:val="20"/>
                <w:szCs w:val="20"/>
                <w:color w:val="auto"/>
              </w:rPr>
            </w:pPr>
            <w:r>
              <w:rPr>
                <w:rFonts w:ascii="Arial" w:cs="Arial" w:eastAsia="Arial" w:hAnsi="Arial"/>
                <w:sz w:val="13"/>
                <w:szCs w:val="13"/>
                <w:color w:val="auto"/>
              </w:rPr>
              <w:t>$68.39</w:t>
            </w:r>
          </w:p>
        </w:tc>
        <w:tc>
          <w:tcPr>
            <w:tcW w:w="1280" w:type="dxa"/>
            <w:vAlign w:val="bottom"/>
          </w:tcPr>
          <w:p>
            <w:pPr>
              <w:jc w:val="right"/>
              <w:spacing w:after="0"/>
              <w:rPr>
                <w:sz w:val="20"/>
                <w:szCs w:val="20"/>
                <w:color w:val="auto"/>
              </w:rPr>
            </w:pPr>
            <w:r>
              <w:rPr>
                <w:rFonts w:ascii="Arial" w:cs="Arial" w:eastAsia="Arial" w:hAnsi="Arial"/>
                <w:sz w:val="13"/>
                <w:szCs w:val="13"/>
                <w:color w:val="auto"/>
              </w:rPr>
              <w:t>18</w:t>
            </w:r>
          </w:p>
        </w:tc>
        <w:tc>
          <w:tcPr>
            <w:tcW w:w="1360" w:type="dxa"/>
            <w:vAlign w:val="bottom"/>
            <w:gridSpan w:val="2"/>
          </w:tcPr>
          <w:p>
            <w:pPr>
              <w:jc w:val="right"/>
              <w:ind w:right="596"/>
              <w:spacing w:after="0"/>
              <w:rPr>
                <w:sz w:val="20"/>
                <w:szCs w:val="20"/>
                <w:color w:val="auto"/>
              </w:rPr>
            </w:pPr>
            <w:r>
              <w:rPr>
                <w:rFonts w:ascii="Arial" w:cs="Arial" w:eastAsia="Arial" w:hAnsi="Arial"/>
                <w:sz w:val="13"/>
                <w:szCs w:val="13"/>
                <w:color w:val="auto"/>
                <w:w w:val="98"/>
              </w:rPr>
              <w:t>March 2015</w:t>
            </w:r>
          </w:p>
        </w:tc>
        <w:tc>
          <w:tcPr>
            <w:tcW w:w="820" w:type="dxa"/>
            <w:vAlign w:val="bottom"/>
          </w:tcPr>
          <w:p>
            <w:pPr>
              <w:jc w:val="right"/>
              <w:spacing w:after="0"/>
              <w:rPr>
                <w:sz w:val="20"/>
                <w:szCs w:val="20"/>
                <w:color w:val="auto"/>
              </w:rPr>
            </w:pPr>
            <w:r>
              <w:rPr>
                <w:rFonts w:ascii="Arial" w:cs="Arial" w:eastAsia="Arial" w:hAnsi="Arial"/>
                <w:sz w:val="13"/>
                <w:szCs w:val="13"/>
                <w:color w:val="auto"/>
              </w:rPr>
              <w:t>18</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w w:val="96"/>
              </w:rPr>
              <w:t>March 2023</w:t>
            </w:r>
          </w:p>
        </w:tc>
      </w:tr>
      <w:tr>
        <w:trPr>
          <w:trHeight w:val="199"/>
        </w:trPr>
        <w:tc>
          <w:tcPr>
            <w:tcW w:w="2700" w:type="dxa"/>
            <w:vAlign w:val="bottom"/>
            <w:shd w:val="clear" w:color="auto" w:fill="CCEEFF"/>
          </w:tcPr>
          <w:p>
            <w:pPr>
              <w:spacing w:after="0"/>
              <w:rPr>
                <w:sz w:val="17"/>
                <w:szCs w:val="17"/>
                <w:color w:val="auto"/>
              </w:rPr>
            </w:pPr>
          </w:p>
        </w:tc>
        <w:tc>
          <w:tcPr>
            <w:tcW w:w="22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12,254</w:t>
            </w:r>
          </w:p>
        </w:tc>
        <w:tc>
          <w:tcPr>
            <w:tcW w:w="2200" w:type="dxa"/>
            <w:vAlign w:val="bottom"/>
            <w:shd w:val="clear" w:color="auto" w:fill="CCEEFF"/>
          </w:tcPr>
          <w:p>
            <w:pPr>
              <w:jc w:val="right"/>
              <w:ind w:right="1176"/>
              <w:spacing w:after="0"/>
              <w:rPr>
                <w:sz w:val="20"/>
                <w:szCs w:val="20"/>
                <w:color w:val="auto"/>
              </w:rPr>
            </w:pPr>
            <w:r>
              <w:rPr>
                <w:rFonts w:ascii="Arial" w:cs="Arial" w:eastAsia="Arial" w:hAnsi="Arial"/>
                <w:sz w:val="13"/>
                <w:szCs w:val="13"/>
                <w:color w:val="auto"/>
              </w:rPr>
              <w:t>$71.95</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360" w:type="dxa"/>
            <w:vAlign w:val="bottom"/>
            <w:gridSpan w:val="2"/>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2016</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6"/>
              </w:rPr>
              <w:t>March 2024</w:t>
            </w:r>
          </w:p>
        </w:tc>
      </w:tr>
      <w:tr>
        <w:trPr>
          <w:trHeight w:val="183"/>
        </w:trPr>
        <w:tc>
          <w:tcPr>
            <w:tcW w:w="2700" w:type="dxa"/>
            <w:vAlign w:val="bottom"/>
          </w:tcPr>
          <w:p>
            <w:pPr>
              <w:spacing w:after="0"/>
              <w:rPr>
                <w:sz w:val="15"/>
                <w:szCs w:val="15"/>
                <w:color w:val="auto"/>
              </w:rPr>
            </w:pPr>
          </w:p>
        </w:tc>
        <w:tc>
          <w:tcPr>
            <w:tcW w:w="2200" w:type="dxa"/>
            <w:vAlign w:val="bottom"/>
          </w:tcPr>
          <w:p>
            <w:pPr>
              <w:jc w:val="right"/>
              <w:ind w:right="296"/>
              <w:spacing w:after="0"/>
              <w:rPr>
                <w:sz w:val="20"/>
                <w:szCs w:val="20"/>
                <w:color w:val="auto"/>
              </w:rPr>
            </w:pPr>
            <w:r>
              <w:rPr>
                <w:rFonts w:ascii="Arial" w:cs="Arial" w:eastAsia="Arial" w:hAnsi="Arial"/>
                <w:sz w:val="13"/>
                <w:szCs w:val="13"/>
                <w:color w:val="auto"/>
              </w:rPr>
              <w:t>37,733</w:t>
            </w:r>
          </w:p>
        </w:tc>
        <w:tc>
          <w:tcPr>
            <w:tcW w:w="2200" w:type="dxa"/>
            <w:vAlign w:val="bottom"/>
          </w:tcPr>
          <w:p>
            <w:pPr>
              <w:jc w:val="right"/>
              <w:ind w:right="1176"/>
              <w:spacing w:after="0"/>
              <w:rPr>
                <w:sz w:val="20"/>
                <w:szCs w:val="20"/>
                <w:color w:val="auto"/>
              </w:rPr>
            </w:pPr>
            <w:r>
              <w:rPr>
                <w:rFonts w:ascii="Arial" w:cs="Arial" w:eastAsia="Arial" w:hAnsi="Arial"/>
                <w:sz w:val="13"/>
                <w:szCs w:val="13"/>
                <w:color w:val="auto"/>
              </w:rPr>
              <w:t>$83.47</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gridSpan w:val="2"/>
          </w:tcPr>
          <w:p>
            <w:pPr>
              <w:jc w:val="right"/>
              <w:ind w:right="596"/>
              <w:spacing w:after="0"/>
              <w:rPr>
                <w:sz w:val="20"/>
                <w:szCs w:val="20"/>
                <w:color w:val="auto"/>
              </w:rPr>
            </w:pPr>
            <w:r>
              <w:rPr>
                <w:rFonts w:ascii="Arial" w:cs="Arial" w:eastAsia="Arial" w:hAnsi="Arial"/>
                <w:sz w:val="13"/>
                <w:szCs w:val="13"/>
                <w:color w:val="auto"/>
                <w:w w:val="98"/>
              </w:rPr>
              <w:t>March 2017</w:t>
            </w: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w w:val="96"/>
              </w:rPr>
              <w:t>March 2025</w:t>
            </w:r>
          </w:p>
        </w:tc>
      </w:tr>
      <w:tr>
        <w:trPr>
          <w:trHeight w:val="199"/>
        </w:trPr>
        <w:tc>
          <w:tcPr>
            <w:tcW w:w="2700" w:type="dxa"/>
            <w:vAlign w:val="bottom"/>
            <w:shd w:val="clear" w:color="auto" w:fill="CCEEFF"/>
          </w:tcPr>
          <w:p>
            <w:pPr>
              <w:spacing w:after="0"/>
              <w:rPr>
                <w:sz w:val="17"/>
                <w:szCs w:val="17"/>
                <w:color w:val="auto"/>
              </w:rPr>
            </w:pPr>
          </w:p>
        </w:tc>
        <w:tc>
          <w:tcPr>
            <w:tcW w:w="22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39,483</w:t>
            </w:r>
          </w:p>
        </w:tc>
        <w:tc>
          <w:tcPr>
            <w:tcW w:w="2200" w:type="dxa"/>
            <w:vAlign w:val="bottom"/>
            <w:shd w:val="clear" w:color="auto" w:fill="CCEEFF"/>
          </w:tcPr>
          <w:p>
            <w:pPr>
              <w:jc w:val="right"/>
              <w:ind w:right="1176"/>
              <w:spacing w:after="0"/>
              <w:rPr>
                <w:sz w:val="20"/>
                <w:szCs w:val="20"/>
                <w:color w:val="auto"/>
              </w:rPr>
            </w:pPr>
            <w:r>
              <w:rPr>
                <w:rFonts w:ascii="Arial" w:cs="Arial" w:eastAsia="Arial" w:hAnsi="Arial"/>
                <w:sz w:val="13"/>
                <w:szCs w:val="13"/>
                <w:color w:val="auto"/>
              </w:rPr>
              <w:t>$115.11</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gridSpan w:val="2"/>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2018</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6"/>
              </w:rPr>
              <w:t>March 2026</w:t>
            </w:r>
          </w:p>
        </w:tc>
      </w:tr>
      <w:tr>
        <w:trPr>
          <w:trHeight w:val="183"/>
        </w:trPr>
        <w:tc>
          <w:tcPr>
            <w:tcW w:w="27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40,339</w:t>
            </w:r>
          </w:p>
        </w:tc>
        <w:tc>
          <w:tcPr>
            <w:tcW w:w="2200" w:type="dxa"/>
            <w:vAlign w:val="bottom"/>
            <w:tcBorders>
              <w:bottom w:val="single" w:sz="8" w:color="auto"/>
            </w:tcBorders>
          </w:tcPr>
          <w:p>
            <w:pPr>
              <w:jc w:val="right"/>
              <w:ind w:right="1176"/>
              <w:spacing w:after="0"/>
              <w:rPr>
                <w:sz w:val="20"/>
                <w:szCs w:val="20"/>
                <w:color w:val="auto"/>
              </w:rPr>
            </w:pPr>
            <w:r>
              <w:rPr>
                <w:rFonts w:ascii="Arial" w:cs="Arial" w:eastAsia="Arial" w:hAnsi="Arial"/>
                <w:sz w:val="13"/>
                <w:szCs w:val="13"/>
                <w:color w:val="auto"/>
              </w:rPr>
              <w:t>$140.38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360" w:type="dxa"/>
            <w:vAlign w:val="bottom"/>
            <w:tcBorders>
              <w:bottom w:val="single" w:sz="8" w:color="auto"/>
            </w:tcBorders>
            <w:gridSpan w:val="2"/>
          </w:tcPr>
          <w:p>
            <w:pPr>
              <w:jc w:val="right"/>
              <w:ind w:right="596"/>
              <w:spacing w:after="0"/>
              <w:rPr>
                <w:sz w:val="20"/>
                <w:szCs w:val="20"/>
                <w:color w:val="auto"/>
              </w:rPr>
            </w:pPr>
            <w:r>
              <w:rPr>
                <w:rFonts w:ascii="Arial" w:cs="Arial" w:eastAsia="Arial" w:hAnsi="Arial"/>
                <w:sz w:val="13"/>
                <w:szCs w:val="13"/>
                <w:color w:val="auto"/>
                <w:w w:val="98"/>
              </w:rPr>
              <w:t>March 2019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6"/>
              </w:rPr>
              <w:t>March 2027</w:t>
            </w:r>
          </w:p>
        </w:tc>
      </w:tr>
      <w:tr>
        <w:trPr>
          <w:trHeight w:val="157"/>
        </w:trPr>
        <w:tc>
          <w:tcPr>
            <w:tcW w:w="27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83"/>
        </w:trPr>
        <w:tc>
          <w:tcPr>
            <w:tcW w:w="2700" w:type="dxa"/>
            <w:vAlign w:val="bottom"/>
          </w:tcPr>
          <w:p>
            <w:pPr>
              <w:ind w:left="20"/>
              <w:spacing w:after="0"/>
              <w:rPr>
                <w:sz w:val="20"/>
                <w:szCs w:val="20"/>
                <w:color w:val="auto"/>
              </w:rPr>
            </w:pPr>
            <w:r>
              <w:rPr>
                <w:rFonts w:ascii="Arial" w:cs="Arial" w:eastAsia="Arial" w:hAnsi="Arial"/>
                <w:sz w:val="13"/>
                <w:szCs w:val="13"/>
                <w:color w:val="auto"/>
              </w:rPr>
              <w:t>Brendan Brennan</w:t>
            </w:r>
          </w:p>
        </w:tc>
        <w:tc>
          <w:tcPr>
            <w:tcW w:w="2200" w:type="dxa"/>
            <w:vAlign w:val="bottom"/>
          </w:tcPr>
          <w:p>
            <w:pPr>
              <w:jc w:val="right"/>
              <w:ind w:right="296"/>
              <w:spacing w:after="0"/>
              <w:rPr>
                <w:sz w:val="20"/>
                <w:szCs w:val="20"/>
                <w:color w:val="auto"/>
              </w:rPr>
            </w:pPr>
            <w:r>
              <w:rPr>
                <w:rFonts w:ascii="Arial" w:cs="Arial" w:eastAsia="Arial" w:hAnsi="Arial"/>
                <w:sz w:val="13"/>
                <w:szCs w:val="13"/>
                <w:color w:val="auto"/>
              </w:rPr>
              <w:t>15,813</w:t>
            </w:r>
          </w:p>
        </w:tc>
        <w:tc>
          <w:tcPr>
            <w:tcW w:w="2200" w:type="dxa"/>
            <w:vAlign w:val="bottom"/>
          </w:tcPr>
          <w:p>
            <w:pPr>
              <w:jc w:val="right"/>
              <w:ind w:right="1176"/>
              <w:spacing w:after="0"/>
              <w:rPr>
                <w:sz w:val="20"/>
                <w:szCs w:val="20"/>
                <w:color w:val="auto"/>
              </w:rPr>
            </w:pPr>
            <w:r>
              <w:rPr>
                <w:rFonts w:ascii="Arial" w:cs="Arial" w:eastAsia="Arial" w:hAnsi="Arial"/>
                <w:sz w:val="13"/>
                <w:szCs w:val="13"/>
                <w:color w:val="auto"/>
              </w:rPr>
              <w:t>$32.37</w:t>
            </w:r>
          </w:p>
        </w:tc>
        <w:tc>
          <w:tcPr>
            <w:tcW w:w="12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1</w:t>
            </w:r>
          </w:p>
        </w:tc>
        <w:tc>
          <w:tcPr>
            <w:tcW w:w="1240" w:type="dxa"/>
            <w:vAlign w:val="bottom"/>
          </w:tcPr>
          <w:p>
            <w:pPr>
              <w:jc w:val="right"/>
              <w:ind w:right="596"/>
              <w:spacing w:after="0"/>
              <w:rPr>
                <w:sz w:val="20"/>
                <w:szCs w:val="20"/>
                <w:color w:val="auto"/>
              </w:rPr>
            </w:pPr>
            <w:r>
              <w:rPr>
                <w:rFonts w:ascii="Arial" w:cs="Arial" w:eastAsia="Arial" w:hAnsi="Arial"/>
                <w:sz w:val="13"/>
                <w:szCs w:val="13"/>
                <w:color w:val="auto"/>
                <w:w w:val="98"/>
              </w:rPr>
              <w:t>May 2013</w:t>
            </w:r>
          </w:p>
        </w:tc>
        <w:tc>
          <w:tcPr>
            <w:tcW w:w="8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1</w:t>
            </w:r>
          </w:p>
        </w:tc>
        <w:tc>
          <w:tcPr>
            <w:tcW w:w="580" w:type="dxa"/>
            <w:vAlign w:val="bottom"/>
          </w:tcPr>
          <w:p>
            <w:pPr>
              <w:jc w:val="right"/>
              <w:spacing w:after="0"/>
              <w:rPr>
                <w:sz w:val="20"/>
                <w:szCs w:val="20"/>
                <w:color w:val="auto"/>
              </w:rPr>
            </w:pPr>
            <w:r>
              <w:rPr>
                <w:rFonts w:ascii="Arial" w:cs="Arial" w:eastAsia="Arial" w:hAnsi="Arial"/>
                <w:sz w:val="13"/>
                <w:szCs w:val="13"/>
                <w:color w:val="auto"/>
                <w:w w:val="94"/>
              </w:rPr>
              <w:t>May 2021</w:t>
            </w:r>
          </w:p>
        </w:tc>
      </w:tr>
      <w:tr>
        <w:trPr>
          <w:trHeight w:val="199"/>
        </w:trPr>
        <w:tc>
          <w:tcPr>
            <w:tcW w:w="2700" w:type="dxa"/>
            <w:vAlign w:val="bottom"/>
            <w:shd w:val="clear" w:color="auto" w:fill="CCEEFF"/>
          </w:tcPr>
          <w:p>
            <w:pPr>
              <w:spacing w:after="0"/>
              <w:rPr>
                <w:sz w:val="17"/>
                <w:szCs w:val="17"/>
                <w:color w:val="auto"/>
              </w:rPr>
            </w:pPr>
          </w:p>
        </w:tc>
        <w:tc>
          <w:tcPr>
            <w:tcW w:w="22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10,285</w:t>
            </w:r>
          </w:p>
        </w:tc>
        <w:tc>
          <w:tcPr>
            <w:tcW w:w="2200" w:type="dxa"/>
            <w:vAlign w:val="bottom"/>
            <w:shd w:val="clear" w:color="auto" w:fill="CCEEFF"/>
          </w:tcPr>
          <w:p>
            <w:pPr>
              <w:jc w:val="right"/>
              <w:ind w:right="1176"/>
              <w:spacing w:after="0"/>
              <w:rPr>
                <w:sz w:val="20"/>
                <w:szCs w:val="20"/>
                <w:color w:val="auto"/>
              </w:rPr>
            </w:pPr>
            <w:r>
              <w:rPr>
                <w:rFonts w:ascii="Arial" w:cs="Arial" w:eastAsia="Arial" w:hAnsi="Arial"/>
                <w:sz w:val="13"/>
                <w:szCs w:val="13"/>
                <w:color w:val="auto"/>
              </w:rPr>
              <w:t>$68.39</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360" w:type="dxa"/>
            <w:vAlign w:val="bottom"/>
            <w:gridSpan w:val="2"/>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2015</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6"/>
              </w:rPr>
              <w:t>March 2023</w:t>
            </w:r>
          </w:p>
        </w:tc>
      </w:tr>
      <w:tr>
        <w:trPr>
          <w:trHeight w:val="183"/>
        </w:trPr>
        <w:tc>
          <w:tcPr>
            <w:tcW w:w="2700" w:type="dxa"/>
            <w:vAlign w:val="bottom"/>
          </w:tcPr>
          <w:p>
            <w:pPr>
              <w:spacing w:after="0"/>
              <w:rPr>
                <w:sz w:val="15"/>
                <w:szCs w:val="15"/>
                <w:color w:val="auto"/>
              </w:rPr>
            </w:pPr>
          </w:p>
        </w:tc>
        <w:tc>
          <w:tcPr>
            <w:tcW w:w="2200" w:type="dxa"/>
            <w:vAlign w:val="bottom"/>
          </w:tcPr>
          <w:p>
            <w:pPr>
              <w:jc w:val="right"/>
              <w:ind w:right="296"/>
              <w:spacing w:after="0"/>
              <w:rPr>
                <w:sz w:val="20"/>
                <w:szCs w:val="20"/>
                <w:color w:val="auto"/>
              </w:rPr>
            </w:pPr>
            <w:r>
              <w:rPr>
                <w:rFonts w:ascii="Arial" w:cs="Arial" w:eastAsia="Arial" w:hAnsi="Arial"/>
                <w:sz w:val="13"/>
                <w:szCs w:val="13"/>
                <w:color w:val="auto"/>
              </w:rPr>
              <w:t>13,611</w:t>
            </w:r>
          </w:p>
        </w:tc>
        <w:tc>
          <w:tcPr>
            <w:tcW w:w="2200" w:type="dxa"/>
            <w:vAlign w:val="bottom"/>
          </w:tcPr>
          <w:p>
            <w:pPr>
              <w:jc w:val="right"/>
              <w:ind w:right="1176"/>
              <w:spacing w:after="0"/>
              <w:rPr>
                <w:sz w:val="20"/>
                <w:szCs w:val="20"/>
                <w:color w:val="auto"/>
              </w:rPr>
            </w:pPr>
            <w:r>
              <w:rPr>
                <w:rFonts w:ascii="Arial" w:cs="Arial" w:eastAsia="Arial" w:hAnsi="Arial"/>
                <w:sz w:val="13"/>
                <w:szCs w:val="13"/>
                <w:color w:val="auto"/>
              </w:rPr>
              <w:t>$71.95</w:t>
            </w:r>
          </w:p>
        </w:tc>
        <w:tc>
          <w:tcPr>
            <w:tcW w:w="1280" w:type="dxa"/>
            <w:vAlign w:val="bottom"/>
          </w:tcPr>
          <w:p>
            <w:pPr>
              <w:jc w:val="right"/>
              <w:spacing w:after="0"/>
              <w:rPr>
                <w:sz w:val="20"/>
                <w:szCs w:val="20"/>
                <w:color w:val="auto"/>
              </w:rPr>
            </w:pPr>
            <w:r>
              <w:rPr>
                <w:rFonts w:ascii="Arial" w:cs="Arial" w:eastAsia="Arial" w:hAnsi="Arial"/>
                <w:sz w:val="13"/>
                <w:szCs w:val="13"/>
                <w:color w:val="auto"/>
              </w:rPr>
              <w:t>4</w:t>
            </w:r>
          </w:p>
        </w:tc>
        <w:tc>
          <w:tcPr>
            <w:tcW w:w="1360" w:type="dxa"/>
            <w:vAlign w:val="bottom"/>
            <w:gridSpan w:val="2"/>
          </w:tcPr>
          <w:p>
            <w:pPr>
              <w:jc w:val="right"/>
              <w:ind w:right="596"/>
              <w:spacing w:after="0"/>
              <w:rPr>
                <w:sz w:val="20"/>
                <w:szCs w:val="20"/>
                <w:color w:val="auto"/>
              </w:rPr>
            </w:pPr>
            <w:r>
              <w:rPr>
                <w:rFonts w:ascii="Arial" w:cs="Arial" w:eastAsia="Arial" w:hAnsi="Arial"/>
                <w:sz w:val="13"/>
                <w:szCs w:val="13"/>
                <w:color w:val="auto"/>
                <w:w w:val="98"/>
              </w:rPr>
              <w:t>March 2016</w:t>
            </w:r>
          </w:p>
        </w:tc>
        <w:tc>
          <w:tcPr>
            <w:tcW w:w="820" w:type="dxa"/>
            <w:vAlign w:val="bottom"/>
          </w:tcPr>
          <w:p>
            <w:pPr>
              <w:jc w:val="right"/>
              <w:spacing w:after="0"/>
              <w:rPr>
                <w:sz w:val="20"/>
                <w:szCs w:val="20"/>
                <w:color w:val="auto"/>
              </w:rPr>
            </w:pPr>
            <w:r>
              <w:rPr>
                <w:rFonts w:ascii="Arial" w:cs="Arial" w:eastAsia="Arial" w:hAnsi="Arial"/>
                <w:sz w:val="13"/>
                <w:szCs w:val="13"/>
                <w:color w:val="auto"/>
              </w:rPr>
              <w:t>4</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w w:val="96"/>
              </w:rPr>
              <w:t>March 2024</w:t>
            </w:r>
          </w:p>
        </w:tc>
      </w:tr>
      <w:tr>
        <w:trPr>
          <w:trHeight w:val="199"/>
        </w:trPr>
        <w:tc>
          <w:tcPr>
            <w:tcW w:w="2700" w:type="dxa"/>
            <w:vAlign w:val="bottom"/>
            <w:shd w:val="clear" w:color="auto" w:fill="CCEEFF"/>
          </w:tcPr>
          <w:p>
            <w:pPr>
              <w:spacing w:after="0"/>
              <w:rPr>
                <w:sz w:val="17"/>
                <w:szCs w:val="17"/>
                <w:color w:val="auto"/>
              </w:rPr>
            </w:pPr>
          </w:p>
        </w:tc>
        <w:tc>
          <w:tcPr>
            <w:tcW w:w="22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14,206</w:t>
            </w:r>
          </w:p>
        </w:tc>
        <w:tc>
          <w:tcPr>
            <w:tcW w:w="2200" w:type="dxa"/>
            <w:vAlign w:val="bottom"/>
            <w:shd w:val="clear" w:color="auto" w:fill="CCEEFF"/>
          </w:tcPr>
          <w:p>
            <w:pPr>
              <w:jc w:val="right"/>
              <w:ind w:right="1176"/>
              <w:spacing w:after="0"/>
              <w:rPr>
                <w:sz w:val="20"/>
                <w:szCs w:val="20"/>
                <w:color w:val="auto"/>
              </w:rPr>
            </w:pPr>
            <w:r>
              <w:rPr>
                <w:rFonts w:ascii="Arial" w:cs="Arial" w:eastAsia="Arial" w:hAnsi="Arial"/>
                <w:sz w:val="13"/>
                <w:szCs w:val="13"/>
                <w:color w:val="auto"/>
              </w:rPr>
              <w:t>$83.47</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gridSpan w:val="2"/>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2017</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6"/>
              </w:rPr>
              <w:t>March 2025</w:t>
            </w:r>
          </w:p>
        </w:tc>
      </w:tr>
      <w:tr>
        <w:trPr>
          <w:trHeight w:val="183"/>
        </w:trPr>
        <w:tc>
          <w:tcPr>
            <w:tcW w:w="2700" w:type="dxa"/>
            <w:vAlign w:val="bottom"/>
          </w:tcPr>
          <w:p>
            <w:pPr>
              <w:spacing w:after="0"/>
              <w:rPr>
                <w:sz w:val="15"/>
                <w:szCs w:val="15"/>
                <w:color w:val="auto"/>
              </w:rPr>
            </w:pPr>
          </w:p>
        </w:tc>
        <w:tc>
          <w:tcPr>
            <w:tcW w:w="2200" w:type="dxa"/>
            <w:vAlign w:val="bottom"/>
          </w:tcPr>
          <w:p>
            <w:pPr>
              <w:jc w:val="right"/>
              <w:ind w:right="296"/>
              <w:spacing w:after="0"/>
              <w:rPr>
                <w:sz w:val="20"/>
                <w:szCs w:val="20"/>
                <w:color w:val="auto"/>
              </w:rPr>
            </w:pPr>
            <w:r>
              <w:rPr>
                <w:rFonts w:ascii="Arial" w:cs="Arial" w:eastAsia="Arial" w:hAnsi="Arial"/>
                <w:sz w:val="13"/>
                <w:szCs w:val="13"/>
                <w:color w:val="auto"/>
              </w:rPr>
              <w:t>9,584</w:t>
            </w:r>
          </w:p>
        </w:tc>
        <w:tc>
          <w:tcPr>
            <w:tcW w:w="2200" w:type="dxa"/>
            <w:vAlign w:val="bottom"/>
          </w:tcPr>
          <w:p>
            <w:pPr>
              <w:jc w:val="right"/>
              <w:ind w:right="1176"/>
              <w:spacing w:after="0"/>
              <w:rPr>
                <w:sz w:val="20"/>
                <w:szCs w:val="20"/>
                <w:color w:val="auto"/>
              </w:rPr>
            </w:pPr>
            <w:r>
              <w:rPr>
                <w:rFonts w:ascii="Arial" w:cs="Arial" w:eastAsia="Arial" w:hAnsi="Arial"/>
                <w:sz w:val="13"/>
                <w:szCs w:val="13"/>
                <w:color w:val="auto"/>
              </w:rPr>
              <w:t>$115.11</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gridSpan w:val="2"/>
          </w:tcPr>
          <w:p>
            <w:pPr>
              <w:jc w:val="right"/>
              <w:ind w:right="596"/>
              <w:spacing w:after="0"/>
              <w:rPr>
                <w:sz w:val="20"/>
                <w:szCs w:val="20"/>
                <w:color w:val="auto"/>
              </w:rPr>
            </w:pPr>
            <w:r>
              <w:rPr>
                <w:rFonts w:ascii="Arial" w:cs="Arial" w:eastAsia="Arial" w:hAnsi="Arial"/>
                <w:sz w:val="13"/>
                <w:szCs w:val="13"/>
                <w:color w:val="auto"/>
                <w:w w:val="98"/>
              </w:rPr>
              <w:t>March 2018</w:t>
            </w: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w w:val="96"/>
              </w:rPr>
              <w:t>March 2026</w:t>
            </w:r>
          </w:p>
        </w:tc>
      </w:tr>
      <w:tr>
        <w:trPr>
          <w:trHeight w:val="191"/>
        </w:trPr>
        <w:tc>
          <w:tcPr>
            <w:tcW w:w="2700" w:type="dxa"/>
            <w:vAlign w:val="bottom"/>
            <w:tcBorders>
              <w:bottom w:val="single" w:sz="8" w:color="auto"/>
            </w:tcBorders>
            <w:shd w:val="clear" w:color="auto" w:fill="CCEEFF"/>
          </w:tcPr>
          <w:p>
            <w:pPr>
              <w:spacing w:after="0"/>
              <w:rPr>
                <w:sz w:val="16"/>
                <w:szCs w:val="16"/>
                <w:color w:val="auto"/>
              </w:rPr>
            </w:pPr>
          </w:p>
        </w:tc>
        <w:tc>
          <w:tcPr>
            <w:tcW w:w="22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8,796</w:t>
            </w:r>
          </w:p>
        </w:tc>
        <w:tc>
          <w:tcPr>
            <w:tcW w:w="2200" w:type="dxa"/>
            <w:vAlign w:val="bottom"/>
            <w:tcBorders>
              <w:bottom w:val="single" w:sz="8" w:color="auto"/>
            </w:tcBorders>
            <w:shd w:val="clear" w:color="auto" w:fill="CCEEFF"/>
          </w:tcPr>
          <w:p>
            <w:pPr>
              <w:jc w:val="right"/>
              <w:ind w:right="1176"/>
              <w:spacing w:after="0"/>
              <w:rPr>
                <w:sz w:val="20"/>
                <w:szCs w:val="20"/>
                <w:color w:val="auto"/>
              </w:rPr>
            </w:pPr>
            <w:r>
              <w:rPr>
                <w:rFonts w:ascii="Arial" w:cs="Arial" w:eastAsia="Arial" w:hAnsi="Arial"/>
                <w:sz w:val="13"/>
                <w:szCs w:val="13"/>
                <w:color w:val="auto"/>
              </w:rPr>
              <w:t>$140.38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tcBorders>
              <w:bottom w:val="single" w:sz="8" w:color="auto"/>
            </w:tcBorders>
            <w:gridSpan w:val="2"/>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96"/>
              </w:rPr>
              <w:t>March 2027</w:t>
            </w:r>
          </w:p>
        </w:tc>
      </w:tr>
      <w:tr>
        <w:trPr>
          <w:trHeight w:val="157"/>
        </w:trPr>
        <w:tc>
          <w:tcPr>
            <w:tcW w:w="27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91"/>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22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6,155</w:t>
            </w:r>
          </w:p>
        </w:tc>
        <w:tc>
          <w:tcPr>
            <w:tcW w:w="2200" w:type="dxa"/>
            <w:vAlign w:val="bottom"/>
            <w:shd w:val="clear" w:color="auto" w:fill="CCEEFF"/>
          </w:tcPr>
          <w:p>
            <w:pPr>
              <w:jc w:val="right"/>
              <w:ind w:right="1176"/>
              <w:spacing w:after="0"/>
              <w:rPr>
                <w:sz w:val="20"/>
                <w:szCs w:val="20"/>
                <w:color w:val="auto"/>
              </w:rPr>
            </w:pPr>
            <w:r>
              <w:rPr>
                <w:rFonts w:ascii="Arial" w:cs="Arial" w:eastAsia="Arial" w:hAnsi="Arial"/>
                <w:sz w:val="13"/>
                <w:szCs w:val="13"/>
                <w:color w:val="auto"/>
              </w:rPr>
              <w:t>$90.03</w:t>
            </w:r>
          </w:p>
        </w:tc>
        <w:tc>
          <w:tcPr>
            <w:tcW w:w="2640" w:type="dxa"/>
            <w:vAlign w:val="bottom"/>
            <w:gridSpan w:val="3"/>
            <w:shd w:val="clear" w:color="auto" w:fill="CCEEFF"/>
          </w:tcPr>
          <w:p>
            <w:pPr>
              <w:jc w:val="right"/>
              <w:ind w:right="596"/>
              <w:spacing w:after="0"/>
              <w:rPr>
                <w:sz w:val="20"/>
                <w:szCs w:val="20"/>
                <w:color w:val="auto"/>
              </w:rPr>
            </w:pPr>
            <w:r>
              <w:rPr>
                <w:rFonts w:ascii="Arial" w:cs="Arial" w:eastAsia="Arial" w:hAnsi="Arial"/>
                <w:sz w:val="13"/>
                <w:szCs w:val="13"/>
                <w:color w:val="auto"/>
              </w:rPr>
              <w:t>19 May 2017</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19 May 2025</w:t>
            </w:r>
          </w:p>
        </w:tc>
      </w:tr>
      <w:tr>
        <w:trPr>
          <w:trHeight w:val="183"/>
        </w:trPr>
        <w:tc>
          <w:tcPr>
            <w:tcW w:w="27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5,005</w:t>
            </w:r>
          </w:p>
        </w:tc>
        <w:tc>
          <w:tcPr>
            <w:tcW w:w="2200" w:type="dxa"/>
            <w:vAlign w:val="bottom"/>
            <w:tcBorders>
              <w:bottom w:val="single" w:sz="8" w:color="auto"/>
            </w:tcBorders>
          </w:tcPr>
          <w:p>
            <w:pPr>
              <w:jc w:val="right"/>
              <w:ind w:right="1176"/>
              <w:spacing w:after="0"/>
              <w:rPr>
                <w:sz w:val="20"/>
                <w:szCs w:val="20"/>
                <w:color w:val="auto"/>
              </w:rPr>
            </w:pPr>
            <w:r>
              <w:rPr>
                <w:rFonts w:ascii="Arial" w:cs="Arial" w:eastAsia="Arial" w:hAnsi="Arial"/>
                <w:sz w:val="13"/>
                <w:szCs w:val="13"/>
                <w:color w:val="auto"/>
              </w:rPr>
              <w:t>$125.74</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18</w:t>
            </w: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color w:val="auto"/>
                <w:w w:val="98"/>
              </w:rPr>
              <w:t>May 2018</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May 2026</w:t>
            </w:r>
          </w:p>
        </w:tc>
      </w:tr>
      <w:tr>
        <w:trPr>
          <w:trHeight w:val="157"/>
        </w:trPr>
        <w:tc>
          <w:tcPr>
            <w:tcW w:w="27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83"/>
        </w:trPr>
        <w:tc>
          <w:tcPr>
            <w:tcW w:w="2700" w:type="dxa"/>
            <w:vAlign w:val="bottom"/>
          </w:tcPr>
          <w:p>
            <w:pPr>
              <w:ind w:left="20"/>
              <w:spacing w:after="0"/>
              <w:rPr>
                <w:sz w:val="20"/>
                <w:szCs w:val="20"/>
                <w:color w:val="auto"/>
              </w:rPr>
            </w:pPr>
            <w:r>
              <w:rPr>
                <w:rFonts w:ascii="Arial" w:cs="Arial" w:eastAsia="Arial" w:hAnsi="Arial"/>
                <w:sz w:val="13"/>
                <w:szCs w:val="13"/>
                <w:color w:val="auto"/>
              </w:rPr>
              <w:t>Professor Hugh Brady</w:t>
            </w:r>
          </w:p>
        </w:tc>
        <w:tc>
          <w:tcPr>
            <w:tcW w:w="2200" w:type="dxa"/>
            <w:vAlign w:val="bottom"/>
          </w:tcPr>
          <w:p>
            <w:pPr>
              <w:jc w:val="right"/>
              <w:ind w:right="296"/>
              <w:spacing w:after="0"/>
              <w:rPr>
                <w:sz w:val="20"/>
                <w:szCs w:val="20"/>
                <w:color w:val="auto"/>
              </w:rPr>
            </w:pPr>
            <w:r>
              <w:rPr>
                <w:rFonts w:ascii="Arial" w:cs="Arial" w:eastAsia="Arial" w:hAnsi="Arial"/>
                <w:sz w:val="13"/>
                <w:szCs w:val="13"/>
                <w:color w:val="auto"/>
              </w:rPr>
              <w:t>2,000</w:t>
            </w:r>
          </w:p>
        </w:tc>
        <w:tc>
          <w:tcPr>
            <w:tcW w:w="2200" w:type="dxa"/>
            <w:vAlign w:val="bottom"/>
          </w:tcPr>
          <w:p>
            <w:pPr>
              <w:jc w:val="right"/>
              <w:ind w:right="1176"/>
              <w:spacing w:after="0"/>
              <w:rPr>
                <w:sz w:val="20"/>
                <w:szCs w:val="20"/>
                <w:color w:val="auto"/>
              </w:rPr>
            </w:pPr>
            <w:r>
              <w:rPr>
                <w:rFonts w:ascii="Arial" w:cs="Arial" w:eastAsia="Arial" w:hAnsi="Arial"/>
                <w:sz w:val="13"/>
                <w:szCs w:val="13"/>
                <w:color w:val="auto"/>
              </w:rPr>
              <w:t>$68.39</w:t>
            </w:r>
          </w:p>
        </w:tc>
        <w:tc>
          <w:tcPr>
            <w:tcW w:w="1280" w:type="dxa"/>
            <w:vAlign w:val="bottom"/>
          </w:tcPr>
          <w:p>
            <w:pPr>
              <w:jc w:val="right"/>
              <w:spacing w:after="0"/>
              <w:rPr>
                <w:sz w:val="20"/>
                <w:szCs w:val="20"/>
                <w:color w:val="auto"/>
              </w:rPr>
            </w:pPr>
            <w:r>
              <w:rPr>
                <w:rFonts w:ascii="Arial" w:cs="Arial" w:eastAsia="Arial" w:hAnsi="Arial"/>
                <w:sz w:val="13"/>
                <w:szCs w:val="13"/>
                <w:color w:val="auto"/>
              </w:rPr>
              <w:t>18</w:t>
            </w:r>
          </w:p>
        </w:tc>
        <w:tc>
          <w:tcPr>
            <w:tcW w:w="1360" w:type="dxa"/>
            <w:vAlign w:val="bottom"/>
            <w:gridSpan w:val="2"/>
          </w:tcPr>
          <w:p>
            <w:pPr>
              <w:jc w:val="right"/>
              <w:ind w:right="596"/>
              <w:spacing w:after="0"/>
              <w:rPr>
                <w:sz w:val="20"/>
                <w:szCs w:val="20"/>
                <w:color w:val="auto"/>
              </w:rPr>
            </w:pPr>
            <w:r>
              <w:rPr>
                <w:rFonts w:ascii="Arial" w:cs="Arial" w:eastAsia="Arial" w:hAnsi="Arial"/>
                <w:sz w:val="13"/>
                <w:szCs w:val="13"/>
                <w:color w:val="auto"/>
                <w:w w:val="98"/>
              </w:rPr>
              <w:t>March 2015</w:t>
            </w:r>
          </w:p>
        </w:tc>
        <w:tc>
          <w:tcPr>
            <w:tcW w:w="820" w:type="dxa"/>
            <w:vAlign w:val="bottom"/>
          </w:tcPr>
          <w:p>
            <w:pPr>
              <w:jc w:val="right"/>
              <w:spacing w:after="0"/>
              <w:rPr>
                <w:sz w:val="20"/>
                <w:szCs w:val="20"/>
                <w:color w:val="auto"/>
              </w:rPr>
            </w:pPr>
            <w:r>
              <w:rPr>
                <w:rFonts w:ascii="Arial" w:cs="Arial" w:eastAsia="Arial" w:hAnsi="Arial"/>
                <w:sz w:val="13"/>
                <w:szCs w:val="13"/>
                <w:color w:val="auto"/>
              </w:rPr>
              <w:t>18</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w w:val="96"/>
              </w:rPr>
              <w:t>March 2023</w:t>
            </w:r>
          </w:p>
        </w:tc>
      </w:tr>
      <w:tr>
        <w:trPr>
          <w:trHeight w:val="199"/>
        </w:trPr>
        <w:tc>
          <w:tcPr>
            <w:tcW w:w="2700" w:type="dxa"/>
            <w:vAlign w:val="bottom"/>
            <w:shd w:val="clear" w:color="auto" w:fill="CCEEFF"/>
          </w:tcPr>
          <w:p>
            <w:pPr>
              <w:spacing w:after="0"/>
              <w:rPr>
                <w:sz w:val="17"/>
                <w:szCs w:val="17"/>
                <w:color w:val="auto"/>
              </w:rPr>
            </w:pPr>
          </w:p>
        </w:tc>
        <w:tc>
          <w:tcPr>
            <w:tcW w:w="22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4,224</w:t>
            </w:r>
          </w:p>
        </w:tc>
        <w:tc>
          <w:tcPr>
            <w:tcW w:w="2200" w:type="dxa"/>
            <w:vAlign w:val="bottom"/>
            <w:shd w:val="clear" w:color="auto" w:fill="CCEEFF"/>
          </w:tcPr>
          <w:p>
            <w:pPr>
              <w:jc w:val="right"/>
              <w:ind w:right="1176"/>
              <w:spacing w:after="0"/>
              <w:rPr>
                <w:sz w:val="20"/>
                <w:szCs w:val="20"/>
                <w:color w:val="auto"/>
              </w:rPr>
            </w:pPr>
            <w:r>
              <w:rPr>
                <w:rFonts w:ascii="Arial" w:cs="Arial" w:eastAsia="Arial" w:hAnsi="Arial"/>
                <w:sz w:val="13"/>
                <w:szCs w:val="13"/>
                <w:color w:val="auto"/>
              </w:rPr>
              <w:t>$65.60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4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98"/>
              </w:rPr>
              <w:t>May 2016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May 2024</w:t>
            </w:r>
          </w:p>
        </w:tc>
      </w:tr>
      <w:tr>
        <w:trPr>
          <w:trHeight w:val="183"/>
        </w:trPr>
        <w:tc>
          <w:tcPr>
            <w:tcW w:w="27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4,617</w:t>
            </w:r>
          </w:p>
        </w:tc>
        <w:tc>
          <w:tcPr>
            <w:tcW w:w="2200" w:type="dxa"/>
            <w:vAlign w:val="bottom"/>
            <w:tcBorders>
              <w:bottom w:val="single" w:sz="8" w:color="auto"/>
            </w:tcBorders>
          </w:tcPr>
          <w:p>
            <w:pPr>
              <w:jc w:val="right"/>
              <w:ind w:right="1176"/>
              <w:spacing w:after="0"/>
              <w:rPr>
                <w:sz w:val="20"/>
                <w:szCs w:val="20"/>
                <w:color w:val="auto"/>
              </w:rPr>
            </w:pPr>
            <w:r>
              <w:rPr>
                <w:rFonts w:ascii="Arial" w:cs="Arial" w:eastAsia="Arial" w:hAnsi="Arial"/>
                <w:sz w:val="13"/>
                <w:szCs w:val="13"/>
                <w:color w:val="auto"/>
              </w:rPr>
              <w:t>$90.03</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19</w:t>
            </w: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color w:val="auto"/>
                <w:w w:val="98"/>
              </w:rPr>
              <w:t>May 2017</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May 2025</w:t>
            </w:r>
          </w:p>
        </w:tc>
      </w:tr>
      <w:tr>
        <w:trPr>
          <w:trHeight w:val="157"/>
        </w:trPr>
        <w:tc>
          <w:tcPr>
            <w:tcW w:w="27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83"/>
        </w:trPr>
        <w:tc>
          <w:tcPr>
            <w:tcW w:w="2700" w:type="dxa"/>
            <w:vAlign w:val="bottom"/>
          </w:tcPr>
          <w:p>
            <w:pPr>
              <w:ind w:left="20"/>
              <w:spacing w:after="0"/>
              <w:rPr>
                <w:sz w:val="20"/>
                <w:szCs w:val="20"/>
                <w:color w:val="auto"/>
              </w:rPr>
            </w:pPr>
            <w:r>
              <w:rPr>
                <w:rFonts w:ascii="Arial" w:cs="Arial" w:eastAsia="Arial" w:hAnsi="Arial"/>
                <w:sz w:val="13"/>
                <w:szCs w:val="13"/>
                <w:color w:val="auto"/>
              </w:rPr>
              <w:t>Dr. John Climax</w:t>
            </w:r>
          </w:p>
        </w:tc>
        <w:tc>
          <w:tcPr>
            <w:tcW w:w="2200" w:type="dxa"/>
            <w:vAlign w:val="bottom"/>
          </w:tcPr>
          <w:p>
            <w:pPr>
              <w:jc w:val="right"/>
              <w:ind w:right="296"/>
              <w:spacing w:after="0"/>
              <w:rPr>
                <w:sz w:val="20"/>
                <w:szCs w:val="20"/>
                <w:color w:val="auto"/>
              </w:rPr>
            </w:pPr>
            <w:r>
              <w:rPr>
                <w:rFonts w:ascii="Arial" w:cs="Arial" w:eastAsia="Arial" w:hAnsi="Arial"/>
                <w:sz w:val="13"/>
                <w:szCs w:val="13"/>
                <w:color w:val="auto"/>
              </w:rPr>
              <w:t>2,000</w:t>
            </w:r>
          </w:p>
        </w:tc>
        <w:tc>
          <w:tcPr>
            <w:tcW w:w="2200" w:type="dxa"/>
            <w:vAlign w:val="bottom"/>
          </w:tcPr>
          <w:p>
            <w:pPr>
              <w:jc w:val="right"/>
              <w:ind w:right="1176"/>
              <w:spacing w:after="0"/>
              <w:rPr>
                <w:sz w:val="20"/>
                <w:szCs w:val="20"/>
                <w:color w:val="auto"/>
              </w:rPr>
            </w:pPr>
            <w:r>
              <w:rPr>
                <w:rFonts w:ascii="Arial" w:cs="Arial" w:eastAsia="Arial" w:hAnsi="Arial"/>
                <w:sz w:val="13"/>
                <w:szCs w:val="13"/>
                <w:color w:val="auto"/>
              </w:rPr>
              <w:t>$22.30</w:t>
            </w:r>
          </w:p>
        </w:tc>
        <w:tc>
          <w:tcPr>
            <w:tcW w:w="2640" w:type="dxa"/>
            <w:vAlign w:val="bottom"/>
            <w:gridSpan w:val="3"/>
          </w:tcPr>
          <w:p>
            <w:pPr>
              <w:jc w:val="right"/>
              <w:ind w:right="596"/>
              <w:spacing w:after="0"/>
              <w:rPr>
                <w:sz w:val="20"/>
                <w:szCs w:val="20"/>
                <w:color w:val="auto"/>
              </w:rPr>
            </w:pPr>
            <w:r>
              <w:rPr>
                <w:rFonts w:ascii="Arial" w:cs="Arial" w:eastAsia="Arial" w:hAnsi="Arial"/>
                <w:sz w:val="13"/>
                <w:szCs w:val="13"/>
                <w:color w:val="auto"/>
              </w:rPr>
              <w:t>27 April 2012</w:t>
            </w:r>
          </w:p>
        </w:tc>
        <w:tc>
          <w:tcPr>
            <w:tcW w:w="1520" w:type="dxa"/>
            <w:vAlign w:val="bottom"/>
            <w:gridSpan w:val="3"/>
          </w:tcPr>
          <w:p>
            <w:pPr>
              <w:jc w:val="right"/>
              <w:spacing w:after="0"/>
              <w:rPr>
                <w:sz w:val="20"/>
                <w:szCs w:val="20"/>
                <w:color w:val="auto"/>
              </w:rPr>
            </w:pPr>
            <w:r>
              <w:rPr>
                <w:rFonts w:ascii="Arial" w:cs="Arial" w:eastAsia="Arial" w:hAnsi="Arial"/>
                <w:sz w:val="13"/>
                <w:szCs w:val="13"/>
                <w:color w:val="auto"/>
              </w:rPr>
              <w:t>27 April 2020</w:t>
            </w:r>
          </w:p>
        </w:tc>
      </w:tr>
      <w:tr>
        <w:trPr>
          <w:trHeight w:val="199"/>
        </w:trPr>
        <w:tc>
          <w:tcPr>
            <w:tcW w:w="2700" w:type="dxa"/>
            <w:vAlign w:val="bottom"/>
            <w:shd w:val="clear" w:color="auto" w:fill="CCEEFF"/>
          </w:tcPr>
          <w:p>
            <w:pPr>
              <w:spacing w:after="0"/>
              <w:rPr>
                <w:sz w:val="17"/>
                <w:szCs w:val="17"/>
                <w:color w:val="auto"/>
              </w:rPr>
            </w:pPr>
          </w:p>
        </w:tc>
        <w:tc>
          <w:tcPr>
            <w:tcW w:w="22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2,500</w:t>
            </w:r>
          </w:p>
        </w:tc>
        <w:tc>
          <w:tcPr>
            <w:tcW w:w="2200" w:type="dxa"/>
            <w:vAlign w:val="bottom"/>
            <w:shd w:val="clear" w:color="auto" w:fill="CCEEFF"/>
          </w:tcPr>
          <w:p>
            <w:pPr>
              <w:jc w:val="right"/>
              <w:ind w:right="1176"/>
              <w:spacing w:after="0"/>
              <w:rPr>
                <w:sz w:val="20"/>
                <w:szCs w:val="20"/>
                <w:color w:val="auto"/>
              </w:rPr>
            </w:pPr>
            <w:r>
              <w:rPr>
                <w:rFonts w:ascii="Arial" w:cs="Arial" w:eastAsia="Arial" w:hAnsi="Arial"/>
                <w:sz w:val="13"/>
                <w:szCs w:val="13"/>
                <w:color w:val="auto"/>
              </w:rPr>
              <w:t>$32.37</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4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98"/>
              </w:rPr>
              <w:t>May 2013</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May 2021</w:t>
            </w:r>
          </w:p>
        </w:tc>
      </w:tr>
      <w:tr>
        <w:trPr>
          <w:trHeight w:val="183"/>
        </w:trPr>
        <w:tc>
          <w:tcPr>
            <w:tcW w:w="2700" w:type="dxa"/>
            <w:vAlign w:val="bottom"/>
          </w:tcPr>
          <w:p>
            <w:pPr>
              <w:spacing w:after="0"/>
              <w:rPr>
                <w:sz w:val="15"/>
                <w:szCs w:val="15"/>
                <w:color w:val="auto"/>
              </w:rPr>
            </w:pPr>
          </w:p>
        </w:tc>
        <w:tc>
          <w:tcPr>
            <w:tcW w:w="2200" w:type="dxa"/>
            <w:vAlign w:val="bottom"/>
          </w:tcPr>
          <w:p>
            <w:pPr>
              <w:jc w:val="right"/>
              <w:ind w:right="296"/>
              <w:spacing w:after="0"/>
              <w:rPr>
                <w:sz w:val="20"/>
                <w:szCs w:val="20"/>
                <w:color w:val="auto"/>
              </w:rPr>
            </w:pPr>
            <w:r>
              <w:rPr>
                <w:rFonts w:ascii="Arial" w:cs="Arial" w:eastAsia="Arial" w:hAnsi="Arial"/>
                <w:sz w:val="13"/>
                <w:szCs w:val="13"/>
                <w:color w:val="auto"/>
              </w:rPr>
              <w:t>10,000</w:t>
            </w:r>
          </w:p>
        </w:tc>
        <w:tc>
          <w:tcPr>
            <w:tcW w:w="2200" w:type="dxa"/>
            <w:vAlign w:val="bottom"/>
          </w:tcPr>
          <w:p>
            <w:pPr>
              <w:jc w:val="right"/>
              <w:ind w:right="1176"/>
              <w:spacing w:after="0"/>
              <w:rPr>
                <w:sz w:val="20"/>
                <w:szCs w:val="20"/>
                <w:color w:val="auto"/>
              </w:rPr>
            </w:pPr>
            <w:r>
              <w:rPr>
                <w:rFonts w:ascii="Arial" w:cs="Arial" w:eastAsia="Arial" w:hAnsi="Arial"/>
                <w:sz w:val="13"/>
                <w:szCs w:val="13"/>
                <w:color w:val="auto"/>
              </w:rPr>
              <w:t>$40.83</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23</w:t>
            </w:r>
          </w:p>
        </w:tc>
        <w:tc>
          <w:tcPr>
            <w:tcW w:w="1240" w:type="dxa"/>
            <w:vAlign w:val="bottom"/>
          </w:tcPr>
          <w:p>
            <w:pPr>
              <w:jc w:val="right"/>
              <w:ind w:right="596"/>
              <w:spacing w:after="0"/>
              <w:rPr>
                <w:sz w:val="20"/>
                <w:szCs w:val="20"/>
                <w:color w:val="auto"/>
              </w:rPr>
            </w:pPr>
            <w:r>
              <w:rPr>
                <w:rFonts w:ascii="Arial" w:cs="Arial" w:eastAsia="Arial" w:hAnsi="Arial"/>
                <w:sz w:val="13"/>
                <w:szCs w:val="13"/>
                <w:color w:val="auto"/>
                <w:w w:val="98"/>
              </w:rPr>
              <w:t>May 2014</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23</w:t>
            </w:r>
          </w:p>
        </w:tc>
        <w:tc>
          <w:tcPr>
            <w:tcW w:w="580" w:type="dxa"/>
            <w:vAlign w:val="bottom"/>
          </w:tcPr>
          <w:p>
            <w:pPr>
              <w:jc w:val="right"/>
              <w:spacing w:after="0"/>
              <w:rPr>
                <w:sz w:val="20"/>
                <w:szCs w:val="20"/>
                <w:color w:val="auto"/>
              </w:rPr>
            </w:pPr>
            <w:r>
              <w:rPr>
                <w:rFonts w:ascii="Arial" w:cs="Arial" w:eastAsia="Arial" w:hAnsi="Arial"/>
                <w:sz w:val="13"/>
                <w:szCs w:val="13"/>
                <w:color w:val="auto"/>
                <w:w w:val="94"/>
              </w:rPr>
              <w:t>May 2022</w:t>
            </w:r>
          </w:p>
        </w:tc>
      </w:tr>
      <w:tr>
        <w:trPr>
          <w:trHeight w:val="199"/>
        </w:trPr>
        <w:tc>
          <w:tcPr>
            <w:tcW w:w="2700" w:type="dxa"/>
            <w:vAlign w:val="bottom"/>
            <w:shd w:val="clear" w:color="auto" w:fill="CCEEFF"/>
          </w:tcPr>
          <w:p>
            <w:pPr>
              <w:spacing w:after="0"/>
              <w:rPr>
                <w:sz w:val="17"/>
                <w:szCs w:val="17"/>
                <w:color w:val="auto"/>
              </w:rPr>
            </w:pPr>
          </w:p>
        </w:tc>
        <w:tc>
          <w:tcPr>
            <w:tcW w:w="22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10,000</w:t>
            </w:r>
          </w:p>
        </w:tc>
        <w:tc>
          <w:tcPr>
            <w:tcW w:w="2200" w:type="dxa"/>
            <w:vAlign w:val="bottom"/>
            <w:shd w:val="clear" w:color="auto" w:fill="CCEEFF"/>
          </w:tcPr>
          <w:p>
            <w:pPr>
              <w:jc w:val="right"/>
              <w:ind w:right="1176"/>
              <w:spacing w:after="0"/>
              <w:rPr>
                <w:sz w:val="20"/>
                <w:szCs w:val="20"/>
                <w:color w:val="auto"/>
              </w:rPr>
            </w:pPr>
            <w:r>
              <w:rPr>
                <w:rFonts w:ascii="Arial" w:cs="Arial" w:eastAsia="Arial" w:hAnsi="Arial"/>
                <w:sz w:val="13"/>
                <w:szCs w:val="13"/>
                <w:color w:val="auto"/>
              </w:rPr>
              <w:t>$68.39</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360" w:type="dxa"/>
            <w:vAlign w:val="bottom"/>
            <w:gridSpan w:val="2"/>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2015</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6"/>
              </w:rPr>
              <w:t>March 2023</w:t>
            </w:r>
          </w:p>
        </w:tc>
      </w:tr>
      <w:tr>
        <w:trPr>
          <w:trHeight w:val="183"/>
        </w:trPr>
        <w:tc>
          <w:tcPr>
            <w:tcW w:w="2700" w:type="dxa"/>
            <w:vAlign w:val="bottom"/>
          </w:tcPr>
          <w:p>
            <w:pPr>
              <w:spacing w:after="0"/>
              <w:rPr>
                <w:sz w:val="15"/>
                <w:szCs w:val="15"/>
                <w:color w:val="auto"/>
              </w:rPr>
            </w:pPr>
          </w:p>
        </w:tc>
        <w:tc>
          <w:tcPr>
            <w:tcW w:w="2200" w:type="dxa"/>
            <w:vAlign w:val="bottom"/>
          </w:tcPr>
          <w:p>
            <w:pPr>
              <w:jc w:val="right"/>
              <w:ind w:right="296"/>
              <w:spacing w:after="0"/>
              <w:rPr>
                <w:sz w:val="20"/>
                <w:szCs w:val="20"/>
                <w:color w:val="auto"/>
              </w:rPr>
            </w:pPr>
            <w:r>
              <w:rPr>
                <w:rFonts w:ascii="Arial" w:cs="Arial" w:eastAsia="Arial" w:hAnsi="Arial"/>
                <w:sz w:val="13"/>
                <w:szCs w:val="13"/>
                <w:color w:val="auto"/>
              </w:rPr>
              <w:t>10,557</w:t>
            </w:r>
          </w:p>
        </w:tc>
        <w:tc>
          <w:tcPr>
            <w:tcW w:w="2200" w:type="dxa"/>
            <w:vAlign w:val="bottom"/>
          </w:tcPr>
          <w:p>
            <w:pPr>
              <w:jc w:val="right"/>
              <w:ind w:right="1176"/>
              <w:spacing w:after="0"/>
              <w:rPr>
                <w:sz w:val="20"/>
                <w:szCs w:val="20"/>
                <w:color w:val="auto"/>
              </w:rPr>
            </w:pPr>
            <w:r>
              <w:rPr>
                <w:rFonts w:ascii="Arial" w:cs="Arial" w:eastAsia="Arial" w:hAnsi="Arial"/>
                <w:sz w:val="13"/>
                <w:szCs w:val="13"/>
                <w:color w:val="auto"/>
              </w:rPr>
              <w:t>$65.60</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1240" w:type="dxa"/>
            <w:vAlign w:val="bottom"/>
          </w:tcPr>
          <w:p>
            <w:pPr>
              <w:jc w:val="right"/>
              <w:ind w:right="596"/>
              <w:spacing w:after="0"/>
              <w:rPr>
                <w:sz w:val="20"/>
                <w:szCs w:val="20"/>
                <w:color w:val="auto"/>
              </w:rPr>
            </w:pPr>
            <w:r>
              <w:rPr>
                <w:rFonts w:ascii="Arial" w:cs="Arial" w:eastAsia="Arial" w:hAnsi="Arial"/>
                <w:sz w:val="13"/>
                <w:szCs w:val="13"/>
                <w:color w:val="auto"/>
                <w:w w:val="98"/>
              </w:rPr>
              <w:t>May 2016</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580" w:type="dxa"/>
            <w:vAlign w:val="bottom"/>
          </w:tcPr>
          <w:p>
            <w:pPr>
              <w:jc w:val="right"/>
              <w:spacing w:after="0"/>
              <w:rPr>
                <w:sz w:val="20"/>
                <w:szCs w:val="20"/>
                <w:color w:val="auto"/>
              </w:rPr>
            </w:pPr>
            <w:r>
              <w:rPr>
                <w:rFonts w:ascii="Arial" w:cs="Arial" w:eastAsia="Arial" w:hAnsi="Arial"/>
                <w:sz w:val="13"/>
                <w:szCs w:val="13"/>
                <w:color w:val="auto"/>
                <w:w w:val="94"/>
              </w:rPr>
              <w:t>May 2024</w:t>
            </w:r>
          </w:p>
        </w:tc>
      </w:tr>
      <w:tr>
        <w:trPr>
          <w:trHeight w:val="199"/>
        </w:trPr>
        <w:tc>
          <w:tcPr>
            <w:tcW w:w="2700" w:type="dxa"/>
            <w:vAlign w:val="bottom"/>
            <w:shd w:val="clear" w:color="auto" w:fill="CCEEFF"/>
          </w:tcPr>
          <w:p>
            <w:pPr>
              <w:spacing w:after="0"/>
              <w:rPr>
                <w:sz w:val="17"/>
                <w:szCs w:val="17"/>
                <w:color w:val="auto"/>
              </w:rPr>
            </w:pPr>
          </w:p>
        </w:tc>
        <w:tc>
          <w:tcPr>
            <w:tcW w:w="22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7,693</w:t>
            </w:r>
          </w:p>
        </w:tc>
        <w:tc>
          <w:tcPr>
            <w:tcW w:w="2200" w:type="dxa"/>
            <w:vAlign w:val="bottom"/>
            <w:shd w:val="clear" w:color="auto" w:fill="CCEEFF"/>
          </w:tcPr>
          <w:p>
            <w:pPr>
              <w:jc w:val="right"/>
              <w:ind w:right="1176"/>
              <w:spacing w:after="0"/>
              <w:rPr>
                <w:sz w:val="20"/>
                <w:szCs w:val="20"/>
                <w:color w:val="auto"/>
              </w:rPr>
            </w:pPr>
            <w:r>
              <w:rPr>
                <w:rFonts w:ascii="Arial" w:cs="Arial" w:eastAsia="Arial" w:hAnsi="Arial"/>
                <w:sz w:val="13"/>
                <w:szCs w:val="13"/>
                <w:color w:val="auto"/>
              </w:rPr>
              <w:t>$90.03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24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98"/>
              </w:rPr>
              <w:t>May 2017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May 2025</w:t>
            </w:r>
          </w:p>
        </w:tc>
      </w:tr>
      <w:tr>
        <w:trPr>
          <w:trHeight w:val="183"/>
        </w:trPr>
        <w:tc>
          <w:tcPr>
            <w:tcW w:w="27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5,005</w:t>
            </w:r>
          </w:p>
        </w:tc>
        <w:tc>
          <w:tcPr>
            <w:tcW w:w="2200" w:type="dxa"/>
            <w:vAlign w:val="bottom"/>
            <w:tcBorders>
              <w:bottom w:val="single" w:sz="8" w:color="auto"/>
            </w:tcBorders>
          </w:tcPr>
          <w:p>
            <w:pPr>
              <w:jc w:val="right"/>
              <w:ind w:right="1176"/>
              <w:spacing w:after="0"/>
              <w:rPr>
                <w:sz w:val="20"/>
                <w:szCs w:val="20"/>
                <w:color w:val="auto"/>
              </w:rPr>
            </w:pPr>
            <w:r>
              <w:rPr>
                <w:rFonts w:ascii="Arial" w:cs="Arial" w:eastAsia="Arial" w:hAnsi="Arial"/>
                <w:sz w:val="13"/>
                <w:szCs w:val="13"/>
                <w:color w:val="auto"/>
              </w:rPr>
              <w:t>$125.74</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18</w:t>
            </w: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color w:val="auto"/>
                <w:w w:val="98"/>
              </w:rPr>
              <w:t>May 2018</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May 2026</w:t>
            </w:r>
          </w:p>
        </w:tc>
      </w:tr>
      <w:tr>
        <w:trPr>
          <w:trHeight w:val="157"/>
        </w:trPr>
        <w:tc>
          <w:tcPr>
            <w:tcW w:w="27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83"/>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Joan Garahy</w:t>
            </w:r>
          </w:p>
        </w:tc>
        <w:tc>
          <w:tcPr>
            <w:tcW w:w="22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5,005</w:t>
            </w:r>
          </w:p>
        </w:tc>
        <w:tc>
          <w:tcPr>
            <w:tcW w:w="2200" w:type="dxa"/>
            <w:vAlign w:val="bottom"/>
            <w:tcBorders>
              <w:bottom w:val="single" w:sz="8" w:color="auto"/>
            </w:tcBorders>
          </w:tcPr>
          <w:p>
            <w:pPr>
              <w:jc w:val="right"/>
              <w:ind w:right="1176"/>
              <w:spacing w:after="0"/>
              <w:rPr>
                <w:sz w:val="20"/>
                <w:szCs w:val="20"/>
                <w:color w:val="auto"/>
              </w:rPr>
            </w:pPr>
            <w:r>
              <w:rPr>
                <w:rFonts w:ascii="Arial" w:cs="Arial" w:eastAsia="Arial" w:hAnsi="Arial"/>
                <w:sz w:val="13"/>
                <w:szCs w:val="13"/>
                <w:color w:val="auto"/>
              </w:rPr>
              <w:t>$125.74</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18</w:t>
            </w: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color w:val="auto"/>
                <w:w w:val="98"/>
              </w:rPr>
              <w:t>May 2018</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May 2026</w:t>
            </w:r>
          </w:p>
        </w:tc>
      </w:tr>
      <w:tr>
        <w:trPr>
          <w:trHeight w:val="157"/>
        </w:trPr>
        <w:tc>
          <w:tcPr>
            <w:tcW w:w="27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83"/>
        </w:trPr>
        <w:tc>
          <w:tcPr>
            <w:tcW w:w="2700" w:type="dxa"/>
            <w:vAlign w:val="bottom"/>
          </w:tcPr>
          <w:p>
            <w:pPr>
              <w:ind w:left="20"/>
              <w:spacing w:after="0"/>
              <w:rPr>
                <w:sz w:val="20"/>
                <w:szCs w:val="20"/>
                <w:color w:val="auto"/>
              </w:rPr>
            </w:pPr>
            <w:r>
              <w:rPr>
                <w:rFonts w:ascii="Arial" w:cs="Arial" w:eastAsia="Arial" w:hAnsi="Arial"/>
                <w:sz w:val="13"/>
                <w:szCs w:val="13"/>
                <w:color w:val="auto"/>
              </w:rPr>
              <w:t>Professor William Hall</w:t>
            </w:r>
          </w:p>
        </w:tc>
        <w:tc>
          <w:tcPr>
            <w:tcW w:w="2200" w:type="dxa"/>
            <w:vAlign w:val="bottom"/>
          </w:tcPr>
          <w:p>
            <w:pPr>
              <w:jc w:val="right"/>
              <w:ind w:right="296"/>
              <w:spacing w:after="0"/>
              <w:rPr>
                <w:sz w:val="20"/>
                <w:szCs w:val="20"/>
                <w:color w:val="auto"/>
              </w:rPr>
            </w:pPr>
            <w:r>
              <w:rPr>
                <w:rFonts w:ascii="Arial" w:cs="Arial" w:eastAsia="Arial" w:hAnsi="Arial"/>
                <w:sz w:val="13"/>
                <w:szCs w:val="13"/>
                <w:color w:val="auto"/>
              </w:rPr>
              <w:t>2,000</w:t>
            </w:r>
          </w:p>
        </w:tc>
        <w:tc>
          <w:tcPr>
            <w:tcW w:w="2200" w:type="dxa"/>
            <w:vAlign w:val="bottom"/>
          </w:tcPr>
          <w:p>
            <w:pPr>
              <w:jc w:val="right"/>
              <w:ind w:right="1176"/>
              <w:spacing w:after="0"/>
              <w:rPr>
                <w:sz w:val="20"/>
                <w:szCs w:val="20"/>
                <w:color w:val="auto"/>
              </w:rPr>
            </w:pPr>
            <w:r>
              <w:rPr>
                <w:rFonts w:ascii="Arial" w:cs="Arial" w:eastAsia="Arial" w:hAnsi="Arial"/>
                <w:sz w:val="13"/>
                <w:szCs w:val="13"/>
                <w:color w:val="auto"/>
              </w:rPr>
              <w:t>$68.39</w:t>
            </w:r>
          </w:p>
        </w:tc>
        <w:tc>
          <w:tcPr>
            <w:tcW w:w="1280" w:type="dxa"/>
            <w:vAlign w:val="bottom"/>
          </w:tcPr>
          <w:p>
            <w:pPr>
              <w:jc w:val="right"/>
              <w:spacing w:after="0"/>
              <w:rPr>
                <w:sz w:val="20"/>
                <w:szCs w:val="20"/>
                <w:color w:val="auto"/>
              </w:rPr>
            </w:pPr>
            <w:r>
              <w:rPr>
                <w:rFonts w:ascii="Arial" w:cs="Arial" w:eastAsia="Arial" w:hAnsi="Arial"/>
                <w:sz w:val="13"/>
                <w:szCs w:val="13"/>
                <w:color w:val="auto"/>
              </w:rPr>
              <w:t>18</w:t>
            </w:r>
          </w:p>
        </w:tc>
        <w:tc>
          <w:tcPr>
            <w:tcW w:w="1360" w:type="dxa"/>
            <w:vAlign w:val="bottom"/>
            <w:gridSpan w:val="2"/>
          </w:tcPr>
          <w:p>
            <w:pPr>
              <w:jc w:val="right"/>
              <w:ind w:right="596"/>
              <w:spacing w:after="0"/>
              <w:rPr>
                <w:sz w:val="20"/>
                <w:szCs w:val="20"/>
                <w:color w:val="auto"/>
              </w:rPr>
            </w:pPr>
            <w:r>
              <w:rPr>
                <w:rFonts w:ascii="Arial" w:cs="Arial" w:eastAsia="Arial" w:hAnsi="Arial"/>
                <w:sz w:val="13"/>
                <w:szCs w:val="13"/>
                <w:color w:val="auto"/>
                <w:w w:val="98"/>
              </w:rPr>
              <w:t>March 2015</w:t>
            </w:r>
          </w:p>
        </w:tc>
        <w:tc>
          <w:tcPr>
            <w:tcW w:w="820" w:type="dxa"/>
            <w:vAlign w:val="bottom"/>
          </w:tcPr>
          <w:p>
            <w:pPr>
              <w:jc w:val="right"/>
              <w:spacing w:after="0"/>
              <w:rPr>
                <w:sz w:val="20"/>
                <w:szCs w:val="20"/>
                <w:color w:val="auto"/>
              </w:rPr>
            </w:pPr>
            <w:r>
              <w:rPr>
                <w:rFonts w:ascii="Arial" w:cs="Arial" w:eastAsia="Arial" w:hAnsi="Arial"/>
                <w:sz w:val="13"/>
                <w:szCs w:val="13"/>
                <w:color w:val="auto"/>
              </w:rPr>
              <w:t>18</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w w:val="96"/>
              </w:rPr>
              <w:t>March 2023</w:t>
            </w:r>
          </w:p>
        </w:tc>
      </w:tr>
      <w:tr>
        <w:trPr>
          <w:trHeight w:val="199"/>
        </w:trPr>
        <w:tc>
          <w:tcPr>
            <w:tcW w:w="2700" w:type="dxa"/>
            <w:vAlign w:val="bottom"/>
            <w:shd w:val="clear" w:color="auto" w:fill="CCEEFF"/>
          </w:tcPr>
          <w:p>
            <w:pPr>
              <w:spacing w:after="0"/>
              <w:rPr>
                <w:sz w:val="17"/>
                <w:szCs w:val="17"/>
                <w:color w:val="auto"/>
              </w:rPr>
            </w:pPr>
          </w:p>
        </w:tc>
        <w:tc>
          <w:tcPr>
            <w:tcW w:w="22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4,224</w:t>
            </w:r>
          </w:p>
        </w:tc>
        <w:tc>
          <w:tcPr>
            <w:tcW w:w="2200" w:type="dxa"/>
            <w:vAlign w:val="bottom"/>
            <w:shd w:val="clear" w:color="auto" w:fill="CCEEFF"/>
          </w:tcPr>
          <w:p>
            <w:pPr>
              <w:jc w:val="right"/>
              <w:ind w:right="1176"/>
              <w:spacing w:after="0"/>
              <w:rPr>
                <w:sz w:val="20"/>
                <w:szCs w:val="20"/>
                <w:color w:val="auto"/>
              </w:rPr>
            </w:pPr>
            <w:r>
              <w:rPr>
                <w:rFonts w:ascii="Arial" w:cs="Arial" w:eastAsia="Arial" w:hAnsi="Arial"/>
                <w:sz w:val="13"/>
                <w:szCs w:val="13"/>
                <w:color w:val="auto"/>
              </w:rPr>
              <w:t>$65.60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4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98"/>
              </w:rPr>
              <w:t>May 2016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May 2024</w:t>
            </w:r>
          </w:p>
        </w:tc>
      </w:tr>
      <w:tr>
        <w:trPr>
          <w:trHeight w:val="183"/>
        </w:trPr>
        <w:tc>
          <w:tcPr>
            <w:tcW w:w="27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4,617</w:t>
            </w:r>
          </w:p>
        </w:tc>
        <w:tc>
          <w:tcPr>
            <w:tcW w:w="2200" w:type="dxa"/>
            <w:vAlign w:val="bottom"/>
            <w:tcBorders>
              <w:bottom w:val="single" w:sz="8" w:color="auto"/>
            </w:tcBorders>
          </w:tcPr>
          <w:p>
            <w:pPr>
              <w:jc w:val="right"/>
              <w:ind w:right="1176"/>
              <w:spacing w:after="0"/>
              <w:rPr>
                <w:sz w:val="20"/>
                <w:szCs w:val="20"/>
                <w:color w:val="auto"/>
              </w:rPr>
            </w:pPr>
            <w:r>
              <w:rPr>
                <w:rFonts w:ascii="Arial" w:cs="Arial" w:eastAsia="Arial" w:hAnsi="Arial"/>
                <w:sz w:val="13"/>
                <w:szCs w:val="13"/>
                <w:color w:val="auto"/>
              </w:rPr>
              <w:t>$90.03</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19</w:t>
            </w: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color w:val="auto"/>
                <w:w w:val="98"/>
              </w:rPr>
              <w:t>May 2017</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May 2025</w:t>
            </w:r>
          </w:p>
        </w:tc>
      </w:tr>
      <w:tr>
        <w:trPr>
          <w:trHeight w:val="157"/>
        </w:trPr>
        <w:tc>
          <w:tcPr>
            <w:tcW w:w="27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83"/>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Eugene McCague</w:t>
            </w:r>
          </w:p>
        </w:tc>
        <w:tc>
          <w:tcPr>
            <w:tcW w:w="22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5,005</w:t>
            </w:r>
          </w:p>
        </w:tc>
        <w:tc>
          <w:tcPr>
            <w:tcW w:w="2200" w:type="dxa"/>
            <w:vAlign w:val="bottom"/>
            <w:tcBorders>
              <w:bottom w:val="single" w:sz="8" w:color="auto"/>
            </w:tcBorders>
          </w:tcPr>
          <w:p>
            <w:pPr>
              <w:jc w:val="right"/>
              <w:ind w:right="1176"/>
              <w:spacing w:after="0"/>
              <w:rPr>
                <w:sz w:val="20"/>
                <w:szCs w:val="20"/>
                <w:color w:val="auto"/>
              </w:rPr>
            </w:pPr>
            <w:r>
              <w:rPr>
                <w:rFonts w:ascii="Arial" w:cs="Arial" w:eastAsia="Arial" w:hAnsi="Arial"/>
                <w:sz w:val="13"/>
                <w:szCs w:val="13"/>
                <w:color w:val="auto"/>
              </w:rPr>
              <w:t>$125.74</w:t>
            </w:r>
          </w:p>
        </w:tc>
        <w:tc>
          <w:tcPr>
            <w:tcW w:w="264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3"/>
                <w:szCs w:val="13"/>
                <w:color w:val="auto"/>
              </w:rPr>
              <w:t>18 May 2018</w:t>
            </w: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18 May 2026</w:t>
            </w:r>
          </w:p>
        </w:tc>
      </w:tr>
      <w:tr>
        <w:trPr>
          <w:trHeight w:val="157"/>
        </w:trPr>
        <w:tc>
          <w:tcPr>
            <w:tcW w:w="27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83"/>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Julie O'Neill</w:t>
            </w:r>
          </w:p>
        </w:tc>
        <w:tc>
          <w:tcPr>
            <w:tcW w:w="22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2200" w:type="dxa"/>
            <w:vAlign w:val="bottom"/>
            <w:tcBorders>
              <w:bottom w:val="single" w:sz="8" w:color="auto"/>
            </w:tcBorders>
          </w:tcPr>
          <w:p>
            <w:pPr>
              <w:jc w:val="right"/>
              <w:ind w:right="117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w:t>
            </w:r>
          </w:p>
        </w:tc>
      </w:tr>
    </w:tbl>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60"/>
          </w:cols>
          <w:pgMar w:left="300" w:top="696"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361"/>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18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Options</w:t>
            </w:r>
          </w:p>
        </w:tc>
        <w:tc>
          <w:tcPr>
            <w:tcW w:w="2200" w:type="dxa"/>
            <w:vAlign w:val="bottom"/>
            <w:shd w:val="clear" w:color="auto" w:fill="CCEEFF"/>
          </w:tcPr>
          <w:p>
            <w:pPr>
              <w:jc w:val="right"/>
              <w:ind w:right="1036"/>
              <w:spacing w:after="0"/>
              <w:rPr>
                <w:sz w:val="20"/>
                <w:szCs w:val="20"/>
                <w:color w:val="auto"/>
              </w:rPr>
            </w:pPr>
            <w:r>
              <w:rPr>
                <w:rFonts w:ascii="Arial" w:cs="Arial" w:eastAsia="Arial" w:hAnsi="Arial"/>
                <w:sz w:val="13"/>
                <w:szCs w:val="13"/>
                <w:b w:val="1"/>
                <w:bCs w:val="1"/>
                <w:color w:val="auto"/>
              </w:rPr>
              <w:t>Exercise price</w:t>
            </w:r>
          </w:p>
        </w:tc>
        <w:tc>
          <w:tcPr>
            <w:tcW w:w="12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Grant date</w:t>
            </w:r>
          </w:p>
        </w:tc>
        <w:tc>
          <w:tcPr>
            <w:tcW w:w="8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4"/>
              </w:rPr>
              <w:t>Expiry date</w:t>
            </w:r>
          </w:p>
        </w:tc>
      </w:tr>
      <w:tr>
        <w:trPr>
          <w:trHeight w:val="183"/>
        </w:trPr>
        <w:tc>
          <w:tcPr>
            <w:tcW w:w="2720" w:type="dxa"/>
            <w:vAlign w:val="bottom"/>
          </w:tcPr>
          <w:p>
            <w:pPr>
              <w:ind w:left="20"/>
              <w:spacing w:after="0"/>
              <w:rPr>
                <w:sz w:val="20"/>
                <w:szCs w:val="20"/>
                <w:color w:val="auto"/>
              </w:rPr>
            </w:pPr>
            <w:r>
              <w:rPr>
                <w:rFonts w:ascii="Arial" w:cs="Arial" w:eastAsia="Arial" w:hAnsi="Arial"/>
                <w:sz w:val="13"/>
                <w:szCs w:val="13"/>
                <w:color w:val="auto"/>
              </w:rPr>
              <w:t>Mary Pendergast</w:t>
            </w:r>
          </w:p>
        </w:tc>
        <w:tc>
          <w:tcPr>
            <w:tcW w:w="2180" w:type="dxa"/>
            <w:vAlign w:val="bottom"/>
          </w:tcPr>
          <w:p>
            <w:pPr>
              <w:jc w:val="right"/>
              <w:ind w:right="296"/>
              <w:spacing w:after="0"/>
              <w:rPr>
                <w:sz w:val="20"/>
                <w:szCs w:val="20"/>
                <w:color w:val="auto"/>
              </w:rPr>
            </w:pPr>
            <w:r>
              <w:rPr>
                <w:rFonts w:ascii="Arial" w:cs="Arial" w:eastAsia="Arial" w:hAnsi="Arial"/>
                <w:sz w:val="13"/>
                <w:szCs w:val="13"/>
                <w:color w:val="auto"/>
              </w:rPr>
              <w:t>10,000</w:t>
            </w:r>
          </w:p>
        </w:tc>
        <w:tc>
          <w:tcPr>
            <w:tcW w:w="2200" w:type="dxa"/>
            <w:vAlign w:val="bottom"/>
          </w:tcPr>
          <w:p>
            <w:pPr>
              <w:jc w:val="right"/>
              <w:ind w:right="1176"/>
              <w:spacing w:after="0"/>
              <w:rPr>
                <w:sz w:val="20"/>
                <w:szCs w:val="20"/>
                <w:color w:val="auto"/>
              </w:rPr>
            </w:pPr>
            <w:r>
              <w:rPr>
                <w:rFonts w:ascii="Arial" w:cs="Arial" w:eastAsia="Arial" w:hAnsi="Arial"/>
                <w:sz w:val="13"/>
                <w:szCs w:val="13"/>
                <w:color w:val="auto"/>
              </w:rPr>
              <w:t>$40.83</w:t>
            </w:r>
          </w:p>
        </w:tc>
        <w:tc>
          <w:tcPr>
            <w:tcW w:w="2640" w:type="dxa"/>
            <w:vAlign w:val="bottom"/>
            <w:gridSpan w:val="2"/>
          </w:tcPr>
          <w:p>
            <w:pPr>
              <w:jc w:val="right"/>
              <w:ind w:right="596"/>
              <w:spacing w:after="0"/>
              <w:rPr>
                <w:sz w:val="20"/>
                <w:szCs w:val="20"/>
                <w:color w:val="auto"/>
              </w:rPr>
            </w:pPr>
            <w:r>
              <w:rPr>
                <w:rFonts w:ascii="Arial" w:cs="Arial" w:eastAsia="Arial" w:hAnsi="Arial"/>
                <w:sz w:val="13"/>
                <w:szCs w:val="13"/>
                <w:color w:val="auto"/>
              </w:rPr>
              <w:t>23 May 2014</w:t>
            </w:r>
          </w:p>
        </w:tc>
        <w:tc>
          <w:tcPr>
            <w:tcW w:w="1520" w:type="dxa"/>
            <w:vAlign w:val="bottom"/>
            <w:gridSpan w:val="2"/>
          </w:tcPr>
          <w:p>
            <w:pPr>
              <w:jc w:val="right"/>
              <w:spacing w:after="0"/>
              <w:rPr>
                <w:sz w:val="20"/>
                <w:szCs w:val="20"/>
                <w:color w:val="auto"/>
              </w:rPr>
            </w:pPr>
            <w:r>
              <w:rPr>
                <w:rFonts w:ascii="Arial" w:cs="Arial" w:eastAsia="Arial" w:hAnsi="Arial"/>
                <w:sz w:val="13"/>
                <w:szCs w:val="13"/>
                <w:color w:val="auto"/>
              </w:rPr>
              <w:t>23 May 2022</w:t>
            </w:r>
          </w:p>
        </w:tc>
      </w:tr>
      <w:tr>
        <w:trPr>
          <w:trHeight w:val="199"/>
        </w:trPr>
        <w:tc>
          <w:tcPr>
            <w:tcW w:w="272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10,000</w:t>
            </w:r>
          </w:p>
        </w:tc>
        <w:tc>
          <w:tcPr>
            <w:tcW w:w="2200" w:type="dxa"/>
            <w:vAlign w:val="bottom"/>
            <w:shd w:val="clear" w:color="auto" w:fill="CCEEFF"/>
          </w:tcPr>
          <w:p>
            <w:pPr>
              <w:jc w:val="right"/>
              <w:ind w:right="1176"/>
              <w:spacing w:after="0"/>
              <w:rPr>
                <w:sz w:val="20"/>
                <w:szCs w:val="20"/>
                <w:color w:val="auto"/>
              </w:rPr>
            </w:pPr>
            <w:r>
              <w:rPr>
                <w:rFonts w:ascii="Arial" w:cs="Arial" w:eastAsia="Arial" w:hAnsi="Arial"/>
                <w:sz w:val="13"/>
                <w:szCs w:val="13"/>
                <w:color w:val="auto"/>
              </w:rPr>
              <w:t>$68.39</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3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2015</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March 2023</w:t>
            </w:r>
          </w:p>
        </w:tc>
      </w:tr>
      <w:tr>
        <w:trPr>
          <w:trHeight w:val="183"/>
        </w:trPr>
        <w:tc>
          <w:tcPr>
            <w:tcW w:w="2720" w:type="dxa"/>
            <w:vAlign w:val="bottom"/>
          </w:tcPr>
          <w:p>
            <w:pPr>
              <w:spacing w:after="0"/>
              <w:rPr>
                <w:sz w:val="15"/>
                <w:szCs w:val="15"/>
                <w:color w:val="auto"/>
              </w:rPr>
            </w:pPr>
          </w:p>
        </w:tc>
        <w:tc>
          <w:tcPr>
            <w:tcW w:w="2180" w:type="dxa"/>
            <w:vAlign w:val="bottom"/>
          </w:tcPr>
          <w:p>
            <w:pPr>
              <w:jc w:val="right"/>
              <w:ind w:right="296"/>
              <w:spacing w:after="0"/>
              <w:rPr>
                <w:sz w:val="20"/>
                <w:szCs w:val="20"/>
                <w:color w:val="auto"/>
              </w:rPr>
            </w:pPr>
            <w:r>
              <w:rPr>
                <w:rFonts w:ascii="Arial" w:cs="Arial" w:eastAsia="Arial" w:hAnsi="Arial"/>
                <w:sz w:val="13"/>
                <w:szCs w:val="13"/>
                <w:color w:val="auto"/>
              </w:rPr>
              <w:t>10,557</w:t>
            </w:r>
          </w:p>
        </w:tc>
        <w:tc>
          <w:tcPr>
            <w:tcW w:w="2200" w:type="dxa"/>
            <w:vAlign w:val="bottom"/>
          </w:tcPr>
          <w:p>
            <w:pPr>
              <w:jc w:val="right"/>
              <w:ind w:right="1176"/>
              <w:spacing w:after="0"/>
              <w:rPr>
                <w:sz w:val="20"/>
                <w:szCs w:val="20"/>
                <w:color w:val="auto"/>
              </w:rPr>
            </w:pPr>
            <w:r>
              <w:rPr>
                <w:rFonts w:ascii="Arial" w:cs="Arial" w:eastAsia="Arial" w:hAnsi="Arial"/>
                <w:sz w:val="13"/>
                <w:szCs w:val="13"/>
                <w:color w:val="auto"/>
              </w:rPr>
              <w:t>$65.60</w:t>
            </w:r>
          </w:p>
        </w:tc>
        <w:tc>
          <w:tcPr>
            <w:tcW w:w="2640" w:type="dxa"/>
            <w:vAlign w:val="bottom"/>
            <w:gridSpan w:val="2"/>
          </w:tcPr>
          <w:p>
            <w:pPr>
              <w:jc w:val="right"/>
              <w:ind w:right="596"/>
              <w:spacing w:after="0"/>
              <w:rPr>
                <w:sz w:val="20"/>
                <w:szCs w:val="20"/>
                <w:color w:val="auto"/>
              </w:rPr>
            </w:pPr>
            <w:r>
              <w:rPr>
                <w:rFonts w:ascii="Arial" w:cs="Arial" w:eastAsia="Arial" w:hAnsi="Arial"/>
                <w:sz w:val="13"/>
                <w:szCs w:val="13"/>
                <w:color w:val="auto"/>
              </w:rPr>
              <w:t>20 May 2016</w:t>
            </w:r>
          </w:p>
        </w:tc>
        <w:tc>
          <w:tcPr>
            <w:tcW w:w="1520" w:type="dxa"/>
            <w:vAlign w:val="bottom"/>
            <w:gridSpan w:val="2"/>
          </w:tcPr>
          <w:p>
            <w:pPr>
              <w:jc w:val="right"/>
              <w:spacing w:after="0"/>
              <w:rPr>
                <w:sz w:val="20"/>
                <w:szCs w:val="20"/>
                <w:color w:val="auto"/>
              </w:rPr>
            </w:pPr>
            <w:r>
              <w:rPr>
                <w:rFonts w:ascii="Arial" w:cs="Arial" w:eastAsia="Arial" w:hAnsi="Arial"/>
                <w:sz w:val="13"/>
                <w:szCs w:val="13"/>
                <w:color w:val="auto"/>
              </w:rPr>
              <w:t>20 May 2024</w:t>
            </w:r>
          </w:p>
        </w:tc>
      </w:tr>
      <w:tr>
        <w:trPr>
          <w:trHeight w:val="199"/>
        </w:trPr>
        <w:tc>
          <w:tcPr>
            <w:tcW w:w="272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7,693</w:t>
            </w:r>
          </w:p>
        </w:tc>
        <w:tc>
          <w:tcPr>
            <w:tcW w:w="2200" w:type="dxa"/>
            <w:vAlign w:val="bottom"/>
            <w:shd w:val="clear" w:color="auto" w:fill="CCEEFF"/>
          </w:tcPr>
          <w:p>
            <w:pPr>
              <w:jc w:val="right"/>
              <w:ind w:right="1176"/>
              <w:spacing w:after="0"/>
              <w:rPr>
                <w:sz w:val="20"/>
                <w:szCs w:val="20"/>
                <w:color w:val="auto"/>
              </w:rPr>
            </w:pPr>
            <w:r>
              <w:rPr>
                <w:rFonts w:ascii="Arial" w:cs="Arial" w:eastAsia="Arial" w:hAnsi="Arial"/>
                <w:sz w:val="13"/>
                <w:szCs w:val="13"/>
                <w:color w:val="auto"/>
              </w:rPr>
              <w:t>$90.03</w:t>
            </w:r>
          </w:p>
        </w:tc>
        <w:tc>
          <w:tcPr>
            <w:tcW w:w="2640" w:type="dxa"/>
            <w:vAlign w:val="bottom"/>
            <w:gridSpan w:val="2"/>
            <w:shd w:val="clear" w:color="auto" w:fill="CCEEFF"/>
          </w:tcPr>
          <w:p>
            <w:pPr>
              <w:jc w:val="right"/>
              <w:ind w:right="596"/>
              <w:spacing w:after="0"/>
              <w:rPr>
                <w:sz w:val="20"/>
                <w:szCs w:val="20"/>
                <w:color w:val="auto"/>
              </w:rPr>
            </w:pPr>
            <w:r>
              <w:rPr>
                <w:rFonts w:ascii="Arial" w:cs="Arial" w:eastAsia="Arial" w:hAnsi="Arial"/>
                <w:sz w:val="13"/>
                <w:szCs w:val="13"/>
                <w:color w:val="auto"/>
              </w:rPr>
              <w:t>19 May 2017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 May 2025</w:t>
            </w:r>
          </w:p>
        </w:tc>
      </w:tr>
      <w:tr>
        <w:trPr>
          <w:trHeight w:val="183"/>
        </w:trPr>
        <w:tc>
          <w:tcPr>
            <w:tcW w:w="27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5,005</w:t>
            </w:r>
          </w:p>
        </w:tc>
        <w:tc>
          <w:tcPr>
            <w:tcW w:w="2200" w:type="dxa"/>
            <w:vAlign w:val="bottom"/>
            <w:tcBorders>
              <w:bottom w:val="single" w:sz="8" w:color="auto"/>
            </w:tcBorders>
          </w:tcPr>
          <w:p>
            <w:pPr>
              <w:jc w:val="right"/>
              <w:ind w:right="1176"/>
              <w:spacing w:after="0"/>
              <w:rPr>
                <w:sz w:val="20"/>
                <w:szCs w:val="20"/>
                <w:color w:val="auto"/>
              </w:rPr>
            </w:pPr>
            <w:r>
              <w:rPr>
                <w:rFonts w:ascii="Arial" w:cs="Arial" w:eastAsia="Arial" w:hAnsi="Arial"/>
                <w:sz w:val="13"/>
                <w:szCs w:val="13"/>
                <w:color w:val="auto"/>
              </w:rPr>
              <w:t>$125.74</w:t>
            </w:r>
          </w:p>
        </w:tc>
        <w:tc>
          <w:tcPr>
            <w:tcW w:w="2640" w:type="dxa"/>
            <w:vAlign w:val="bottom"/>
            <w:tcBorders>
              <w:bottom w:val="single" w:sz="8" w:color="auto"/>
            </w:tcBorders>
            <w:gridSpan w:val="2"/>
          </w:tcPr>
          <w:p>
            <w:pPr>
              <w:jc w:val="right"/>
              <w:ind w:right="596"/>
              <w:spacing w:after="0"/>
              <w:rPr>
                <w:sz w:val="20"/>
                <w:szCs w:val="20"/>
                <w:color w:val="auto"/>
              </w:rPr>
            </w:pPr>
            <w:r>
              <w:rPr>
                <w:rFonts w:ascii="Arial" w:cs="Arial" w:eastAsia="Arial" w:hAnsi="Arial"/>
                <w:sz w:val="13"/>
                <w:szCs w:val="13"/>
                <w:color w:val="auto"/>
              </w:rPr>
              <w:t>18 May 2018</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18 May 2026</w:t>
            </w:r>
          </w:p>
        </w:tc>
      </w:tr>
      <w:tr>
        <w:trPr>
          <w:trHeight w:val="157"/>
        </w:trPr>
        <w:tc>
          <w:tcPr>
            <w:tcW w:w="272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83"/>
        </w:trPr>
        <w:tc>
          <w:tcPr>
            <w:tcW w:w="2720" w:type="dxa"/>
            <w:vAlign w:val="bottom"/>
          </w:tcPr>
          <w:p>
            <w:pPr>
              <w:ind w:left="20"/>
              <w:spacing w:after="0"/>
              <w:rPr>
                <w:sz w:val="20"/>
                <w:szCs w:val="20"/>
                <w:color w:val="auto"/>
              </w:rPr>
            </w:pPr>
            <w:r>
              <w:rPr>
                <w:rFonts w:ascii="Arial" w:cs="Arial" w:eastAsia="Arial" w:hAnsi="Arial"/>
                <w:sz w:val="13"/>
                <w:szCs w:val="13"/>
                <w:color w:val="auto"/>
              </w:rPr>
              <w:t>Diarmaid Cunningham</w:t>
            </w:r>
          </w:p>
        </w:tc>
        <w:tc>
          <w:tcPr>
            <w:tcW w:w="2180" w:type="dxa"/>
            <w:vAlign w:val="bottom"/>
          </w:tcPr>
          <w:p>
            <w:pPr>
              <w:jc w:val="right"/>
              <w:ind w:right="296"/>
              <w:spacing w:after="0"/>
              <w:rPr>
                <w:sz w:val="20"/>
                <w:szCs w:val="20"/>
                <w:color w:val="auto"/>
              </w:rPr>
            </w:pPr>
            <w:r>
              <w:rPr>
                <w:rFonts w:ascii="Arial" w:cs="Arial" w:eastAsia="Arial" w:hAnsi="Arial"/>
                <w:sz w:val="13"/>
                <w:szCs w:val="13"/>
                <w:color w:val="auto"/>
              </w:rPr>
              <w:t>519</w:t>
            </w:r>
          </w:p>
        </w:tc>
        <w:tc>
          <w:tcPr>
            <w:tcW w:w="2200" w:type="dxa"/>
            <w:vAlign w:val="bottom"/>
          </w:tcPr>
          <w:p>
            <w:pPr>
              <w:jc w:val="right"/>
              <w:ind w:right="1176"/>
              <w:spacing w:after="0"/>
              <w:rPr>
                <w:sz w:val="20"/>
                <w:szCs w:val="20"/>
                <w:color w:val="auto"/>
              </w:rPr>
            </w:pPr>
            <w:r>
              <w:rPr>
                <w:rFonts w:ascii="Arial" w:cs="Arial" w:eastAsia="Arial" w:hAnsi="Arial"/>
                <w:sz w:val="13"/>
                <w:szCs w:val="13"/>
                <w:color w:val="auto"/>
              </w:rPr>
              <w:t>$47.03</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tcPr>
          <w:p>
            <w:pPr>
              <w:jc w:val="right"/>
              <w:ind w:right="596"/>
              <w:spacing w:after="0"/>
              <w:rPr>
                <w:sz w:val="20"/>
                <w:szCs w:val="20"/>
                <w:color w:val="auto"/>
              </w:rPr>
            </w:pPr>
            <w:r>
              <w:rPr>
                <w:rFonts w:ascii="Arial" w:cs="Arial" w:eastAsia="Arial" w:hAnsi="Arial"/>
                <w:sz w:val="13"/>
                <w:szCs w:val="13"/>
                <w:color w:val="auto"/>
                <w:w w:val="98"/>
              </w:rPr>
              <w:t>March 2014</w:t>
            </w: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700" w:type="dxa"/>
            <w:vAlign w:val="bottom"/>
          </w:tcPr>
          <w:p>
            <w:pPr>
              <w:jc w:val="right"/>
              <w:spacing w:after="0"/>
              <w:rPr>
                <w:sz w:val="20"/>
                <w:szCs w:val="20"/>
                <w:color w:val="auto"/>
              </w:rPr>
            </w:pPr>
            <w:r>
              <w:rPr>
                <w:rFonts w:ascii="Arial" w:cs="Arial" w:eastAsia="Arial" w:hAnsi="Arial"/>
                <w:sz w:val="13"/>
                <w:szCs w:val="13"/>
                <w:color w:val="auto"/>
                <w:w w:val="96"/>
              </w:rPr>
              <w:t>March 2022</w:t>
            </w:r>
          </w:p>
        </w:tc>
      </w:tr>
      <w:tr>
        <w:trPr>
          <w:trHeight w:val="199"/>
        </w:trPr>
        <w:tc>
          <w:tcPr>
            <w:tcW w:w="272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1,115</w:t>
            </w:r>
          </w:p>
        </w:tc>
        <w:tc>
          <w:tcPr>
            <w:tcW w:w="2200" w:type="dxa"/>
            <w:vAlign w:val="bottom"/>
            <w:shd w:val="clear" w:color="auto" w:fill="CCEEFF"/>
          </w:tcPr>
          <w:p>
            <w:pPr>
              <w:jc w:val="right"/>
              <w:ind w:right="1176"/>
              <w:spacing w:after="0"/>
              <w:rPr>
                <w:sz w:val="20"/>
                <w:szCs w:val="20"/>
                <w:color w:val="auto"/>
              </w:rPr>
            </w:pPr>
            <w:r>
              <w:rPr>
                <w:rFonts w:ascii="Arial" w:cs="Arial" w:eastAsia="Arial" w:hAnsi="Arial"/>
                <w:sz w:val="13"/>
                <w:szCs w:val="13"/>
                <w:color w:val="auto"/>
              </w:rPr>
              <w:t>$48.67</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3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2014</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March 2022</w:t>
            </w:r>
          </w:p>
        </w:tc>
      </w:tr>
      <w:tr>
        <w:trPr>
          <w:trHeight w:val="183"/>
        </w:trPr>
        <w:tc>
          <w:tcPr>
            <w:tcW w:w="2720" w:type="dxa"/>
            <w:vAlign w:val="bottom"/>
          </w:tcPr>
          <w:p>
            <w:pPr>
              <w:spacing w:after="0"/>
              <w:rPr>
                <w:sz w:val="15"/>
                <w:szCs w:val="15"/>
                <w:color w:val="auto"/>
              </w:rPr>
            </w:pPr>
          </w:p>
        </w:tc>
        <w:tc>
          <w:tcPr>
            <w:tcW w:w="2180" w:type="dxa"/>
            <w:vAlign w:val="bottom"/>
          </w:tcPr>
          <w:p>
            <w:pPr>
              <w:jc w:val="right"/>
              <w:ind w:right="296"/>
              <w:spacing w:after="0"/>
              <w:rPr>
                <w:sz w:val="20"/>
                <w:szCs w:val="20"/>
                <w:color w:val="auto"/>
              </w:rPr>
            </w:pPr>
            <w:r>
              <w:rPr>
                <w:rFonts w:ascii="Arial" w:cs="Arial" w:eastAsia="Arial" w:hAnsi="Arial"/>
                <w:sz w:val="13"/>
                <w:szCs w:val="13"/>
                <w:color w:val="auto"/>
              </w:rPr>
              <w:t>3,750</w:t>
            </w:r>
          </w:p>
        </w:tc>
        <w:tc>
          <w:tcPr>
            <w:tcW w:w="2200" w:type="dxa"/>
            <w:vAlign w:val="bottom"/>
          </w:tcPr>
          <w:p>
            <w:pPr>
              <w:jc w:val="right"/>
              <w:ind w:right="1176"/>
              <w:spacing w:after="0"/>
              <w:rPr>
                <w:sz w:val="20"/>
                <w:szCs w:val="20"/>
                <w:color w:val="auto"/>
              </w:rPr>
            </w:pPr>
            <w:r>
              <w:rPr>
                <w:rFonts w:ascii="Arial" w:cs="Arial" w:eastAsia="Arial" w:hAnsi="Arial"/>
                <w:sz w:val="13"/>
                <w:szCs w:val="13"/>
                <w:color w:val="auto"/>
              </w:rPr>
              <w:t>$68.39</w:t>
            </w:r>
          </w:p>
        </w:tc>
        <w:tc>
          <w:tcPr>
            <w:tcW w:w="1280" w:type="dxa"/>
            <w:vAlign w:val="bottom"/>
          </w:tcPr>
          <w:p>
            <w:pPr>
              <w:jc w:val="right"/>
              <w:spacing w:after="0"/>
              <w:rPr>
                <w:sz w:val="20"/>
                <w:szCs w:val="20"/>
                <w:color w:val="auto"/>
              </w:rPr>
            </w:pPr>
            <w:r>
              <w:rPr>
                <w:rFonts w:ascii="Arial" w:cs="Arial" w:eastAsia="Arial" w:hAnsi="Arial"/>
                <w:sz w:val="13"/>
                <w:szCs w:val="13"/>
                <w:color w:val="auto"/>
              </w:rPr>
              <w:t>18</w:t>
            </w:r>
          </w:p>
        </w:tc>
        <w:tc>
          <w:tcPr>
            <w:tcW w:w="1360" w:type="dxa"/>
            <w:vAlign w:val="bottom"/>
          </w:tcPr>
          <w:p>
            <w:pPr>
              <w:jc w:val="right"/>
              <w:ind w:right="596"/>
              <w:spacing w:after="0"/>
              <w:rPr>
                <w:sz w:val="20"/>
                <w:szCs w:val="20"/>
                <w:color w:val="auto"/>
              </w:rPr>
            </w:pPr>
            <w:r>
              <w:rPr>
                <w:rFonts w:ascii="Arial" w:cs="Arial" w:eastAsia="Arial" w:hAnsi="Arial"/>
                <w:sz w:val="13"/>
                <w:szCs w:val="13"/>
                <w:color w:val="auto"/>
                <w:w w:val="98"/>
              </w:rPr>
              <w:t>March 2015</w:t>
            </w:r>
          </w:p>
        </w:tc>
        <w:tc>
          <w:tcPr>
            <w:tcW w:w="820" w:type="dxa"/>
            <w:vAlign w:val="bottom"/>
          </w:tcPr>
          <w:p>
            <w:pPr>
              <w:jc w:val="right"/>
              <w:spacing w:after="0"/>
              <w:rPr>
                <w:sz w:val="20"/>
                <w:szCs w:val="20"/>
                <w:color w:val="auto"/>
              </w:rPr>
            </w:pPr>
            <w:r>
              <w:rPr>
                <w:rFonts w:ascii="Arial" w:cs="Arial" w:eastAsia="Arial" w:hAnsi="Arial"/>
                <w:sz w:val="13"/>
                <w:szCs w:val="13"/>
                <w:color w:val="auto"/>
              </w:rPr>
              <w:t>18</w:t>
            </w:r>
          </w:p>
        </w:tc>
        <w:tc>
          <w:tcPr>
            <w:tcW w:w="700" w:type="dxa"/>
            <w:vAlign w:val="bottom"/>
          </w:tcPr>
          <w:p>
            <w:pPr>
              <w:jc w:val="right"/>
              <w:spacing w:after="0"/>
              <w:rPr>
                <w:sz w:val="20"/>
                <w:szCs w:val="20"/>
                <w:color w:val="auto"/>
              </w:rPr>
            </w:pPr>
            <w:r>
              <w:rPr>
                <w:rFonts w:ascii="Arial" w:cs="Arial" w:eastAsia="Arial" w:hAnsi="Arial"/>
                <w:sz w:val="13"/>
                <w:szCs w:val="13"/>
                <w:color w:val="auto"/>
                <w:w w:val="96"/>
              </w:rPr>
              <w:t>March 2023</w:t>
            </w:r>
          </w:p>
        </w:tc>
      </w:tr>
      <w:tr>
        <w:trPr>
          <w:trHeight w:val="199"/>
        </w:trPr>
        <w:tc>
          <w:tcPr>
            <w:tcW w:w="272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9,189</w:t>
            </w:r>
          </w:p>
        </w:tc>
        <w:tc>
          <w:tcPr>
            <w:tcW w:w="2200" w:type="dxa"/>
            <w:vAlign w:val="bottom"/>
            <w:shd w:val="clear" w:color="auto" w:fill="CCEEFF"/>
          </w:tcPr>
          <w:p>
            <w:pPr>
              <w:jc w:val="right"/>
              <w:ind w:right="1176"/>
              <w:spacing w:after="0"/>
              <w:rPr>
                <w:sz w:val="20"/>
                <w:szCs w:val="20"/>
                <w:color w:val="auto"/>
              </w:rPr>
            </w:pPr>
            <w:r>
              <w:rPr>
                <w:rFonts w:ascii="Arial" w:cs="Arial" w:eastAsia="Arial" w:hAnsi="Arial"/>
                <w:sz w:val="13"/>
                <w:szCs w:val="13"/>
                <w:color w:val="auto"/>
              </w:rPr>
              <w:t>$71.95</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3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2016</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March 2024</w:t>
            </w:r>
          </w:p>
        </w:tc>
      </w:tr>
      <w:tr>
        <w:trPr>
          <w:trHeight w:val="183"/>
        </w:trPr>
        <w:tc>
          <w:tcPr>
            <w:tcW w:w="2720" w:type="dxa"/>
            <w:vAlign w:val="bottom"/>
          </w:tcPr>
          <w:p>
            <w:pPr>
              <w:spacing w:after="0"/>
              <w:rPr>
                <w:sz w:val="15"/>
                <w:szCs w:val="15"/>
                <w:color w:val="auto"/>
              </w:rPr>
            </w:pPr>
          </w:p>
        </w:tc>
        <w:tc>
          <w:tcPr>
            <w:tcW w:w="2180" w:type="dxa"/>
            <w:vAlign w:val="bottom"/>
          </w:tcPr>
          <w:p>
            <w:pPr>
              <w:jc w:val="right"/>
              <w:ind w:right="296"/>
              <w:spacing w:after="0"/>
              <w:rPr>
                <w:sz w:val="20"/>
                <w:szCs w:val="20"/>
                <w:color w:val="auto"/>
              </w:rPr>
            </w:pPr>
            <w:r>
              <w:rPr>
                <w:rFonts w:ascii="Arial" w:cs="Arial" w:eastAsia="Arial" w:hAnsi="Arial"/>
                <w:sz w:val="13"/>
                <w:szCs w:val="13"/>
                <w:color w:val="auto"/>
              </w:rPr>
              <w:t>8,188</w:t>
            </w:r>
          </w:p>
        </w:tc>
        <w:tc>
          <w:tcPr>
            <w:tcW w:w="2200" w:type="dxa"/>
            <w:vAlign w:val="bottom"/>
          </w:tcPr>
          <w:p>
            <w:pPr>
              <w:jc w:val="right"/>
              <w:ind w:right="1176"/>
              <w:spacing w:after="0"/>
              <w:rPr>
                <w:sz w:val="20"/>
                <w:szCs w:val="20"/>
                <w:color w:val="auto"/>
              </w:rPr>
            </w:pPr>
            <w:r>
              <w:rPr>
                <w:rFonts w:ascii="Arial" w:cs="Arial" w:eastAsia="Arial" w:hAnsi="Arial"/>
                <w:sz w:val="13"/>
                <w:szCs w:val="13"/>
                <w:color w:val="auto"/>
              </w:rPr>
              <w:t>$83.47</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360" w:type="dxa"/>
            <w:vAlign w:val="bottom"/>
          </w:tcPr>
          <w:p>
            <w:pPr>
              <w:jc w:val="right"/>
              <w:ind w:right="596"/>
              <w:spacing w:after="0"/>
              <w:rPr>
                <w:sz w:val="20"/>
                <w:szCs w:val="20"/>
                <w:color w:val="auto"/>
              </w:rPr>
            </w:pPr>
            <w:r>
              <w:rPr>
                <w:rFonts w:ascii="Arial" w:cs="Arial" w:eastAsia="Arial" w:hAnsi="Arial"/>
                <w:sz w:val="13"/>
                <w:szCs w:val="13"/>
                <w:color w:val="auto"/>
                <w:w w:val="98"/>
              </w:rPr>
              <w:t>March 2017</w:t>
            </w: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700" w:type="dxa"/>
            <w:vAlign w:val="bottom"/>
          </w:tcPr>
          <w:p>
            <w:pPr>
              <w:jc w:val="right"/>
              <w:spacing w:after="0"/>
              <w:rPr>
                <w:sz w:val="20"/>
                <w:szCs w:val="20"/>
                <w:color w:val="auto"/>
              </w:rPr>
            </w:pPr>
            <w:r>
              <w:rPr>
                <w:rFonts w:ascii="Arial" w:cs="Arial" w:eastAsia="Arial" w:hAnsi="Arial"/>
                <w:sz w:val="13"/>
                <w:szCs w:val="13"/>
                <w:color w:val="auto"/>
                <w:w w:val="96"/>
              </w:rPr>
              <w:t>March 2025</w:t>
            </w:r>
          </w:p>
        </w:tc>
      </w:tr>
      <w:tr>
        <w:trPr>
          <w:trHeight w:val="199"/>
        </w:trPr>
        <w:tc>
          <w:tcPr>
            <w:tcW w:w="272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7,211</w:t>
            </w:r>
          </w:p>
        </w:tc>
        <w:tc>
          <w:tcPr>
            <w:tcW w:w="2200" w:type="dxa"/>
            <w:vAlign w:val="bottom"/>
            <w:shd w:val="clear" w:color="auto" w:fill="CCEEFF"/>
          </w:tcPr>
          <w:p>
            <w:pPr>
              <w:jc w:val="right"/>
              <w:ind w:right="1176"/>
              <w:spacing w:after="0"/>
              <w:rPr>
                <w:sz w:val="20"/>
                <w:szCs w:val="20"/>
                <w:color w:val="auto"/>
              </w:rPr>
            </w:pPr>
            <w:r>
              <w:rPr>
                <w:rFonts w:ascii="Arial" w:cs="Arial" w:eastAsia="Arial" w:hAnsi="Arial"/>
                <w:sz w:val="13"/>
                <w:szCs w:val="13"/>
                <w:color w:val="auto"/>
              </w:rPr>
              <w:t>$115.11</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3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98"/>
              </w:rPr>
              <w:t>March 2018</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March 2026</w:t>
            </w:r>
          </w:p>
        </w:tc>
      </w:tr>
      <w:tr>
        <w:trPr>
          <w:trHeight w:val="183"/>
        </w:trPr>
        <w:tc>
          <w:tcPr>
            <w:tcW w:w="27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5,499</w:t>
            </w:r>
          </w:p>
        </w:tc>
        <w:tc>
          <w:tcPr>
            <w:tcW w:w="2200" w:type="dxa"/>
            <w:vAlign w:val="bottom"/>
            <w:tcBorders>
              <w:bottom w:val="single" w:sz="8" w:color="auto"/>
            </w:tcBorders>
          </w:tcPr>
          <w:p>
            <w:pPr>
              <w:jc w:val="right"/>
              <w:ind w:right="1176"/>
              <w:spacing w:after="0"/>
              <w:rPr>
                <w:sz w:val="20"/>
                <w:szCs w:val="20"/>
                <w:color w:val="auto"/>
              </w:rPr>
            </w:pPr>
            <w:r>
              <w:rPr>
                <w:rFonts w:ascii="Arial" w:cs="Arial" w:eastAsia="Arial" w:hAnsi="Arial"/>
                <w:sz w:val="13"/>
                <w:szCs w:val="13"/>
                <w:color w:val="auto"/>
              </w:rPr>
              <w:t>$140.38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3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color w:val="auto"/>
                <w:w w:val="98"/>
              </w:rPr>
              <w:t>March 2019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March 2027</w:t>
            </w:r>
          </w:p>
        </w:tc>
      </w:tr>
    </w:tbl>
    <w:p>
      <w:pPr>
        <w:spacing w:after="0" w:line="269" w:lineRule="exact"/>
        <w:rPr>
          <w:sz w:val="20"/>
          <w:szCs w:val="20"/>
          <w:color w:val="auto"/>
        </w:rPr>
      </w:pPr>
    </w:p>
    <w:p>
      <w:pPr>
        <w:ind w:left="200" w:hanging="195"/>
        <w:spacing w:after="0" w:line="267" w:lineRule="auto"/>
        <w:tabs>
          <w:tab w:leader="none" w:pos="85" w:val="left"/>
        </w:tabs>
        <w:numPr>
          <w:ilvl w:val="0"/>
          <w:numId w:val="27"/>
        </w:numPr>
        <w:rPr>
          <w:rFonts w:ascii="Arial" w:cs="Arial" w:eastAsia="Arial" w:hAnsi="Arial"/>
          <w:sz w:val="11"/>
          <w:szCs w:val="11"/>
          <w:color w:val="auto"/>
        </w:rPr>
      </w:pPr>
      <w:r>
        <w:rPr>
          <w:rFonts w:ascii="Arial" w:cs="Arial" w:eastAsia="Arial" w:hAnsi="Arial"/>
          <w:sz w:val="11"/>
          <w:szCs w:val="11"/>
          <w:color w:val="auto"/>
        </w:rPr>
        <w:t>In February 2018, the Board approved the appointment of Mr. Murray as non-Executive Chairman of the Board of Directors with effect from 12 May 2018. Mr. Murray ceased to be an employee of the Company as of this date. Mr. Murray was granted and held ordinary share options, Restricted Share units and Performance Share units as Chief Financial Officer, Chief Executive Officer and Executive Chairman. The vesting of the Ordinary Share Options and Restricted Share Units which were unvested on Mr. Murray ceasing to be an ICON plc employee (12 May 2018) were accelerated and the outstanding Ordinary Share Options and Restricted Share Units vested on that date. The unvested Performance Share Units with vesting dates between 12 May 2018 and March 2019 were forfeit on Mr. Murray ceasing to be an ICON plc employee on 12 May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80"/>
          </w:cols>
          <w:pgMar w:left="300" w:top="696" w:right="31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Restricted Share Units (“RSUs”) and Performance Share Units (“PSUs”) have been awarded to the Directors, Executive Officer and Company Secretary: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168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RSUs</w:t>
            </w:r>
          </w:p>
        </w:tc>
        <w:tc>
          <w:tcPr>
            <w:tcW w:w="176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Award date</w:t>
            </w:r>
          </w:p>
        </w:tc>
        <w:tc>
          <w:tcPr>
            <w:tcW w:w="156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Vesting Date</w:t>
            </w:r>
          </w:p>
        </w:tc>
        <w:tc>
          <w:tcPr>
            <w:tcW w:w="126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PSUs</w:t>
            </w:r>
            <w:r>
              <w:rPr>
                <w:rFonts w:ascii="Arial" w:cs="Arial" w:eastAsia="Arial" w:hAnsi="Arial"/>
                <w:sz w:val="16"/>
                <w:szCs w:val="16"/>
                <w:b w:val="1"/>
                <w:bCs w:val="1"/>
                <w:color w:val="auto"/>
                <w:vertAlign w:val="superscript"/>
              </w:rPr>
              <w:t>(1)</w:t>
            </w:r>
          </w:p>
        </w:tc>
        <w:tc>
          <w:tcPr>
            <w:tcW w:w="172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Award Date</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Vesting date</w:t>
            </w:r>
          </w:p>
        </w:tc>
      </w:tr>
      <w:tr>
        <w:trPr>
          <w:trHeight w:val="150"/>
        </w:trPr>
        <w:tc>
          <w:tcPr>
            <w:tcW w:w="20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3"/>
        </w:trPr>
        <w:tc>
          <w:tcPr>
            <w:tcW w:w="2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16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1,454</w:t>
            </w:r>
          </w:p>
        </w:tc>
        <w:tc>
          <w:tcPr>
            <w:tcW w:w="17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17 May 2019</w:t>
            </w:r>
          </w:p>
        </w:tc>
        <w:tc>
          <w:tcPr>
            <w:tcW w:w="15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17 May 2020</w:t>
            </w:r>
          </w:p>
        </w:tc>
        <w:tc>
          <w:tcPr>
            <w:tcW w:w="12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r>
      <w:tr>
        <w:trPr>
          <w:trHeight w:val="189"/>
        </w:trPr>
        <w:tc>
          <w:tcPr>
            <w:tcW w:w="20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1"/>
        </w:trPr>
        <w:tc>
          <w:tcPr>
            <w:tcW w:w="2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 Steve Cutler</w:t>
            </w:r>
          </w:p>
        </w:tc>
        <w:tc>
          <w:tcPr>
            <w:tcW w:w="168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5,272</w:t>
            </w:r>
          </w:p>
        </w:tc>
        <w:tc>
          <w:tcPr>
            <w:tcW w:w="17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2017</w:t>
            </w:r>
          </w:p>
        </w:tc>
        <w:tc>
          <w:tcPr>
            <w:tcW w:w="15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2020</w:t>
            </w:r>
          </w:p>
        </w:tc>
        <w:tc>
          <w:tcPr>
            <w:tcW w:w="126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rPr>
              <w:t>18,449</w:t>
            </w:r>
          </w:p>
        </w:tc>
        <w:tc>
          <w:tcPr>
            <w:tcW w:w="172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2017</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2020</w:t>
            </w:r>
          </w:p>
        </w:tc>
      </w:tr>
      <w:tr>
        <w:trPr>
          <w:trHeight w:val="183"/>
        </w:trPr>
        <w:tc>
          <w:tcPr>
            <w:tcW w:w="2020" w:type="dxa"/>
            <w:vAlign w:val="bottom"/>
          </w:tcPr>
          <w:p>
            <w:pPr>
              <w:spacing w:after="0"/>
              <w:rPr>
                <w:sz w:val="15"/>
                <w:szCs w:val="15"/>
                <w:color w:val="auto"/>
              </w:rPr>
            </w:pPr>
          </w:p>
        </w:tc>
        <w:tc>
          <w:tcPr>
            <w:tcW w:w="1680" w:type="dxa"/>
            <w:vAlign w:val="bottom"/>
          </w:tcPr>
          <w:p>
            <w:pPr>
              <w:jc w:val="right"/>
              <w:ind w:right="556"/>
              <w:spacing w:after="0"/>
              <w:rPr>
                <w:sz w:val="20"/>
                <w:szCs w:val="20"/>
                <w:color w:val="auto"/>
              </w:rPr>
            </w:pPr>
            <w:r>
              <w:rPr>
                <w:rFonts w:ascii="Arial" w:cs="Arial" w:eastAsia="Arial" w:hAnsi="Arial"/>
                <w:sz w:val="13"/>
                <w:szCs w:val="13"/>
                <w:color w:val="auto"/>
              </w:rPr>
              <w:t>4,299</w:t>
            </w:r>
          </w:p>
        </w:tc>
        <w:tc>
          <w:tcPr>
            <w:tcW w:w="1760" w:type="dxa"/>
            <w:vAlign w:val="bottom"/>
          </w:tcPr>
          <w:p>
            <w:pPr>
              <w:jc w:val="right"/>
              <w:ind w:right="416"/>
              <w:spacing w:after="0"/>
              <w:rPr>
                <w:sz w:val="20"/>
                <w:szCs w:val="20"/>
                <w:color w:val="auto"/>
              </w:rPr>
            </w:pPr>
            <w:r>
              <w:rPr>
                <w:rFonts w:ascii="Arial" w:cs="Arial" w:eastAsia="Arial" w:hAnsi="Arial"/>
                <w:sz w:val="13"/>
                <w:szCs w:val="13"/>
                <w:color w:val="auto"/>
              </w:rPr>
              <w:t>3 March 2018</w:t>
            </w:r>
          </w:p>
        </w:tc>
        <w:tc>
          <w:tcPr>
            <w:tcW w:w="1560" w:type="dxa"/>
            <w:vAlign w:val="bottom"/>
          </w:tcPr>
          <w:p>
            <w:pPr>
              <w:jc w:val="right"/>
              <w:ind w:right="236"/>
              <w:spacing w:after="0"/>
              <w:rPr>
                <w:sz w:val="20"/>
                <w:szCs w:val="20"/>
                <w:color w:val="auto"/>
              </w:rPr>
            </w:pPr>
            <w:r>
              <w:rPr>
                <w:rFonts w:ascii="Arial" w:cs="Arial" w:eastAsia="Arial" w:hAnsi="Arial"/>
                <w:sz w:val="13"/>
                <w:szCs w:val="13"/>
                <w:color w:val="auto"/>
              </w:rPr>
              <w:t>3 March 2020</w:t>
            </w:r>
          </w:p>
        </w:tc>
        <w:tc>
          <w:tcPr>
            <w:tcW w:w="1260" w:type="dxa"/>
            <w:vAlign w:val="bottom"/>
          </w:tcPr>
          <w:p>
            <w:pPr>
              <w:jc w:val="right"/>
              <w:ind w:right="516"/>
              <w:spacing w:after="0"/>
              <w:rPr>
                <w:sz w:val="20"/>
                <w:szCs w:val="20"/>
                <w:color w:val="auto"/>
              </w:rPr>
            </w:pPr>
            <w:r>
              <w:rPr>
                <w:rFonts w:ascii="Arial" w:cs="Arial" w:eastAsia="Arial" w:hAnsi="Arial"/>
                <w:sz w:val="13"/>
                <w:szCs w:val="13"/>
                <w:color w:val="auto"/>
              </w:rPr>
              <w:t>15,050</w:t>
            </w:r>
          </w:p>
        </w:tc>
        <w:tc>
          <w:tcPr>
            <w:tcW w:w="1720" w:type="dxa"/>
            <w:vAlign w:val="bottom"/>
          </w:tcPr>
          <w:p>
            <w:pPr>
              <w:jc w:val="right"/>
              <w:ind w:right="416"/>
              <w:spacing w:after="0"/>
              <w:rPr>
                <w:sz w:val="20"/>
                <w:szCs w:val="20"/>
                <w:color w:val="auto"/>
              </w:rPr>
            </w:pPr>
            <w:r>
              <w:rPr>
                <w:rFonts w:ascii="Arial" w:cs="Arial" w:eastAsia="Arial" w:hAnsi="Arial"/>
                <w:sz w:val="13"/>
                <w:szCs w:val="13"/>
                <w:color w:val="auto"/>
              </w:rPr>
              <w:t>3 March 2018</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2021</w:t>
            </w:r>
          </w:p>
        </w:tc>
      </w:tr>
      <w:tr>
        <w:trPr>
          <w:trHeight w:val="199"/>
        </w:trPr>
        <w:tc>
          <w:tcPr>
            <w:tcW w:w="20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3,578</w:t>
            </w:r>
          </w:p>
        </w:tc>
        <w:tc>
          <w:tcPr>
            <w:tcW w:w="17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2019</w:t>
            </w:r>
          </w:p>
        </w:tc>
        <w:tc>
          <w:tcPr>
            <w:tcW w:w="15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2020</w:t>
            </w:r>
          </w:p>
        </w:tc>
        <w:tc>
          <w:tcPr>
            <w:tcW w:w="126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rPr>
              <w:t>12,526</w:t>
            </w:r>
          </w:p>
        </w:tc>
        <w:tc>
          <w:tcPr>
            <w:tcW w:w="172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2019</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2022</w:t>
            </w:r>
          </w:p>
        </w:tc>
      </w:tr>
      <w:tr>
        <w:trPr>
          <w:trHeight w:val="183"/>
        </w:trPr>
        <w:tc>
          <w:tcPr>
            <w:tcW w:w="2020" w:type="dxa"/>
            <w:vAlign w:val="bottom"/>
          </w:tcPr>
          <w:p>
            <w:pPr>
              <w:spacing w:after="0"/>
              <w:rPr>
                <w:sz w:val="15"/>
                <w:szCs w:val="15"/>
                <w:color w:val="auto"/>
              </w:rPr>
            </w:pPr>
          </w:p>
        </w:tc>
        <w:tc>
          <w:tcPr>
            <w:tcW w:w="1680" w:type="dxa"/>
            <w:vAlign w:val="bottom"/>
          </w:tcPr>
          <w:p>
            <w:pPr>
              <w:jc w:val="right"/>
              <w:ind w:right="556"/>
              <w:spacing w:after="0"/>
              <w:rPr>
                <w:sz w:val="20"/>
                <w:szCs w:val="20"/>
                <w:color w:val="auto"/>
              </w:rPr>
            </w:pPr>
            <w:r>
              <w:rPr>
                <w:rFonts w:ascii="Arial" w:cs="Arial" w:eastAsia="Arial" w:hAnsi="Arial"/>
                <w:sz w:val="13"/>
                <w:szCs w:val="13"/>
                <w:color w:val="auto"/>
              </w:rPr>
              <w:t>4,302</w:t>
            </w:r>
          </w:p>
        </w:tc>
        <w:tc>
          <w:tcPr>
            <w:tcW w:w="1760" w:type="dxa"/>
            <w:vAlign w:val="bottom"/>
          </w:tcPr>
          <w:p>
            <w:pPr>
              <w:jc w:val="right"/>
              <w:ind w:right="416"/>
              <w:spacing w:after="0"/>
              <w:rPr>
                <w:sz w:val="20"/>
                <w:szCs w:val="20"/>
                <w:color w:val="auto"/>
              </w:rPr>
            </w:pPr>
            <w:r>
              <w:rPr>
                <w:rFonts w:ascii="Arial" w:cs="Arial" w:eastAsia="Arial" w:hAnsi="Arial"/>
                <w:sz w:val="13"/>
                <w:szCs w:val="13"/>
                <w:color w:val="auto"/>
              </w:rPr>
              <w:t>3 March 2018</w:t>
            </w:r>
          </w:p>
        </w:tc>
        <w:tc>
          <w:tcPr>
            <w:tcW w:w="1560" w:type="dxa"/>
            <w:vAlign w:val="bottom"/>
          </w:tcPr>
          <w:p>
            <w:pPr>
              <w:jc w:val="right"/>
              <w:ind w:right="236"/>
              <w:spacing w:after="0"/>
              <w:rPr>
                <w:sz w:val="20"/>
                <w:szCs w:val="20"/>
                <w:color w:val="auto"/>
              </w:rPr>
            </w:pPr>
            <w:r>
              <w:rPr>
                <w:rFonts w:ascii="Arial" w:cs="Arial" w:eastAsia="Arial" w:hAnsi="Arial"/>
                <w:sz w:val="13"/>
                <w:szCs w:val="13"/>
                <w:color w:val="auto"/>
              </w:rPr>
              <w:t>3 March 2021</w:t>
            </w: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9"/>
        </w:trPr>
        <w:tc>
          <w:tcPr>
            <w:tcW w:w="20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3,578</w:t>
            </w:r>
          </w:p>
        </w:tc>
        <w:tc>
          <w:tcPr>
            <w:tcW w:w="17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2019</w:t>
            </w:r>
          </w:p>
        </w:tc>
        <w:tc>
          <w:tcPr>
            <w:tcW w:w="15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2021</w:t>
            </w:r>
          </w:p>
        </w:tc>
        <w:tc>
          <w:tcPr>
            <w:tcW w:w="1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83"/>
        </w:trPr>
        <w:tc>
          <w:tcPr>
            <w:tcW w:w="20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3,581</w:t>
            </w:r>
          </w:p>
        </w:tc>
        <w:tc>
          <w:tcPr>
            <w:tcW w:w="17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3 March 2019</w:t>
            </w:r>
          </w:p>
        </w:tc>
        <w:tc>
          <w:tcPr>
            <w:tcW w:w="15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3 March 2022</w:t>
            </w:r>
          </w:p>
        </w:tc>
        <w:tc>
          <w:tcPr>
            <w:tcW w:w="1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89"/>
        </w:trPr>
        <w:tc>
          <w:tcPr>
            <w:tcW w:w="20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83"/>
        </w:trPr>
        <w:tc>
          <w:tcPr>
            <w:tcW w:w="2020" w:type="dxa"/>
            <w:vAlign w:val="bottom"/>
          </w:tcPr>
          <w:p>
            <w:pPr>
              <w:ind w:left="20"/>
              <w:spacing w:after="0"/>
              <w:rPr>
                <w:sz w:val="20"/>
                <w:szCs w:val="20"/>
                <w:color w:val="auto"/>
              </w:rPr>
            </w:pPr>
            <w:r>
              <w:rPr>
                <w:rFonts w:ascii="Arial" w:cs="Arial" w:eastAsia="Arial" w:hAnsi="Arial"/>
                <w:sz w:val="13"/>
                <w:szCs w:val="13"/>
                <w:color w:val="auto"/>
              </w:rPr>
              <w:t>Brendan Brennan</w:t>
            </w:r>
          </w:p>
        </w:tc>
        <w:tc>
          <w:tcPr>
            <w:tcW w:w="1680" w:type="dxa"/>
            <w:vAlign w:val="bottom"/>
          </w:tcPr>
          <w:p>
            <w:pPr>
              <w:jc w:val="right"/>
              <w:ind w:right="556"/>
              <w:spacing w:after="0"/>
              <w:rPr>
                <w:sz w:val="20"/>
                <w:szCs w:val="20"/>
                <w:color w:val="auto"/>
              </w:rPr>
            </w:pPr>
            <w:r>
              <w:rPr>
                <w:rFonts w:ascii="Arial" w:cs="Arial" w:eastAsia="Arial" w:hAnsi="Arial"/>
                <w:sz w:val="13"/>
                <w:szCs w:val="13"/>
                <w:color w:val="auto"/>
              </w:rPr>
              <w:t>1,192</w:t>
            </w:r>
          </w:p>
        </w:tc>
        <w:tc>
          <w:tcPr>
            <w:tcW w:w="1760" w:type="dxa"/>
            <w:vAlign w:val="bottom"/>
          </w:tcPr>
          <w:p>
            <w:pPr>
              <w:jc w:val="right"/>
              <w:ind w:right="416"/>
              <w:spacing w:after="0"/>
              <w:rPr>
                <w:sz w:val="20"/>
                <w:szCs w:val="20"/>
                <w:color w:val="auto"/>
              </w:rPr>
            </w:pPr>
            <w:r>
              <w:rPr>
                <w:rFonts w:ascii="Arial" w:cs="Arial" w:eastAsia="Arial" w:hAnsi="Arial"/>
                <w:sz w:val="13"/>
                <w:szCs w:val="13"/>
                <w:color w:val="auto"/>
              </w:rPr>
              <w:t>3 March 2017</w:t>
            </w:r>
          </w:p>
        </w:tc>
        <w:tc>
          <w:tcPr>
            <w:tcW w:w="1560" w:type="dxa"/>
            <w:vAlign w:val="bottom"/>
          </w:tcPr>
          <w:p>
            <w:pPr>
              <w:jc w:val="right"/>
              <w:ind w:right="236"/>
              <w:spacing w:after="0"/>
              <w:rPr>
                <w:sz w:val="20"/>
                <w:szCs w:val="20"/>
                <w:color w:val="auto"/>
              </w:rPr>
            </w:pPr>
            <w:r>
              <w:rPr>
                <w:rFonts w:ascii="Arial" w:cs="Arial" w:eastAsia="Arial" w:hAnsi="Arial"/>
                <w:sz w:val="13"/>
                <w:szCs w:val="13"/>
                <w:color w:val="auto"/>
              </w:rPr>
              <w:t>3 March 2020</w:t>
            </w:r>
          </w:p>
        </w:tc>
        <w:tc>
          <w:tcPr>
            <w:tcW w:w="1260" w:type="dxa"/>
            <w:vAlign w:val="bottom"/>
          </w:tcPr>
          <w:p>
            <w:pPr>
              <w:jc w:val="right"/>
              <w:ind w:right="516"/>
              <w:spacing w:after="0"/>
              <w:rPr>
                <w:sz w:val="20"/>
                <w:szCs w:val="20"/>
                <w:color w:val="auto"/>
              </w:rPr>
            </w:pPr>
            <w:r>
              <w:rPr>
                <w:rFonts w:ascii="Arial" w:cs="Arial" w:eastAsia="Arial" w:hAnsi="Arial"/>
                <w:sz w:val="13"/>
                <w:szCs w:val="13"/>
                <w:color w:val="auto"/>
              </w:rPr>
              <w:t>4,167</w:t>
            </w:r>
          </w:p>
        </w:tc>
        <w:tc>
          <w:tcPr>
            <w:tcW w:w="1720" w:type="dxa"/>
            <w:vAlign w:val="bottom"/>
          </w:tcPr>
          <w:p>
            <w:pPr>
              <w:jc w:val="right"/>
              <w:ind w:right="416"/>
              <w:spacing w:after="0"/>
              <w:rPr>
                <w:sz w:val="20"/>
                <w:szCs w:val="20"/>
                <w:color w:val="auto"/>
              </w:rPr>
            </w:pPr>
            <w:r>
              <w:rPr>
                <w:rFonts w:ascii="Arial" w:cs="Arial" w:eastAsia="Arial" w:hAnsi="Arial"/>
                <w:sz w:val="13"/>
                <w:szCs w:val="13"/>
                <w:color w:val="auto"/>
              </w:rPr>
              <w:t>3 March 2017</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2020</w:t>
            </w:r>
          </w:p>
        </w:tc>
      </w:tr>
      <w:tr>
        <w:trPr>
          <w:trHeight w:val="199"/>
        </w:trPr>
        <w:tc>
          <w:tcPr>
            <w:tcW w:w="20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1,009</w:t>
            </w:r>
          </w:p>
        </w:tc>
        <w:tc>
          <w:tcPr>
            <w:tcW w:w="17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2018</w:t>
            </w:r>
          </w:p>
        </w:tc>
        <w:tc>
          <w:tcPr>
            <w:tcW w:w="15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2020</w:t>
            </w:r>
          </w:p>
        </w:tc>
        <w:tc>
          <w:tcPr>
            <w:tcW w:w="126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rPr>
              <w:t>3,532</w:t>
            </w:r>
          </w:p>
        </w:tc>
        <w:tc>
          <w:tcPr>
            <w:tcW w:w="172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2018</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2021</w:t>
            </w:r>
          </w:p>
        </w:tc>
      </w:tr>
      <w:tr>
        <w:trPr>
          <w:trHeight w:val="183"/>
        </w:trPr>
        <w:tc>
          <w:tcPr>
            <w:tcW w:w="2020" w:type="dxa"/>
            <w:vAlign w:val="bottom"/>
          </w:tcPr>
          <w:p>
            <w:pPr>
              <w:spacing w:after="0"/>
              <w:rPr>
                <w:sz w:val="15"/>
                <w:szCs w:val="15"/>
                <w:color w:val="auto"/>
              </w:rPr>
            </w:pPr>
          </w:p>
        </w:tc>
        <w:tc>
          <w:tcPr>
            <w:tcW w:w="1680" w:type="dxa"/>
            <w:vAlign w:val="bottom"/>
          </w:tcPr>
          <w:p>
            <w:pPr>
              <w:jc w:val="right"/>
              <w:ind w:right="556"/>
              <w:spacing w:after="0"/>
              <w:rPr>
                <w:sz w:val="20"/>
                <w:szCs w:val="20"/>
                <w:color w:val="auto"/>
              </w:rPr>
            </w:pPr>
            <w:r>
              <w:rPr>
                <w:rFonts w:ascii="Arial" w:cs="Arial" w:eastAsia="Arial" w:hAnsi="Arial"/>
                <w:sz w:val="13"/>
                <w:szCs w:val="13"/>
                <w:color w:val="auto"/>
              </w:rPr>
              <w:t>780</w:t>
            </w:r>
          </w:p>
        </w:tc>
        <w:tc>
          <w:tcPr>
            <w:tcW w:w="1760" w:type="dxa"/>
            <w:vAlign w:val="bottom"/>
          </w:tcPr>
          <w:p>
            <w:pPr>
              <w:jc w:val="right"/>
              <w:ind w:right="416"/>
              <w:spacing w:after="0"/>
              <w:rPr>
                <w:sz w:val="20"/>
                <w:szCs w:val="20"/>
                <w:color w:val="auto"/>
              </w:rPr>
            </w:pPr>
            <w:r>
              <w:rPr>
                <w:rFonts w:ascii="Arial" w:cs="Arial" w:eastAsia="Arial" w:hAnsi="Arial"/>
                <w:sz w:val="13"/>
                <w:szCs w:val="13"/>
                <w:color w:val="auto"/>
              </w:rPr>
              <w:t>3 March 2019</w:t>
            </w:r>
          </w:p>
        </w:tc>
        <w:tc>
          <w:tcPr>
            <w:tcW w:w="1560" w:type="dxa"/>
            <w:vAlign w:val="bottom"/>
          </w:tcPr>
          <w:p>
            <w:pPr>
              <w:jc w:val="right"/>
              <w:ind w:right="236"/>
              <w:spacing w:after="0"/>
              <w:rPr>
                <w:sz w:val="20"/>
                <w:szCs w:val="20"/>
                <w:color w:val="auto"/>
              </w:rPr>
            </w:pPr>
            <w:r>
              <w:rPr>
                <w:rFonts w:ascii="Arial" w:cs="Arial" w:eastAsia="Arial" w:hAnsi="Arial"/>
                <w:sz w:val="13"/>
                <w:szCs w:val="13"/>
                <w:color w:val="auto"/>
              </w:rPr>
              <w:t>3 March 2020</w:t>
            </w:r>
          </w:p>
        </w:tc>
        <w:tc>
          <w:tcPr>
            <w:tcW w:w="1260" w:type="dxa"/>
            <w:vAlign w:val="bottom"/>
          </w:tcPr>
          <w:p>
            <w:pPr>
              <w:jc w:val="right"/>
              <w:ind w:right="516"/>
              <w:spacing w:after="0"/>
              <w:rPr>
                <w:sz w:val="20"/>
                <w:szCs w:val="20"/>
                <w:color w:val="auto"/>
              </w:rPr>
            </w:pPr>
            <w:r>
              <w:rPr>
                <w:rFonts w:ascii="Arial" w:cs="Arial" w:eastAsia="Arial" w:hAnsi="Arial"/>
                <w:sz w:val="13"/>
                <w:szCs w:val="13"/>
                <w:color w:val="auto"/>
              </w:rPr>
              <w:t>2,731</w:t>
            </w:r>
          </w:p>
        </w:tc>
        <w:tc>
          <w:tcPr>
            <w:tcW w:w="1720" w:type="dxa"/>
            <w:vAlign w:val="bottom"/>
          </w:tcPr>
          <w:p>
            <w:pPr>
              <w:jc w:val="right"/>
              <w:ind w:right="416"/>
              <w:spacing w:after="0"/>
              <w:rPr>
                <w:sz w:val="20"/>
                <w:szCs w:val="20"/>
                <w:color w:val="auto"/>
              </w:rPr>
            </w:pPr>
            <w:r>
              <w:rPr>
                <w:rFonts w:ascii="Arial" w:cs="Arial" w:eastAsia="Arial" w:hAnsi="Arial"/>
                <w:sz w:val="13"/>
                <w:szCs w:val="13"/>
                <w:color w:val="auto"/>
              </w:rPr>
              <w:t>3 March 2019</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2022</w:t>
            </w:r>
          </w:p>
        </w:tc>
      </w:tr>
      <w:tr>
        <w:trPr>
          <w:trHeight w:val="199"/>
        </w:trPr>
        <w:tc>
          <w:tcPr>
            <w:tcW w:w="20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1,010</w:t>
            </w:r>
          </w:p>
        </w:tc>
        <w:tc>
          <w:tcPr>
            <w:tcW w:w="17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2018</w:t>
            </w:r>
          </w:p>
        </w:tc>
        <w:tc>
          <w:tcPr>
            <w:tcW w:w="15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2021</w:t>
            </w:r>
          </w:p>
        </w:tc>
        <w:tc>
          <w:tcPr>
            <w:tcW w:w="1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83"/>
        </w:trPr>
        <w:tc>
          <w:tcPr>
            <w:tcW w:w="2020" w:type="dxa"/>
            <w:vAlign w:val="bottom"/>
          </w:tcPr>
          <w:p>
            <w:pPr>
              <w:spacing w:after="0"/>
              <w:rPr>
                <w:sz w:val="15"/>
                <w:szCs w:val="15"/>
                <w:color w:val="auto"/>
              </w:rPr>
            </w:pPr>
          </w:p>
        </w:tc>
        <w:tc>
          <w:tcPr>
            <w:tcW w:w="1680" w:type="dxa"/>
            <w:vAlign w:val="bottom"/>
          </w:tcPr>
          <w:p>
            <w:pPr>
              <w:jc w:val="right"/>
              <w:ind w:right="556"/>
              <w:spacing w:after="0"/>
              <w:rPr>
                <w:sz w:val="20"/>
                <w:szCs w:val="20"/>
                <w:color w:val="auto"/>
              </w:rPr>
            </w:pPr>
            <w:r>
              <w:rPr>
                <w:rFonts w:ascii="Arial" w:cs="Arial" w:eastAsia="Arial" w:hAnsi="Arial"/>
                <w:sz w:val="13"/>
                <w:szCs w:val="13"/>
                <w:color w:val="auto"/>
              </w:rPr>
              <w:t>780</w:t>
            </w:r>
          </w:p>
        </w:tc>
        <w:tc>
          <w:tcPr>
            <w:tcW w:w="1760" w:type="dxa"/>
            <w:vAlign w:val="bottom"/>
          </w:tcPr>
          <w:p>
            <w:pPr>
              <w:jc w:val="right"/>
              <w:ind w:right="416"/>
              <w:spacing w:after="0"/>
              <w:rPr>
                <w:sz w:val="20"/>
                <w:szCs w:val="20"/>
                <w:color w:val="auto"/>
              </w:rPr>
            </w:pPr>
            <w:r>
              <w:rPr>
                <w:rFonts w:ascii="Arial" w:cs="Arial" w:eastAsia="Arial" w:hAnsi="Arial"/>
                <w:sz w:val="13"/>
                <w:szCs w:val="13"/>
                <w:color w:val="auto"/>
              </w:rPr>
              <w:t>3 March 2019</w:t>
            </w:r>
          </w:p>
        </w:tc>
        <w:tc>
          <w:tcPr>
            <w:tcW w:w="1560" w:type="dxa"/>
            <w:vAlign w:val="bottom"/>
          </w:tcPr>
          <w:p>
            <w:pPr>
              <w:jc w:val="right"/>
              <w:ind w:right="236"/>
              <w:spacing w:after="0"/>
              <w:rPr>
                <w:sz w:val="20"/>
                <w:szCs w:val="20"/>
                <w:color w:val="auto"/>
              </w:rPr>
            </w:pPr>
            <w:r>
              <w:rPr>
                <w:rFonts w:ascii="Arial" w:cs="Arial" w:eastAsia="Arial" w:hAnsi="Arial"/>
                <w:sz w:val="13"/>
                <w:szCs w:val="13"/>
                <w:color w:val="auto"/>
              </w:rPr>
              <w:t>3 March 2021</w:t>
            </w: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1"/>
        </w:trPr>
        <w:tc>
          <w:tcPr>
            <w:tcW w:w="20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781</w:t>
            </w:r>
          </w:p>
        </w:tc>
        <w:tc>
          <w:tcPr>
            <w:tcW w:w="17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3 March 2019</w:t>
            </w:r>
          </w:p>
        </w:tc>
        <w:tc>
          <w:tcPr>
            <w:tcW w:w="15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3 March 2022</w:t>
            </w:r>
          </w:p>
        </w:tc>
        <w:tc>
          <w:tcPr>
            <w:tcW w:w="126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r>
      <w:tr>
        <w:trPr>
          <w:trHeight w:val="157"/>
        </w:trPr>
        <w:tc>
          <w:tcPr>
            <w:tcW w:w="20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3"/>
        </w:trPr>
        <w:tc>
          <w:tcPr>
            <w:tcW w:w="2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16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1,454</w:t>
            </w:r>
          </w:p>
        </w:tc>
        <w:tc>
          <w:tcPr>
            <w:tcW w:w="17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17 May 2019</w:t>
            </w:r>
          </w:p>
        </w:tc>
        <w:tc>
          <w:tcPr>
            <w:tcW w:w="15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17 May 2020</w:t>
            </w:r>
          </w:p>
        </w:tc>
        <w:tc>
          <w:tcPr>
            <w:tcW w:w="12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r>
      <w:tr>
        <w:trPr>
          <w:trHeight w:val="157"/>
        </w:trPr>
        <w:tc>
          <w:tcPr>
            <w:tcW w:w="20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3"/>
        </w:trPr>
        <w:tc>
          <w:tcPr>
            <w:tcW w:w="2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Professor Hugh Brady</w:t>
            </w:r>
          </w:p>
        </w:tc>
        <w:tc>
          <w:tcPr>
            <w:tcW w:w="16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1,454</w:t>
            </w:r>
          </w:p>
        </w:tc>
        <w:tc>
          <w:tcPr>
            <w:tcW w:w="17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17 May 2019</w:t>
            </w:r>
          </w:p>
        </w:tc>
        <w:tc>
          <w:tcPr>
            <w:tcW w:w="15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17 May 2020</w:t>
            </w:r>
          </w:p>
        </w:tc>
        <w:tc>
          <w:tcPr>
            <w:tcW w:w="12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r>
      <w:tr>
        <w:trPr>
          <w:trHeight w:val="157"/>
        </w:trPr>
        <w:tc>
          <w:tcPr>
            <w:tcW w:w="20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3"/>
        </w:trPr>
        <w:tc>
          <w:tcPr>
            <w:tcW w:w="2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John Climax</w:t>
            </w:r>
          </w:p>
        </w:tc>
        <w:tc>
          <w:tcPr>
            <w:tcW w:w="16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1,454</w:t>
            </w:r>
          </w:p>
        </w:tc>
        <w:tc>
          <w:tcPr>
            <w:tcW w:w="17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17 May 2019</w:t>
            </w:r>
          </w:p>
        </w:tc>
        <w:tc>
          <w:tcPr>
            <w:tcW w:w="15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17 May 2020</w:t>
            </w:r>
          </w:p>
        </w:tc>
        <w:tc>
          <w:tcPr>
            <w:tcW w:w="12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r>
      <w:tr>
        <w:trPr>
          <w:trHeight w:val="157"/>
        </w:trPr>
        <w:tc>
          <w:tcPr>
            <w:tcW w:w="20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3"/>
        </w:trPr>
        <w:tc>
          <w:tcPr>
            <w:tcW w:w="2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Joan Garahy</w:t>
            </w:r>
          </w:p>
        </w:tc>
        <w:tc>
          <w:tcPr>
            <w:tcW w:w="16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1,454</w:t>
            </w:r>
          </w:p>
        </w:tc>
        <w:tc>
          <w:tcPr>
            <w:tcW w:w="17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17 May 2019</w:t>
            </w:r>
          </w:p>
        </w:tc>
        <w:tc>
          <w:tcPr>
            <w:tcW w:w="15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17 May 2020</w:t>
            </w:r>
          </w:p>
        </w:tc>
        <w:tc>
          <w:tcPr>
            <w:tcW w:w="12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r>
      <w:tr>
        <w:trPr>
          <w:trHeight w:val="157"/>
        </w:trPr>
        <w:tc>
          <w:tcPr>
            <w:tcW w:w="20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3"/>
        </w:trPr>
        <w:tc>
          <w:tcPr>
            <w:tcW w:w="2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Professor William Hall</w:t>
            </w:r>
          </w:p>
        </w:tc>
        <w:tc>
          <w:tcPr>
            <w:tcW w:w="16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1,454</w:t>
            </w:r>
          </w:p>
        </w:tc>
        <w:tc>
          <w:tcPr>
            <w:tcW w:w="17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17 May 2019</w:t>
            </w:r>
          </w:p>
        </w:tc>
        <w:tc>
          <w:tcPr>
            <w:tcW w:w="15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17 May 2020</w:t>
            </w:r>
          </w:p>
        </w:tc>
        <w:tc>
          <w:tcPr>
            <w:tcW w:w="12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r>
      <w:tr>
        <w:trPr>
          <w:trHeight w:val="157"/>
        </w:trPr>
        <w:tc>
          <w:tcPr>
            <w:tcW w:w="20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3"/>
        </w:trPr>
        <w:tc>
          <w:tcPr>
            <w:tcW w:w="2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16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1,454</w:t>
            </w:r>
          </w:p>
        </w:tc>
        <w:tc>
          <w:tcPr>
            <w:tcW w:w="17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17 May 2019</w:t>
            </w:r>
          </w:p>
        </w:tc>
        <w:tc>
          <w:tcPr>
            <w:tcW w:w="15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17 May 2020</w:t>
            </w:r>
          </w:p>
        </w:tc>
        <w:tc>
          <w:tcPr>
            <w:tcW w:w="12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r>
      <w:tr>
        <w:trPr>
          <w:trHeight w:val="157"/>
        </w:trPr>
        <w:tc>
          <w:tcPr>
            <w:tcW w:w="20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3"/>
        </w:trPr>
        <w:tc>
          <w:tcPr>
            <w:tcW w:w="2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Julie O'Neill</w:t>
            </w:r>
          </w:p>
        </w:tc>
        <w:tc>
          <w:tcPr>
            <w:tcW w:w="16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1,066</w:t>
            </w:r>
          </w:p>
        </w:tc>
        <w:tc>
          <w:tcPr>
            <w:tcW w:w="17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9 August 2019</w:t>
            </w:r>
          </w:p>
        </w:tc>
        <w:tc>
          <w:tcPr>
            <w:tcW w:w="15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17 May 2020</w:t>
            </w:r>
          </w:p>
        </w:tc>
        <w:tc>
          <w:tcPr>
            <w:tcW w:w="12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r>
      <w:tr>
        <w:trPr>
          <w:trHeight w:val="157"/>
        </w:trPr>
        <w:tc>
          <w:tcPr>
            <w:tcW w:w="20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3"/>
        </w:trPr>
        <w:tc>
          <w:tcPr>
            <w:tcW w:w="2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Mary Pendergast</w:t>
            </w:r>
          </w:p>
        </w:tc>
        <w:tc>
          <w:tcPr>
            <w:tcW w:w="168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1,454</w:t>
            </w:r>
          </w:p>
        </w:tc>
        <w:tc>
          <w:tcPr>
            <w:tcW w:w="17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17 May 2019</w:t>
            </w:r>
          </w:p>
        </w:tc>
        <w:tc>
          <w:tcPr>
            <w:tcW w:w="15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17 May 2020</w:t>
            </w:r>
          </w:p>
        </w:tc>
        <w:tc>
          <w:tcPr>
            <w:tcW w:w="12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r>
      <w:tr>
        <w:trPr>
          <w:trHeight w:val="157"/>
        </w:trPr>
        <w:tc>
          <w:tcPr>
            <w:tcW w:w="20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91"/>
        </w:trPr>
        <w:tc>
          <w:tcPr>
            <w:tcW w:w="2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Diarmaid Cunningham</w:t>
            </w:r>
          </w:p>
        </w:tc>
        <w:tc>
          <w:tcPr>
            <w:tcW w:w="168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859</w:t>
            </w:r>
          </w:p>
        </w:tc>
        <w:tc>
          <w:tcPr>
            <w:tcW w:w="17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2017</w:t>
            </w:r>
          </w:p>
        </w:tc>
        <w:tc>
          <w:tcPr>
            <w:tcW w:w="15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2020</w:t>
            </w:r>
          </w:p>
        </w:tc>
        <w:tc>
          <w:tcPr>
            <w:tcW w:w="126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rPr>
              <w:t>3,002</w:t>
            </w:r>
          </w:p>
        </w:tc>
        <w:tc>
          <w:tcPr>
            <w:tcW w:w="172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2017</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2020</w:t>
            </w:r>
          </w:p>
        </w:tc>
      </w:tr>
      <w:tr>
        <w:trPr>
          <w:trHeight w:val="183"/>
        </w:trPr>
        <w:tc>
          <w:tcPr>
            <w:tcW w:w="2020" w:type="dxa"/>
            <w:vAlign w:val="bottom"/>
          </w:tcPr>
          <w:p>
            <w:pPr>
              <w:spacing w:after="0"/>
              <w:rPr>
                <w:sz w:val="15"/>
                <w:szCs w:val="15"/>
                <w:color w:val="auto"/>
              </w:rPr>
            </w:pPr>
          </w:p>
        </w:tc>
        <w:tc>
          <w:tcPr>
            <w:tcW w:w="1680" w:type="dxa"/>
            <w:vAlign w:val="bottom"/>
          </w:tcPr>
          <w:p>
            <w:pPr>
              <w:jc w:val="right"/>
              <w:ind w:right="556"/>
              <w:spacing w:after="0"/>
              <w:rPr>
                <w:sz w:val="20"/>
                <w:szCs w:val="20"/>
                <w:color w:val="auto"/>
              </w:rPr>
            </w:pPr>
            <w:r>
              <w:rPr>
                <w:rFonts w:ascii="Arial" w:cs="Arial" w:eastAsia="Arial" w:hAnsi="Arial"/>
                <w:sz w:val="13"/>
                <w:szCs w:val="13"/>
                <w:color w:val="auto"/>
              </w:rPr>
              <w:t>627</w:t>
            </w:r>
          </w:p>
        </w:tc>
        <w:tc>
          <w:tcPr>
            <w:tcW w:w="1760" w:type="dxa"/>
            <w:vAlign w:val="bottom"/>
          </w:tcPr>
          <w:p>
            <w:pPr>
              <w:jc w:val="right"/>
              <w:ind w:right="416"/>
              <w:spacing w:after="0"/>
              <w:rPr>
                <w:sz w:val="20"/>
                <w:szCs w:val="20"/>
                <w:color w:val="auto"/>
              </w:rPr>
            </w:pPr>
            <w:r>
              <w:rPr>
                <w:rFonts w:ascii="Arial" w:cs="Arial" w:eastAsia="Arial" w:hAnsi="Arial"/>
                <w:sz w:val="13"/>
                <w:szCs w:val="13"/>
                <w:color w:val="auto"/>
              </w:rPr>
              <w:t>3 March 2018</w:t>
            </w:r>
          </w:p>
        </w:tc>
        <w:tc>
          <w:tcPr>
            <w:tcW w:w="1560" w:type="dxa"/>
            <w:vAlign w:val="bottom"/>
          </w:tcPr>
          <w:p>
            <w:pPr>
              <w:jc w:val="right"/>
              <w:ind w:right="236"/>
              <w:spacing w:after="0"/>
              <w:rPr>
                <w:sz w:val="20"/>
                <w:szCs w:val="20"/>
                <w:color w:val="auto"/>
              </w:rPr>
            </w:pPr>
            <w:r>
              <w:rPr>
                <w:rFonts w:ascii="Arial" w:cs="Arial" w:eastAsia="Arial" w:hAnsi="Arial"/>
                <w:sz w:val="13"/>
                <w:szCs w:val="13"/>
                <w:color w:val="auto"/>
              </w:rPr>
              <w:t>3 March 2020</w:t>
            </w:r>
          </w:p>
        </w:tc>
        <w:tc>
          <w:tcPr>
            <w:tcW w:w="1260" w:type="dxa"/>
            <w:vAlign w:val="bottom"/>
          </w:tcPr>
          <w:p>
            <w:pPr>
              <w:jc w:val="right"/>
              <w:ind w:right="516"/>
              <w:spacing w:after="0"/>
              <w:rPr>
                <w:sz w:val="20"/>
                <w:szCs w:val="20"/>
                <w:color w:val="auto"/>
              </w:rPr>
            </w:pPr>
            <w:r>
              <w:rPr>
                <w:rFonts w:ascii="Arial" w:cs="Arial" w:eastAsia="Arial" w:hAnsi="Arial"/>
                <w:sz w:val="13"/>
                <w:szCs w:val="13"/>
                <w:color w:val="auto"/>
              </w:rPr>
              <w:t>2,199</w:t>
            </w:r>
          </w:p>
        </w:tc>
        <w:tc>
          <w:tcPr>
            <w:tcW w:w="1720" w:type="dxa"/>
            <w:vAlign w:val="bottom"/>
          </w:tcPr>
          <w:p>
            <w:pPr>
              <w:jc w:val="right"/>
              <w:ind w:right="416"/>
              <w:spacing w:after="0"/>
              <w:rPr>
                <w:sz w:val="20"/>
                <w:szCs w:val="20"/>
                <w:color w:val="auto"/>
              </w:rPr>
            </w:pPr>
            <w:r>
              <w:rPr>
                <w:rFonts w:ascii="Arial" w:cs="Arial" w:eastAsia="Arial" w:hAnsi="Arial"/>
                <w:sz w:val="13"/>
                <w:szCs w:val="13"/>
                <w:color w:val="auto"/>
              </w:rPr>
              <w:t>3 March 2018</w:t>
            </w:r>
          </w:p>
        </w:tc>
        <w:tc>
          <w:tcPr>
            <w:tcW w:w="1280" w:type="dxa"/>
            <w:vAlign w:val="bottom"/>
          </w:tcPr>
          <w:p>
            <w:pPr>
              <w:jc w:val="right"/>
              <w:spacing w:after="0"/>
              <w:rPr>
                <w:sz w:val="20"/>
                <w:szCs w:val="20"/>
                <w:color w:val="auto"/>
              </w:rPr>
            </w:pPr>
            <w:r>
              <w:rPr>
                <w:rFonts w:ascii="Arial" w:cs="Arial" w:eastAsia="Arial" w:hAnsi="Arial"/>
                <w:sz w:val="13"/>
                <w:szCs w:val="13"/>
                <w:color w:val="auto"/>
              </w:rPr>
              <w:t>3 March 2021</w:t>
            </w:r>
          </w:p>
        </w:tc>
      </w:tr>
      <w:tr>
        <w:trPr>
          <w:trHeight w:val="199"/>
        </w:trPr>
        <w:tc>
          <w:tcPr>
            <w:tcW w:w="20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487</w:t>
            </w:r>
          </w:p>
        </w:tc>
        <w:tc>
          <w:tcPr>
            <w:tcW w:w="17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2019</w:t>
            </w:r>
          </w:p>
        </w:tc>
        <w:tc>
          <w:tcPr>
            <w:tcW w:w="15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2020</w:t>
            </w:r>
          </w:p>
        </w:tc>
        <w:tc>
          <w:tcPr>
            <w:tcW w:w="126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rPr>
              <w:t>1,707</w:t>
            </w:r>
          </w:p>
        </w:tc>
        <w:tc>
          <w:tcPr>
            <w:tcW w:w="172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2019</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March 2022</w:t>
            </w:r>
          </w:p>
        </w:tc>
      </w:tr>
      <w:tr>
        <w:trPr>
          <w:trHeight w:val="183"/>
        </w:trPr>
        <w:tc>
          <w:tcPr>
            <w:tcW w:w="2020" w:type="dxa"/>
            <w:vAlign w:val="bottom"/>
          </w:tcPr>
          <w:p>
            <w:pPr>
              <w:spacing w:after="0"/>
              <w:rPr>
                <w:sz w:val="15"/>
                <w:szCs w:val="15"/>
                <w:color w:val="auto"/>
              </w:rPr>
            </w:pPr>
          </w:p>
        </w:tc>
        <w:tc>
          <w:tcPr>
            <w:tcW w:w="1680" w:type="dxa"/>
            <w:vAlign w:val="bottom"/>
          </w:tcPr>
          <w:p>
            <w:pPr>
              <w:jc w:val="right"/>
              <w:ind w:right="556"/>
              <w:spacing w:after="0"/>
              <w:rPr>
                <w:sz w:val="20"/>
                <w:szCs w:val="20"/>
                <w:color w:val="auto"/>
              </w:rPr>
            </w:pPr>
            <w:r>
              <w:rPr>
                <w:rFonts w:ascii="Arial" w:cs="Arial" w:eastAsia="Arial" w:hAnsi="Arial"/>
                <w:sz w:val="13"/>
                <w:szCs w:val="13"/>
                <w:color w:val="auto"/>
              </w:rPr>
              <w:t>630</w:t>
            </w:r>
          </w:p>
        </w:tc>
        <w:tc>
          <w:tcPr>
            <w:tcW w:w="1760" w:type="dxa"/>
            <w:vAlign w:val="bottom"/>
          </w:tcPr>
          <w:p>
            <w:pPr>
              <w:jc w:val="right"/>
              <w:ind w:right="416"/>
              <w:spacing w:after="0"/>
              <w:rPr>
                <w:sz w:val="20"/>
                <w:szCs w:val="20"/>
                <w:color w:val="auto"/>
              </w:rPr>
            </w:pPr>
            <w:r>
              <w:rPr>
                <w:rFonts w:ascii="Arial" w:cs="Arial" w:eastAsia="Arial" w:hAnsi="Arial"/>
                <w:sz w:val="13"/>
                <w:szCs w:val="13"/>
                <w:color w:val="auto"/>
              </w:rPr>
              <w:t>3 March 2018</w:t>
            </w:r>
          </w:p>
        </w:tc>
        <w:tc>
          <w:tcPr>
            <w:tcW w:w="1560" w:type="dxa"/>
            <w:vAlign w:val="bottom"/>
          </w:tcPr>
          <w:p>
            <w:pPr>
              <w:jc w:val="right"/>
              <w:ind w:right="236"/>
              <w:spacing w:after="0"/>
              <w:rPr>
                <w:sz w:val="20"/>
                <w:szCs w:val="20"/>
                <w:color w:val="auto"/>
              </w:rPr>
            </w:pPr>
            <w:r>
              <w:rPr>
                <w:rFonts w:ascii="Arial" w:cs="Arial" w:eastAsia="Arial" w:hAnsi="Arial"/>
                <w:sz w:val="13"/>
                <w:szCs w:val="13"/>
                <w:color w:val="auto"/>
              </w:rPr>
              <w:t>3 March 2021</w:t>
            </w: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9"/>
        </w:trPr>
        <w:tc>
          <w:tcPr>
            <w:tcW w:w="20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487</w:t>
            </w:r>
          </w:p>
        </w:tc>
        <w:tc>
          <w:tcPr>
            <w:tcW w:w="17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 March 2019</w:t>
            </w:r>
          </w:p>
        </w:tc>
        <w:tc>
          <w:tcPr>
            <w:tcW w:w="15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 March 2021</w:t>
            </w:r>
          </w:p>
        </w:tc>
        <w:tc>
          <w:tcPr>
            <w:tcW w:w="1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83"/>
        </w:trPr>
        <w:tc>
          <w:tcPr>
            <w:tcW w:w="20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489</w:t>
            </w:r>
          </w:p>
        </w:tc>
        <w:tc>
          <w:tcPr>
            <w:tcW w:w="17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3 March 2019</w:t>
            </w:r>
          </w:p>
        </w:tc>
        <w:tc>
          <w:tcPr>
            <w:tcW w:w="15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3 March 2022</w:t>
            </w:r>
          </w:p>
        </w:tc>
        <w:tc>
          <w:tcPr>
            <w:tcW w:w="1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bl>
    <w:p>
      <w:pPr>
        <w:spacing w:after="0" w:line="66" w:lineRule="exact"/>
        <w:rPr>
          <w:sz w:val="20"/>
          <w:szCs w:val="20"/>
          <w:color w:val="auto"/>
        </w:rPr>
      </w:pPr>
    </w:p>
    <w:p>
      <w:pPr>
        <w:jc w:val="both"/>
        <w:ind w:left="260" w:hanging="255"/>
        <w:spacing w:after="0" w:line="239" w:lineRule="auto"/>
        <w:tabs>
          <w:tab w:leader="none" w:pos="254" w:val="left"/>
        </w:tabs>
        <w:numPr>
          <w:ilvl w:val="0"/>
          <w:numId w:val="28"/>
        </w:numPr>
        <w:rPr>
          <w:rFonts w:ascii="Arial" w:cs="Arial" w:eastAsia="Arial" w:hAnsi="Arial"/>
          <w:sz w:val="15"/>
          <w:szCs w:val="15"/>
          <w:color w:val="auto"/>
          <w:vertAlign w:val="superscript"/>
        </w:rPr>
      </w:pPr>
      <w:r>
        <w:rPr>
          <w:rFonts w:ascii="Arial" w:cs="Arial" w:eastAsia="Arial" w:hAnsi="Arial"/>
          <w:sz w:val="11"/>
          <w:szCs w:val="11"/>
          <w:i w:val="1"/>
          <w:iCs w:val="1"/>
          <w:color w:val="auto"/>
        </w:rPr>
        <w:t>Of the issued PSUs, performance conditions will determine how many of them vest and, if performance targets are exceeded, additional PSUs will be issued and vest in accordance with the terms of the relevant PSU award. The PSUs vest based on service and specified EPS targets over the periods 2017 – 2019, 2018 – 2020 and 2019 – 2021. Depending on the actual amount of EPS from 2017 to 2021, up to a maximum of 63,363 additional PSUs may also be granted to Dr. Steve Cutler, Mr. Brendan Brennan and Mr. Diarmaid Cunningham.</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280"/>
          </w:cols>
          <w:pgMar w:left="300" w:top="696" w:right="31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Details of transactions entered into by the Directors, Executive Officers and Company Secretary in shares and share options of the Company during the year ended 31 December 2019 were as follows: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options exercised and sold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64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13"/>
                <w:szCs w:val="13"/>
                <w:color w:val="auto"/>
              </w:rPr>
            </w:pPr>
          </w:p>
        </w:tc>
        <w:tc>
          <w:tcPr>
            <w:tcW w:w="188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Average</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Average</w:t>
            </w:r>
          </w:p>
        </w:tc>
      </w:tr>
      <w:tr>
        <w:trPr>
          <w:trHeight w:val="163"/>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4300" w:type="dxa"/>
            <w:vAlign w:val="bottom"/>
            <w:shd w:val="clear" w:color="auto" w:fill="CCEEFF"/>
          </w:tcPr>
          <w:p>
            <w:pPr>
              <w:jc w:val="right"/>
              <w:ind w:right="656"/>
              <w:spacing w:after="0"/>
              <w:rPr>
                <w:sz w:val="20"/>
                <w:szCs w:val="20"/>
                <w:color w:val="auto"/>
              </w:rPr>
            </w:pPr>
            <w:r>
              <w:rPr>
                <w:rFonts w:ascii="Arial" w:cs="Arial" w:eastAsia="Arial" w:hAnsi="Arial"/>
                <w:sz w:val="13"/>
                <w:szCs w:val="13"/>
                <w:b w:val="1"/>
                <w:bCs w:val="1"/>
                <w:color w:val="auto"/>
              </w:rPr>
              <w:t>Number of Share Options</w:t>
            </w:r>
          </w:p>
        </w:tc>
        <w:tc>
          <w:tcPr>
            <w:tcW w:w="1880" w:type="dxa"/>
            <w:vAlign w:val="bottom"/>
            <w:shd w:val="clear" w:color="auto" w:fill="CCEEFF"/>
          </w:tcPr>
          <w:p>
            <w:pPr>
              <w:ind w:left="800"/>
              <w:spacing w:after="0"/>
              <w:rPr>
                <w:sz w:val="20"/>
                <w:szCs w:val="20"/>
                <w:color w:val="auto"/>
              </w:rPr>
            </w:pPr>
            <w:r>
              <w:rPr>
                <w:rFonts w:ascii="Arial" w:cs="Arial" w:eastAsia="Arial" w:hAnsi="Arial"/>
                <w:sz w:val="13"/>
                <w:szCs w:val="13"/>
                <w:b w:val="1"/>
                <w:bCs w:val="1"/>
                <w:color w:val="auto"/>
              </w:rPr>
              <w:t>exercise</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Vest</w:t>
            </w:r>
          </w:p>
        </w:tc>
      </w:tr>
      <w:tr>
        <w:trPr>
          <w:trHeight w:val="169"/>
        </w:trPr>
        <w:tc>
          <w:tcPr>
            <w:tcW w:w="3640" w:type="dxa"/>
            <w:vAlign w:val="bottom"/>
            <w:tcBorders>
              <w:bottom w:val="single" w:sz="8" w:color="auto"/>
            </w:tcBorders>
            <w:shd w:val="clear" w:color="auto" w:fill="CCEEFF"/>
          </w:tcPr>
          <w:p>
            <w:pPr>
              <w:spacing w:after="0"/>
              <w:rPr>
                <w:sz w:val="14"/>
                <w:szCs w:val="14"/>
                <w:color w:val="auto"/>
              </w:rPr>
            </w:pPr>
          </w:p>
        </w:tc>
        <w:tc>
          <w:tcPr>
            <w:tcW w:w="430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price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r>
      <w:tr>
        <w:trPr>
          <w:trHeight w:val="174"/>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Ciaran Murray</w:t>
            </w:r>
          </w:p>
        </w:tc>
        <w:tc>
          <w:tcPr>
            <w:tcW w:w="4300" w:type="dxa"/>
            <w:vAlign w:val="bottom"/>
            <w:tcBorders>
              <w:bottom w:val="single" w:sz="8" w:color="auto"/>
            </w:tcBorders>
          </w:tcPr>
          <w:p>
            <w:pPr>
              <w:jc w:val="right"/>
              <w:ind w:right="796"/>
              <w:spacing w:after="0"/>
              <w:rPr>
                <w:sz w:val="20"/>
                <w:szCs w:val="20"/>
                <w:color w:val="auto"/>
              </w:rPr>
            </w:pPr>
            <w:r>
              <w:rPr>
                <w:rFonts w:ascii="Arial" w:cs="Arial" w:eastAsia="Arial" w:hAnsi="Arial"/>
                <w:sz w:val="13"/>
                <w:szCs w:val="13"/>
                <w:color w:val="auto"/>
              </w:rPr>
              <w:t>74,613</w:t>
            </w:r>
          </w:p>
        </w:tc>
        <w:tc>
          <w:tcPr>
            <w:tcW w:w="188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$57.69</w:t>
            </w:r>
          </w:p>
        </w:tc>
        <w:tc>
          <w:tcPr>
            <w:tcW w:w="14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$139.72</w:t>
            </w:r>
          </w:p>
        </w:tc>
      </w:tr>
      <w:tr>
        <w:trPr>
          <w:trHeight w:val="182"/>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Dr. Steve Cutler</w:t>
            </w:r>
          </w:p>
        </w:tc>
        <w:tc>
          <w:tcPr>
            <w:tcW w:w="43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color w:val="auto"/>
              </w:rPr>
              <w:t>56,569</w:t>
            </w:r>
          </w:p>
        </w:tc>
        <w:tc>
          <w:tcPr>
            <w:tcW w:w="18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$83.21</w:t>
            </w:r>
          </w:p>
        </w:tc>
        <w:tc>
          <w:tcPr>
            <w:tcW w:w="14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$145.20</w:t>
            </w:r>
          </w:p>
        </w:tc>
      </w:tr>
      <w:tr>
        <w:trPr>
          <w:trHeight w:val="182"/>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Brendan Brennan</w:t>
            </w:r>
          </w:p>
        </w:tc>
        <w:tc>
          <w:tcPr>
            <w:tcW w:w="4300" w:type="dxa"/>
            <w:vAlign w:val="bottom"/>
            <w:tcBorders>
              <w:bottom w:val="single" w:sz="8" w:color="auto"/>
            </w:tcBorders>
          </w:tcPr>
          <w:p>
            <w:pPr>
              <w:jc w:val="right"/>
              <w:ind w:right="796"/>
              <w:spacing w:after="0"/>
              <w:rPr>
                <w:sz w:val="20"/>
                <w:szCs w:val="20"/>
                <w:color w:val="auto"/>
              </w:rPr>
            </w:pPr>
            <w:r>
              <w:rPr>
                <w:rFonts w:ascii="Arial" w:cs="Arial" w:eastAsia="Arial" w:hAnsi="Arial"/>
                <w:sz w:val="13"/>
                <w:szCs w:val="13"/>
                <w:color w:val="auto"/>
              </w:rPr>
              <w:t>9,973</w:t>
            </w:r>
          </w:p>
        </w:tc>
        <w:tc>
          <w:tcPr>
            <w:tcW w:w="188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$61.83</w:t>
            </w:r>
          </w:p>
        </w:tc>
        <w:tc>
          <w:tcPr>
            <w:tcW w:w="14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$135.49</w:t>
            </w:r>
          </w:p>
        </w:tc>
      </w:tr>
      <w:tr>
        <w:trPr>
          <w:trHeight w:val="182"/>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43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color w:val="auto"/>
              </w:rPr>
              <w:t>1,538</w:t>
            </w:r>
          </w:p>
        </w:tc>
        <w:tc>
          <w:tcPr>
            <w:tcW w:w="18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$90.03</w:t>
            </w:r>
          </w:p>
        </w:tc>
        <w:tc>
          <w:tcPr>
            <w:tcW w:w="14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$163.80</w:t>
            </w:r>
          </w:p>
        </w:tc>
      </w:tr>
      <w:tr>
        <w:trPr>
          <w:trHeight w:val="182"/>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Hugh Brady</w:t>
            </w:r>
          </w:p>
        </w:tc>
        <w:tc>
          <w:tcPr>
            <w:tcW w:w="4300" w:type="dxa"/>
            <w:vAlign w:val="bottom"/>
            <w:tcBorders>
              <w:bottom w:val="single" w:sz="8" w:color="auto"/>
            </w:tcBorders>
          </w:tcPr>
          <w:p>
            <w:pPr>
              <w:jc w:val="right"/>
              <w:ind w:right="796"/>
              <w:spacing w:after="0"/>
              <w:rPr>
                <w:sz w:val="20"/>
                <w:szCs w:val="20"/>
                <w:color w:val="auto"/>
              </w:rPr>
            </w:pPr>
            <w:r>
              <w:rPr>
                <w:rFonts w:ascii="Arial" w:cs="Arial" w:eastAsia="Arial" w:hAnsi="Arial"/>
                <w:sz w:val="13"/>
                <w:szCs w:val="13"/>
                <w:color w:val="auto"/>
              </w:rPr>
              <w:t>32,414</w:t>
            </w:r>
          </w:p>
        </w:tc>
        <w:tc>
          <w:tcPr>
            <w:tcW w:w="188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$70.25</w:t>
            </w:r>
          </w:p>
        </w:tc>
        <w:tc>
          <w:tcPr>
            <w:tcW w:w="14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$158.13</w:t>
            </w:r>
          </w:p>
        </w:tc>
      </w:tr>
      <w:tr>
        <w:trPr>
          <w:trHeight w:val="182"/>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William Hall</w:t>
            </w:r>
          </w:p>
        </w:tc>
        <w:tc>
          <w:tcPr>
            <w:tcW w:w="43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color w:val="auto"/>
              </w:rPr>
              <w:t>12,654</w:t>
            </w:r>
          </w:p>
        </w:tc>
        <w:tc>
          <w:tcPr>
            <w:tcW w:w="18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$88.88</w:t>
            </w:r>
          </w:p>
        </w:tc>
        <w:tc>
          <w:tcPr>
            <w:tcW w:w="14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$139.68</w:t>
            </w:r>
          </w:p>
        </w:tc>
      </w:tr>
      <w:tr>
        <w:trPr>
          <w:trHeight w:val="182"/>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Dermot Kelleher</w:t>
            </w:r>
          </w:p>
        </w:tc>
        <w:tc>
          <w:tcPr>
            <w:tcW w:w="4300" w:type="dxa"/>
            <w:vAlign w:val="bottom"/>
            <w:tcBorders>
              <w:bottom w:val="single" w:sz="8" w:color="auto"/>
            </w:tcBorders>
          </w:tcPr>
          <w:p>
            <w:pPr>
              <w:jc w:val="right"/>
              <w:ind w:right="796"/>
              <w:spacing w:after="0"/>
              <w:rPr>
                <w:sz w:val="20"/>
                <w:szCs w:val="20"/>
                <w:color w:val="auto"/>
              </w:rPr>
            </w:pPr>
            <w:r>
              <w:rPr>
                <w:rFonts w:ascii="Arial" w:cs="Arial" w:eastAsia="Arial" w:hAnsi="Arial"/>
                <w:sz w:val="13"/>
                <w:szCs w:val="13"/>
                <w:color w:val="auto"/>
              </w:rPr>
              <w:t>12,335</w:t>
            </w:r>
          </w:p>
        </w:tc>
        <w:tc>
          <w:tcPr>
            <w:tcW w:w="188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$62.49</w:t>
            </w:r>
          </w:p>
        </w:tc>
        <w:tc>
          <w:tcPr>
            <w:tcW w:w="14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$150.99</w:t>
            </w:r>
          </w:p>
        </w:tc>
      </w:tr>
      <w:tr>
        <w:trPr>
          <w:trHeight w:val="182"/>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Declan McKeon</w:t>
            </w:r>
          </w:p>
        </w:tc>
        <w:tc>
          <w:tcPr>
            <w:tcW w:w="43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color w:val="auto"/>
              </w:rPr>
              <w:t>23,495</w:t>
            </w:r>
          </w:p>
        </w:tc>
        <w:tc>
          <w:tcPr>
            <w:tcW w:w="18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$83.18</w:t>
            </w:r>
          </w:p>
        </w:tc>
        <w:tc>
          <w:tcPr>
            <w:tcW w:w="14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$148.65</w:t>
            </w:r>
          </w:p>
        </w:tc>
      </w:tr>
      <w:tr>
        <w:trPr>
          <w:trHeight w:val="182"/>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Diarmaid Cunningham</w:t>
            </w:r>
          </w:p>
        </w:tc>
        <w:tc>
          <w:tcPr>
            <w:tcW w:w="4300" w:type="dxa"/>
            <w:vAlign w:val="bottom"/>
            <w:tcBorders>
              <w:bottom w:val="single" w:sz="8" w:color="auto"/>
            </w:tcBorders>
          </w:tcPr>
          <w:p>
            <w:pPr>
              <w:jc w:val="right"/>
              <w:ind w:right="796"/>
              <w:spacing w:after="0"/>
              <w:rPr>
                <w:sz w:val="20"/>
                <w:szCs w:val="20"/>
                <w:color w:val="auto"/>
              </w:rPr>
            </w:pPr>
            <w:r>
              <w:rPr>
                <w:rFonts w:ascii="Arial" w:cs="Arial" w:eastAsia="Arial" w:hAnsi="Arial"/>
                <w:sz w:val="13"/>
                <w:szCs w:val="13"/>
                <w:color w:val="auto"/>
              </w:rPr>
              <w:t>4,426</w:t>
            </w:r>
          </w:p>
        </w:tc>
        <w:tc>
          <w:tcPr>
            <w:tcW w:w="188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$65.15</w:t>
            </w:r>
          </w:p>
        </w:tc>
        <w:tc>
          <w:tcPr>
            <w:tcW w:w="14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$135.31</w:t>
            </w:r>
          </w:p>
        </w:tc>
      </w:tr>
      <w:tr>
        <w:trPr>
          <w:trHeight w:val="418"/>
        </w:trPr>
        <w:tc>
          <w:tcPr>
            <w:tcW w:w="3640" w:type="dxa"/>
            <w:vAlign w:val="bottom"/>
          </w:tcPr>
          <w:p>
            <w:pPr>
              <w:spacing w:after="0"/>
              <w:rPr>
                <w:sz w:val="20"/>
                <w:szCs w:val="20"/>
                <w:color w:val="auto"/>
              </w:rPr>
            </w:pPr>
            <w:r>
              <w:rPr>
                <w:rFonts w:ascii="Arial" w:cs="Arial" w:eastAsia="Arial" w:hAnsi="Arial"/>
                <w:sz w:val="13"/>
                <w:szCs w:val="13"/>
                <w:b w:val="1"/>
                <w:bCs w:val="1"/>
                <w:color w:val="auto"/>
              </w:rPr>
              <w:t>Shares sold</w:t>
            </w:r>
          </w:p>
        </w:tc>
        <w:tc>
          <w:tcPr>
            <w:tcW w:w="4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89"/>
        </w:trPr>
        <w:tc>
          <w:tcPr>
            <w:tcW w:w="3640" w:type="dxa"/>
            <w:vAlign w:val="bottom"/>
          </w:tcPr>
          <w:p>
            <w:pPr>
              <w:spacing w:after="0"/>
              <w:rPr>
                <w:sz w:val="7"/>
                <w:szCs w:val="7"/>
                <w:color w:val="auto"/>
              </w:rPr>
            </w:pPr>
          </w:p>
        </w:tc>
        <w:tc>
          <w:tcPr>
            <w:tcW w:w="43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155"/>
        </w:trPr>
        <w:tc>
          <w:tcPr>
            <w:tcW w:w="364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13"/>
                <w:szCs w:val="13"/>
                <w:color w:val="auto"/>
              </w:rPr>
            </w:pPr>
          </w:p>
        </w:tc>
        <w:tc>
          <w:tcPr>
            <w:tcW w:w="188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Number</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Average Sales</w:t>
            </w:r>
          </w:p>
        </w:tc>
      </w:tr>
      <w:tr>
        <w:trPr>
          <w:trHeight w:val="177"/>
        </w:trPr>
        <w:tc>
          <w:tcPr>
            <w:tcW w:w="3640" w:type="dxa"/>
            <w:vAlign w:val="bottom"/>
            <w:tcBorders>
              <w:bottom w:val="single" w:sz="8" w:color="auto"/>
            </w:tcBorders>
            <w:shd w:val="clear" w:color="auto" w:fill="CCEEFF"/>
          </w:tcPr>
          <w:p>
            <w:pPr>
              <w:spacing w:after="0"/>
              <w:rPr>
                <w:sz w:val="15"/>
                <w:szCs w:val="15"/>
                <w:color w:val="auto"/>
              </w:rPr>
            </w:pPr>
          </w:p>
        </w:tc>
        <w:tc>
          <w:tcPr>
            <w:tcW w:w="430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of Shares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r>
      <w:tr>
        <w:trPr>
          <w:trHeight w:val="182"/>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John Climax</w:t>
            </w:r>
          </w:p>
        </w:tc>
        <w:tc>
          <w:tcPr>
            <w:tcW w:w="4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74,500</w:t>
            </w:r>
          </w:p>
        </w:tc>
        <w:tc>
          <w:tcPr>
            <w:tcW w:w="14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$157.65</w:t>
            </w:r>
          </w:p>
        </w:tc>
      </w:tr>
      <w:tr>
        <w:trPr>
          <w:trHeight w:val="407"/>
        </w:trPr>
        <w:tc>
          <w:tcPr>
            <w:tcW w:w="3640" w:type="dxa"/>
            <w:vAlign w:val="bottom"/>
          </w:tcPr>
          <w:p>
            <w:pPr>
              <w:spacing w:after="0"/>
              <w:rPr>
                <w:sz w:val="20"/>
                <w:szCs w:val="20"/>
                <w:color w:val="auto"/>
              </w:rPr>
            </w:pPr>
            <w:r>
              <w:rPr>
                <w:rFonts w:ascii="Arial" w:cs="Arial" w:eastAsia="Arial" w:hAnsi="Arial"/>
                <w:sz w:val="13"/>
                <w:szCs w:val="13"/>
                <w:b w:val="1"/>
                <w:bCs w:val="1"/>
                <w:color w:val="auto"/>
              </w:rPr>
              <w:t>RSUs vested</w:t>
            </w:r>
          </w:p>
        </w:tc>
        <w:tc>
          <w:tcPr>
            <w:tcW w:w="4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89"/>
        </w:trPr>
        <w:tc>
          <w:tcPr>
            <w:tcW w:w="3640" w:type="dxa"/>
            <w:vAlign w:val="bottom"/>
          </w:tcPr>
          <w:p>
            <w:pPr>
              <w:spacing w:after="0"/>
              <w:rPr>
                <w:sz w:val="7"/>
                <w:szCs w:val="7"/>
                <w:color w:val="auto"/>
              </w:rPr>
            </w:pPr>
          </w:p>
        </w:tc>
        <w:tc>
          <w:tcPr>
            <w:tcW w:w="43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155"/>
        </w:trPr>
        <w:tc>
          <w:tcPr>
            <w:tcW w:w="364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Average</w:t>
            </w:r>
          </w:p>
        </w:tc>
      </w:tr>
      <w:tr>
        <w:trPr>
          <w:trHeight w:val="163"/>
        </w:trPr>
        <w:tc>
          <w:tcPr>
            <w:tcW w:w="3640" w:type="dxa"/>
            <w:vAlign w:val="bottom"/>
            <w:shd w:val="clear" w:color="auto" w:fill="CCEEFF"/>
          </w:tcPr>
          <w:p>
            <w:pPr>
              <w:spacing w:after="0"/>
              <w:rPr>
                <w:sz w:val="14"/>
                <w:szCs w:val="14"/>
                <w:color w:val="auto"/>
              </w:rPr>
            </w:pPr>
          </w:p>
        </w:tc>
        <w:tc>
          <w:tcPr>
            <w:tcW w:w="4300" w:type="dxa"/>
            <w:vAlign w:val="bottom"/>
            <w:shd w:val="clear" w:color="auto" w:fill="CCEEFF"/>
          </w:tcPr>
          <w:p>
            <w:pPr>
              <w:spacing w:after="0"/>
              <w:rPr>
                <w:sz w:val="14"/>
                <w:szCs w:val="14"/>
                <w:color w:val="auto"/>
              </w:rPr>
            </w:pPr>
          </w:p>
        </w:tc>
        <w:tc>
          <w:tcPr>
            <w:tcW w:w="188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Number</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Vest</w:t>
            </w:r>
          </w:p>
        </w:tc>
      </w:tr>
      <w:tr>
        <w:trPr>
          <w:trHeight w:val="189"/>
        </w:trPr>
        <w:tc>
          <w:tcPr>
            <w:tcW w:w="3640" w:type="dxa"/>
            <w:vAlign w:val="bottom"/>
            <w:tcBorders>
              <w:bottom w:val="single" w:sz="8" w:color="auto"/>
            </w:tcBorders>
            <w:shd w:val="clear" w:color="auto" w:fill="CCEEFF"/>
          </w:tcPr>
          <w:p>
            <w:pPr>
              <w:spacing w:after="0"/>
              <w:rPr>
                <w:sz w:val="16"/>
                <w:szCs w:val="16"/>
                <w:color w:val="auto"/>
              </w:rPr>
            </w:pPr>
          </w:p>
        </w:tc>
        <w:tc>
          <w:tcPr>
            <w:tcW w:w="430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of Shares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r>
      <w:tr>
        <w:trPr>
          <w:trHeight w:val="176"/>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Steve Cutler</w:t>
            </w:r>
          </w:p>
        </w:tc>
        <w:tc>
          <w:tcPr>
            <w:tcW w:w="4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54,507</w:t>
            </w:r>
          </w:p>
        </w:tc>
        <w:tc>
          <w:tcPr>
            <w:tcW w:w="14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$138.82</w:t>
            </w:r>
          </w:p>
        </w:tc>
      </w:tr>
      <w:tr>
        <w:trPr>
          <w:trHeight w:val="182"/>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430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22,166</w:t>
            </w:r>
          </w:p>
        </w:tc>
        <w:tc>
          <w:tcPr>
            <w:tcW w:w="14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$138.68</w:t>
            </w:r>
          </w:p>
        </w:tc>
      </w:tr>
      <w:tr>
        <w:trPr>
          <w:trHeight w:val="182"/>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Diarmaid Cunningham</w:t>
            </w:r>
          </w:p>
        </w:tc>
        <w:tc>
          <w:tcPr>
            <w:tcW w:w="4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14,966</w:t>
            </w:r>
          </w:p>
        </w:tc>
        <w:tc>
          <w:tcPr>
            <w:tcW w:w="14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$138.68</w:t>
            </w:r>
          </w:p>
        </w:tc>
      </w:tr>
      <w:tr>
        <w:trPr>
          <w:trHeight w:val="418"/>
        </w:trPr>
        <w:tc>
          <w:tcPr>
            <w:tcW w:w="3640" w:type="dxa"/>
            <w:vAlign w:val="bottom"/>
          </w:tcPr>
          <w:p>
            <w:pPr>
              <w:spacing w:after="0"/>
              <w:rPr>
                <w:sz w:val="20"/>
                <w:szCs w:val="20"/>
                <w:color w:val="auto"/>
              </w:rPr>
            </w:pPr>
            <w:r>
              <w:rPr>
                <w:rFonts w:ascii="Arial" w:cs="Arial" w:eastAsia="Arial" w:hAnsi="Arial"/>
                <w:sz w:val="13"/>
                <w:szCs w:val="13"/>
                <w:b w:val="1"/>
                <w:bCs w:val="1"/>
                <w:color w:val="auto"/>
              </w:rPr>
              <w:t>Shares (vested RSUs) sold</w:t>
            </w:r>
          </w:p>
        </w:tc>
        <w:tc>
          <w:tcPr>
            <w:tcW w:w="4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79"/>
        </w:trPr>
        <w:tc>
          <w:tcPr>
            <w:tcW w:w="3640" w:type="dxa"/>
            <w:vAlign w:val="bottom"/>
          </w:tcPr>
          <w:p>
            <w:pPr>
              <w:spacing w:after="0"/>
              <w:rPr>
                <w:sz w:val="6"/>
                <w:szCs w:val="6"/>
                <w:color w:val="auto"/>
              </w:rPr>
            </w:pPr>
          </w:p>
        </w:tc>
        <w:tc>
          <w:tcPr>
            <w:tcW w:w="43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155"/>
        </w:trPr>
        <w:tc>
          <w:tcPr>
            <w:tcW w:w="3640" w:type="dxa"/>
            <w:vAlign w:val="bottom"/>
            <w:shd w:val="clear" w:color="auto" w:fill="CCEEFF"/>
          </w:tcPr>
          <w:p>
            <w:pPr>
              <w:spacing w:after="0"/>
              <w:rPr>
                <w:sz w:val="13"/>
                <w:szCs w:val="13"/>
                <w:color w:val="auto"/>
              </w:rPr>
            </w:pPr>
          </w:p>
        </w:tc>
        <w:tc>
          <w:tcPr>
            <w:tcW w:w="43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Average</w:t>
            </w:r>
          </w:p>
        </w:tc>
      </w:tr>
      <w:tr>
        <w:trPr>
          <w:trHeight w:val="163"/>
        </w:trPr>
        <w:tc>
          <w:tcPr>
            <w:tcW w:w="3640" w:type="dxa"/>
            <w:vAlign w:val="bottom"/>
            <w:shd w:val="clear" w:color="auto" w:fill="CCEEFF"/>
          </w:tcPr>
          <w:p>
            <w:pPr>
              <w:spacing w:after="0"/>
              <w:rPr>
                <w:sz w:val="14"/>
                <w:szCs w:val="14"/>
                <w:color w:val="auto"/>
              </w:rPr>
            </w:pPr>
          </w:p>
        </w:tc>
        <w:tc>
          <w:tcPr>
            <w:tcW w:w="4300" w:type="dxa"/>
            <w:vAlign w:val="bottom"/>
            <w:shd w:val="clear" w:color="auto" w:fill="CCEEFF"/>
          </w:tcPr>
          <w:p>
            <w:pPr>
              <w:spacing w:after="0"/>
              <w:rPr>
                <w:sz w:val="14"/>
                <w:szCs w:val="14"/>
                <w:color w:val="auto"/>
              </w:rPr>
            </w:pPr>
          </w:p>
        </w:tc>
        <w:tc>
          <w:tcPr>
            <w:tcW w:w="188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Number</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Sales</w:t>
            </w:r>
          </w:p>
        </w:tc>
      </w:tr>
      <w:tr>
        <w:trPr>
          <w:trHeight w:val="189"/>
        </w:trPr>
        <w:tc>
          <w:tcPr>
            <w:tcW w:w="3640" w:type="dxa"/>
            <w:vAlign w:val="bottom"/>
            <w:tcBorders>
              <w:bottom w:val="single" w:sz="8" w:color="auto"/>
            </w:tcBorders>
            <w:shd w:val="clear" w:color="auto" w:fill="CCEEFF"/>
          </w:tcPr>
          <w:p>
            <w:pPr>
              <w:spacing w:after="0"/>
              <w:rPr>
                <w:sz w:val="16"/>
                <w:szCs w:val="16"/>
                <w:color w:val="auto"/>
              </w:rPr>
            </w:pPr>
          </w:p>
        </w:tc>
        <w:tc>
          <w:tcPr>
            <w:tcW w:w="430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of Shares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Price</w:t>
            </w:r>
          </w:p>
        </w:tc>
      </w:tr>
      <w:tr>
        <w:trPr>
          <w:trHeight w:val="176"/>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Dr. Steve Cutler</w:t>
            </w:r>
          </w:p>
        </w:tc>
        <w:tc>
          <w:tcPr>
            <w:tcW w:w="4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64,245</w:t>
            </w:r>
          </w:p>
        </w:tc>
        <w:tc>
          <w:tcPr>
            <w:tcW w:w="14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$140.25</w:t>
            </w:r>
          </w:p>
        </w:tc>
      </w:tr>
      <w:tr>
        <w:trPr>
          <w:trHeight w:val="182"/>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Brendan Brennan</w:t>
            </w:r>
          </w:p>
        </w:tc>
        <w:tc>
          <w:tcPr>
            <w:tcW w:w="430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16,725</w:t>
            </w:r>
          </w:p>
        </w:tc>
        <w:tc>
          <w:tcPr>
            <w:tcW w:w="14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$141.96</w:t>
            </w:r>
          </w:p>
        </w:tc>
      </w:tr>
      <w:tr>
        <w:trPr>
          <w:trHeight w:val="182"/>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Diarmaid Cunningham</w:t>
            </w:r>
          </w:p>
        </w:tc>
        <w:tc>
          <w:tcPr>
            <w:tcW w:w="4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14,966</w:t>
            </w:r>
          </w:p>
        </w:tc>
        <w:tc>
          <w:tcPr>
            <w:tcW w:w="14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$141.28</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The market price of the Company’s ordinary shares during the year ended 31 December 2019 moved in the range of $121.30 to $172.23 (year ended 31 December 2018: in the range of $101.22 to</w:t>
      </w:r>
    </w:p>
    <w:p>
      <w:pPr>
        <w:spacing w:after="0"/>
        <w:rPr>
          <w:sz w:val="20"/>
          <w:szCs w:val="20"/>
          <w:color w:val="auto"/>
        </w:rPr>
      </w:pPr>
      <w:r>
        <w:rPr>
          <w:rFonts w:ascii="Arial" w:cs="Arial" w:eastAsia="Arial" w:hAnsi="Arial"/>
          <w:sz w:val="13"/>
          <w:szCs w:val="13"/>
          <w:color w:val="auto"/>
        </w:rPr>
        <w:t>$155.33). The closing share price at 31 December 2019 was $172.23 (at 31 December 2018: $129.21).</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80"/>
          </w:cols>
          <w:pgMar w:left="300" w:top="696" w:right="31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 compensation table - Year ended 31 December 2019</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360" w:type="dxa"/>
            <w:vAlign w:val="bottom"/>
            <w:tcBorders>
              <w:top w:val="single" w:sz="8" w:color="auto"/>
              <w:left w:val="single" w:sz="8" w:color="auto"/>
              <w:right w:val="single" w:sz="8" w:color="auto"/>
            </w:tcBorders>
            <w:shd w:val="clear" w:color="auto" w:fill="CCEEFF"/>
          </w:tcPr>
          <w:p>
            <w:pPr>
              <w:spacing w:after="0"/>
              <w:rPr>
                <w:sz w:val="12"/>
                <w:szCs w:val="12"/>
                <w:color w:val="auto"/>
              </w:rPr>
            </w:pPr>
          </w:p>
        </w:tc>
        <w:tc>
          <w:tcPr>
            <w:tcW w:w="640" w:type="dxa"/>
            <w:vAlign w:val="bottom"/>
            <w:tcBorders>
              <w:top w:val="single" w:sz="8" w:color="auto"/>
              <w:right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Company</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Performance related</w:t>
            </w:r>
          </w:p>
        </w:tc>
        <w:tc>
          <w:tcPr>
            <w:tcW w:w="1380" w:type="dxa"/>
            <w:vAlign w:val="bottom"/>
            <w:tcBorders>
              <w:top w:val="single" w:sz="8" w:color="auto"/>
              <w:right w:val="single" w:sz="8" w:color="auto"/>
            </w:tcBorders>
            <w:shd w:val="clear" w:color="auto" w:fill="CCEEFF"/>
          </w:tcPr>
          <w:p>
            <w:pPr>
              <w:spacing w:after="0"/>
              <w:rPr>
                <w:sz w:val="12"/>
                <w:szCs w:val="12"/>
                <w:color w:val="auto"/>
              </w:rPr>
            </w:pPr>
          </w:p>
        </w:tc>
        <w:tc>
          <w:tcPr>
            <w:tcW w:w="920" w:type="dxa"/>
            <w:vAlign w:val="bottom"/>
            <w:tcBorders>
              <w:top w:val="single" w:sz="8" w:color="auto"/>
              <w:right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1"/>
                <w:szCs w:val="11"/>
                <w:b w:val="1"/>
                <w:bCs w:val="1"/>
                <w:color w:val="auto"/>
              </w:rPr>
              <w:t>Share-based</w:t>
            </w:r>
          </w:p>
        </w:tc>
        <w:tc>
          <w:tcPr>
            <w:tcW w:w="960" w:type="dxa"/>
            <w:vAlign w:val="bottom"/>
            <w:tcBorders>
              <w:top w:val="single" w:sz="8" w:color="auto"/>
              <w:right w:val="single" w:sz="8" w:color="auto"/>
            </w:tcBorders>
            <w:shd w:val="clear" w:color="auto" w:fill="CCEEFF"/>
          </w:tcPr>
          <w:p>
            <w:pPr>
              <w:spacing w:after="0"/>
              <w:rPr>
                <w:sz w:val="12"/>
                <w:szCs w:val="12"/>
                <w:color w:val="auto"/>
              </w:rPr>
            </w:pPr>
          </w:p>
        </w:tc>
        <w:tc>
          <w:tcPr>
            <w:tcW w:w="1360" w:type="dxa"/>
            <w:vAlign w:val="bottom"/>
            <w:tcBorders>
              <w:top w:val="single" w:sz="8" w:color="auto"/>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Borders>
              <w:left w:val="single" w:sz="8" w:color="auto"/>
              <w:right w:val="single" w:sz="8" w:color="auto"/>
            </w:tcBorders>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pension contribution</w:t>
            </w: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compensation</w:t>
            </w:r>
          </w:p>
        </w:tc>
        <w:tc>
          <w:tcPr>
            <w:tcW w:w="13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All other compensation</w:t>
            </w:r>
          </w:p>
        </w:tc>
        <w:tc>
          <w:tcPr>
            <w:tcW w:w="920" w:type="dxa"/>
            <w:vAlign w:val="bottom"/>
            <w:tcBorders>
              <w:right w:val="single" w:sz="8" w:color="auto"/>
            </w:tcBorders>
            <w:shd w:val="clear" w:color="auto" w:fill="CCEEFF"/>
          </w:tcPr>
          <w:p>
            <w:pPr>
              <w:spacing w:after="0"/>
              <w:rPr>
                <w:sz w:val="12"/>
                <w:szCs w:val="12"/>
                <w:color w:val="auto"/>
              </w:rPr>
            </w:pPr>
          </w:p>
        </w:tc>
        <w:tc>
          <w:tcPr>
            <w:tcW w:w="1120" w:type="dxa"/>
            <w:vAlign w:val="bottom"/>
            <w:shd w:val="clear" w:color="auto" w:fill="CCEEFF"/>
          </w:tcPr>
          <w:p>
            <w:pPr>
              <w:jc w:val="right"/>
              <w:ind w:right="98"/>
              <w:spacing w:after="0"/>
              <w:rPr>
                <w:sz w:val="20"/>
                <w:szCs w:val="20"/>
                <w:color w:val="auto"/>
              </w:rPr>
            </w:pPr>
            <w:r>
              <w:rPr>
                <w:rFonts w:ascii="Arial" w:cs="Arial" w:eastAsia="Arial" w:hAnsi="Arial"/>
                <w:sz w:val="11"/>
                <w:szCs w:val="11"/>
                <w:b w:val="1"/>
                <w:bCs w:val="1"/>
                <w:color w:val="auto"/>
              </w:rPr>
              <w:t>payments</w:t>
            </w: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Directors’ fees</w:t>
            </w:r>
          </w:p>
        </w:tc>
        <w:tc>
          <w:tcPr>
            <w:tcW w:w="13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42"/>
        </w:trPr>
        <w:tc>
          <w:tcPr>
            <w:tcW w:w="1360" w:type="dxa"/>
            <w:vAlign w:val="bottom"/>
            <w:tcBorders>
              <w:left w:val="single" w:sz="8" w:color="auto"/>
              <w:right w:val="single" w:sz="8" w:color="auto"/>
            </w:tcBorders>
            <w:shd w:val="clear" w:color="auto" w:fill="CCEEFF"/>
          </w:tcPr>
          <w:p>
            <w:pPr>
              <w:spacing w:after="0"/>
              <w:rPr>
                <w:sz w:val="3"/>
                <w:szCs w:val="3"/>
                <w:color w:val="auto"/>
              </w:rPr>
            </w:pPr>
          </w:p>
        </w:tc>
        <w:tc>
          <w:tcPr>
            <w:tcW w:w="640" w:type="dxa"/>
            <w:vAlign w:val="bottom"/>
            <w:tcBorders>
              <w:right w:val="single" w:sz="8" w:color="auto"/>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380" w:type="dxa"/>
            <w:vAlign w:val="bottom"/>
            <w:tcBorders>
              <w:right w:val="single" w:sz="8" w:color="auto"/>
            </w:tcBorders>
            <w:vMerge w:val="continue"/>
            <w:shd w:val="clear" w:color="auto" w:fill="CCEEFF"/>
          </w:tcPr>
          <w:p>
            <w:pPr>
              <w:spacing w:after="0"/>
              <w:rPr>
                <w:sz w:val="3"/>
                <w:szCs w:val="3"/>
                <w:color w:val="auto"/>
              </w:rPr>
            </w:pPr>
          </w:p>
        </w:tc>
        <w:tc>
          <w:tcPr>
            <w:tcW w:w="920" w:type="dxa"/>
            <w:vAlign w:val="bottom"/>
            <w:tcBorders>
              <w:right w:val="single" w:sz="8" w:color="auto"/>
            </w:tcBorders>
            <w:shd w:val="clear" w:color="auto" w:fill="CCEEFF"/>
          </w:tcPr>
          <w:p>
            <w:pPr>
              <w:spacing w:after="0"/>
              <w:rPr>
                <w:sz w:val="3"/>
                <w:szCs w:val="3"/>
                <w:color w:val="auto"/>
              </w:rPr>
            </w:pPr>
          </w:p>
        </w:tc>
        <w:tc>
          <w:tcPr>
            <w:tcW w:w="1120" w:type="dxa"/>
            <w:vAlign w:val="bottom"/>
            <w:vMerge w:val="restart"/>
            <w:shd w:val="clear" w:color="auto" w:fill="CCEEFF"/>
          </w:tcPr>
          <w:p>
            <w:pPr>
              <w:jc w:val="right"/>
              <w:ind w:right="98"/>
              <w:spacing w:after="0"/>
              <w:rPr>
                <w:sz w:val="20"/>
                <w:szCs w:val="20"/>
                <w:color w:val="auto"/>
              </w:rPr>
            </w:pPr>
            <w:r>
              <w:rPr>
                <w:rFonts w:ascii="Arial" w:cs="Arial" w:eastAsia="Arial" w:hAnsi="Arial"/>
                <w:sz w:val="11"/>
                <w:szCs w:val="11"/>
                <w:b w:val="1"/>
                <w:bCs w:val="1"/>
                <w:color w:val="auto"/>
              </w:rPr>
              <w:t>****</w:t>
            </w:r>
          </w:p>
        </w:tc>
        <w:tc>
          <w:tcPr>
            <w:tcW w:w="960" w:type="dxa"/>
            <w:vAlign w:val="bottom"/>
            <w:tcBorders>
              <w:right w:val="single" w:sz="8" w:color="auto"/>
            </w:tcBorders>
            <w:vMerge w:val="continue"/>
            <w:shd w:val="clear" w:color="auto" w:fill="CCEEFF"/>
          </w:tcPr>
          <w:p>
            <w:pPr>
              <w:spacing w:after="0"/>
              <w:rPr>
                <w:sz w:val="3"/>
                <w:szCs w:val="3"/>
                <w:color w:val="auto"/>
              </w:rPr>
            </w:pPr>
          </w:p>
        </w:tc>
        <w:tc>
          <w:tcPr>
            <w:tcW w:w="1360" w:type="dxa"/>
            <w:vAlign w:val="bottom"/>
            <w:tcBorders>
              <w:right w:val="single" w:sz="8" w:color="auto"/>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1360" w:type="dxa"/>
            <w:vAlign w:val="bottom"/>
            <w:tcBorders>
              <w:left w:val="single" w:sz="8" w:color="auto"/>
              <w:right w:val="single" w:sz="8" w:color="auto"/>
            </w:tcBorders>
            <w:vMerge w:val="restart"/>
            <w:shd w:val="clear" w:color="auto" w:fill="CCEEFF"/>
          </w:tcPr>
          <w:p>
            <w:pPr>
              <w:ind w:left="520"/>
              <w:spacing w:after="0"/>
              <w:rPr>
                <w:sz w:val="20"/>
                <w:szCs w:val="20"/>
                <w:color w:val="auto"/>
              </w:rPr>
            </w:pPr>
            <w:r>
              <w:rPr>
                <w:rFonts w:ascii="Arial" w:cs="Arial" w:eastAsia="Arial" w:hAnsi="Arial"/>
                <w:sz w:val="11"/>
                <w:szCs w:val="11"/>
                <w:b w:val="1"/>
                <w:bCs w:val="1"/>
                <w:color w:val="auto"/>
              </w:rPr>
              <w:t>Name</w:t>
            </w:r>
          </w:p>
        </w:tc>
        <w:tc>
          <w:tcPr>
            <w:tcW w:w="6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1"/>
                <w:szCs w:val="11"/>
                <w:b w:val="1"/>
                <w:bCs w:val="1"/>
                <w:color w:val="auto"/>
              </w:rPr>
              <w:t>Year</w:t>
            </w:r>
          </w:p>
        </w:tc>
        <w:tc>
          <w:tcPr>
            <w:tcW w:w="860" w:type="dxa"/>
            <w:vAlign w:val="bottom"/>
            <w:vMerge w:val="restart"/>
            <w:shd w:val="clear" w:color="auto" w:fill="CCEEFF"/>
          </w:tcPr>
          <w:p>
            <w:pPr>
              <w:jc w:val="right"/>
              <w:ind w:right="17"/>
              <w:spacing w:after="0"/>
              <w:rPr>
                <w:sz w:val="20"/>
                <w:szCs w:val="20"/>
                <w:color w:val="auto"/>
              </w:rPr>
            </w:pPr>
            <w:r>
              <w:rPr>
                <w:rFonts w:ascii="Arial" w:cs="Arial" w:eastAsia="Arial" w:hAnsi="Arial"/>
                <w:sz w:val="11"/>
                <w:szCs w:val="11"/>
                <w:b w:val="1"/>
                <w:bCs w:val="1"/>
                <w:color w:val="auto"/>
              </w:rPr>
              <w:t>Salary</w:t>
            </w:r>
          </w:p>
        </w:tc>
        <w:tc>
          <w:tcPr>
            <w:tcW w:w="136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380" w:type="dxa"/>
            <w:vAlign w:val="bottom"/>
            <w:tcBorders>
              <w:right w:val="single" w:sz="8" w:color="auto"/>
            </w:tcBorders>
            <w:shd w:val="clear" w:color="auto" w:fill="CCEEFF"/>
          </w:tcPr>
          <w:p>
            <w:pPr>
              <w:spacing w:after="0"/>
              <w:rPr>
                <w:sz w:val="9"/>
                <w:szCs w:val="9"/>
                <w:color w:val="auto"/>
              </w:rPr>
            </w:pPr>
          </w:p>
        </w:tc>
        <w:tc>
          <w:tcPr>
            <w:tcW w:w="9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Subtotal</w:t>
            </w:r>
          </w:p>
        </w:tc>
        <w:tc>
          <w:tcPr>
            <w:tcW w:w="1120" w:type="dxa"/>
            <w:vAlign w:val="bottom"/>
            <w:vMerge w:val="continue"/>
            <w:shd w:val="clear" w:color="auto" w:fill="CCEEFF"/>
          </w:tcPr>
          <w:p>
            <w:pPr>
              <w:spacing w:after="0"/>
              <w:rPr>
                <w:sz w:val="9"/>
                <w:szCs w:val="9"/>
                <w:color w:val="auto"/>
              </w:rPr>
            </w:pPr>
          </w:p>
        </w:tc>
        <w:tc>
          <w:tcPr>
            <w:tcW w:w="960" w:type="dxa"/>
            <w:vAlign w:val="bottom"/>
            <w:tcBorders>
              <w:right w:val="single" w:sz="8" w:color="auto"/>
            </w:tcBorders>
            <w:vMerge w:val="continue"/>
            <w:shd w:val="clear" w:color="auto" w:fill="CCEEFF"/>
          </w:tcPr>
          <w:p>
            <w:pPr>
              <w:spacing w:after="0"/>
              <w:rPr>
                <w:sz w:val="9"/>
                <w:szCs w:val="9"/>
                <w:color w:val="auto"/>
              </w:rPr>
            </w:pPr>
          </w:p>
        </w:tc>
        <w:tc>
          <w:tcPr>
            <w:tcW w:w="13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compensation</w:t>
            </w:r>
          </w:p>
        </w:tc>
        <w:tc>
          <w:tcPr>
            <w:tcW w:w="0" w:type="dxa"/>
            <w:vAlign w:val="bottom"/>
          </w:tcPr>
          <w:p>
            <w:pPr>
              <w:spacing w:after="0"/>
              <w:rPr>
                <w:sz w:val="1"/>
                <w:szCs w:val="1"/>
                <w:color w:val="auto"/>
              </w:rPr>
            </w:pPr>
          </w:p>
        </w:tc>
      </w:tr>
      <w:tr>
        <w:trPr>
          <w:trHeight w:val="42"/>
        </w:trPr>
        <w:tc>
          <w:tcPr>
            <w:tcW w:w="1360" w:type="dxa"/>
            <w:vAlign w:val="bottom"/>
            <w:tcBorders>
              <w:left w:val="single" w:sz="8" w:color="auto"/>
              <w:right w:val="single" w:sz="8" w:color="auto"/>
            </w:tcBorders>
            <w:vMerge w:val="continue"/>
            <w:shd w:val="clear" w:color="auto" w:fill="CCEEFF"/>
          </w:tcPr>
          <w:p>
            <w:pPr>
              <w:spacing w:after="0"/>
              <w:rPr>
                <w:sz w:val="3"/>
                <w:szCs w:val="3"/>
                <w:color w:val="auto"/>
              </w:rPr>
            </w:pPr>
          </w:p>
        </w:tc>
        <w:tc>
          <w:tcPr>
            <w:tcW w:w="640" w:type="dxa"/>
            <w:vAlign w:val="bottom"/>
            <w:tcBorders>
              <w:right w:val="single" w:sz="8" w:color="auto"/>
            </w:tcBorders>
            <w:vMerge w:val="continue"/>
            <w:shd w:val="clear" w:color="auto" w:fill="CCEEFF"/>
          </w:tcPr>
          <w:p>
            <w:pPr>
              <w:spacing w:after="0"/>
              <w:rPr>
                <w:sz w:val="3"/>
                <w:szCs w:val="3"/>
                <w:color w:val="auto"/>
              </w:rPr>
            </w:pPr>
          </w:p>
        </w:tc>
        <w:tc>
          <w:tcPr>
            <w:tcW w:w="860" w:type="dxa"/>
            <w:vAlign w:val="bottom"/>
            <w:vMerge w:val="continue"/>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380" w:type="dxa"/>
            <w:vAlign w:val="bottom"/>
            <w:tcBorders>
              <w:right w:val="single" w:sz="8" w:color="auto"/>
            </w:tcBorders>
            <w:shd w:val="clear" w:color="auto" w:fill="CCEEFF"/>
          </w:tcPr>
          <w:p>
            <w:pPr>
              <w:spacing w:after="0"/>
              <w:rPr>
                <w:sz w:val="3"/>
                <w:szCs w:val="3"/>
                <w:color w:val="auto"/>
              </w:rPr>
            </w:pPr>
          </w:p>
        </w:tc>
        <w:tc>
          <w:tcPr>
            <w:tcW w:w="920" w:type="dxa"/>
            <w:vAlign w:val="bottom"/>
            <w:tcBorders>
              <w:right w:val="single" w:sz="8" w:color="auto"/>
            </w:tcBorders>
            <w:vMerge w:val="continue"/>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960" w:type="dxa"/>
            <w:vAlign w:val="bottom"/>
            <w:tcBorders>
              <w:right w:val="single" w:sz="8" w:color="auto"/>
            </w:tcBorders>
            <w:shd w:val="clear" w:color="auto" w:fill="CCEEFF"/>
          </w:tcPr>
          <w:p>
            <w:pPr>
              <w:spacing w:after="0"/>
              <w:rPr>
                <w:sz w:val="3"/>
                <w:szCs w:val="3"/>
                <w:color w:val="auto"/>
              </w:rPr>
            </w:pPr>
          </w:p>
        </w:tc>
        <w:tc>
          <w:tcPr>
            <w:tcW w:w="1360" w:type="dxa"/>
            <w:vAlign w:val="bottom"/>
            <w:tcBorders>
              <w:right w:val="single" w:sz="8" w:color="auto"/>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1360" w:type="dxa"/>
            <w:vAlign w:val="bottom"/>
            <w:tcBorders>
              <w:left w:val="single" w:sz="8" w:color="auto"/>
              <w:right w:val="single" w:sz="8" w:color="auto"/>
            </w:tcBorders>
            <w:vMerge w:val="continue"/>
            <w:shd w:val="clear" w:color="auto" w:fill="CCEEFF"/>
          </w:tcPr>
          <w:p>
            <w:pPr>
              <w:spacing w:after="0"/>
              <w:rPr>
                <w:sz w:val="4"/>
                <w:szCs w:val="4"/>
                <w:color w:val="auto"/>
              </w:rPr>
            </w:pPr>
          </w:p>
        </w:tc>
        <w:tc>
          <w:tcPr>
            <w:tcW w:w="640" w:type="dxa"/>
            <w:vAlign w:val="bottom"/>
            <w:tcBorders>
              <w:right w:val="single" w:sz="8" w:color="auto"/>
            </w:tcBorders>
            <w:vMerge w:val="continue"/>
            <w:shd w:val="clear" w:color="auto" w:fill="CCEEFF"/>
          </w:tcPr>
          <w:p>
            <w:pPr>
              <w:spacing w:after="0"/>
              <w:rPr>
                <w:sz w:val="4"/>
                <w:szCs w:val="4"/>
                <w:color w:val="auto"/>
              </w:rPr>
            </w:pPr>
          </w:p>
        </w:tc>
        <w:tc>
          <w:tcPr>
            <w:tcW w:w="860" w:type="dxa"/>
            <w:vAlign w:val="bottom"/>
            <w:vMerge w:val="continue"/>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380" w:type="dxa"/>
            <w:vAlign w:val="bottom"/>
            <w:tcBorders>
              <w:right w:val="single" w:sz="8" w:color="auto"/>
            </w:tcBorders>
            <w:shd w:val="clear" w:color="auto" w:fill="CCEEFF"/>
          </w:tcPr>
          <w:p>
            <w:pPr>
              <w:spacing w:after="0"/>
              <w:rPr>
                <w:sz w:val="4"/>
                <w:szCs w:val="4"/>
                <w:color w:val="auto"/>
              </w:rPr>
            </w:pPr>
          </w:p>
        </w:tc>
        <w:tc>
          <w:tcPr>
            <w:tcW w:w="920" w:type="dxa"/>
            <w:vAlign w:val="bottom"/>
            <w:tcBorders>
              <w:right w:val="single" w:sz="8" w:color="auto"/>
            </w:tcBorders>
            <w:vMerge w:val="continue"/>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960" w:type="dxa"/>
            <w:vAlign w:val="bottom"/>
            <w:tcBorders>
              <w:right w:val="single" w:sz="8" w:color="auto"/>
            </w:tcBorders>
            <w:shd w:val="clear" w:color="auto" w:fill="CCEEFF"/>
          </w:tcPr>
          <w:p>
            <w:pPr>
              <w:spacing w:after="0"/>
              <w:rPr>
                <w:sz w:val="4"/>
                <w:szCs w:val="4"/>
                <w:color w:val="auto"/>
              </w:rPr>
            </w:pPr>
          </w:p>
        </w:tc>
        <w:tc>
          <w:tcPr>
            <w:tcW w:w="1360" w:type="dxa"/>
            <w:vAlign w:val="bottom"/>
            <w:tcBorders>
              <w:right w:val="single" w:sz="8" w:color="auto"/>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36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640" w:type="dxa"/>
            <w:vAlign w:val="bottom"/>
            <w:tcBorders>
              <w:bottom w:val="single" w:sz="8" w:color="auto"/>
              <w:right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right w:val="single" w:sz="8" w:color="auto"/>
            </w:tcBorders>
            <w:shd w:val="clear" w:color="auto" w:fill="CCEEFF"/>
          </w:tcPr>
          <w:p>
            <w:pPr>
              <w:spacing w:after="0"/>
              <w:rPr>
                <w:sz w:val="17"/>
                <w:szCs w:val="17"/>
                <w:color w:val="auto"/>
              </w:rPr>
            </w:pPr>
          </w:p>
        </w:tc>
        <w:tc>
          <w:tcPr>
            <w:tcW w:w="920" w:type="dxa"/>
            <w:vAlign w:val="bottom"/>
            <w:tcBorders>
              <w:bottom w:val="single" w:sz="8" w:color="auto"/>
              <w:right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right w:val="single" w:sz="8" w:color="auto"/>
            </w:tcBorders>
            <w:shd w:val="clear" w:color="auto" w:fill="CCEEFF"/>
          </w:tcPr>
          <w:p>
            <w:pPr>
              <w:spacing w:after="0"/>
              <w:rPr>
                <w:sz w:val="17"/>
                <w:szCs w:val="17"/>
                <w:color w:val="auto"/>
              </w:rPr>
            </w:pPr>
          </w:p>
        </w:tc>
        <w:tc>
          <w:tcPr>
            <w:tcW w:w="136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360" w:type="dxa"/>
            <w:vAlign w:val="bottom"/>
            <w:tcBorders>
              <w:left w:val="single" w:sz="8" w:color="auto"/>
              <w:bottom w:val="single" w:sz="8" w:color="auto"/>
              <w:right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$’000</w:t>
            </w:r>
          </w:p>
        </w:tc>
        <w:tc>
          <w:tcPr>
            <w:tcW w:w="13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$’000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1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$’000</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89"/>
        </w:trPr>
        <w:tc>
          <w:tcPr>
            <w:tcW w:w="1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173</w:t>
            </w:r>
          </w:p>
        </w:tc>
        <w:tc>
          <w:tcPr>
            <w:tcW w:w="96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343</w:t>
            </w:r>
          </w:p>
        </w:tc>
        <w:tc>
          <w:tcPr>
            <w:tcW w:w="136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516</w:t>
            </w:r>
          </w:p>
        </w:tc>
        <w:tc>
          <w:tcPr>
            <w:tcW w:w="0" w:type="dxa"/>
            <w:vAlign w:val="bottom"/>
          </w:tcPr>
          <w:p>
            <w:pPr>
              <w:spacing w:after="0"/>
              <w:rPr>
                <w:sz w:val="1"/>
                <w:szCs w:val="1"/>
                <w:color w:val="auto"/>
              </w:rPr>
            </w:pPr>
          </w:p>
        </w:tc>
      </w:tr>
      <w:tr>
        <w:trPr>
          <w:trHeight w:val="183"/>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Steve Cutler</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1,112</w:t>
            </w:r>
          </w:p>
        </w:tc>
        <w:tc>
          <w:tcPr>
            <w:tcW w:w="1360" w:type="dxa"/>
            <w:vAlign w:val="bottom"/>
          </w:tcPr>
          <w:p>
            <w:pPr>
              <w:jc w:val="right"/>
              <w:ind w:right="217"/>
              <w:spacing w:after="0"/>
              <w:rPr>
                <w:sz w:val="20"/>
                <w:szCs w:val="20"/>
                <w:color w:val="auto"/>
              </w:rPr>
            </w:pPr>
            <w:r>
              <w:rPr>
                <w:rFonts w:ascii="Arial" w:cs="Arial" w:eastAsia="Arial" w:hAnsi="Arial"/>
                <w:sz w:val="13"/>
                <w:szCs w:val="13"/>
                <w:color w:val="auto"/>
              </w:rPr>
              <w:t>178</w:t>
            </w:r>
          </w:p>
        </w:tc>
        <w:tc>
          <w:tcPr>
            <w:tcW w:w="1320" w:type="dxa"/>
            <w:vAlign w:val="bottom"/>
          </w:tcPr>
          <w:p>
            <w:pPr>
              <w:jc w:val="right"/>
              <w:ind w:right="137"/>
              <w:spacing w:after="0"/>
              <w:rPr>
                <w:sz w:val="20"/>
                <w:szCs w:val="20"/>
                <w:color w:val="auto"/>
              </w:rPr>
            </w:pPr>
            <w:r>
              <w:rPr>
                <w:rFonts w:ascii="Arial" w:cs="Arial" w:eastAsia="Arial" w:hAnsi="Arial"/>
                <w:sz w:val="13"/>
                <w:szCs w:val="13"/>
                <w:color w:val="auto"/>
              </w:rPr>
              <w:t>949</w:t>
            </w:r>
          </w:p>
        </w:tc>
        <w:tc>
          <w:tcPr>
            <w:tcW w:w="1380" w:type="dxa"/>
            <w:vAlign w:val="bottom"/>
            <w:tcBorders>
              <w:right w:val="single" w:sz="8" w:color="auto"/>
            </w:tcBorders>
          </w:tcPr>
          <w:p>
            <w:pPr>
              <w:jc w:val="right"/>
              <w:ind w:right="117"/>
              <w:spacing w:after="0"/>
              <w:rPr>
                <w:sz w:val="20"/>
                <w:szCs w:val="20"/>
                <w:color w:val="auto"/>
              </w:rPr>
            </w:pPr>
            <w:r>
              <w:rPr>
                <w:rFonts w:ascii="Arial" w:cs="Arial" w:eastAsia="Arial" w:hAnsi="Arial"/>
                <w:sz w:val="13"/>
                <w:szCs w:val="13"/>
                <w:color w:val="auto"/>
              </w:rPr>
              <w:t>31</w:t>
            </w:r>
          </w:p>
        </w:tc>
        <w:tc>
          <w:tcPr>
            <w:tcW w:w="9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2,270</w:t>
            </w:r>
          </w:p>
        </w:tc>
        <w:tc>
          <w:tcPr>
            <w:tcW w:w="1120" w:type="dxa"/>
            <w:vAlign w:val="bottom"/>
          </w:tcPr>
          <w:p>
            <w:pPr>
              <w:jc w:val="right"/>
              <w:ind w:right="218"/>
              <w:spacing w:after="0"/>
              <w:rPr>
                <w:sz w:val="20"/>
                <w:szCs w:val="20"/>
                <w:color w:val="auto"/>
              </w:rPr>
            </w:pPr>
            <w:r>
              <w:rPr>
                <w:rFonts w:ascii="Arial" w:cs="Arial" w:eastAsia="Arial" w:hAnsi="Arial"/>
                <w:sz w:val="13"/>
                <w:szCs w:val="13"/>
                <w:color w:val="auto"/>
              </w:rPr>
              <w:t>5,371</w:t>
            </w:r>
          </w:p>
        </w:tc>
        <w:tc>
          <w:tcPr>
            <w:tcW w:w="9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44</w:t>
            </w:r>
          </w:p>
        </w:tc>
        <w:tc>
          <w:tcPr>
            <w:tcW w:w="13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7,685</w:t>
            </w:r>
          </w:p>
        </w:tc>
        <w:tc>
          <w:tcPr>
            <w:tcW w:w="0" w:type="dxa"/>
            <w:vAlign w:val="bottom"/>
          </w:tcPr>
          <w:p>
            <w:pPr>
              <w:spacing w:after="0"/>
              <w:rPr>
                <w:sz w:val="1"/>
                <w:szCs w:val="1"/>
                <w:color w:val="auto"/>
              </w:rPr>
            </w:pPr>
          </w:p>
        </w:tc>
      </w:tr>
      <w:tr>
        <w:trPr>
          <w:trHeight w:val="199"/>
        </w:trPr>
        <w:tc>
          <w:tcPr>
            <w:tcW w:w="1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208</w:t>
            </w:r>
          </w:p>
        </w:tc>
        <w:tc>
          <w:tcPr>
            <w:tcW w:w="96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122</w:t>
            </w:r>
          </w:p>
        </w:tc>
        <w:tc>
          <w:tcPr>
            <w:tcW w:w="136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330</w:t>
            </w:r>
          </w:p>
        </w:tc>
        <w:tc>
          <w:tcPr>
            <w:tcW w:w="0" w:type="dxa"/>
            <w:vAlign w:val="bottom"/>
          </w:tcPr>
          <w:p>
            <w:pPr>
              <w:spacing w:after="0"/>
              <w:rPr>
                <w:sz w:val="1"/>
                <w:szCs w:val="1"/>
                <w:color w:val="auto"/>
              </w:rPr>
            </w:pPr>
          </w:p>
        </w:tc>
      </w:tr>
      <w:tr>
        <w:trPr>
          <w:trHeight w:val="183"/>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Hugh Brady</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18"/>
              <w:spacing w:after="0"/>
              <w:rPr>
                <w:sz w:val="20"/>
                <w:szCs w:val="20"/>
                <w:color w:val="auto"/>
              </w:rPr>
            </w:pPr>
            <w:r>
              <w:rPr>
                <w:rFonts w:ascii="Arial" w:cs="Arial" w:eastAsia="Arial" w:hAnsi="Arial"/>
                <w:sz w:val="13"/>
                <w:szCs w:val="13"/>
                <w:color w:val="auto"/>
              </w:rPr>
              <w:t>243</w:t>
            </w:r>
          </w:p>
        </w:tc>
        <w:tc>
          <w:tcPr>
            <w:tcW w:w="9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77</w:t>
            </w:r>
          </w:p>
        </w:tc>
        <w:tc>
          <w:tcPr>
            <w:tcW w:w="13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199"/>
        </w:trPr>
        <w:tc>
          <w:tcPr>
            <w:tcW w:w="1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John Climax</w:t>
            </w:r>
          </w:p>
        </w:tc>
        <w:tc>
          <w:tcPr>
            <w:tcW w:w="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243</w:t>
            </w:r>
          </w:p>
        </w:tc>
        <w:tc>
          <w:tcPr>
            <w:tcW w:w="96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65</w:t>
            </w:r>
          </w:p>
        </w:tc>
        <w:tc>
          <w:tcPr>
            <w:tcW w:w="136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183"/>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Joan Garahy</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18"/>
              <w:spacing w:after="0"/>
              <w:rPr>
                <w:sz w:val="20"/>
                <w:szCs w:val="20"/>
                <w:color w:val="auto"/>
              </w:rPr>
            </w:pPr>
            <w:r>
              <w:rPr>
                <w:rFonts w:ascii="Arial" w:cs="Arial" w:eastAsia="Arial" w:hAnsi="Arial"/>
                <w:sz w:val="13"/>
                <w:szCs w:val="13"/>
                <w:color w:val="auto"/>
              </w:rPr>
              <w:t>173</w:t>
            </w:r>
          </w:p>
        </w:tc>
        <w:tc>
          <w:tcPr>
            <w:tcW w:w="9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96</w:t>
            </w:r>
          </w:p>
        </w:tc>
        <w:tc>
          <w:tcPr>
            <w:tcW w:w="13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199"/>
        </w:trPr>
        <w:tc>
          <w:tcPr>
            <w:tcW w:w="1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William Hall</w:t>
            </w:r>
          </w:p>
        </w:tc>
        <w:tc>
          <w:tcPr>
            <w:tcW w:w="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243</w:t>
            </w:r>
          </w:p>
        </w:tc>
        <w:tc>
          <w:tcPr>
            <w:tcW w:w="96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94</w:t>
            </w:r>
          </w:p>
        </w:tc>
        <w:tc>
          <w:tcPr>
            <w:tcW w:w="136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183"/>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Dermot Kelleher**</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18"/>
              <w:spacing w:after="0"/>
              <w:rPr>
                <w:sz w:val="20"/>
                <w:szCs w:val="20"/>
                <w:color w:val="auto"/>
              </w:rPr>
            </w:pPr>
            <w:r>
              <w:rPr>
                <w:rFonts w:ascii="Arial" w:cs="Arial" w:eastAsia="Arial" w:hAnsi="Arial"/>
                <w:sz w:val="13"/>
                <w:szCs w:val="13"/>
                <w:color w:val="auto"/>
              </w:rPr>
              <w:t>225</w:t>
            </w:r>
          </w:p>
        </w:tc>
        <w:tc>
          <w:tcPr>
            <w:tcW w:w="9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37</w:t>
            </w:r>
          </w:p>
        </w:tc>
        <w:tc>
          <w:tcPr>
            <w:tcW w:w="13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199"/>
        </w:trPr>
        <w:tc>
          <w:tcPr>
            <w:tcW w:w="1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Eugene McCague</w:t>
            </w:r>
          </w:p>
        </w:tc>
        <w:tc>
          <w:tcPr>
            <w:tcW w:w="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173</w:t>
            </w:r>
          </w:p>
        </w:tc>
        <w:tc>
          <w:tcPr>
            <w:tcW w:w="96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87</w:t>
            </w:r>
          </w:p>
        </w:tc>
        <w:tc>
          <w:tcPr>
            <w:tcW w:w="136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83"/>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Declan McKeon**</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18"/>
              <w:spacing w:after="0"/>
              <w:rPr>
                <w:sz w:val="20"/>
                <w:szCs w:val="20"/>
                <w:color w:val="auto"/>
              </w:rPr>
            </w:pPr>
            <w:r>
              <w:rPr>
                <w:rFonts w:ascii="Arial" w:cs="Arial" w:eastAsia="Arial" w:hAnsi="Arial"/>
                <w:sz w:val="13"/>
                <w:szCs w:val="13"/>
                <w:color w:val="auto"/>
              </w:rPr>
              <w:t>225</w:t>
            </w:r>
          </w:p>
        </w:tc>
        <w:tc>
          <w:tcPr>
            <w:tcW w:w="9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51</w:t>
            </w:r>
          </w:p>
        </w:tc>
        <w:tc>
          <w:tcPr>
            <w:tcW w:w="13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199"/>
        </w:trPr>
        <w:tc>
          <w:tcPr>
            <w:tcW w:w="1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Julie O'Neill***</w:t>
            </w:r>
          </w:p>
        </w:tc>
        <w:tc>
          <w:tcPr>
            <w:tcW w:w="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84</w:t>
            </w:r>
          </w:p>
        </w:tc>
        <w:tc>
          <w:tcPr>
            <w:tcW w:w="96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29</w:t>
            </w:r>
          </w:p>
        </w:tc>
        <w:tc>
          <w:tcPr>
            <w:tcW w:w="136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83"/>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Mary Pendergast</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color w:val="auto"/>
              </w:rPr>
              <w:t>243</w:t>
            </w:r>
          </w:p>
        </w:tc>
        <w:tc>
          <w:tcPr>
            <w:tcW w:w="96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77</w:t>
            </w:r>
          </w:p>
        </w:tc>
        <w:tc>
          <w:tcPr>
            <w:tcW w:w="136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182"/>
        </w:trPr>
        <w:tc>
          <w:tcPr>
            <w:tcW w:w="13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8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b w:val="1"/>
                <w:bCs w:val="1"/>
                <w:color w:val="auto"/>
              </w:rPr>
              <w:t>1,112</w:t>
            </w:r>
          </w:p>
        </w:tc>
        <w:tc>
          <w:tcPr>
            <w:tcW w:w="13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b w:val="1"/>
                <w:bCs w:val="1"/>
                <w:color w:val="auto"/>
              </w:rPr>
              <w:t>178</w:t>
            </w:r>
          </w:p>
        </w:tc>
        <w:tc>
          <w:tcPr>
            <w:tcW w:w="1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949</w:t>
            </w:r>
          </w:p>
        </w:tc>
        <w:tc>
          <w:tcPr>
            <w:tcW w:w="1380" w:type="dxa"/>
            <w:vAlign w:val="bottom"/>
            <w:tcBorders>
              <w:bottom w:val="single" w:sz="8" w:color="auto"/>
              <w:right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31</w:t>
            </w:r>
          </w:p>
        </w:tc>
        <w:tc>
          <w:tcPr>
            <w:tcW w:w="920" w:type="dxa"/>
            <w:vAlign w:val="bottom"/>
            <w:tcBorders>
              <w:bottom w:val="single" w:sz="8" w:color="auto"/>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2,270</w:t>
            </w:r>
          </w:p>
        </w:tc>
        <w:tc>
          <w:tcPr>
            <w:tcW w:w="112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3"/>
                <w:szCs w:val="13"/>
                <w:b w:val="1"/>
                <w:bCs w:val="1"/>
                <w:color w:val="auto"/>
              </w:rPr>
              <w:t>7,604</w:t>
            </w:r>
          </w:p>
        </w:tc>
        <w:tc>
          <w:tcPr>
            <w:tcW w:w="960" w:type="dxa"/>
            <w:vAlign w:val="bottom"/>
            <w:tcBorders>
              <w:bottom w:val="single" w:sz="8" w:color="auto"/>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1,122</w:t>
            </w:r>
          </w:p>
        </w:tc>
        <w:tc>
          <w:tcPr>
            <w:tcW w:w="1360" w:type="dxa"/>
            <w:vAlign w:val="bottom"/>
            <w:tcBorders>
              <w:bottom w:val="single" w:sz="8" w:color="auto"/>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10,996</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*Appointed as Lead Independent Director on 1 January 2019.</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**Retired as Lead Independent Director on 1 January 2019. Retired from the Board at the AGM on 23 July 2019.</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***Appointed to the Board on 23 July 2019.</w:t>
      </w:r>
    </w:p>
    <w:p>
      <w:pPr>
        <w:spacing w:after="0" w:line="43" w:lineRule="exact"/>
        <w:rPr>
          <w:sz w:val="20"/>
          <w:szCs w:val="20"/>
          <w:color w:val="auto"/>
        </w:rPr>
      </w:pPr>
    </w:p>
    <w:p>
      <w:pPr>
        <w:jc w:val="both"/>
        <w:ind w:right="40"/>
        <w:spacing w:after="0" w:line="280" w:lineRule="auto"/>
        <w:rPr>
          <w:sz w:val="20"/>
          <w:szCs w:val="20"/>
          <w:color w:val="auto"/>
        </w:rPr>
      </w:pPr>
      <w:r>
        <w:rPr>
          <w:rFonts w:ascii="Arial" w:cs="Arial" w:eastAsia="Arial" w:hAnsi="Arial"/>
          <w:sz w:val="11"/>
          <w:szCs w:val="11"/>
          <w:color w:val="auto"/>
        </w:rPr>
        <w:t xml:space="preserve">****Share-based payments is the IFRS 2 expense related to share options, RSUs and PSUs. The aggregate amount of the gains earned by the Directors on the exercise of share options during the financial year is disclosed in </w:t>
      </w:r>
      <w:r>
        <w:rPr>
          <w:rFonts w:ascii="Arial" w:cs="Arial" w:eastAsia="Arial" w:hAnsi="Arial"/>
          <w:sz w:val="11"/>
          <w:szCs w:val="11"/>
          <w:i w:val="1"/>
          <w:iCs w:val="1"/>
          <w:color w:val="auto"/>
        </w:rPr>
        <w:t xml:space="preserve">Note 3 Profit before taxation </w:t>
      </w:r>
      <w:r>
        <w:rPr>
          <w:rFonts w:ascii="Arial" w:cs="Arial" w:eastAsia="Arial" w:hAnsi="Arial"/>
          <w:sz w:val="11"/>
          <w:szCs w:val="11"/>
          <w:color w:val="auto"/>
        </w:rPr>
        <w:t>under</w:t>
      </w:r>
      <w:r>
        <w:rPr>
          <w:rFonts w:ascii="Arial" w:cs="Arial" w:eastAsia="Arial" w:hAnsi="Arial"/>
          <w:sz w:val="11"/>
          <w:szCs w:val="11"/>
          <w:i w:val="1"/>
          <w:iCs w:val="1"/>
          <w:color w:val="auto"/>
        </w:rPr>
        <w:t xml:space="preserve"> ‘Directors’ emoluments’.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80"/>
          </w:cols>
          <w:pgMar w:left="300" w:top="696" w:right="319" w:bottom="1440" w:gutter="0" w:footer="0" w:header="0"/>
        </w:sectPr>
      </w:pPr>
    </w:p>
    <w:bookmarkStart w:id="83" w:name="page84"/>
    <w:bookmarkEnd w:id="83"/>
    <w:p>
      <w:pPr>
        <w:ind w:left="15"/>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ind w:left="15"/>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ind w:left="15"/>
        <w:spacing w:after="0"/>
        <w:rPr>
          <w:sz w:val="20"/>
          <w:szCs w:val="20"/>
          <w:color w:val="auto"/>
        </w:rPr>
      </w:pPr>
      <w:r>
        <w:rPr>
          <w:rFonts w:ascii="Arial" w:cs="Arial" w:eastAsia="Arial" w:hAnsi="Arial"/>
          <w:sz w:val="13"/>
          <w:szCs w:val="13"/>
          <w:b w:val="1"/>
          <w:bCs w:val="1"/>
          <w:color w:val="auto"/>
        </w:rPr>
        <w:t>9. Payroll and related benefits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17" w:lineRule="exact"/>
        <w:rPr>
          <w:sz w:val="20"/>
          <w:szCs w:val="20"/>
          <w:color w:val="auto"/>
        </w:rPr>
      </w:pPr>
    </w:p>
    <w:p>
      <w:pPr>
        <w:ind w:left="15"/>
        <w:spacing w:after="0"/>
        <w:rPr>
          <w:sz w:val="20"/>
          <w:szCs w:val="20"/>
          <w:color w:val="auto"/>
        </w:rPr>
      </w:pPr>
      <w:r>
        <w:rPr>
          <w:rFonts w:ascii="Arial" w:cs="Arial" w:eastAsia="Arial" w:hAnsi="Arial"/>
          <w:sz w:val="14"/>
          <w:szCs w:val="14"/>
          <w:i w:val="1"/>
          <w:iCs w:val="1"/>
          <w:color w:val="auto"/>
        </w:rPr>
        <w:t>Summary compensation table - Year ended 31 December 2018</w:t>
      </w:r>
    </w:p>
    <w:p>
      <w:pPr>
        <w:spacing w:after="0" w:line="84" w:lineRule="exact"/>
        <w:rPr>
          <w:sz w:val="20"/>
          <w:szCs w:val="20"/>
          <w:color w:val="auto"/>
        </w:rPr>
      </w:pPr>
    </w:p>
    <w:tbl>
      <w:tblPr>
        <w:tblLayout w:type="fixed"/>
        <w:tblInd w:w="25" w:type="dxa"/>
        <w:tblCellMar>
          <w:top w:w="0" w:type="dxa"/>
          <w:left w:w="0" w:type="dxa"/>
          <w:bottom w:w="0" w:type="dxa"/>
          <w:right w:w="0" w:type="dxa"/>
        </w:tblCellMar>
      </w:tblPr>
      <w:tr>
        <w:trPr>
          <w:trHeight w:val="159"/>
        </w:trPr>
        <w:tc>
          <w:tcPr>
            <w:tcW w:w="1360" w:type="dxa"/>
            <w:vAlign w:val="bottom"/>
            <w:tcBorders>
              <w:top w:val="single" w:sz="8" w:color="auto"/>
              <w:left w:val="single" w:sz="8" w:color="auto"/>
              <w:right w:val="single" w:sz="8" w:color="auto"/>
            </w:tcBorders>
            <w:shd w:val="clear" w:color="auto" w:fill="CCEEFF"/>
          </w:tcPr>
          <w:p>
            <w:pPr>
              <w:spacing w:after="0"/>
              <w:rPr>
                <w:sz w:val="13"/>
                <w:szCs w:val="13"/>
                <w:color w:val="auto"/>
              </w:rPr>
            </w:pPr>
          </w:p>
        </w:tc>
        <w:tc>
          <w:tcPr>
            <w:tcW w:w="640" w:type="dxa"/>
            <w:vAlign w:val="bottom"/>
            <w:tcBorders>
              <w:top w:val="single" w:sz="8" w:color="auto"/>
              <w:right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1"/>
                <w:szCs w:val="11"/>
                <w:b w:val="1"/>
                <w:bCs w:val="1"/>
                <w:color w:val="auto"/>
              </w:rPr>
              <w:t>Company</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Performance related</w:t>
            </w:r>
          </w:p>
        </w:tc>
        <w:tc>
          <w:tcPr>
            <w:tcW w:w="1380" w:type="dxa"/>
            <w:vAlign w:val="bottom"/>
            <w:tcBorders>
              <w:top w:val="single" w:sz="8" w:color="auto"/>
              <w:right w:val="single" w:sz="8" w:color="auto"/>
            </w:tcBorders>
            <w:shd w:val="clear" w:color="auto" w:fill="CCEEFF"/>
          </w:tcPr>
          <w:p>
            <w:pPr>
              <w:spacing w:after="0"/>
              <w:rPr>
                <w:sz w:val="13"/>
                <w:szCs w:val="13"/>
                <w:color w:val="auto"/>
              </w:rPr>
            </w:pPr>
          </w:p>
        </w:tc>
        <w:tc>
          <w:tcPr>
            <w:tcW w:w="920" w:type="dxa"/>
            <w:vAlign w:val="bottom"/>
            <w:tcBorders>
              <w:top w:val="single" w:sz="8" w:color="auto"/>
              <w:right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1"/>
                <w:szCs w:val="11"/>
                <w:b w:val="1"/>
                <w:bCs w:val="1"/>
                <w:color w:val="auto"/>
              </w:rPr>
              <w:t>Share-based</w:t>
            </w:r>
          </w:p>
        </w:tc>
        <w:tc>
          <w:tcPr>
            <w:tcW w:w="960" w:type="dxa"/>
            <w:vAlign w:val="bottom"/>
            <w:tcBorders>
              <w:top w:val="single" w:sz="8" w:color="auto"/>
              <w:right w:val="single" w:sz="8" w:color="auto"/>
            </w:tcBorders>
            <w:shd w:val="clear" w:color="auto" w:fill="CCEEFF"/>
          </w:tcPr>
          <w:p>
            <w:pPr>
              <w:spacing w:after="0"/>
              <w:rPr>
                <w:sz w:val="13"/>
                <w:szCs w:val="13"/>
                <w:color w:val="auto"/>
              </w:rPr>
            </w:pPr>
          </w:p>
        </w:tc>
        <w:tc>
          <w:tcPr>
            <w:tcW w:w="1360" w:type="dxa"/>
            <w:vAlign w:val="bottom"/>
            <w:tcBorders>
              <w:top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360" w:type="dxa"/>
            <w:vAlign w:val="bottom"/>
            <w:tcBorders>
              <w:left w:val="single" w:sz="8" w:color="auto"/>
              <w:right w:val="single" w:sz="8" w:color="auto"/>
            </w:tcBorders>
            <w:shd w:val="clear" w:color="auto" w:fill="CCEEFF"/>
          </w:tcPr>
          <w:p>
            <w:pPr>
              <w:spacing w:after="0"/>
              <w:rPr>
                <w:sz w:val="10"/>
                <w:szCs w:val="10"/>
                <w:color w:val="auto"/>
              </w:rPr>
            </w:pPr>
          </w:p>
        </w:tc>
        <w:tc>
          <w:tcPr>
            <w:tcW w:w="640" w:type="dxa"/>
            <w:vAlign w:val="bottom"/>
            <w:tcBorders>
              <w:right w:val="single" w:sz="8" w:color="auto"/>
            </w:tcBorders>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360" w:type="dxa"/>
            <w:vAlign w:val="bottom"/>
            <w:shd w:val="clear" w:color="auto" w:fill="CCEEFF"/>
          </w:tcPr>
          <w:p>
            <w:pPr>
              <w:jc w:val="right"/>
              <w:ind w:right="77"/>
              <w:spacing w:after="0" w:line="117" w:lineRule="exact"/>
              <w:rPr>
                <w:sz w:val="20"/>
                <w:szCs w:val="20"/>
                <w:color w:val="auto"/>
              </w:rPr>
            </w:pPr>
            <w:r>
              <w:rPr>
                <w:rFonts w:ascii="Arial" w:cs="Arial" w:eastAsia="Arial" w:hAnsi="Arial"/>
                <w:sz w:val="11"/>
                <w:szCs w:val="11"/>
                <w:b w:val="1"/>
                <w:bCs w:val="1"/>
                <w:color w:val="auto"/>
              </w:rPr>
              <w:t>pension contribution</w:t>
            </w:r>
          </w:p>
        </w:tc>
        <w:tc>
          <w:tcPr>
            <w:tcW w:w="1320" w:type="dxa"/>
            <w:vAlign w:val="bottom"/>
            <w:vMerge w:val="continue"/>
            <w:shd w:val="clear" w:color="auto" w:fill="CCEEFF"/>
          </w:tcPr>
          <w:p>
            <w:pPr>
              <w:spacing w:after="0"/>
              <w:rPr>
                <w:sz w:val="10"/>
                <w:szCs w:val="10"/>
                <w:color w:val="auto"/>
              </w:rPr>
            </w:pPr>
          </w:p>
        </w:tc>
        <w:tc>
          <w:tcPr>
            <w:tcW w:w="13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All other compensation</w:t>
            </w:r>
          </w:p>
        </w:tc>
        <w:tc>
          <w:tcPr>
            <w:tcW w:w="920" w:type="dxa"/>
            <w:vAlign w:val="bottom"/>
            <w:tcBorders>
              <w:right w:val="single" w:sz="8" w:color="auto"/>
            </w:tcBorders>
            <w:shd w:val="clear" w:color="auto" w:fill="CCEEFF"/>
          </w:tcPr>
          <w:p>
            <w:pPr>
              <w:spacing w:after="0"/>
              <w:rPr>
                <w:sz w:val="10"/>
                <w:szCs w:val="10"/>
                <w:color w:val="auto"/>
              </w:rPr>
            </w:pPr>
          </w:p>
        </w:tc>
        <w:tc>
          <w:tcPr>
            <w:tcW w:w="1120" w:type="dxa"/>
            <w:vAlign w:val="bottom"/>
            <w:shd w:val="clear" w:color="auto" w:fill="CCEEFF"/>
          </w:tcPr>
          <w:p>
            <w:pPr>
              <w:jc w:val="right"/>
              <w:ind w:right="98"/>
              <w:spacing w:after="0" w:line="117" w:lineRule="exact"/>
              <w:rPr>
                <w:sz w:val="20"/>
                <w:szCs w:val="20"/>
                <w:color w:val="auto"/>
              </w:rPr>
            </w:pPr>
            <w:r>
              <w:rPr>
                <w:rFonts w:ascii="Arial" w:cs="Arial" w:eastAsia="Arial" w:hAnsi="Arial"/>
                <w:sz w:val="11"/>
                <w:szCs w:val="11"/>
                <w:b w:val="1"/>
                <w:bCs w:val="1"/>
                <w:color w:val="auto"/>
              </w:rPr>
              <w:t>payments</w:t>
            </w:r>
          </w:p>
        </w:tc>
        <w:tc>
          <w:tcPr>
            <w:tcW w:w="960" w:type="dxa"/>
            <w:vAlign w:val="bottom"/>
            <w:tcBorders>
              <w:right w:val="single" w:sz="8" w:color="auto"/>
            </w:tcBorders>
            <w:shd w:val="clear" w:color="auto" w:fill="CCEEFF"/>
          </w:tcPr>
          <w:p>
            <w:pPr>
              <w:spacing w:after="0"/>
              <w:rPr>
                <w:sz w:val="10"/>
                <w:szCs w:val="10"/>
                <w:color w:val="auto"/>
              </w:rPr>
            </w:pPr>
          </w:p>
        </w:tc>
        <w:tc>
          <w:tcPr>
            <w:tcW w:w="13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64"/>
        </w:trPr>
        <w:tc>
          <w:tcPr>
            <w:tcW w:w="1360" w:type="dxa"/>
            <w:vAlign w:val="bottom"/>
            <w:tcBorders>
              <w:left w:val="single" w:sz="8" w:color="auto"/>
              <w:right w:val="single" w:sz="8" w:color="auto"/>
            </w:tcBorders>
            <w:shd w:val="clear" w:color="auto" w:fill="CCEEFF"/>
          </w:tcPr>
          <w:p>
            <w:pPr>
              <w:spacing w:after="0"/>
              <w:rPr>
                <w:sz w:val="5"/>
                <w:szCs w:val="5"/>
                <w:color w:val="auto"/>
              </w:rPr>
            </w:pPr>
          </w:p>
        </w:tc>
        <w:tc>
          <w:tcPr>
            <w:tcW w:w="640" w:type="dxa"/>
            <w:vAlign w:val="bottom"/>
            <w:tcBorders>
              <w:right w:val="single" w:sz="8" w:color="auto"/>
            </w:tcBorders>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compensation</w:t>
            </w:r>
          </w:p>
        </w:tc>
        <w:tc>
          <w:tcPr>
            <w:tcW w:w="1380" w:type="dxa"/>
            <w:vAlign w:val="bottom"/>
            <w:tcBorders>
              <w:right w:val="single" w:sz="8" w:color="auto"/>
            </w:tcBorders>
            <w:vMerge w:val="continue"/>
            <w:shd w:val="clear" w:color="auto" w:fill="CCEEFF"/>
          </w:tcPr>
          <w:p>
            <w:pPr>
              <w:spacing w:after="0"/>
              <w:rPr>
                <w:sz w:val="5"/>
                <w:szCs w:val="5"/>
                <w:color w:val="auto"/>
              </w:rPr>
            </w:pPr>
          </w:p>
        </w:tc>
        <w:tc>
          <w:tcPr>
            <w:tcW w:w="920" w:type="dxa"/>
            <w:vAlign w:val="bottom"/>
            <w:tcBorders>
              <w:right w:val="single" w:sz="8" w:color="auto"/>
            </w:tcBorders>
            <w:shd w:val="clear" w:color="auto" w:fill="CCEEFF"/>
          </w:tcPr>
          <w:p>
            <w:pPr>
              <w:spacing w:after="0"/>
              <w:rPr>
                <w:sz w:val="5"/>
                <w:szCs w:val="5"/>
                <w:color w:val="auto"/>
              </w:rPr>
            </w:pPr>
          </w:p>
        </w:tc>
        <w:tc>
          <w:tcPr>
            <w:tcW w:w="1120" w:type="dxa"/>
            <w:vAlign w:val="bottom"/>
            <w:vMerge w:val="restart"/>
            <w:shd w:val="clear" w:color="auto" w:fill="CCEEFF"/>
          </w:tcPr>
          <w:p>
            <w:pPr>
              <w:jc w:val="right"/>
              <w:ind w:right="98"/>
              <w:spacing w:after="0"/>
              <w:rPr>
                <w:sz w:val="20"/>
                <w:szCs w:val="20"/>
                <w:color w:val="auto"/>
              </w:rPr>
            </w:pPr>
            <w:r>
              <w:rPr>
                <w:rFonts w:ascii="Arial" w:cs="Arial" w:eastAsia="Arial" w:hAnsi="Arial"/>
                <w:sz w:val="11"/>
                <w:szCs w:val="11"/>
                <w:b w:val="1"/>
                <w:bCs w:val="1"/>
                <w:color w:val="auto"/>
              </w:rPr>
              <w:t>***</w:t>
            </w: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Directors’ fees</w:t>
            </w:r>
          </w:p>
        </w:tc>
        <w:tc>
          <w:tcPr>
            <w:tcW w:w="1360" w:type="dxa"/>
            <w:vAlign w:val="bottom"/>
            <w:tcBorders>
              <w:right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360" w:type="dxa"/>
            <w:vAlign w:val="bottom"/>
            <w:tcBorders>
              <w:left w:val="single" w:sz="8" w:color="auto"/>
              <w:right w:val="single" w:sz="8" w:color="auto"/>
            </w:tcBorders>
            <w:vMerge w:val="restart"/>
            <w:shd w:val="clear" w:color="auto" w:fill="CCEEFF"/>
          </w:tcPr>
          <w:p>
            <w:pPr>
              <w:ind w:left="520"/>
              <w:spacing w:after="0"/>
              <w:rPr>
                <w:sz w:val="20"/>
                <w:szCs w:val="20"/>
                <w:color w:val="auto"/>
              </w:rPr>
            </w:pPr>
            <w:r>
              <w:rPr>
                <w:rFonts w:ascii="Arial" w:cs="Arial" w:eastAsia="Arial" w:hAnsi="Arial"/>
                <w:sz w:val="11"/>
                <w:szCs w:val="11"/>
                <w:b w:val="1"/>
                <w:bCs w:val="1"/>
                <w:color w:val="auto"/>
              </w:rPr>
              <w:t>Name</w:t>
            </w:r>
          </w:p>
        </w:tc>
        <w:tc>
          <w:tcPr>
            <w:tcW w:w="6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1"/>
                <w:szCs w:val="11"/>
                <w:b w:val="1"/>
                <w:bCs w:val="1"/>
                <w:color w:val="auto"/>
              </w:rPr>
              <w:t>Year</w:t>
            </w:r>
          </w:p>
        </w:tc>
        <w:tc>
          <w:tcPr>
            <w:tcW w:w="860" w:type="dxa"/>
            <w:vAlign w:val="bottom"/>
            <w:vMerge w:val="restart"/>
            <w:shd w:val="clear" w:color="auto" w:fill="CCEEFF"/>
          </w:tcPr>
          <w:p>
            <w:pPr>
              <w:jc w:val="right"/>
              <w:ind w:right="17"/>
              <w:spacing w:after="0"/>
              <w:rPr>
                <w:sz w:val="20"/>
                <w:szCs w:val="20"/>
                <w:color w:val="auto"/>
              </w:rPr>
            </w:pPr>
            <w:r>
              <w:rPr>
                <w:rFonts w:ascii="Arial" w:cs="Arial" w:eastAsia="Arial" w:hAnsi="Arial"/>
                <w:sz w:val="11"/>
                <w:szCs w:val="11"/>
                <w:b w:val="1"/>
                <w:bCs w:val="1"/>
                <w:color w:val="auto"/>
              </w:rPr>
              <w:t>Salary</w:t>
            </w:r>
          </w:p>
        </w:tc>
        <w:tc>
          <w:tcPr>
            <w:tcW w:w="1360" w:type="dxa"/>
            <w:vAlign w:val="bottom"/>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1380" w:type="dxa"/>
            <w:vAlign w:val="bottom"/>
            <w:tcBorders>
              <w:right w:val="single" w:sz="8" w:color="auto"/>
            </w:tcBorders>
            <w:shd w:val="clear" w:color="auto" w:fill="CCEEFF"/>
          </w:tcPr>
          <w:p>
            <w:pPr>
              <w:spacing w:after="0"/>
              <w:rPr>
                <w:sz w:val="9"/>
                <w:szCs w:val="9"/>
                <w:color w:val="auto"/>
              </w:rPr>
            </w:pPr>
          </w:p>
        </w:tc>
        <w:tc>
          <w:tcPr>
            <w:tcW w:w="9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Subtotal</w:t>
            </w:r>
          </w:p>
        </w:tc>
        <w:tc>
          <w:tcPr>
            <w:tcW w:w="1120" w:type="dxa"/>
            <w:vAlign w:val="bottom"/>
            <w:vMerge w:val="continue"/>
            <w:shd w:val="clear" w:color="auto" w:fill="CCEEFF"/>
          </w:tcPr>
          <w:p>
            <w:pPr>
              <w:spacing w:after="0"/>
              <w:rPr>
                <w:sz w:val="9"/>
                <w:szCs w:val="9"/>
                <w:color w:val="auto"/>
              </w:rPr>
            </w:pPr>
          </w:p>
        </w:tc>
        <w:tc>
          <w:tcPr>
            <w:tcW w:w="960" w:type="dxa"/>
            <w:vAlign w:val="bottom"/>
            <w:tcBorders>
              <w:right w:val="single" w:sz="8" w:color="auto"/>
            </w:tcBorders>
            <w:vMerge w:val="continue"/>
            <w:shd w:val="clear" w:color="auto" w:fill="CCEEFF"/>
          </w:tcPr>
          <w:p>
            <w:pPr>
              <w:spacing w:after="0"/>
              <w:rPr>
                <w:sz w:val="9"/>
                <w:szCs w:val="9"/>
                <w:color w:val="auto"/>
              </w:rPr>
            </w:pPr>
          </w:p>
        </w:tc>
        <w:tc>
          <w:tcPr>
            <w:tcW w:w="13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compensation</w:t>
            </w:r>
          </w:p>
        </w:tc>
        <w:tc>
          <w:tcPr>
            <w:tcW w:w="0" w:type="dxa"/>
            <w:vAlign w:val="bottom"/>
          </w:tcPr>
          <w:p>
            <w:pPr>
              <w:spacing w:after="0"/>
              <w:rPr>
                <w:sz w:val="1"/>
                <w:szCs w:val="1"/>
                <w:color w:val="auto"/>
              </w:rPr>
            </w:pPr>
          </w:p>
        </w:tc>
      </w:tr>
      <w:tr>
        <w:trPr>
          <w:trHeight w:val="42"/>
        </w:trPr>
        <w:tc>
          <w:tcPr>
            <w:tcW w:w="1360" w:type="dxa"/>
            <w:vAlign w:val="bottom"/>
            <w:tcBorders>
              <w:left w:val="single" w:sz="8" w:color="auto"/>
              <w:right w:val="single" w:sz="8" w:color="auto"/>
            </w:tcBorders>
            <w:vMerge w:val="continue"/>
            <w:shd w:val="clear" w:color="auto" w:fill="CCEEFF"/>
          </w:tcPr>
          <w:p>
            <w:pPr>
              <w:spacing w:after="0"/>
              <w:rPr>
                <w:sz w:val="3"/>
                <w:szCs w:val="3"/>
                <w:color w:val="auto"/>
              </w:rPr>
            </w:pPr>
          </w:p>
        </w:tc>
        <w:tc>
          <w:tcPr>
            <w:tcW w:w="640" w:type="dxa"/>
            <w:vAlign w:val="bottom"/>
            <w:tcBorders>
              <w:right w:val="single" w:sz="8" w:color="auto"/>
            </w:tcBorders>
            <w:vMerge w:val="continue"/>
            <w:shd w:val="clear" w:color="auto" w:fill="CCEEFF"/>
          </w:tcPr>
          <w:p>
            <w:pPr>
              <w:spacing w:after="0"/>
              <w:rPr>
                <w:sz w:val="3"/>
                <w:szCs w:val="3"/>
                <w:color w:val="auto"/>
              </w:rPr>
            </w:pPr>
          </w:p>
        </w:tc>
        <w:tc>
          <w:tcPr>
            <w:tcW w:w="860" w:type="dxa"/>
            <w:vAlign w:val="bottom"/>
            <w:vMerge w:val="continue"/>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380" w:type="dxa"/>
            <w:vAlign w:val="bottom"/>
            <w:tcBorders>
              <w:right w:val="single" w:sz="8" w:color="auto"/>
            </w:tcBorders>
            <w:shd w:val="clear" w:color="auto" w:fill="CCEEFF"/>
          </w:tcPr>
          <w:p>
            <w:pPr>
              <w:spacing w:after="0"/>
              <w:rPr>
                <w:sz w:val="3"/>
                <w:szCs w:val="3"/>
                <w:color w:val="auto"/>
              </w:rPr>
            </w:pPr>
          </w:p>
        </w:tc>
        <w:tc>
          <w:tcPr>
            <w:tcW w:w="920" w:type="dxa"/>
            <w:vAlign w:val="bottom"/>
            <w:tcBorders>
              <w:right w:val="single" w:sz="8" w:color="auto"/>
            </w:tcBorders>
            <w:vMerge w:val="continue"/>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960" w:type="dxa"/>
            <w:vAlign w:val="bottom"/>
            <w:tcBorders>
              <w:right w:val="single" w:sz="8" w:color="auto"/>
            </w:tcBorders>
            <w:shd w:val="clear" w:color="auto" w:fill="CCEEFF"/>
          </w:tcPr>
          <w:p>
            <w:pPr>
              <w:spacing w:after="0"/>
              <w:rPr>
                <w:sz w:val="3"/>
                <w:szCs w:val="3"/>
                <w:color w:val="auto"/>
              </w:rPr>
            </w:pPr>
          </w:p>
        </w:tc>
        <w:tc>
          <w:tcPr>
            <w:tcW w:w="1360" w:type="dxa"/>
            <w:vAlign w:val="bottom"/>
            <w:tcBorders>
              <w:right w:val="single" w:sz="8" w:color="auto"/>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1360" w:type="dxa"/>
            <w:vAlign w:val="bottom"/>
            <w:tcBorders>
              <w:left w:val="single" w:sz="8" w:color="auto"/>
              <w:right w:val="single" w:sz="8" w:color="auto"/>
            </w:tcBorders>
            <w:vMerge w:val="continue"/>
            <w:shd w:val="clear" w:color="auto" w:fill="CCEEFF"/>
          </w:tcPr>
          <w:p>
            <w:pPr>
              <w:spacing w:after="0"/>
              <w:rPr>
                <w:sz w:val="4"/>
                <w:szCs w:val="4"/>
                <w:color w:val="auto"/>
              </w:rPr>
            </w:pPr>
          </w:p>
        </w:tc>
        <w:tc>
          <w:tcPr>
            <w:tcW w:w="640" w:type="dxa"/>
            <w:vAlign w:val="bottom"/>
            <w:tcBorders>
              <w:right w:val="single" w:sz="8" w:color="auto"/>
            </w:tcBorders>
            <w:vMerge w:val="continue"/>
            <w:shd w:val="clear" w:color="auto" w:fill="CCEEFF"/>
          </w:tcPr>
          <w:p>
            <w:pPr>
              <w:spacing w:after="0"/>
              <w:rPr>
                <w:sz w:val="4"/>
                <w:szCs w:val="4"/>
                <w:color w:val="auto"/>
              </w:rPr>
            </w:pPr>
          </w:p>
        </w:tc>
        <w:tc>
          <w:tcPr>
            <w:tcW w:w="860" w:type="dxa"/>
            <w:vAlign w:val="bottom"/>
            <w:vMerge w:val="continue"/>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380" w:type="dxa"/>
            <w:vAlign w:val="bottom"/>
            <w:tcBorders>
              <w:right w:val="single" w:sz="8" w:color="auto"/>
            </w:tcBorders>
            <w:shd w:val="clear" w:color="auto" w:fill="CCEEFF"/>
          </w:tcPr>
          <w:p>
            <w:pPr>
              <w:spacing w:after="0"/>
              <w:rPr>
                <w:sz w:val="4"/>
                <w:szCs w:val="4"/>
                <w:color w:val="auto"/>
              </w:rPr>
            </w:pPr>
          </w:p>
        </w:tc>
        <w:tc>
          <w:tcPr>
            <w:tcW w:w="920" w:type="dxa"/>
            <w:vAlign w:val="bottom"/>
            <w:tcBorders>
              <w:right w:val="single" w:sz="8" w:color="auto"/>
            </w:tcBorders>
            <w:vMerge w:val="continue"/>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960" w:type="dxa"/>
            <w:vAlign w:val="bottom"/>
            <w:tcBorders>
              <w:right w:val="single" w:sz="8" w:color="auto"/>
            </w:tcBorders>
            <w:shd w:val="clear" w:color="auto" w:fill="CCEEFF"/>
          </w:tcPr>
          <w:p>
            <w:pPr>
              <w:spacing w:after="0"/>
              <w:rPr>
                <w:sz w:val="4"/>
                <w:szCs w:val="4"/>
                <w:color w:val="auto"/>
              </w:rPr>
            </w:pPr>
          </w:p>
        </w:tc>
        <w:tc>
          <w:tcPr>
            <w:tcW w:w="1360" w:type="dxa"/>
            <w:vAlign w:val="bottom"/>
            <w:tcBorders>
              <w:right w:val="single" w:sz="8" w:color="auto"/>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36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640" w:type="dxa"/>
            <w:vAlign w:val="bottom"/>
            <w:tcBorders>
              <w:bottom w:val="single" w:sz="8" w:color="auto"/>
              <w:right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right w:val="single" w:sz="8" w:color="auto"/>
            </w:tcBorders>
            <w:shd w:val="clear" w:color="auto" w:fill="CCEEFF"/>
          </w:tcPr>
          <w:p>
            <w:pPr>
              <w:spacing w:after="0"/>
              <w:rPr>
                <w:sz w:val="17"/>
                <w:szCs w:val="17"/>
                <w:color w:val="auto"/>
              </w:rPr>
            </w:pPr>
          </w:p>
        </w:tc>
        <w:tc>
          <w:tcPr>
            <w:tcW w:w="920" w:type="dxa"/>
            <w:vAlign w:val="bottom"/>
            <w:tcBorders>
              <w:bottom w:val="single" w:sz="8" w:color="auto"/>
              <w:right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right w:val="single" w:sz="8" w:color="auto"/>
            </w:tcBorders>
            <w:shd w:val="clear" w:color="auto" w:fill="CCEEFF"/>
          </w:tcPr>
          <w:p>
            <w:pPr>
              <w:spacing w:after="0"/>
              <w:rPr>
                <w:sz w:val="17"/>
                <w:szCs w:val="17"/>
                <w:color w:val="auto"/>
              </w:rPr>
            </w:pPr>
          </w:p>
        </w:tc>
        <w:tc>
          <w:tcPr>
            <w:tcW w:w="136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360" w:type="dxa"/>
            <w:vAlign w:val="bottom"/>
            <w:tcBorders>
              <w:left w:val="single" w:sz="8" w:color="auto"/>
              <w:bottom w:val="single" w:sz="8" w:color="auto"/>
              <w:right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$’000</w:t>
            </w:r>
          </w:p>
        </w:tc>
        <w:tc>
          <w:tcPr>
            <w:tcW w:w="13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$’000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1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$’000</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189"/>
        </w:trPr>
        <w:tc>
          <w:tcPr>
            <w:tcW w:w="1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Ciaran Murray*</w:t>
            </w:r>
          </w:p>
        </w:tc>
        <w:tc>
          <w:tcPr>
            <w:tcW w:w="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2018</w:t>
            </w:r>
          </w:p>
        </w:tc>
        <w:tc>
          <w:tcPr>
            <w:tcW w:w="8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135</w:t>
            </w:r>
          </w:p>
        </w:tc>
        <w:tc>
          <w:tcPr>
            <w:tcW w:w="1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17</w:t>
            </w: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5</w:t>
            </w:r>
          </w:p>
        </w:tc>
        <w:tc>
          <w:tcPr>
            <w:tcW w:w="92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157</w:t>
            </w:r>
          </w:p>
        </w:tc>
        <w:tc>
          <w:tcPr>
            <w:tcW w:w="112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(1,450)</w:t>
            </w:r>
          </w:p>
        </w:tc>
        <w:tc>
          <w:tcPr>
            <w:tcW w:w="96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232</w:t>
            </w:r>
          </w:p>
        </w:tc>
        <w:tc>
          <w:tcPr>
            <w:tcW w:w="136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(1,061)</w:t>
            </w:r>
          </w:p>
        </w:tc>
        <w:tc>
          <w:tcPr>
            <w:tcW w:w="0" w:type="dxa"/>
            <w:vAlign w:val="bottom"/>
          </w:tcPr>
          <w:p>
            <w:pPr>
              <w:spacing w:after="0"/>
              <w:rPr>
                <w:sz w:val="1"/>
                <w:szCs w:val="1"/>
                <w:color w:val="auto"/>
              </w:rPr>
            </w:pPr>
          </w:p>
        </w:tc>
      </w:tr>
      <w:tr>
        <w:trPr>
          <w:trHeight w:val="183"/>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Steve Cutler</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2018</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1,100</w:t>
            </w:r>
          </w:p>
        </w:tc>
        <w:tc>
          <w:tcPr>
            <w:tcW w:w="1360" w:type="dxa"/>
            <w:vAlign w:val="bottom"/>
          </w:tcPr>
          <w:p>
            <w:pPr>
              <w:jc w:val="right"/>
              <w:ind w:right="217"/>
              <w:spacing w:after="0"/>
              <w:rPr>
                <w:sz w:val="20"/>
                <w:szCs w:val="20"/>
                <w:color w:val="auto"/>
              </w:rPr>
            </w:pPr>
            <w:r>
              <w:rPr>
                <w:rFonts w:ascii="Arial" w:cs="Arial" w:eastAsia="Arial" w:hAnsi="Arial"/>
                <w:sz w:val="13"/>
                <w:szCs w:val="13"/>
                <w:color w:val="auto"/>
              </w:rPr>
              <w:t>186</w:t>
            </w:r>
          </w:p>
        </w:tc>
        <w:tc>
          <w:tcPr>
            <w:tcW w:w="1320" w:type="dxa"/>
            <w:vAlign w:val="bottom"/>
          </w:tcPr>
          <w:p>
            <w:pPr>
              <w:jc w:val="right"/>
              <w:ind w:right="137"/>
              <w:spacing w:after="0"/>
              <w:rPr>
                <w:sz w:val="20"/>
                <w:szCs w:val="20"/>
                <w:color w:val="auto"/>
              </w:rPr>
            </w:pPr>
            <w:r>
              <w:rPr>
                <w:rFonts w:ascii="Arial" w:cs="Arial" w:eastAsia="Arial" w:hAnsi="Arial"/>
                <w:sz w:val="13"/>
                <w:szCs w:val="13"/>
                <w:color w:val="auto"/>
              </w:rPr>
              <w:t>1,100</w:t>
            </w:r>
          </w:p>
        </w:tc>
        <w:tc>
          <w:tcPr>
            <w:tcW w:w="1380" w:type="dxa"/>
            <w:vAlign w:val="bottom"/>
            <w:tcBorders>
              <w:right w:val="single" w:sz="8" w:color="auto"/>
            </w:tcBorders>
          </w:tcPr>
          <w:p>
            <w:pPr>
              <w:jc w:val="right"/>
              <w:ind w:right="117"/>
              <w:spacing w:after="0"/>
              <w:rPr>
                <w:sz w:val="20"/>
                <w:szCs w:val="20"/>
                <w:color w:val="auto"/>
              </w:rPr>
            </w:pPr>
            <w:r>
              <w:rPr>
                <w:rFonts w:ascii="Arial" w:cs="Arial" w:eastAsia="Arial" w:hAnsi="Arial"/>
                <w:sz w:val="13"/>
                <w:szCs w:val="13"/>
                <w:color w:val="auto"/>
              </w:rPr>
              <w:t>195</w:t>
            </w:r>
          </w:p>
        </w:tc>
        <w:tc>
          <w:tcPr>
            <w:tcW w:w="9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2,581</w:t>
            </w:r>
          </w:p>
        </w:tc>
        <w:tc>
          <w:tcPr>
            <w:tcW w:w="1120" w:type="dxa"/>
            <w:vAlign w:val="bottom"/>
          </w:tcPr>
          <w:p>
            <w:pPr>
              <w:jc w:val="right"/>
              <w:ind w:right="218"/>
              <w:spacing w:after="0"/>
              <w:rPr>
                <w:sz w:val="20"/>
                <w:szCs w:val="20"/>
                <w:color w:val="auto"/>
              </w:rPr>
            </w:pPr>
            <w:r>
              <w:rPr>
                <w:rFonts w:ascii="Arial" w:cs="Arial" w:eastAsia="Arial" w:hAnsi="Arial"/>
                <w:sz w:val="13"/>
                <w:szCs w:val="13"/>
                <w:color w:val="auto"/>
              </w:rPr>
              <w:t>5,258</w:t>
            </w:r>
          </w:p>
        </w:tc>
        <w:tc>
          <w:tcPr>
            <w:tcW w:w="9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44</w:t>
            </w:r>
          </w:p>
        </w:tc>
        <w:tc>
          <w:tcPr>
            <w:tcW w:w="13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7,883</w:t>
            </w:r>
          </w:p>
        </w:tc>
        <w:tc>
          <w:tcPr>
            <w:tcW w:w="0" w:type="dxa"/>
            <w:vAlign w:val="bottom"/>
          </w:tcPr>
          <w:p>
            <w:pPr>
              <w:spacing w:after="0"/>
              <w:rPr>
                <w:sz w:val="1"/>
                <w:szCs w:val="1"/>
                <w:color w:val="auto"/>
              </w:rPr>
            </w:pPr>
          </w:p>
        </w:tc>
      </w:tr>
      <w:tr>
        <w:trPr>
          <w:trHeight w:val="199"/>
        </w:trPr>
        <w:tc>
          <w:tcPr>
            <w:tcW w:w="1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Rónán Murphy</w:t>
            </w:r>
          </w:p>
        </w:tc>
        <w:tc>
          <w:tcPr>
            <w:tcW w:w="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2018</w:t>
            </w:r>
          </w:p>
        </w:tc>
        <w:tc>
          <w:tcPr>
            <w:tcW w:w="8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105</w:t>
            </w:r>
          </w:p>
        </w:tc>
        <w:tc>
          <w:tcPr>
            <w:tcW w:w="96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102</w:t>
            </w:r>
          </w:p>
        </w:tc>
        <w:tc>
          <w:tcPr>
            <w:tcW w:w="136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83"/>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Hugh Brady</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2018</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18"/>
              <w:spacing w:after="0"/>
              <w:rPr>
                <w:sz w:val="20"/>
                <w:szCs w:val="20"/>
                <w:color w:val="auto"/>
              </w:rPr>
            </w:pPr>
            <w:r>
              <w:rPr>
                <w:rFonts w:ascii="Arial" w:cs="Arial" w:eastAsia="Arial" w:hAnsi="Arial"/>
                <w:sz w:val="13"/>
                <w:szCs w:val="13"/>
                <w:color w:val="auto"/>
              </w:rPr>
              <w:t>173</w:t>
            </w:r>
          </w:p>
        </w:tc>
        <w:tc>
          <w:tcPr>
            <w:tcW w:w="9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73</w:t>
            </w:r>
          </w:p>
        </w:tc>
        <w:tc>
          <w:tcPr>
            <w:tcW w:w="13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99"/>
        </w:trPr>
        <w:tc>
          <w:tcPr>
            <w:tcW w:w="1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John Climax</w:t>
            </w:r>
          </w:p>
        </w:tc>
        <w:tc>
          <w:tcPr>
            <w:tcW w:w="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2018</w:t>
            </w:r>
          </w:p>
        </w:tc>
        <w:tc>
          <w:tcPr>
            <w:tcW w:w="8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173</w:t>
            </w:r>
          </w:p>
        </w:tc>
        <w:tc>
          <w:tcPr>
            <w:tcW w:w="96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65</w:t>
            </w:r>
          </w:p>
        </w:tc>
        <w:tc>
          <w:tcPr>
            <w:tcW w:w="136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83"/>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Joan Garahy</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2018</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18"/>
              <w:spacing w:after="0"/>
              <w:rPr>
                <w:sz w:val="20"/>
                <w:szCs w:val="20"/>
                <w:color w:val="auto"/>
              </w:rPr>
            </w:pPr>
            <w:r>
              <w:rPr>
                <w:rFonts w:ascii="Arial" w:cs="Arial" w:eastAsia="Arial" w:hAnsi="Arial"/>
                <w:sz w:val="13"/>
                <w:szCs w:val="13"/>
                <w:color w:val="auto"/>
              </w:rPr>
              <w:t>45</w:t>
            </w:r>
          </w:p>
        </w:tc>
        <w:tc>
          <w:tcPr>
            <w:tcW w:w="9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82</w:t>
            </w:r>
          </w:p>
        </w:tc>
        <w:tc>
          <w:tcPr>
            <w:tcW w:w="13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99"/>
        </w:trPr>
        <w:tc>
          <w:tcPr>
            <w:tcW w:w="1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Dermot Kelleher</w:t>
            </w:r>
          </w:p>
        </w:tc>
        <w:tc>
          <w:tcPr>
            <w:tcW w:w="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2018</w:t>
            </w:r>
          </w:p>
        </w:tc>
        <w:tc>
          <w:tcPr>
            <w:tcW w:w="8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173</w:t>
            </w:r>
          </w:p>
        </w:tc>
        <w:tc>
          <w:tcPr>
            <w:tcW w:w="96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69</w:t>
            </w:r>
          </w:p>
        </w:tc>
        <w:tc>
          <w:tcPr>
            <w:tcW w:w="136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83"/>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Ronan Lambe **</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2018</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18"/>
              <w:spacing w:after="0"/>
              <w:rPr>
                <w:sz w:val="20"/>
                <w:szCs w:val="20"/>
                <w:color w:val="auto"/>
              </w:rPr>
            </w:pPr>
            <w:r>
              <w:rPr>
                <w:rFonts w:ascii="Arial" w:cs="Arial" w:eastAsia="Arial" w:hAnsi="Arial"/>
                <w:sz w:val="13"/>
                <w:szCs w:val="13"/>
                <w:color w:val="auto"/>
              </w:rPr>
              <w:t>249</w:t>
            </w:r>
          </w:p>
        </w:tc>
        <w:tc>
          <w:tcPr>
            <w:tcW w:w="9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36</w:t>
            </w:r>
          </w:p>
        </w:tc>
        <w:tc>
          <w:tcPr>
            <w:tcW w:w="13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199"/>
        </w:trPr>
        <w:tc>
          <w:tcPr>
            <w:tcW w:w="1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William Hall</w:t>
            </w:r>
          </w:p>
        </w:tc>
        <w:tc>
          <w:tcPr>
            <w:tcW w:w="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2018</w:t>
            </w:r>
          </w:p>
        </w:tc>
        <w:tc>
          <w:tcPr>
            <w:tcW w:w="8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174</w:t>
            </w:r>
          </w:p>
        </w:tc>
        <w:tc>
          <w:tcPr>
            <w:tcW w:w="96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102</w:t>
            </w:r>
          </w:p>
        </w:tc>
        <w:tc>
          <w:tcPr>
            <w:tcW w:w="136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183"/>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Eugene McCague</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2018</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18"/>
              <w:spacing w:after="0"/>
              <w:rPr>
                <w:sz w:val="20"/>
                <w:szCs w:val="20"/>
                <w:color w:val="auto"/>
              </w:rPr>
            </w:pPr>
            <w:r>
              <w:rPr>
                <w:rFonts w:ascii="Arial" w:cs="Arial" w:eastAsia="Arial" w:hAnsi="Arial"/>
                <w:sz w:val="13"/>
                <w:szCs w:val="13"/>
                <w:color w:val="auto"/>
              </w:rPr>
              <w:t>45</w:t>
            </w:r>
          </w:p>
        </w:tc>
        <w:tc>
          <w:tcPr>
            <w:tcW w:w="9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73</w:t>
            </w:r>
          </w:p>
        </w:tc>
        <w:tc>
          <w:tcPr>
            <w:tcW w:w="136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99"/>
        </w:trPr>
        <w:tc>
          <w:tcPr>
            <w:tcW w:w="1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Declan McKeon</w:t>
            </w:r>
          </w:p>
        </w:tc>
        <w:tc>
          <w:tcPr>
            <w:tcW w:w="6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2018</w:t>
            </w:r>
          </w:p>
        </w:tc>
        <w:tc>
          <w:tcPr>
            <w:tcW w:w="8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173</w:t>
            </w:r>
          </w:p>
        </w:tc>
        <w:tc>
          <w:tcPr>
            <w:tcW w:w="96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127</w:t>
            </w:r>
          </w:p>
        </w:tc>
        <w:tc>
          <w:tcPr>
            <w:tcW w:w="136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83"/>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Mary Pendergast</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2018</w:t>
            </w:r>
          </w:p>
        </w:tc>
        <w:tc>
          <w:tcPr>
            <w:tcW w:w="8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color w:val="auto"/>
              </w:rPr>
              <w:t>173</w:t>
            </w:r>
          </w:p>
        </w:tc>
        <w:tc>
          <w:tcPr>
            <w:tcW w:w="96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78</w:t>
            </w:r>
          </w:p>
        </w:tc>
        <w:tc>
          <w:tcPr>
            <w:tcW w:w="136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251</w:t>
            </w:r>
          </w:p>
        </w:tc>
        <w:tc>
          <w:tcPr>
            <w:tcW w:w="0" w:type="dxa"/>
            <w:vAlign w:val="bottom"/>
          </w:tcPr>
          <w:p>
            <w:pPr>
              <w:spacing w:after="0"/>
              <w:rPr>
                <w:sz w:val="1"/>
                <w:szCs w:val="1"/>
                <w:color w:val="auto"/>
              </w:rPr>
            </w:pPr>
          </w:p>
        </w:tc>
      </w:tr>
      <w:tr>
        <w:trPr>
          <w:trHeight w:val="182"/>
        </w:trPr>
        <w:tc>
          <w:tcPr>
            <w:tcW w:w="13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2018</w:t>
            </w:r>
          </w:p>
        </w:tc>
        <w:tc>
          <w:tcPr>
            <w:tcW w:w="8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b w:val="1"/>
                <w:bCs w:val="1"/>
                <w:color w:val="auto"/>
              </w:rPr>
              <w:t>1,235</w:t>
            </w:r>
          </w:p>
        </w:tc>
        <w:tc>
          <w:tcPr>
            <w:tcW w:w="13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b w:val="1"/>
                <w:bCs w:val="1"/>
                <w:color w:val="auto"/>
              </w:rPr>
              <w:t>203</w:t>
            </w:r>
          </w:p>
        </w:tc>
        <w:tc>
          <w:tcPr>
            <w:tcW w:w="1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1,100</w:t>
            </w:r>
          </w:p>
        </w:tc>
        <w:tc>
          <w:tcPr>
            <w:tcW w:w="1380" w:type="dxa"/>
            <w:vAlign w:val="bottom"/>
            <w:tcBorders>
              <w:bottom w:val="single" w:sz="8" w:color="auto"/>
              <w:right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200</w:t>
            </w:r>
          </w:p>
        </w:tc>
        <w:tc>
          <w:tcPr>
            <w:tcW w:w="920" w:type="dxa"/>
            <w:vAlign w:val="bottom"/>
            <w:tcBorders>
              <w:bottom w:val="single" w:sz="8" w:color="auto"/>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2,738</w:t>
            </w:r>
          </w:p>
        </w:tc>
        <w:tc>
          <w:tcPr>
            <w:tcW w:w="112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3"/>
                <w:szCs w:val="13"/>
                <w:b w:val="1"/>
                <w:bCs w:val="1"/>
                <w:color w:val="auto"/>
              </w:rPr>
              <w:t>5,291</w:t>
            </w:r>
          </w:p>
        </w:tc>
        <w:tc>
          <w:tcPr>
            <w:tcW w:w="960" w:type="dxa"/>
            <w:vAlign w:val="bottom"/>
            <w:tcBorders>
              <w:bottom w:val="single" w:sz="8" w:color="auto"/>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1,083</w:t>
            </w:r>
          </w:p>
        </w:tc>
        <w:tc>
          <w:tcPr>
            <w:tcW w:w="1360" w:type="dxa"/>
            <w:vAlign w:val="bottom"/>
            <w:tcBorders>
              <w:bottom w:val="single" w:sz="8" w:color="auto"/>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9,112</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5" w:right="20"/>
        <w:spacing w:after="0" w:line="271" w:lineRule="auto"/>
        <w:rPr>
          <w:sz w:val="20"/>
          <w:szCs w:val="20"/>
          <w:color w:val="auto"/>
        </w:rPr>
      </w:pPr>
      <w:r>
        <w:rPr>
          <w:rFonts w:ascii="Arial" w:cs="Arial" w:eastAsia="Arial" w:hAnsi="Arial"/>
          <w:sz w:val="11"/>
          <w:szCs w:val="11"/>
          <w:color w:val="auto"/>
        </w:rPr>
        <w:t>*Appointed as Executive Chairman on 1 March 2017 and non-Executive Chairman from 12 May 2018. The vesting of the Ordinary Share Options and Restricted Share Units which were unvested on Mr. Murray ceasing to be an ICON plc employee (12 May 2018) were accelerated and the outstanding Ordinary Share Options and Restricted Share Units vested on that date. The unvested Performance Share Units with vesting dates between 12 May 2018 and March 2019 were forfeit on Mr. Murray ceasing to be an ICON plc employee on 12 May 2018.</w:t>
      </w:r>
    </w:p>
    <w:p>
      <w:pPr>
        <w:spacing w:after="0" w:line="28" w:lineRule="exact"/>
        <w:rPr>
          <w:sz w:val="20"/>
          <w:szCs w:val="20"/>
          <w:color w:val="auto"/>
        </w:rPr>
      </w:pPr>
    </w:p>
    <w:p>
      <w:pPr>
        <w:ind w:left="15"/>
        <w:spacing w:after="0"/>
        <w:rPr>
          <w:sz w:val="20"/>
          <w:szCs w:val="20"/>
          <w:color w:val="auto"/>
        </w:rPr>
      </w:pPr>
      <w:r>
        <w:rPr>
          <w:rFonts w:ascii="Arial" w:cs="Arial" w:eastAsia="Arial" w:hAnsi="Arial"/>
          <w:sz w:val="11"/>
          <w:szCs w:val="11"/>
          <w:color w:val="auto"/>
        </w:rPr>
        <w:t>**Retired from the Board at the AGM on 24 July 2018.</w:t>
      </w:r>
    </w:p>
    <w:p>
      <w:pPr>
        <w:spacing w:after="0" w:line="43" w:lineRule="exact"/>
        <w:rPr>
          <w:sz w:val="20"/>
          <w:szCs w:val="20"/>
          <w:color w:val="auto"/>
        </w:rPr>
      </w:pPr>
    </w:p>
    <w:p>
      <w:pPr>
        <w:ind w:left="15" w:right="80"/>
        <w:spacing w:after="0" w:line="259" w:lineRule="auto"/>
        <w:rPr>
          <w:sz w:val="20"/>
          <w:szCs w:val="20"/>
          <w:color w:val="auto"/>
        </w:rPr>
      </w:pPr>
      <w:r>
        <w:rPr>
          <w:rFonts w:ascii="Arial" w:cs="Arial" w:eastAsia="Arial" w:hAnsi="Arial"/>
          <w:sz w:val="11"/>
          <w:szCs w:val="11"/>
          <w:color w:val="auto"/>
        </w:rPr>
        <w:t xml:space="preserve">***Share-based payments is the IFRS 2 expense related to share options, RSUs and PSUs. The aggregate amount of the gains earned by the Directors on the exercise of share options during the financial year is disclosed in </w:t>
      </w:r>
      <w:r>
        <w:rPr>
          <w:rFonts w:ascii="Arial" w:cs="Arial" w:eastAsia="Arial" w:hAnsi="Arial"/>
          <w:sz w:val="11"/>
          <w:szCs w:val="11"/>
          <w:i w:val="1"/>
          <w:iCs w:val="1"/>
          <w:color w:val="auto"/>
        </w:rPr>
        <w:t xml:space="preserve">Note 3 Profit before taxation </w:t>
      </w:r>
      <w:r>
        <w:rPr>
          <w:rFonts w:ascii="Arial" w:cs="Arial" w:eastAsia="Arial" w:hAnsi="Arial"/>
          <w:sz w:val="11"/>
          <w:szCs w:val="11"/>
          <w:color w:val="auto"/>
        </w:rPr>
        <w:t>under</w:t>
      </w:r>
      <w:r>
        <w:rPr>
          <w:rFonts w:ascii="Arial" w:cs="Arial" w:eastAsia="Arial" w:hAnsi="Arial"/>
          <w:sz w:val="11"/>
          <w:szCs w:val="11"/>
          <w:i w:val="1"/>
          <w:iCs w:val="1"/>
          <w:color w:val="auto"/>
        </w:rPr>
        <w:t xml:space="preserve"> ‘Directors’ emoluments’.</w:t>
      </w:r>
    </w:p>
    <w:p>
      <w:pPr>
        <w:spacing w:after="0" w:line="1" w:lineRule="exact"/>
        <w:rPr>
          <w:sz w:val="20"/>
          <w:szCs w:val="20"/>
          <w:color w:val="auto"/>
        </w:rPr>
      </w:pPr>
    </w:p>
    <w:p>
      <w:pPr>
        <w:ind w:left="15"/>
        <w:spacing w:after="0"/>
        <w:rPr>
          <w:sz w:val="20"/>
          <w:szCs w:val="20"/>
          <w:color w:val="auto"/>
        </w:rPr>
      </w:pPr>
      <w:r>
        <w:rPr>
          <w:rFonts w:ascii="Arial" w:cs="Arial" w:eastAsia="Arial" w:hAnsi="Arial"/>
          <w:sz w:val="13"/>
          <w:szCs w:val="13"/>
          <w:b w:val="1"/>
          <w:bCs w:val="1"/>
          <w:color w:val="auto"/>
        </w:rPr>
        <w:t>10. Retirement benefit obligations</w:t>
      </w:r>
    </w:p>
    <w:p>
      <w:pPr>
        <w:spacing w:after="0" w:line="178" w:lineRule="exact"/>
        <w:rPr>
          <w:sz w:val="20"/>
          <w:szCs w:val="20"/>
          <w:color w:val="auto"/>
        </w:rPr>
      </w:pPr>
    </w:p>
    <w:p>
      <w:pPr>
        <w:ind w:left="15"/>
        <w:spacing w:after="0" w:line="263" w:lineRule="auto"/>
        <w:rPr>
          <w:sz w:val="20"/>
          <w:szCs w:val="20"/>
          <w:color w:val="auto"/>
        </w:rPr>
      </w:pPr>
      <w:r>
        <w:rPr>
          <w:rFonts w:ascii="Arial" w:cs="Arial" w:eastAsia="Arial" w:hAnsi="Arial"/>
          <w:sz w:val="13"/>
          <w:szCs w:val="13"/>
          <w:color w:val="auto"/>
        </w:rPr>
        <w:t xml:space="preserve">The Group operates a number of defined contribution schemes and two defined benefit pension schemes. The Group accounts for pensions in accordance with IAS 19R </w:t>
      </w:r>
      <w:r>
        <w:rPr>
          <w:rFonts w:ascii="Arial" w:cs="Arial" w:eastAsia="Arial" w:hAnsi="Arial"/>
          <w:sz w:val="13"/>
          <w:szCs w:val="13"/>
          <w:i w:val="1"/>
          <w:iCs w:val="1"/>
          <w:color w:val="auto"/>
        </w:rPr>
        <w:t>Employee Benefits</w:t>
      </w:r>
      <w:r>
        <w:rPr>
          <w:rFonts w:ascii="Arial" w:cs="Arial" w:eastAsia="Arial" w:hAnsi="Arial"/>
          <w:sz w:val="13"/>
          <w:szCs w:val="13"/>
          <w:color w:val="auto"/>
        </w:rPr>
        <w:t xml:space="preserve"> (“IAS 19R”).</w:t>
      </w:r>
    </w:p>
    <w:p>
      <w:pPr>
        <w:spacing w:after="0" w:line="156" w:lineRule="exact"/>
        <w:rPr>
          <w:sz w:val="20"/>
          <w:szCs w:val="20"/>
          <w:color w:val="auto"/>
        </w:rPr>
      </w:pPr>
    </w:p>
    <w:p>
      <w:pPr>
        <w:ind w:left="515" w:hanging="515"/>
        <w:spacing w:after="0"/>
        <w:tabs>
          <w:tab w:leader="none" w:pos="515"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Defined Contribution Schemes</w:t>
      </w:r>
    </w:p>
    <w:p>
      <w:pPr>
        <w:spacing w:after="0" w:line="206" w:lineRule="exact"/>
        <w:rPr>
          <w:sz w:val="20"/>
          <w:szCs w:val="20"/>
          <w:color w:val="auto"/>
        </w:rPr>
      </w:pPr>
    </w:p>
    <w:p>
      <w:pPr>
        <w:jc w:val="both"/>
        <w:ind w:left="15"/>
        <w:spacing w:after="0"/>
        <w:rPr>
          <w:sz w:val="20"/>
          <w:szCs w:val="20"/>
          <w:color w:val="auto"/>
        </w:rPr>
      </w:pPr>
      <w:r>
        <w:rPr>
          <w:rFonts w:ascii="Arial" w:cs="Arial" w:eastAsia="Arial" w:hAnsi="Arial"/>
          <w:sz w:val="13"/>
          <w:szCs w:val="13"/>
          <w:color w:val="auto"/>
        </w:rPr>
        <w:t>Certain employees of the Group are eligible to participate in a defined contribution plan (the "Plan"). Participants in the Plan may elect to defer a portion of their pre-tax earnings into a pension plan, which is run by an independent party. The Group matches each participant's contributions typically at 8% of the participant's annual compensation. Contributions to this plan are recorded as a remuneration expense in the Consolidated Statement of Profit and Loss. Contributions for the year ended 31 December 2019 and year ended 31 December 2018 were $26,483,000 and $25,241,000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4"/>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95"/>
          </w:cols>
          <w:pgMar w:left="285" w:top="696" w:right="319" w:bottom="1440" w:gutter="0" w:footer="0" w:header="0"/>
        </w:sectPr>
      </w:pPr>
    </w:p>
    <w:bookmarkStart w:id="84" w:name="page85"/>
    <w:bookmarkEnd w:id="84"/>
    <w:p>
      <w:pPr>
        <w:ind w:left="10"/>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ind w:left="10"/>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ind w:left="10"/>
        <w:spacing w:after="0"/>
        <w:rPr>
          <w:sz w:val="20"/>
          <w:szCs w:val="20"/>
          <w:color w:val="auto"/>
        </w:rPr>
      </w:pPr>
      <w:r>
        <w:rPr>
          <w:rFonts w:ascii="Arial" w:cs="Arial" w:eastAsia="Arial" w:hAnsi="Arial"/>
          <w:sz w:val="13"/>
          <w:szCs w:val="13"/>
          <w:b w:val="1"/>
          <w:bCs w:val="1"/>
          <w:color w:val="auto"/>
        </w:rPr>
        <w:t>10. Retirement benefit obligations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29" w:lineRule="exact"/>
        <w:rPr>
          <w:sz w:val="20"/>
          <w:szCs w:val="20"/>
          <w:color w:val="auto"/>
        </w:rPr>
      </w:pPr>
    </w:p>
    <w:p>
      <w:pPr>
        <w:jc w:val="both"/>
        <w:ind w:left="10"/>
        <w:spacing w:after="0" w:line="267" w:lineRule="auto"/>
        <w:rPr>
          <w:sz w:val="20"/>
          <w:szCs w:val="20"/>
          <w:color w:val="auto"/>
        </w:rPr>
      </w:pPr>
      <w:r>
        <w:rPr>
          <w:rFonts w:ascii="Arial" w:cs="Arial" w:eastAsia="Arial" w:hAnsi="Arial"/>
          <w:sz w:val="12"/>
          <w:szCs w:val="12"/>
          <w:color w:val="auto"/>
        </w:rPr>
        <w:t>The Group's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Group matches participant's contributions up to 3% and matches 50% of participant's contributions thereafter to a maximum Company contribution of 4.5% of the participant's annual compensation. Contributions to the U.S. Plan are recorded, in the year contributed, as an expense in the Consolidated Statement of Profit and Loss. Contributions for the year ended 31 December 2019 and year ended 31 December 2018 were $16,469,000 and $15,532,000 respectively.</w:t>
      </w:r>
    </w:p>
    <w:p>
      <w:pPr>
        <w:spacing w:after="0" w:line="155" w:lineRule="exact"/>
        <w:rPr>
          <w:sz w:val="20"/>
          <w:szCs w:val="20"/>
          <w:color w:val="auto"/>
        </w:rPr>
      </w:pPr>
    </w:p>
    <w:p>
      <w:pPr>
        <w:ind w:left="550" w:hanging="550"/>
        <w:spacing w:after="0"/>
        <w:tabs>
          <w:tab w:leader="none" w:pos="55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Defined Benefit Plans</w:t>
      </w:r>
    </w:p>
    <w:p>
      <w:pPr>
        <w:spacing w:after="0" w:line="192" w:lineRule="exact"/>
        <w:rPr>
          <w:sz w:val="20"/>
          <w:szCs w:val="20"/>
          <w:color w:val="auto"/>
        </w:rPr>
      </w:pPr>
    </w:p>
    <w:p>
      <w:pPr>
        <w:ind w:left="50"/>
        <w:spacing w:after="0"/>
        <w:rPr>
          <w:sz w:val="20"/>
          <w:szCs w:val="20"/>
          <w:color w:val="auto"/>
        </w:rPr>
      </w:pPr>
      <w:r>
        <w:rPr>
          <w:rFonts w:ascii="Arial" w:cs="Arial" w:eastAsia="Arial" w:hAnsi="Arial"/>
          <w:sz w:val="13"/>
          <w:szCs w:val="13"/>
          <w:b w:val="1"/>
          <w:bCs w:val="1"/>
          <w:i w:val="1"/>
          <w:iCs w:val="1"/>
          <w:color w:val="auto"/>
        </w:rPr>
        <w:t>ICON Development Solutions Limited defined benefit pension plan</w:t>
      </w:r>
    </w:p>
    <w:p>
      <w:pPr>
        <w:spacing w:after="0" w:line="204" w:lineRule="exact"/>
        <w:rPr>
          <w:sz w:val="20"/>
          <w:szCs w:val="20"/>
          <w:color w:val="auto"/>
        </w:rPr>
      </w:pPr>
    </w:p>
    <w:p>
      <w:pPr>
        <w:ind w:left="10"/>
        <w:spacing w:after="0" w:line="244" w:lineRule="auto"/>
        <w:rPr>
          <w:sz w:val="20"/>
          <w:szCs w:val="20"/>
          <w:color w:val="auto"/>
        </w:rPr>
      </w:pPr>
      <w:r>
        <w:rPr>
          <w:rFonts w:ascii="Arial" w:cs="Arial" w:eastAsia="Arial" w:hAnsi="Arial"/>
          <w:sz w:val="13"/>
          <w:szCs w:val="13"/>
          <w:color w:val="auto"/>
        </w:rPr>
        <w:t>One of the Group’s subsidiaries, ICON Development Solutions Limited, which was acquired by the Group in 2003, operates a defined benefit pension plan in the United Kingdom for certain of its employees, which is now closed to new members.</w:t>
      </w:r>
    </w:p>
    <w:p>
      <w:pPr>
        <w:spacing w:after="0" w:line="184" w:lineRule="exact"/>
        <w:rPr>
          <w:sz w:val="20"/>
          <w:szCs w:val="20"/>
          <w:color w:val="auto"/>
        </w:rPr>
      </w:pPr>
    </w:p>
    <w:p>
      <w:pPr>
        <w:ind w:left="10"/>
        <w:spacing w:after="0" w:line="244" w:lineRule="auto"/>
        <w:rPr>
          <w:sz w:val="20"/>
          <w:szCs w:val="20"/>
          <w:color w:val="auto"/>
        </w:rPr>
      </w:pPr>
      <w:r>
        <w:rPr>
          <w:rFonts w:ascii="Arial" w:cs="Arial" w:eastAsia="Arial" w:hAnsi="Arial"/>
          <w:sz w:val="13"/>
          <w:szCs w:val="13"/>
          <w:color w:val="auto"/>
        </w:rPr>
        <w:t>The plan is managed externally and the related pension costs and liabilities are assessed in accordance with the advice of a professionally qualified actuary. Plan assets at 31 December 2019 and 31 December 2018 consist of units held in independently administered funds.</w:t>
      </w:r>
    </w:p>
    <w:p>
      <w:pPr>
        <w:spacing w:after="0" w:line="172" w:lineRule="exact"/>
        <w:rPr>
          <w:sz w:val="20"/>
          <w:szCs w:val="20"/>
          <w:color w:val="auto"/>
        </w:rPr>
      </w:pPr>
    </w:p>
    <w:p>
      <w:pPr>
        <w:ind w:left="10"/>
        <w:spacing w:after="0"/>
        <w:rPr>
          <w:sz w:val="20"/>
          <w:szCs w:val="20"/>
          <w:color w:val="auto"/>
        </w:rPr>
      </w:pPr>
      <w:r>
        <w:rPr>
          <w:rFonts w:ascii="Arial" w:cs="Arial" w:eastAsia="Arial" w:hAnsi="Arial"/>
          <w:sz w:val="13"/>
          <w:szCs w:val="13"/>
          <w:i w:val="1"/>
          <w:iCs w:val="1"/>
          <w:color w:val="auto"/>
        </w:rPr>
        <w:t>Financial assumptions</w:t>
      </w:r>
    </w:p>
    <w:p>
      <w:pPr>
        <w:spacing w:after="0" w:line="202" w:lineRule="exact"/>
        <w:rPr>
          <w:sz w:val="20"/>
          <w:szCs w:val="20"/>
          <w:color w:val="auto"/>
        </w:rPr>
      </w:pPr>
    </w:p>
    <w:p>
      <w:pPr>
        <w:ind w:left="10"/>
        <w:spacing w:after="0"/>
        <w:rPr>
          <w:sz w:val="20"/>
          <w:szCs w:val="20"/>
          <w:color w:val="auto"/>
        </w:rPr>
      </w:pPr>
      <w:r>
        <w:rPr>
          <w:rFonts w:ascii="Arial" w:cs="Arial" w:eastAsia="Arial" w:hAnsi="Arial"/>
          <w:sz w:val="13"/>
          <w:szCs w:val="13"/>
          <w:color w:val="auto"/>
        </w:rPr>
        <w:t>The following assumptions were used in determining the fair value of the plan assets and the present value of the projected benefit obligation at 31 December 2019:</w:t>
      </w:r>
    </w:p>
    <w:p>
      <w:pPr>
        <w:spacing w:after="0" w:line="82"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5200" w:type="dxa"/>
            <w:vAlign w:val="bottom"/>
            <w:shd w:val="clear" w:color="auto" w:fill="CCEEFF"/>
          </w:tcPr>
          <w:p>
            <w:pPr>
              <w:spacing w:after="0"/>
              <w:rPr>
                <w:sz w:val="13"/>
                <w:szCs w:val="13"/>
                <w:color w:val="auto"/>
              </w:rPr>
            </w:pPr>
          </w:p>
        </w:tc>
        <w:tc>
          <w:tcPr>
            <w:tcW w:w="49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5200" w:type="dxa"/>
            <w:vAlign w:val="bottom"/>
            <w:tcBorders>
              <w:bottom w:val="single" w:sz="8" w:color="auto"/>
            </w:tcBorders>
            <w:shd w:val="clear" w:color="auto" w:fill="CCEEFF"/>
          </w:tcPr>
          <w:p>
            <w:pPr>
              <w:spacing w:after="0"/>
              <w:rPr>
                <w:sz w:val="15"/>
                <w:szCs w:val="15"/>
                <w:color w:val="auto"/>
              </w:rPr>
            </w:pPr>
          </w:p>
        </w:tc>
        <w:tc>
          <w:tcPr>
            <w:tcW w:w="49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9"/>
        </w:trPr>
        <w:tc>
          <w:tcPr>
            <w:tcW w:w="52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p>
        </w:tc>
        <w:tc>
          <w:tcPr>
            <w:tcW w:w="49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2.10 %</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2.90 %</w:t>
            </w:r>
          </w:p>
        </w:tc>
      </w:tr>
      <w:tr>
        <w:trPr>
          <w:trHeight w:val="183"/>
        </w:trPr>
        <w:tc>
          <w:tcPr>
            <w:tcW w:w="5200" w:type="dxa"/>
            <w:vAlign w:val="bottom"/>
          </w:tcPr>
          <w:p>
            <w:pPr>
              <w:ind w:left="20"/>
              <w:spacing w:after="0"/>
              <w:rPr>
                <w:sz w:val="20"/>
                <w:szCs w:val="20"/>
                <w:color w:val="auto"/>
              </w:rPr>
            </w:pPr>
            <w:r>
              <w:rPr>
                <w:rFonts w:ascii="Arial" w:cs="Arial" w:eastAsia="Arial" w:hAnsi="Arial"/>
                <w:sz w:val="13"/>
                <w:szCs w:val="13"/>
                <w:color w:val="auto"/>
              </w:rPr>
              <w:t>Inflation rate</w:t>
            </w:r>
          </w:p>
        </w:tc>
        <w:tc>
          <w:tcPr>
            <w:tcW w:w="4940" w:type="dxa"/>
            <w:vAlign w:val="bottom"/>
          </w:tcPr>
          <w:p>
            <w:pPr>
              <w:jc w:val="right"/>
              <w:ind w:right="316"/>
              <w:spacing w:after="0"/>
              <w:rPr>
                <w:sz w:val="20"/>
                <w:szCs w:val="20"/>
                <w:color w:val="auto"/>
              </w:rPr>
            </w:pPr>
            <w:r>
              <w:rPr>
                <w:rFonts w:ascii="Arial" w:cs="Arial" w:eastAsia="Arial" w:hAnsi="Arial"/>
                <w:sz w:val="13"/>
                <w:szCs w:val="13"/>
                <w:b w:val="1"/>
                <w:bCs w:val="1"/>
                <w:color w:val="auto"/>
              </w:rPr>
              <w:t>2.80 %</w:t>
            </w:r>
          </w:p>
        </w:tc>
        <w:tc>
          <w:tcPr>
            <w:tcW w:w="1140" w:type="dxa"/>
            <w:vAlign w:val="bottom"/>
          </w:tcPr>
          <w:p>
            <w:pPr>
              <w:jc w:val="right"/>
              <w:spacing w:after="0"/>
              <w:rPr>
                <w:sz w:val="20"/>
                <w:szCs w:val="20"/>
                <w:color w:val="auto"/>
              </w:rPr>
            </w:pPr>
            <w:r>
              <w:rPr>
                <w:rFonts w:ascii="Arial" w:cs="Arial" w:eastAsia="Arial" w:hAnsi="Arial"/>
                <w:sz w:val="13"/>
                <w:szCs w:val="13"/>
                <w:color w:val="auto"/>
              </w:rPr>
              <w:t>3.20 %</w:t>
            </w:r>
          </w:p>
        </w:tc>
      </w:tr>
      <w:tr>
        <w:trPr>
          <w:trHeight w:val="199"/>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Future pension increases</w:t>
            </w:r>
          </w:p>
        </w:tc>
        <w:tc>
          <w:tcPr>
            <w:tcW w:w="49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2.70 %</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3.10 %</w:t>
            </w:r>
          </w:p>
        </w:tc>
      </w:tr>
      <w:tr>
        <w:trPr>
          <w:trHeight w:val="192"/>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Future salary increases</w:t>
            </w:r>
          </w:p>
        </w:tc>
        <w:tc>
          <w:tcPr>
            <w:tcW w:w="49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3.30 %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3.70 %</w:t>
            </w:r>
          </w:p>
        </w:tc>
      </w:tr>
    </w:tbl>
    <w:p>
      <w:pPr>
        <w:spacing w:after="0" w:line="267" w:lineRule="exact"/>
        <w:rPr>
          <w:sz w:val="20"/>
          <w:szCs w:val="20"/>
          <w:color w:val="auto"/>
        </w:rPr>
      </w:pPr>
    </w:p>
    <w:p>
      <w:pPr>
        <w:jc w:val="both"/>
        <w:ind w:left="10"/>
        <w:spacing w:after="0" w:line="244" w:lineRule="auto"/>
        <w:rPr>
          <w:sz w:val="20"/>
          <w:szCs w:val="20"/>
          <w:color w:val="auto"/>
        </w:rPr>
      </w:pPr>
      <w:r>
        <w:rPr>
          <w:rFonts w:ascii="Arial" w:cs="Arial" w:eastAsia="Arial" w:hAnsi="Arial"/>
          <w:sz w:val="13"/>
          <w:szCs w:val="13"/>
          <w:color w:val="auto"/>
        </w:rPr>
        <w:t>A single discount rate is used which, when used to discount the projected benefit cashflows underlying a pension scheme with a 26 year duration, gives the same result as a full AA corporate bond yield curve.</w:t>
      </w:r>
    </w:p>
    <w:p>
      <w:pPr>
        <w:spacing w:after="0" w:line="184" w:lineRule="exact"/>
        <w:rPr>
          <w:sz w:val="20"/>
          <w:szCs w:val="20"/>
          <w:color w:val="auto"/>
        </w:rPr>
      </w:pPr>
    </w:p>
    <w:p>
      <w:pPr>
        <w:ind w:left="10"/>
        <w:spacing w:after="0"/>
        <w:rPr>
          <w:sz w:val="20"/>
          <w:szCs w:val="20"/>
          <w:color w:val="auto"/>
        </w:rPr>
      </w:pPr>
      <w:r>
        <w:rPr>
          <w:rFonts w:ascii="Arial" w:cs="Arial" w:eastAsia="Arial" w:hAnsi="Arial"/>
          <w:sz w:val="13"/>
          <w:szCs w:val="13"/>
          <w:color w:val="auto"/>
        </w:rPr>
        <w:t>The following assumptions were used at the commencement of the year in determining the net periodic pension cost for the year ended 31 December 2019:</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5160" w:type="dxa"/>
            <w:vAlign w:val="bottom"/>
            <w:shd w:val="clear" w:color="auto" w:fill="CCEEFF"/>
          </w:tcPr>
          <w:p>
            <w:pPr>
              <w:spacing w:after="0"/>
              <w:rPr>
                <w:sz w:val="13"/>
                <w:szCs w:val="13"/>
                <w:color w:val="auto"/>
              </w:rPr>
            </w:pPr>
          </w:p>
        </w:tc>
        <w:tc>
          <w:tcPr>
            <w:tcW w:w="498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5160" w:type="dxa"/>
            <w:vAlign w:val="bottom"/>
            <w:tcBorders>
              <w:bottom w:val="single" w:sz="8" w:color="auto"/>
            </w:tcBorders>
            <w:shd w:val="clear" w:color="auto" w:fill="CCEEFF"/>
          </w:tcPr>
          <w:p>
            <w:pPr>
              <w:spacing w:after="0"/>
              <w:rPr>
                <w:sz w:val="15"/>
                <w:szCs w:val="15"/>
                <w:color w:val="auto"/>
              </w:rPr>
            </w:pPr>
          </w:p>
        </w:tc>
        <w:tc>
          <w:tcPr>
            <w:tcW w:w="49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9"/>
        </w:trPr>
        <w:tc>
          <w:tcPr>
            <w:tcW w:w="51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p>
        </w:tc>
        <w:tc>
          <w:tcPr>
            <w:tcW w:w="498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2.90 %</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2.50 %</w:t>
            </w:r>
          </w:p>
        </w:tc>
      </w:tr>
      <w:tr>
        <w:trPr>
          <w:trHeight w:val="192"/>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Future salary increases</w:t>
            </w:r>
          </w:p>
        </w:tc>
        <w:tc>
          <w:tcPr>
            <w:tcW w:w="49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3.70 %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3.70 %</w:t>
            </w:r>
          </w:p>
        </w:tc>
      </w:tr>
    </w:tbl>
    <w:p>
      <w:pPr>
        <w:spacing w:after="0" w:line="200" w:lineRule="exact"/>
        <w:rPr>
          <w:sz w:val="20"/>
          <w:szCs w:val="20"/>
          <w:color w:val="auto"/>
        </w:rPr>
      </w:pPr>
    </w:p>
    <w:p>
      <w:pPr>
        <w:spacing w:after="0" w:line="393" w:lineRule="exact"/>
        <w:rPr>
          <w:sz w:val="20"/>
          <w:szCs w:val="20"/>
          <w:color w:val="auto"/>
        </w:rPr>
      </w:pPr>
    </w:p>
    <w:p>
      <w:pPr>
        <w:jc w:val="center"/>
        <w:ind w:right="-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90"/>
          </w:cols>
          <w:pgMar w:left="290" w:top="696" w:right="31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Retirement benefit obligations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Mortality assumptions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Assumptions regarding mortality experience are set based on actuarial advice in accordance with published statistics and experience. The mortality assumptions adopted at 31 December 2019 are 100% of the standard tables S2PxA, Year of Birth, no age rating for males and females, projected using CMI_2018 converging to 1.00% p.a.. These imply the following life expectancies, for persons retiring at age 62: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4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166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 December</w:t>
            </w:r>
          </w:p>
        </w:tc>
      </w:tr>
      <w:tr>
        <w:trPr>
          <w:trHeight w:val="177"/>
        </w:trPr>
        <w:tc>
          <w:tcPr>
            <w:tcW w:w="6240" w:type="dxa"/>
            <w:vAlign w:val="bottom"/>
            <w:tcBorders>
              <w:bottom w:val="single" w:sz="8" w:color="auto"/>
            </w:tcBorders>
            <w:shd w:val="clear" w:color="auto" w:fill="CCEEFF"/>
          </w:tcPr>
          <w:p>
            <w:pPr>
              <w:spacing w:after="0"/>
              <w:rPr>
                <w:sz w:val="15"/>
                <w:szCs w:val="15"/>
                <w:color w:val="auto"/>
              </w:rPr>
            </w:pPr>
          </w:p>
        </w:tc>
        <w:tc>
          <w:tcPr>
            <w:tcW w:w="224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2018</w:t>
            </w:r>
          </w:p>
        </w:tc>
      </w:tr>
      <w:tr>
        <w:trPr>
          <w:trHeight w:val="189"/>
        </w:trPr>
        <w:tc>
          <w:tcPr>
            <w:tcW w:w="6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Male retiring in 2019</w:t>
            </w:r>
          </w:p>
        </w:tc>
        <w:tc>
          <w:tcPr>
            <w:tcW w:w="224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24.3 years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24.7 years</w:t>
            </w:r>
          </w:p>
        </w:tc>
      </w:tr>
      <w:tr>
        <w:trPr>
          <w:trHeight w:val="183"/>
        </w:trPr>
        <w:tc>
          <w:tcPr>
            <w:tcW w:w="6240" w:type="dxa"/>
            <w:vAlign w:val="bottom"/>
          </w:tcPr>
          <w:p>
            <w:pPr>
              <w:ind w:left="20"/>
              <w:spacing w:after="0"/>
              <w:rPr>
                <w:sz w:val="20"/>
                <w:szCs w:val="20"/>
                <w:color w:val="auto"/>
              </w:rPr>
            </w:pPr>
            <w:r>
              <w:rPr>
                <w:rFonts w:ascii="Arial" w:cs="Arial" w:eastAsia="Arial" w:hAnsi="Arial"/>
                <w:sz w:val="13"/>
                <w:szCs w:val="13"/>
                <w:color w:val="auto"/>
              </w:rPr>
              <w:t>Female retiring in 2019</w:t>
            </w:r>
          </w:p>
        </w:tc>
        <w:tc>
          <w:tcPr>
            <w:tcW w:w="2240" w:type="dxa"/>
            <w:vAlign w:val="bottom"/>
          </w:tcPr>
          <w:p>
            <w:pPr>
              <w:spacing w:after="0"/>
              <w:rPr>
                <w:sz w:val="15"/>
                <w:szCs w:val="15"/>
                <w:color w:val="auto"/>
              </w:rPr>
            </w:pPr>
          </w:p>
        </w:tc>
        <w:tc>
          <w:tcPr>
            <w:tcW w:w="1660" w:type="dxa"/>
            <w:vAlign w:val="bottom"/>
          </w:tcPr>
          <w:p>
            <w:pPr>
              <w:jc w:val="right"/>
              <w:ind w:right="276"/>
              <w:spacing w:after="0"/>
              <w:rPr>
                <w:sz w:val="20"/>
                <w:szCs w:val="20"/>
                <w:color w:val="auto"/>
              </w:rPr>
            </w:pPr>
            <w:r>
              <w:rPr>
                <w:rFonts w:ascii="Arial" w:cs="Arial" w:eastAsia="Arial" w:hAnsi="Arial"/>
                <w:sz w:val="13"/>
                <w:szCs w:val="13"/>
                <w:b w:val="1"/>
                <w:bCs w:val="1"/>
                <w:color w:val="auto"/>
              </w:rPr>
              <w:t>26.3 years</w:t>
            </w:r>
          </w:p>
        </w:tc>
        <w:tc>
          <w:tcPr>
            <w:tcW w:w="1140" w:type="dxa"/>
            <w:vAlign w:val="bottom"/>
            <w:gridSpan w:val="2"/>
          </w:tcPr>
          <w:p>
            <w:pPr>
              <w:jc w:val="right"/>
              <w:ind w:right="20"/>
              <w:spacing w:after="0"/>
              <w:rPr>
                <w:sz w:val="20"/>
                <w:szCs w:val="20"/>
                <w:color w:val="auto"/>
              </w:rPr>
            </w:pPr>
            <w:r>
              <w:rPr>
                <w:rFonts w:ascii="Arial" w:cs="Arial" w:eastAsia="Arial" w:hAnsi="Arial"/>
                <w:sz w:val="13"/>
                <w:szCs w:val="13"/>
                <w:color w:val="auto"/>
              </w:rPr>
              <w:t>26.7 years</w:t>
            </w:r>
          </w:p>
        </w:tc>
      </w:tr>
      <w:tr>
        <w:trPr>
          <w:trHeight w:val="199"/>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Male retiring in 2039</w:t>
            </w:r>
          </w:p>
        </w:tc>
        <w:tc>
          <w:tcPr>
            <w:tcW w:w="22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25.4 years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26.2 years</w:t>
            </w:r>
          </w:p>
        </w:tc>
      </w:tr>
      <w:tr>
        <w:trPr>
          <w:trHeight w:val="192"/>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Female retiring in 2039</w:t>
            </w:r>
          </w:p>
        </w:tc>
        <w:tc>
          <w:tcPr>
            <w:tcW w:w="2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27.5 years</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28.3 years</w:t>
            </w:r>
          </w:p>
        </w:tc>
      </w:tr>
      <w:tr>
        <w:trPr>
          <w:trHeight w:val="420"/>
        </w:trPr>
        <w:tc>
          <w:tcPr>
            <w:tcW w:w="6240" w:type="dxa"/>
            <w:vAlign w:val="bottom"/>
          </w:tcPr>
          <w:p>
            <w:pPr>
              <w:spacing w:after="0"/>
              <w:rPr>
                <w:sz w:val="20"/>
                <w:szCs w:val="20"/>
                <w:color w:val="auto"/>
              </w:rPr>
            </w:pPr>
            <w:r>
              <w:rPr>
                <w:rFonts w:ascii="Arial" w:cs="Arial" w:eastAsia="Arial" w:hAnsi="Arial"/>
                <w:sz w:val="13"/>
                <w:szCs w:val="13"/>
                <w:i w:val="1"/>
                <w:iCs w:val="1"/>
                <w:color w:val="auto"/>
              </w:rPr>
              <w:t>Consolidated Financial Statements</w:t>
            </w:r>
          </w:p>
        </w:tc>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6240" w:type="dxa"/>
            <w:vAlign w:val="bottom"/>
          </w:tcPr>
          <w:p>
            <w:pPr>
              <w:spacing w:after="0"/>
              <w:rPr>
                <w:sz w:val="20"/>
                <w:szCs w:val="20"/>
                <w:color w:val="auto"/>
              </w:rPr>
            </w:pPr>
            <w:r>
              <w:rPr>
                <w:rFonts w:ascii="Arial" w:cs="Arial" w:eastAsia="Arial" w:hAnsi="Arial"/>
                <w:sz w:val="13"/>
                <w:szCs w:val="13"/>
                <w:b w:val="1"/>
                <w:bCs w:val="1"/>
                <w:color w:val="auto"/>
              </w:rPr>
              <w:t>Funding status</w:t>
            </w:r>
          </w:p>
        </w:tc>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9"/>
        </w:trPr>
        <w:tc>
          <w:tcPr>
            <w:tcW w:w="6240" w:type="dxa"/>
            <w:vAlign w:val="bottom"/>
          </w:tcPr>
          <w:p>
            <w:pPr>
              <w:spacing w:after="0"/>
              <w:rPr>
                <w:sz w:val="7"/>
                <w:szCs w:val="7"/>
                <w:color w:val="auto"/>
              </w:rPr>
            </w:pPr>
          </w:p>
        </w:tc>
        <w:tc>
          <w:tcPr>
            <w:tcW w:w="2240" w:type="dxa"/>
            <w:vAlign w:val="bottom"/>
          </w:tcPr>
          <w:p>
            <w:pPr>
              <w:spacing w:after="0"/>
              <w:rPr>
                <w:sz w:val="7"/>
                <w:szCs w:val="7"/>
                <w:color w:val="auto"/>
              </w:rPr>
            </w:pPr>
          </w:p>
        </w:tc>
        <w:tc>
          <w:tcPr>
            <w:tcW w:w="2780" w:type="dxa"/>
            <w:vAlign w:val="bottom"/>
            <w:gridSpan w:val="2"/>
          </w:tcPr>
          <w:p>
            <w:pPr>
              <w:spacing w:after="0"/>
              <w:rPr>
                <w:sz w:val="7"/>
                <w:szCs w:val="7"/>
                <w:color w:val="auto"/>
              </w:rPr>
            </w:pPr>
          </w:p>
        </w:tc>
        <w:tc>
          <w:tcPr>
            <w:tcW w:w="20" w:type="dxa"/>
            <w:vAlign w:val="bottom"/>
          </w:tcPr>
          <w:p>
            <w:pPr>
              <w:spacing w:after="0"/>
              <w:rPr>
                <w:sz w:val="7"/>
                <w:szCs w:val="7"/>
                <w:color w:val="auto"/>
              </w:rPr>
            </w:pPr>
          </w:p>
        </w:tc>
      </w:tr>
      <w:tr>
        <w:trPr>
          <w:trHeight w:val="155"/>
        </w:trPr>
        <w:tc>
          <w:tcPr>
            <w:tcW w:w="624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2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7"/>
        </w:trPr>
        <w:tc>
          <w:tcPr>
            <w:tcW w:w="6240" w:type="dxa"/>
            <w:vAlign w:val="bottom"/>
            <w:tcBorders>
              <w:bottom w:val="single" w:sz="8" w:color="auto"/>
            </w:tcBorders>
            <w:shd w:val="clear" w:color="auto" w:fill="CCEEFF"/>
          </w:tcPr>
          <w:p>
            <w:pPr>
              <w:spacing w:after="0"/>
              <w:rPr>
                <w:sz w:val="15"/>
                <w:szCs w:val="15"/>
                <w:color w:val="auto"/>
              </w:rPr>
            </w:pPr>
          </w:p>
        </w:tc>
        <w:tc>
          <w:tcPr>
            <w:tcW w:w="224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December 2019</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2018</w:t>
            </w:r>
          </w:p>
        </w:tc>
      </w:tr>
      <w:tr>
        <w:trPr>
          <w:trHeight w:val="182"/>
        </w:trPr>
        <w:tc>
          <w:tcPr>
            <w:tcW w:w="62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6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$’000</w:t>
            </w:r>
          </w:p>
        </w:tc>
      </w:tr>
      <w:tr>
        <w:trPr>
          <w:trHeight w:val="199"/>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Projected benefit obligation</w:t>
            </w:r>
          </w:p>
        </w:tc>
        <w:tc>
          <w:tcPr>
            <w:tcW w:w="22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(37,036)</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(30,045)</w:t>
            </w:r>
          </w:p>
        </w:tc>
        <w:tc>
          <w:tcPr>
            <w:tcW w:w="20" w:type="dxa"/>
            <w:vAlign w:val="bottom"/>
            <w:shd w:val="clear" w:color="auto" w:fill="CCEEFF"/>
          </w:tcPr>
          <w:p>
            <w:pPr>
              <w:spacing w:after="0"/>
              <w:rPr>
                <w:sz w:val="17"/>
                <w:szCs w:val="17"/>
                <w:color w:val="auto"/>
              </w:rPr>
            </w:pPr>
          </w:p>
        </w:tc>
      </w:tr>
      <w:tr>
        <w:trPr>
          <w:trHeight w:val="183"/>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Fair value of plan assets</w:t>
            </w:r>
          </w:p>
        </w:tc>
        <w:tc>
          <w:tcPr>
            <w:tcW w:w="2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32,016</w:t>
            </w: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27,297</w:t>
            </w:r>
          </w:p>
        </w:tc>
        <w:tc>
          <w:tcPr>
            <w:tcW w:w="20" w:type="dxa"/>
            <w:vAlign w:val="bottom"/>
            <w:tcBorders>
              <w:bottom w:val="single" w:sz="8" w:color="auto"/>
            </w:tcBorders>
          </w:tcPr>
          <w:p>
            <w:pPr>
              <w:spacing w:after="0"/>
              <w:rPr>
                <w:sz w:val="15"/>
                <w:szCs w:val="15"/>
                <w:color w:val="auto"/>
              </w:rPr>
            </w:pPr>
          </w:p>
        </w:tc>
      </w:tr>
      <w:tr>
        <w:trPr>
          <w:trHeight w:val="212"/>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Non-current other liabilities (note 20)</w:t>
            </w:r>
          </w:p>
        </w:tc>
        <w:tc>
          <w:tcPr>
            <w:tcW w:w="2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(5,020)</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(2,748)</w:t>
            </w:r>
          </w:p>
        </w:tc>
        <w:tc>
          <w:tcPr>
            <w:tcW w:w="20" w:type="dxa"/>
            <w:vAlign w:val="bottom"/>
            <w:tcBorders>
              <w:bottom w:val="single" w:sz="8" w:color="auto"/>
            </w:tcBorders>
            <w:shd w:val="clear" w:color="auto" w:fill="CCEEFF"/>
          </w:tcPr>
          <w:p>
            <w:pPr>
              <w:spacing w:after="0"/>
              <w:rPr>
                <w:sz w:val="18"/>
                <w:szCs w:val="18"/>
                <w:color w:val="auto"/>
              </w:rPr>
            </w:pPr>
          </w:p>
        </w:tc>
      </w:tr>
      <w:tr>
        <w:trPr>
          <w:trHeight w:val="409"/>
        </w:trPr>
        <w:tc>
          <w:tcPr>
            <w:tcW w:w="6240" w:type="dxa"/>
            <w:vAlign w:val="bottom"/>
          </w:tcPr>
          <w:p>
            <w:pPr>
              <w:spacing w:after="0"/>
              <w:rPr>
                <w:sz w:val="20"/>
                <w:szCs w:val="20"/>
                <w:color w:val="auto"/>
              </w:rPr>
            </w:pPr>
            <w:r>
              <w:rPr>
                <w:rFonts w:ascii="Arial" w:cs="Arial" w:eastAsia="Arial" w:hAnsi="Arial"/>
                <w:sz w:val="13"/>
                <w:szCs w:val="13"/>
                <w:color w:val="auto"/>
              </w:rPr>
              <w:t>Movement in the net benefit obligation recognised in non-current other liabilities was as follows:</w:t>
            </w:r>
          </w:p>
        </w:tc>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9"/>
        </w:trPr>
        <w:tc>
          <w:tcPr>
            <w:tcW w:w="624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55"/>
        </w:trPr>
        <w:tc>
          <w:tcPr>
            <w:tcW w:w="6240" w:type="dxa"/>
            <w:vAlign w:val="bottom"/>
            <w:shd w:val="clear" w:color="auto" w:fill="CCEEFF"/>
          </w:tcPr>
          <w:p>
            <w:pPr>
              <w:spacing w:after="0"/>
              <w:rPr>
                <w:sz w:val="13"/>
                <w:szCs w:val="13"/>
                <w:color w:val="auto"/>
              </w:rPr>
            </w:pPr>
          </w:p>
        </w:tc>
        <w:tc>
          <w:tcPr>
            <w:tcW w:w="22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Present Value of</w:t>
            </w:r>
          </w:p>
        </w:tc>
        <w:tc>
          <w:tcPr>
            <w:tcW w:w="16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77"/>
        </w:trPr>
        <w:tc>
          <w:tcPr>
            <w:tcW w:w="6240" w:type="dxa"/>
            <w:vAlign w:val="bottom"/>
            <w:tcBorders>
              <w:bottom w:val="single" w:sz="8" w:color="auto"/>
            </w:tcBorders>
            <w:shd w:val="clear" w:color="auto" w:fill="CCEEFF"/>
          </w:tcPr>
          <w:p>
            <w:pPr>
              <w:spacing w:after="0"/>
              <w:rPr>
                <w:sz w:val="15"/>
                <w:szCs w:val="15"/>
                <w:color w:val="auto"/>
              </w:rPr>
            </w:pPr>
          </w:p>
        </w:tc>
        <w:tc>
          <w:tcPr>
            <w:tcW w:w="3900" w:type="dxa"/>
            <w:vAlign w:val="bottom"/>
            <w:tcBorders>
              <w:bottom w:val="single" w:sz="8" w:color="auto"/>
            </w:tcBorders>
            <w:gridSpan w:val="2"/>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Obligations Fair Value of Plan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5"/>
                <w:szCs w:val="15"/>
                <w:color w:val="auto"/>
              </w:rPr>
            </w:pPr>
          </w:p>
        </w:tc>
      </w:tr>
      <w:tr>
        <w:trPr>
          <w:trHeight w:val="182"/>
        </w:trPr>
        <w:tc>
          <w:tcPr>
            <w:tcW w:w="6240" w:type="dxa"/>
            <w:vAlign w:val="bottom"/>
          </w:tcPr>
          <w:p>
            <w:pPr>
              <w:spacing w:after="0"/>
              <w:rPr>
                <w:sz w:val="15"/>
                <w:szCs w:val="15"/>
                <w:color w:val="auto"/>
              </w:rPr>
            </w:pPr>
          </w:p>
        </w:tc>
        <w:tc>
          <w:tcPr>
            <w:tcW w:w="2240" w:type="dxa"/>
            <w:vAlign w:val="bottom"/>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660" w:type="dxa"/>
            <w:vAlign w:val="bottom"/>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1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$’000</w:t>
            </w:r>
          </w:p>
        </w:tc>
      </w:tr>
      <w:tr>
        <w:trPr>
          <w:trHeight w:val="209"/>
        </w:trPr>
        <w:tc>
          <w:tcPr>
            <w:tcW w:w="62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3"/>
        </w:trPr>
        <w:tc>
          <w:tcPr>
            <w:tcW w:w="6240" w:type="dxa"/>
            <w:vAlign w:val="bottom"/>
          </w:tcPr>
          <w:p>
            <w:pPr>
              <w:ind w:left="20"/>
              <w:spacing w:after="0"/>
              <w:rPr>
                <w:sz w:val="20"/>
                <w:szCs w:val="20"/>
                <w:color w:val="auto"/>
              </w:rPr>
            </w:pPr>
            <w:r>
              <w:rPr>
                <w:rFonts w:ascii="Arial" w:cs="Arial" w:eastAsia="Arial" w:hAnsi="Arial"/>
                <w:sz w:val="13"/>
                <w:szCs w:val="13"/>
                <w:color w:val="auto"/>
              </w:rPr>
              <w:t>At 1 January 2019</w:t>
            </w:r>
          </w:p>
        </w:tc>
        <w:tc>
          <w:tcPr>
            <w:tcW w:w="2240" w:type="dxa"/>
            <w:vAlign w:val="bottom"/>
          </w:tcPr>
          <w:p>
            <w:pPr>
              <w:jc w:val="right"/>
              <w:ind w:right="436"/>
              <w:spacing w:after="0"/>
              <w:rPr>
                <w:sz w:val="20"/>
                <w:szCs w:val="20"/>
                <w:color w:val="auto"/>
              </w:rPr>
            </w:pPr>
            <w:r>
              <w:rPr>
                <w:rFonts w:ascii="Arial" w:cs="Arial" w:eastAsia="Arial" w:hAnsi="Arial"/>
                <w:sz w:val="13"/>
                <w:szCs w:val="13"/>
                <w:color w:val="auto"/>
              </w:rPr>
              <w:t>(30,045)</w:t>
            </w:r>
          </w:p>
        </w:tc>
        <w:tc>
          <w:tcPr>
            <w:tcW w:w="1660" w:type="dxa"/>
            <w:vAlign w:val="bottom"/>
          </w:tcPr>
          <w:p>
            <w:pPr>
              <w:jc w:val="right"/>
              <w:ind w:right="556"/>
              <w:spacing w:after="0"/>
              <w:rPr>
                <w:sz w:val="20"/>
                <w:szCs w:val="20"/>
                <w:color w:val="auto"/>
              </w:rPr>
            </w:pPr>
            <w:r>
              <w:rPr>
                <w:rFonts w:ascii="Arial" w:cs="Arial" w:eastAsia="Arial" w:hAnsi="Arial"/>
                <w:sz w:val="13"/>
                <w:szCs w:val="13"/>
                <w:color w:val="auto"/>
              </w:rPr>
              <w:t>27,297</w:t>
            </w: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(2,748)</w:t>
            </w:r>
          </w:p>
        </w:tc>
        <w:tc>
          <w:tcPr>
            <w:tcW w:w="20" w:type="dxa"/>
            <w:vAlign w:val="bottom"/>
          </w:tcPr>
          <w:p>
            <w:pPr>
              <w:spacing w:after="0"/>
              <w:rPr>
                <w:sz w:val="15"/>
                <w:szCs w:val="15"/>
                <w:color w:val="auto"/>
              </w:rPr>
            </w:pPr>
          </w:p>
        </w:tc>
      </w:tr>
      <w:tr>
        <w:trPr>
          <w:trHeight w:val="199"/>
        </w:trPr>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Current service costs</w:t>
            </w:r>
          </w:p>
        </w:tc>
        <w:tc>
          <w:tcPr>
            <w:tcW w:w="22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(107)</w:t>
            </w:r>
          </w:p>
        </w:tc>
        <w:tc>
          <w:tcPr>
            <w:tcW w:w="166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(107)</w:t>
            </w:r>
          </w:p>
        </w:tc>
        <w:tc>
          <w:tcPr>
            <w:tcW w:w="20" w:type="dxa"/>
            <w:vAlign w:val="bottom"/>
          </w:tcPr>
          <w:p>
            <w:pPr>
              <w:spacing w:after="0"/>
              <w:rPr>
                <w:sz w:val="17"/>
                <w:szCs w:val="17"/>
                <w:color w:val="auto"/>
              </w:rPr>
            </w:pPr>
          </w:p>
        </w:tc>
      </w:tr>
      <w:tr>
        <w:trPr>
          <w:trHeight w:val="183"/>
        </w:trPr>
        <w:tc>
          <w:tcPr>
            <w:tcW w:w="6240" w:type="dxa"/>
            <w:vAlign w:val="bottom"/>
          </w:tcPr>
          <w:p>
            <w:pPr>
              <w:ind w:left="60"/>
              <w:spacing w:after="0"/>
              <w:rPr>
                <w:sz w:val="20"/>
                <w:szCs w:val="20"/>
                <w:color w:val="auto"/>
              </w:rPr>
            </w:pPr>
            <w:r>
              <w:rPr>
                <w:rFonts w:ascii="Arial" w:cs="Arial" w:eastAsia="Arial" w:hAnsi="Arial"/>
                <w:sz w:val="13"/>
                <w:szCs w:val="13"/>
                <w:color w:val="auto"/>
              </w:rPr>
              <w:t>Interest expense/(income)</w:t>
            </w:r>
          </w:p>
        </w:tc>
        <w:tc>
          <w:tcPr>
            <w:tcW w:w="2240" w:type="dxa"/>
            <w:vAlign w:val="bottom"/>
          </w:tcPr>
          <w:p>
            <w:pPr>
              <w:jc w:val="right"/>
              <w:ind w:right="436"/>
              <w:spacing w:after="0"/>
              <w:rPr>
                <w:sz w:val="20"/>
                <w:szCs w:val="20"/>
                <w:color w:val="auto"/>
              </w:rPr>
            </w:pPr>
            <w:r>
              <w:rPr>
                <w:rFonts w:ascii="Arial" w:cs="Arial" w:eastAsia="Arial" w:hAnsi="Arial"/>
                <w:sz w:val="13"/>
                <w:szCs w:val="13"/>
                <w:color w:val="auto"/>
              </w:rPr>
              <w:t>(867)</w:t>
            </w:r>
          </w:p>
        </w:tc>
        <w:tc>
          <w:tcPr>
            <w:tcW w:w="1660" w:type="dxa"/>
            <w:vAlign w:val="bottom"/>
          </w:tcPr>
          <w:p>
            <w:pPr>
              <w:jc w:val="right"/>
              <w:ind w:right="556"/>
              <w:spacing w:after="0"/>
              <w:rPr>
                <w:sz w:val="20"/>
                <w:szCs w:val="20"/>
                <w:color w:val="auto"/>
              </w:rPr>
            </w:pPr>
            <w:r>
              <w:rPr>
                <w:rFonts w:ascii="Arial" w:cs="Arial" w:eastAsia="Arial" w:hAnsi="Arial"/>
                <w:sz w:val="13"/>
                <w:szCs w:val="13"/>
                <w:color w:val="auto"/>
              </w:rPr>
              <w:t>790</w:t>
            </w: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(77)</w:t>
            </w:r>
          </w:p>
        </w:tc>
        <w:tc>
          <w:tcPr>
            <w:tcW w:w="20" w:type="dxa"/>
            <w:vAlign w:val="bottom"/>
          </w:tcPr>
          <w:p>
            <w:pPr>
              <w:spacing w:after="0"/>
              <w:rPr>
                <w:sz w:val="15"/>
                <w:szCs w:val="15"/>
                <w:color w:val="auto"/>
              </w:rPr>
            </w:pPr>
          </w:p>
        </w:tc>
      </w:tr>
      <w:tr>
        <w:trPr>
          <w:trHeight w:val="199"/>
        </w:trPr>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Past service cost</w:t>
            </w:r>
          </w:p>
        </w:tc>
        <w:tc>
          <w:tcPr>
            <w:tcW w:w="22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66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r>
      <w:tr>
        <w:trPr>
          <w:trHeight w:val="183"/>
        </w:trPr>
        <w:tc>
          <w:tcPr>
            <w:tcW w:w="6240" w:type="dxa"/>
            <w:vAlign w:val="bottom"/>
          </w:tcPr>
          <w:p>
            <w:pPr>
              <w:ind w:left="60"/>
              <w:spacing w:after="0"/>
              <w:rPr>
                <w:sz w:val="20"/>
                <w:szCs w:val="20"/>
                <w:color w:val="auto"/>
              </w:rPr>
            </w:pPr>
            <w:r>
              <w:rPr>
                <w:rFonts w:ascii="Arial" w:cs="Arial" w:eastAsia="Arial" w:hAnsi="Arial"/>
                <w:sz w:val="13"/>
                <w:szCs w:val="13"/>
                <w:color w:val="auto"/>
              </w:rPr>
              <w:t>Expenses</w:t>
            </w:r>
          </w:p>
        </w:tc>
        <w:tc>
          <w:tcPr>
            <w:tcW w:w="2240" w:type="dxa"/>
            <w:vAlign w:val="bottom"/>
          </w:tcPr>
          <w:p>
            <w:pPr>
              <w:jc w:val="right"/>
              <w:ind w:right="476"/>
              <w:spacing w:after="0"/>
              <w:rPr>
                <w:sz w:val="20"/>
                <w:szCs w:val="20"/>
                <w:color w:val="auto"/>
              </w:rPr>
            </w:pPr>
            <w:r>
              <w:rPr>
                <w:rFonts w:ascii="Arial" w:cs="Arial" w:eastAsia="Arial" w:hAnsi="Arial"/>
                <w:sz w:val="13"/>
                <w:szCs w:val="13"/>
                <w:color w:val="auto"/>
              </w:rPr>
              <w:t>—</w:t>
            </w:r>
          </w:p>
        </w:tc>
        <w:tc>
          <w:tcPr>
            <w:tcW w:w="1660" w:type="dxa"/>
            <w:vAlign w:val="bottom"/>
          </w:tcPr>
          <w:p>
            <w:pPr>
              <w:jc w:val="right"/>
              <w:ind w:right="556"/>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r>
      <w:tr>
        <w:trPr>
          <w:trHeight w:val="182"/>
        </w:trPr>
        <w:tc>
          <w:tcPr>
            <w:tcW w:w="6240" w:type="dxa"/>
            <w:vAlign w:val="bottom"/>
            <w:tcBorders>
              <w:top w:val="single" w:sz="8" w:color="auto"/>
              <w:bottom w:val="single" w:sz="8" w:color="auto"/>
            </w:tcBorders>
            <w:shd w:val="clear" w:color="auto" w:fill="CCEEFF"/>
          </w:tcPr>
          <w:p>
            <w:pPr>
              <w:spacing w:after="0"/>
              <w:rPr>
                <w:sz w:val="15"/>
                <w:szCs w:val="15"/>
                <w:color w:val="auto"/>
              </w:rPr>
            </w:pPr>
          </w:p>
        </w:tc>
        <w:tc>
          <w:tcPr>
            <w:tcW w:w="224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(31,019)</w:t>
            </w:r>
          </w:p>
        </w:tc>
        <w:tc>
          <w:tcPr>
            <w:tcW w:w="166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28,087</w:t>
            </w:r>
          </w:p>
        </w:tc>
        <w:tc>
          <w:tcPr>
            <w:tcW w:w="11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(2,932)</w:t>
            </w:r>
          </w:p>
        </w:tc>
        <w:tc>
          <w:tcPr>
            <w:tcW w:w="20" w:type="dxa"/>
            <w:vAlign w:val="bottom"/>
          </w:tcPr>
          <w:p>
            <w:pPr>
              <w:spacing w:after="0"/>
              <w:rPr>
                <w:sz w:val="15"/>
                <w:szCs w:val="15"/>
                <w:color w:val="auto"/>
              </w:rPr>
            </w:pPr>
          </w:p>
        </w:tc>
      </w:tr>
      <w:tr>
        <w:trPr>
          <w:trHeight w:val="168"/>
        </w:trPr>
        <w:tc>
          <w:tcPr>
            <w:tcW w:w="6240" w:type="dxa"/>
            <w:vAlign w:val="bottom"/>
          </w:tcPr>
          <w:p>
            <w:pPr>
              <w:ind w:left="60"/>
              <w:spacing w:after="0"/>
              <w:rPr>
                <w:sz w:val="20"/>
                <w:szCs w:val="20"/>
                <w:color w:val="auto"/>
              </w:rPr>
            </w:pPr>
            <w:r>
              <w:rPr>
                <w:rFonts w:ascii="Arial" w:cs="Arial" w:eastAsia="Arial" w:hAnsi="Arial"/>
                <w:sz w:val="13"/>
                <w:szCs w:val="13"/>
                <w:b w:val="1"/>
                <w:bCs w:val="1"/>
                <w:color w:val="auto"/>
              </w:rPr>
              <w:t>Re-measurements</w:t>
            </w:r>
          </w:p>
        </w:tc>
        <w:tc>
          <w:tcPr>
            <w:tcW w:w="2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1"/>
        </w:trPr>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Experience adjustment</w:t>
            </w:r>
          </w:p>
        </w:tc>
        <w:tc>
          <w:tcPr>
            <w:tcW w:w="22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66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2,714</w:t>
            </w: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2,714</w:t>
            </w:r>
          </w:p>
        </w:tc>
        <w:tc>
          <w:tcPr>
            <w:tcW w:w="20" w:type="dxa"/>
            <w:vAlign w:val="bottom"/>
          </w:tcPr>
          <w:p>
            <w:pPr>
              <w:spacing w:after="0"/>
              <w:rPr>
                <w:sz w:val="16"/>
                <w:szCs w:val="16"/>
                <w:color w:val="auto"/>
              </w:rPr>
            </w:pPr>
          </w:p>
        </w:tc>
      </w:tr>
      <w:tr>
        <w:trPr>
          <w:trHeight w:val="183"/>
        </w:trPr>
        <w:tc>
          <w:tcPr>
            <w:tcW w:w="6240" w:type="dxa"/>
            <w:vAlign w:val="bottom"/>
          </w:tcPr>
          <w:p>
            <w:pPr>
              <w:ind w:left="60"/>
              <w:spacing w:after="0"/>
              <w:rPr>
                <w:sz w:val="20"/>
                <w:szCs w:val="20"/>
                <w:color w:val="auto"/>
              </w:rPr>
            </w:pPr>
            <w:r>
              <w:rPr>
                <w:rFonts w:ascii="Arial" w:cs="Arial" w:eastAsia="Arial" w:hAnsi="Arial"/>
                <w:sz w:val="13"/>
                <w:szCs w:val="13"/>
                <w:color w:val="auto"/>
              </w:rPr>
              <w:t>Gain or loss from change in demographic assumptions</w:t>
            </w:r>
          </w:p>
        </w:tc>
        <w:tc>
          <w:tcPr>
            <w:tcW w:w="2240" w:type="dxa"/>
            <w:vAlign w:val="bottom"/>
          </w:tcPr>
          <w:p>
            <w:pPr>
              <w:jc w:val="right"/>
              <w:ind w:right="476"/>
              <w:spacing w:after="0"/>
              <w:rPr>
                <w:sz w:val="20"/>
                <w:szCs w:val="20"/>
                <w:color w:val="auto"/>
              </w:rPr>
            </w:pPr>
            <w:r>
              <w:rPr>
                <w:rFonts w:ascii="Arial" w:cs="Arial" w:eastAsia="Arial" w:hAnsi="Arial"/>
                <w:sz w:val="13"/>
                <w:szCs w:val="13"/>
                <w:color w:val="auto"/>
              </w:rPr>
              <w:t>872</w:t>
            </w:r>
          </w:p>
        </w:tc>
        <w:tc>
          <w:tcPr>
            <w:tcW w:w="1660" w:type="dxa"/>
            <w:vAlign w:val="bottom"/>
          </w:tcPr>
          <w:p>
            <w:pPr>
              <w:jc w:val="right"/>
              <w:ind w:right="55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872</w:t>
            </w:r>
          </w:p>
        </w:tc>
        <w:tc>
          <w:tcPr>
            <w:tcW w:w="20" w:type="dxa"/>
            <w:vAlign w:val="bottom"/>
          </w:tcPr>
          <w:p>
            <w:pPr>
              <w:spacing w:after="0"/>
              <w:rPr>
                <w:sz w:val="15"/>
                <w:szCs w:val="15"/>
                <w:color w:val="auto"/>
              </w:rPr>
            </w:pPr>
          </w:p>
        </w:tc>
      </w:tr>
      <w:tr>
        <w:trPr>
          <w:trHeight w:val="199"/>
        </w:trPr>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Gain or loss from change in financial assumptions</w:t>
            </w:r>
          </w:p>
        </w:tc>
        <w:tc>
          <w:tcPr>
            <w:tcW w:w="22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(5,628)</w:t>
            </w:r>
          </w:p>
        </w:tc>
        <w:tc>
          <w:tcPr>
            <w:tcW w:w="166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(5,628)</w:t>
            </w:r>
          </w:p>
        </w:tc>
        <w:tc>
          <w:tcPr>
            <w:tcW w:w="20" w:type="dxa"/>
            <w:vAlign w:val="bottom"/>
          </w:tcPr>
          <w:p>
            <w:pPr>
              <w:spacing w:after="0"/>
              <w:rPr>
                <w:sz w:val="17"/>
                <w:szCs w:val="17"/>
                <w:color w:val="auto"/>
              </w:rPr>
            </w:pPr>
          </w:p>
        </w:tc>
      </w:tr>
      <w:tr>
        <w:trPr>
          <w:trHeight w:val="183"/>
        </w:trPr>
        <w:tc>
          <w:tcPr>
            <w:tcW w:w="6240" w:type="dxa"/>
            <w:vAlign w:val="bottom"/>
          </w:tcPr>
          <w:p>
            <w:pPr>
              <w:ind w:left="60"/>
              <w:spacing w:after="0"/>
              <w:rPr>
                <w:sz w:val="20"/>
                <w:szCs w:val="20"/>
                <w:color w:val="auto"/>
              </w:rPr>
            </w:pPr>
            <w:r>
              <w:rPr>
                <w:rFonts w:ascii="Arial" w:cs="Arial" w:eastAsia="Arial" w:hAnsi="Arial"/>
                <w:sz w:val="13"/>
                <w:szCs w:val="13"/>
                <w:color w:val="auto"/>
              </w:rPr>
              <w:t>Experience gain or loss</w:t>
            </w:r>
          </w:p>
        </w:tc>
        <w:tc>
          <w:tcPr>
            <w:tcW w:w="2240" w:type="dxa"/>
            <w:vAlign w:val="bottom"/>
          </w:tcPr>
          <w:p>
            <w:pPr>
              <w:jc w:val="right"/>
              <w:ind w:right="476"/>
              <w:spacing w:after="0"/>
              <w:rPr>
                <w:sz w:val="20"/>
                <w:szCs w:val="20"/>
                <w:color w:val="auto"/>
              </w:rPr>
            </w:pPr>
            <w:r>
              <w:rPr>
                <w:rFonts w:ascii="Arial" w:cs="Arial" w:eastAsia="Arial" w:hAnsi="Arial"/>
                <w:sz w:val="13"/>
                <w:szCs w:val="13"/>
                <w:color w:val="auto"/>
              </w:rPr>
              <w:t>—</w:t>
            </w:r>
          </w:p>
        </w:tc>
        <w:tc>
          <w:tcPr>
            <w:tcW w:w="1660" w:type="dxa"/>
            <w:vAlign w:val="bottom"/>
          </w:tcPr>
          <w:p>
            <w:pPr>
              <w:jc w:val="right"/>
              <w:ind w:right="556"/>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r>
      <w:tr>
        <w:trPr>
          <w:trHeight w:val="182"/>
        </w:trPr>
        <w:tc>
          <w:tcPr>
            <w:tcW w:w="6240" w:type="dxa"/>
            <w:vAlign w:val="bottom"/>
            <w:tcBorders>
              <w:top w:val="single" w:sz="8" w:color="auto"/>
              <w:bottom w:val="single" w:sz="8" w:color="auto"/>
            </w:tcBorders>
            <w:shd w:val="clear" w:color="auto" w:fill="CCEEFF"/>
          </w:tcPr>
          <w:p>
            <w:pPr>
              <w:spacing w:after="0"/>
              <w:rPr>
                <w:sz w:val="15"/>
                <w:szCs w:val="15"/>
                <w:color w:val="auto"/>
              </w:rPr>
            </w:pPr>
          </w:p>
        </w:tc>
        <w:tc>
          <w:tcPr>
            <w:tcW w:w="224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(4,756)</w:t>
            </w:r>
          </w:p>
        </w:tc>
        <w:tc>
          <w:tcPr>
            <w:tcW w:w="166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2,714</w:t>
            </w:r>
          </w:p>
        </w:tc>
        <w:tc>
          <w:tcPr>
            <w:tcW w:w="11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(2,042)</w:t>
            </w:r>
          </w:p>
        </w:tc>
        <w:tc>
          <w:tcPr>
            <w:tcW w:w="20" w:type="dxa"/>
            <w:vAlign w:val="bottom"/>
          </w:tcPr>
          <w:p>
            <w:pPr>
              <w:spacing w:after="0"/>
              <w:rPr>
                <w:sz w:val="15"/>
                <w:szCs w:val="15"/>
                <w:color w:val="auto"/>
              </w:rPr>
            </w:pPr>
          </w:p>
        </w:tc>
      </w:tr>
      <w:tr>
        <w:trPr>
          <w:trHeight w:val="182"/>
        </w:trPr>
        <w:tc>
          <w:tcPr>
            <w:tcW w:w="6240" w:type="dxa"/>
            <w:vAlign w:val="bottom"/>
          </w:tcPr>
          <w:p>
            <w:pPr>
              <w:ind w:left="60"/>
              <w:spacing w:after="0"/>
              <w:rPr>
                <w:sz w:val="20"/>
                <w:szCs w:val="20"/>
                <w:color w:val="auto"/>
              </w:rPr>
            </w:pPr>
            <w:r>
              <w:rPr>
                <w:rFonts w:ascii="Arial" w:cs="Arial" w:eastAsia="Arial" w:hAnsi="Arial"/>
                <w:sz w:val="13"/>
                <w:szCs w:val="13"/>
                <w:color w:val="auto"/>
              </w:rPr>
              <w:t>Exchange differences</w:t>
            </w:r>
          </w:p>
        </w:tc>
        <w:tc>
          <w:tcPr>
            <w:tcW w:w="2240" w:type="dxa"/>
            <w:vAlign w:val="bottom"/>
          </w:tcPr>
          <w:p>
            <w:pPr>
              <w:jc w:val="right"/>
              <w:ind w:right="436"/>
              <w:spacing w:after="0"/>
              <w:rPr>
                <w:sz w:val="20"/>
                <w:szCs w:val="20"/>
                <w:color w:val="auto"/>
              </w:rPr>
            </w:pPr>
            <w:r>
              <w:rPr>
                <w:rFonts w:ascii="Arial" w:cs="Arial" w:eastAsia="Arial" w:hAnsi="Arial"/>
                <w:sz w:val="13"/>
                <w:szCs w:val="13"/>
                <w:color w:val="auto"/>
              </w:rPr>
              <w:t>(1,414)</w:t>
            </w:r>
          </w:p>
        </w:tc>
        <w:tc>
          <w:tcPr>
            <w:tcW w:w="1660" w:type="dxa"/>
            <w:vAlign w:val="bottom"/>
          </w:tcPr>
          <w:p>
            <w:pPr>
              <w:jc w:val="right"/>
              <w:ind w:right="556"/>
              <w:spacing w:after="0"/>
              <w:rPr>
                <w:sz w:val="20"/>
                <w:szCs w:val="20"/>
                <w:color w:val="auto"/>
              </w:rPr>
            </w:pPr>
            <w:r>
              <w:rPr>
                <w:rFonts w:ascii="Arial" w:cs="Arial" w:eastAsia="Arial" w:hAnsi="Arial"/>
                <w:sz w:val="13"/>
                <w:szCs w:val="13"/>
                <w:color w:val="auto"/>
              </w:rPr>
              <w:t>1,220</w:t>
            </w: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(194)</w:t>
            </w:r>
          </w:p>
        </w:tc>
        <w:tc>
          <w:tcPr>
            <w:tcW w:w="20" w:type="dxa"/>
            <w:vAlign w:val="bottom"/>
          </w:tcPr>
          <w:p>
            <w:pPr>
              <w:spacing w:after="0"/>
              <w:rPr>
                <w:sz w:val="15"/>
                <w:szCs w:val="15"/>
                <w:color w:val="auto"/>
              </w:rPr>
            </w:pPr>
          </w:p>
        </w:tc>
      </w:tr>
      <w:tr>
        <w:trPr>
          <w:trHeight w:val="177"/>
        </w:trPr>
        <w:tc>
          <w:tcPr>
            <w:tcW w:w="624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Contributions:</w:t>
            </w:r>
          </w:p>
        </w:tc>
        <w:tc>
          <w:tcPr>
            <w:tcW w:w="22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6240" w:type="dxa"/>
            <w:vAlign w:val="bottom"/>
          </w:tcPr>
          <w:p>
            <w:pPr>
              <w:ind w:left="60"/>
              <w:spacing w:after="0"/>
              <w:rPr>
                <w:sz w:val="20"/>
                <w:szCs w:val="20"/>
                <w:color w:val="auto"/>
              </w:rPr>
            </w:pPr>
            <w:r>
              <w:rPr>
                <w:rFonts w:ascii="Arial" w:cs="Arial" w:eastAsia="Arial" w:hAnsi="Arial"/>
                <w:sz w:val="13"/>
                <w:szCs w:val="13"/>
                <w:color w:val="auto"/>
              </w:rPr>
              <w:t>- Employers</w:t>
            </w:r>
          </w:p>
        </w:tc>
        <w:tc>
          <w:tcPr>
            <w:tcW w:w="2240" w:type="dxa"/>
            <w:vAlign w:val="bottom"/>
          </w:tcPr>
          <w:p>
            <w:pPr>
              <w:jc w:val="right"/>
              <w:ind w:right="476"/>
              <w:spacing w:after="0"/>
              <w:rPr>
                <w:sz w:val="20"/>
                <w:szCs w:val="20"/>
                <w:color w:val="auto"/>
              </w:rPr>
            </w:pPr>
            <w:r>
              <w:rPr>
                <w:rFonts w:ascii="Arial" w:cs="Arial" w:eastAsia="Arial" w:hAnsi="Arial"/>
                <w:sz w:val="13"/>
                <w:szCs w:val="13"/>
                <w:color w:val="auto"/>
              </w:rPr>
              <w:t>—</w:t>
            </w:r>
          </w:p>
        </w:tc>
        <w:tc>
          <w:tcPr>
            <w:tcW w:w="1660" w:type="dxa"/>
            <w:vAlign w:val="bottom"/>
          </w:tcPr>
          <w:p>
            <w:pPr>
              <w:jc w:val="right"/>
              <w:ind w:right="556"/>
              <w:spacing w:after="0"/>
              <w:rPr>
                <w:sz w:val="20"/>
                <w:szCs w:val="20"/>
                <w:color w:val="auto"/>
              </w:rPr>
            </w:pPr>
            <w:r>
              <w:rPr>
                <w:rFonts w:ascii="Arial" w:cs="Arial" w:eastAsia="Arial" w:hAnsi="Arial"/>
                <w:sz w:val="13"/>
                <w:szCs w:val="13"/>
                <w:color w:val="auto"/>
              </w:rPr>
              <w:t>148</w:t>
            </w: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148</w:t>
            </w:r>
          </w:p>
        </w:tc>
        <w:tc>
          <w:tcPr>
            <w:tcW w:w="20" w:type="dxa"/>
            <w:vAlign w:val="bottom"/>
          </w:tcPr>
          <w:p>
            <w:pPr>
              <w:spacing w:after="0"/>
              <w:rPr>
                <w:sz w:val="15"/>
                <w:szCs w:val="15"/>
                <w:color w:val="auto"/>
              </w:rPr>
            </w:pPr>
          </w:p>
        </w:tc>
      </w:tr>
      <w:tr>
        <w:trPr>
          <w:trHeight w:val="199"/>
        </w:trPr>
        <w:tc>
          <w:tcPr>
            <w:tcW w:w="6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 Plan participants</w:t>
            </w:r>
          </w:p>
        </w:tc>
        <w:tc>
          <w:tcPr>
            <w:tcW w:w="22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(24)</w:t>
            </w:r>
          </w:p>
        </w:tc>
        <w:tc>
          <w:tcPr>
            <w:tcW w:w="166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24</w:t>
            </w: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r>
      <w:tr>
        <w:trPr>
          <w:trHeight w:val="183"/>
        </w:trPr>
        <w:tc>
          <w:tcPr>
            <w:tcW w:w="6240" w:type="dxa"/>
            <w:vAlign w:val="bottom"/>
          </w:tcPr>
          <w:p>
            <w:pPr>
              <w:ind w:left="60"/>
              <w:spacing w:after="0"/>
              <w:rPr>
                <w:sz w:val="20"/>
                <w:szCs w:val="20"/>
                <w:color w:val="auto"/>
              </w:rPr>
            </w:pPr>
            <w:r>
              <w:rPr>
                <w:rFonts w:ascii="Arial" w:cs="Arial" w:eastAsia="Arial" w:hAnsi="Arial"/>
                <w:sz w:val="13"/>
                <w:szCs w:val="13"/>
                <w:color w:val="auto"/>
              </w:rPr>
              <w:t>Benefit payments</w:t>
            </w:r>
          </w:p>
        </w:tc>
        <w:tc>
          <w:tcPr>
            <w:tcW w:w="2240" w:type="dxa"/>
            <w:vAlign w:val="bottom"/>
          </w:tcPr>
          <w:p>
            <w:pPr>
              <w:jc w:val="right"/>
              <w:ind w:right="476"/>
              <w:spacing w:after="0"/>
              <w:rPr>
                <w:sz w:val="20"/>
                <w:szCs w:val="20"/>
                <w:color w:val="auto"/>
              </w:rPr>
            </w:pPr>
            <w:r>
              <w:rPr>
                <w:rFonts w:ascii="Arial" w:cs="Arial" w:eastAsia="Arial" w:hAnsi="Arial"/>
                <w:sz w:val="13"/>
                <w:szCs w:val="13"/>
                <w:color w:val="auto"/>
              </w:rPr>
              <w:t>177</w:t>
            </w:r>
          </w:p>
        </w:tc>
        <w:tc>
          <w:tcPr>
            <w:tcW w:w="1660" w:type="dxa"/>
            <w:vAlign w:val="bottom"/>
          </w:tcPr>
          <w:p>
            <w:pPr>
              <w:jc w:val="right"/>
              <w:ind w:right="516"/>
              <w:spacing w:after="0"/>
              <w:rPr>
                <w:sz w:val="20"/>
                <w:szCs w:val="20"/>
                <w:color w:val="auto"/>
              </w:rPr>
            </w:pPr>
            <w:r>
              <w:rPr>
                <w:rFonts w:ascii="Arial" w:cs="Arial" w:eastAsia="Arial" w:hAnsi="Arial"/>
                <w:sz w:val="13"/>
                <w:szCs w:val="13"/>
                <w:color w:val="auto"/>
              </w:rPr>
              <w:t>(177)</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r>
      <w:tr>
        <w:trPr>
          <w:trHeight w:val="182"/>
        </w:trPr>
        <w:tc>
          <w:tcPr>
            <w:tcW w:w="6240" w:type="dxa"/>
            <w:vAlign w:val="bottom"/>
            <w:tcBorders>
              <w:top w:val="single" w:sz="8" w:color="auto"/>
              <w:bottom w:val="single" w:sz="8" w:color="auto"/>
            </w:tcBorders>
            <w:shd w:val="clear" w:color="auto" w:fill="CCEEFF"/>
          </w:tcPr>
          <w:p>
            <w:pPr>
              <w:spacing w:after="0"/>
              <w:rPr>
                <w:sz w:val="15"/>
                <w:szCs w:val="15"/>
                <w:color w:val="auto"/>
              </w:rPr>
            </w:pPr>
          </w:p>
        </w:tc>
        <w:tc>
          <w:tcPr>
            <w:tcW w:w="224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153</w:t>
            </w:r>
          </w:p>
        </w:tc>
        <w:tc>
          <w:tcPr>
            <w:tcW w:w="166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(5)</w:t>
            </w:r>
          </w:p>
        </w:tc>
        <w:tc>
          <w:tcPr>
            <w:tcW w:w="112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148</w:t>
            </w:r>
          </w:p>
        </w:tc>
        <w:tc>
          <w:tcPr>
            <w:tcW w:w="20" w:type="dxa"/>
            <w:vAlign w:val="bottom"/>
          </w:tcPr>
          <w:p>
            <w:pPr>
              <w:spacing w:after="0"/>
              <w:rPr>
                <w:sz w:val="15"/>
                <w:szCs w:val="15"/>
                <w:color w:val="auto"/>
              </w:rPr>
            </w:pPr>
          </w:p>
        </w:tc>
      </w:tr>
      <w:tr>
        <w:trPr>
          <w:trHeight w:val="182"/>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2019</w:t>
            </w:r>
          </w:p>
        </w:tc>
        <w:tc>
          <w:tcPr>
            <w:tcW w:w="22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(37,036)</w:t>
            </w:r>
          </w:p>
        </w:tc>
        <w:tc>
          <w:tcPr>
            <w:tcW w:w="166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32,016</w:t>
            </w: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(5,020)</w:t>
            </w:r>
          </w:p>
        </w:tc>
        <w:tc>
          <w:tcPr>
            <w:tcW w:w="20" w:type="dxa"/>
            <w:vAlign w:val="bottom"/>
          </w:tcPr>
          <w:p>
            <w:pPr>
              <w:spacing w:after="0"/>
              <w:rPr>
                <w:sz w:val="15"/>
                <w:szCs w:val="15"/>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80"/>
          </w:cols>
          <w:pgMar w:left="300" w:top="696" w:right="31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Retirement benefit obligations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4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Present Value of</w:t>
            </w:r>
          </w:p>
        </w:tc>
        <w:tc>
          <w:tcPr>
            <w:tcW w:w="17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6640" w:type="dxa"/>
            <w:vAlign w:val="bottom"/>
            <w:tcBorders>
              <w:bottom w:val="single" w:sz="8" w:color="auto"/>
            </w:tcBorders>
            <w:shd w:val="clear" w:color="auto" w:fill="CCEEFF"/>
          </w:tcPr>
          <w:p>
            <w:pPr>
              <w:spacing w:after="0"/>
              <w:rPr>
                <w:sz w:val="15"/>
                <w:szCs w:val="15"/>
                <w:color w:val="auto"/>
              </w:rPr>
            </w:pPr>
          </w:p>
        </w:tc>
        <w:tc>
          <w:tcPr>
            <w:tcW w:w="3620" w:type="dxa"/>
            <w:vAlign w:val="bottom"/>
            <w:tcBorders>
              <w:bottom w:val="single" w:sz="8" w:color="auto"/>
            </w:tcBorders>
            <w:gridSpan w:val="2"/>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Obligations Fair Value of Plan Assets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5"/>
                <w:szCs w:val="15"/>
                <w:color w:val="auto"/>
              </w:rPr>
            </w:pPr>
          </w:p>
        </w:tc>
      </w:tr>
      <w:tr>
        <w:trPr>
          <w:trHeight w:val="176"/>
        </w:trPr>
        <w:tc>
          <w:tcPr>
            <w:tcW w:w="6640" w:type="dxa"/>
            <w:vAlign w:val="bottom"/>
          </w:tcPr>
          <w:p>
            <w:pPr>
              <w:spacing w:after="0"/>
              <w:rPr>
                <w:sz w:val="15"/>
                <w:szCs w:val="15"/>
                <w:color w:val="auto"/>
              </w:rPr>
            </w:pPr>
          </w:p>
        </w:tc>
        <w:tc>
          <w:tcPr>
            <w:tcW w:w="1840" w:type="dxa"/>
            <w:vAlign w:val="bottom"/>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780" w:type="dxa"/>
            <w:vAlign w:val="bottom"/>
          </w:tcPr>
          <w:p>
            <w:pPr>
              <w:jc w:val="right"/>
              <w:ind w:right="536"/>
              <w:spacing w:after="0"/>
              <w:rPr>
                <w:sz w:val="20"/>
                <w:szCs w:val="20"/>
                <w:color w:val="auto"/>
              </w:rPr>
            </w:pPr>
            <w:r>
              <w:rPr>
                <w:rFonts w:ascii="Arial" w:cs="Arial" w:eastAsia="Arial" w:hAnsi="Arial"/>
                <w:sz w:val="13"/>
                <w:szCs w:val="13"/>
                <w:b w:val="1"/>
                <w:bCs w:val="1"/>
                <w:color w:val="auto"/>
              </w:rPr>
              <w:t>$’000</w:t>
            </w:r>
          </w:p>
        </w:tc>
        <w:tc>
          <w:tcPr>
            <w:tcW w:w="10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$’000</w:t>
            </w:r>
          </w:p>
        </w:tc>
      </w:tr>
      <w:tr>
        <w:trPr>
          <w:trHeight w:val="209"/>
        </w:trPr>
        <w:tc>
          <w:tcPr>
            <w:tcW w:w="66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3"/>
        </w:trPr>
        <w:tc>
          <w:tcPr>
            <w:tcW w:w="6640" w:type="dxa"/>
            <w:vAlign w:val="bottom"/>
          </w:tcPr>
          <w:p>
            <w:pPr>
              <w:ind w:left="320"/>
              <w:spacing w:after="0"/>
              <w:rPr>
                <w:sz w:val="20"/>
                <w:szCs w:val="20"/>
                <w:color w:val="auto"/>
              </w:rPr>
            </w:pPr>
            <w:r>
              <w:rPr>
                <w:rFonts w:ascii="Arial" w:cs="Arial" w:eastAsia="Arial" w:hAnsi="Arial"/>
                <w:sz w:val="13"/>
                <w:szCs w:val="13"/>
                <w:color w:val="auto"/>
              </w:rPr>
              <w:t>At 1 January 2018</w:t>
            </w:r>
          </w:p>
        </w:tc>
        <w:tc>
          <w:tcPr>
            <w:tcW w:w="1840" w:type="dxa"/>
            <w:vAlign w:val="bottom"/>
          </w:tcPr>
          <w:p>
            <w:pPr>
              <w:jc w:val="right"/>
              <w:ind w:right="436"/>
              <w:spacing w:after="0"/>
              <w:rPr>
                <w:sz w:val="20"/>
                <w:szCs w:val="20"/>
                <w:color w:val="auto"/>
              </w:rPr>
            </w:pPr>
            <w:r>
              <w:rPr>
                <w:rFonts w:ascii="Arial" w:cs="Arial" w:eastAsia="Arial" w:hAnsi="Arial"/>
                <w:sz w:val="13"/>
                <w:szCs w:val="13"/>
                <w:color w:val="auto"/>
              </w:rPr>
              <w:t>(37,759)</w:t>
            </w:r>
          </w:p>
        </w:tc>
        <w:tc>
          <w:tcPr>
            <w:tcW w:w="1780" w:type="dxa"/>
            <w:vAlign w:val="bottom"/>
          </w:tcPr>
          <w:p>
            <w:pPr>
              <w:jc w:val="right"/>
              <w:ind w:right="676"/>
              <w:spacing w:after="0"/>
              <w:rPr>
                <w:sz w:val="20"/>
                <w:szCs w:val="20"/>
                <w:color w:val="auto"/>
              </w:rPr>
            </w:pPr>
            <w:r>
              <w:rPr>
                <w:rFonts w:ascii="Arial" w:cs="Arial" w:eastAsia="Arial" w:hAnsi="Arial"/>
                <w:sz w:val="13"/>
                <w:szCs w:val="13"/>
                <w:color w:val="auto"/>
              </w:rPr>
              <w:t>32,423</w:t>
            </w:r>
          </w:p>
        </w:tc>
        <w:tc>
          <w:tcPr>
            <w:tcW w:w="1000" w:type="dxa"/>
            <w:vAlign w:val="bottom"/>
          </w:tcPr>
          <w:p>
            <w:pPr>
              <w:jc w:val="right"/>
              <w:ind w:right="56"/>
              <w:spacing w:after="0"/>
              <w:rPr>
                <w:sz w:val="20"/>
                <w:szCs w:val="20"/>
                <w:color w:val="auto"/>
              </w:rPr>
            </w:pPr>
            <w:r>
              <w:rPr>
                <w:rFonts w:ascii="Arial" w:cs="Arial" w:eastAsia="Arial" w:hAnsi="Arial"/>
                <w:sz w:val="13"/>
                <w:szCs w:val="13"/>
                <w:color w:val="auto"/>
              </w:rPr>
              <w:t>(5,336)</w:t>
            </w:r>
          </w:p>
        </w:tc>
        <w:tc>
          <w:tcPr>
            <w:tcW w:w="20" w:type="dxa"/>
            <w:vAlign w:val="bottom"/>
          </w:tcPr>
          <w:p>
            <w:pPr>
              <w:spacing w:after="0"/>
              <w:rPr>
                <w:sz w:val="15"/>
                <w:szCs w:val="15"/>
                <w:color w:val="auto"/>
              </w:rPr>
            </w:pPr>
          </w:p>
        </w:tc>
      </w:tr>
      <w:tr>
        <w:trPr>
          <w:trHeight w:val="199"/>
        </w:trPr>
        <w:tc>
          <w:tcPr>
            <w:tcW w:w="66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Current service costs</w:t>
            </w:r>
          </w:p>
        </w:tc>
        <w:tc>
          <w:tcPr>
            <w:tcW w:w="18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(125)</w:t>
            </w:r>
          </w:p>
        </w:tc>
        <w:tc>
          <w:tcPr>
            <w:tcW w:w="178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(125)</w:t>
            </w:r>
          </w:p>
        </w:tc>
        <w:tc>
          <w:tcPr>
            <w:tcW w:w="20" w:type="dxa"/>
            <w:vAlign w:val="bottom"/>
          </w:tcPr>
          <w:p>
            <w:pPr>
              <w:spacing w:after="0"/>
              <w:rPr>
                <w:sz w:val="17"/>
                <w:szCs w:val="17"/>
                <w:color w:val="auto"/>
              </w:rPr>
            </w:pPr>
          </w:p>
        </w:tc>
      </w:tr>
      <w:tr>
        <w:trPr>
          <w:trHeight w:val="183"/>
        </w:trPr>
        <w:tc>
          <w:tcPr>
            <w:tcW w:w="6640" w:type="dxa"/>
            <w:vAlign w:val="bottom"/>
          </w:tcPr>
          <w:p>
            <w:pPr>
              <w:ind w:left="60"/>
              <w:spacing w:after="0"/>
              <w:rPr>
                <w:sz w:val="20"/>
                <w:szCs w:val="20"/>
                <w:color w:val="auto"/>
              </w:rPr>
            </w:pPr>
            <w:r>
              <w:rPr>
                <w:rFonts w:ascii="Arial" w:cs="Arial" w:eastAsia="Arial" w:hAnsi="Arial"/>
                <w:sz w:val="13"/>
                <w:szCs w:val="13"/>
                <w:color w:val="auto"/>
              </w:rPr>
              <w:t>Interest expense/(income)</w:t>
            </w:r>
          </w:p>
        </w:tc>
        <w:tc>
          <w:tcPr>
            <w:tcW w:w="1840" w:type="dxa"/>
            <w:vAlign w:val="bottom"/>
          </w:tcPr>
          <w:p>
            <w:pPr>
              <w:jc w:val="right"/>
              <w:ind w:right="436"/>
              <w:spacing w:after="0"/>
              <w:rPr>
                <w:sz w:val="20"/>
                <w:szCs w:val="20"/>
                <w:color w:val="auto"/>
              </w:rPr>
            </w:pPr>
            <w:r>
              <w:rPr>
                <w:rFonts w:ascii="Arial" w:cs="Arial" w:eastAsia="Arial" w:hAnsi="Arial"/>
                <w:sz w:val="13"/>
                <w:szCs w:val="13"/>
                <w:color w:val="auto"/>
              </w:rPr>
              <w:t>(899)</w:t>
            </w:r>
          </w:p>
        </w:tc>
        <w:tc>
          <w:tcPr>
            <w:tcW w:w="1780" w:type="dxa"/>
            <w:vAlign w:val="bottom"/>
          </w:tcPr>
          <w:p>
            <w:pPr>
              <w:jc w:val="right"/>
              <w:ind w:right="676"/>
              <w:spacing w:after="0"/>
              <w:rPr>
                <w:sz w:val="20"/>
                <w:szCs w:val="20"/>
                <w:color w:val="auto"/>
              </w:rPr>
            </w:pPr>
            <w:r>
              <w:rPr>
                <w:rFonts w:ascii="Arial" w:cs="Arial" w:eastAsia="Arial" w:hAnsi="Arial"/>
                <w:sz w:val="13"/>
                <w:szCs w:val="13"/>
                <w:color w:val="auto"/>
              </w:rPr>
              <w:t>768</w:t>
            </w:r>
          </w:p>
        </w:tc>
        <w:tc>
          <w:tcPr>
            <w:tcW w:w="1000" w:type="dxa"/>
            <w:vAlign w:val="bottom"/>
          </w:tcPr>
          <w:p>
            <w:pPr>
              <w:jc w:val="right"/>
              <w:ind w:right="56"/>
              <w:spacing w:after="0"/>
              <w:rPr>
                <w:sz w:val="20"/>
                <w:szCs w:val="20"/>
                <w:color w:val="auto"/>
              </w:rPr>
            </w:pPr>
            <w:r>
              <w:rPr>
                <w:rFonts w:ascii="Arial" w:cs="Arial" w:eastAsia="Arial" w:hAnsi="Arial"/>
                <w:sz w:val="13"/>
                <w:szCs w:val="13"/>
                <w:color w:val="auto"/>
              </w:rPr>
              <w:t>(131)</w:t>
            </w:r>
          </w:p>
        </w:tc>
        <w:tc>
          <w:tcPr>
            <w:tcW w:w="20" w:type="dxa"/>
            <w:vAlign w:val="bottom"/>
          </w:tcPr>
          <w:p>
            <w:pPr>
              <w:spacing w:after="0"/>
              <w:rPr>
                <w:sz w:val="15"/>
                <w:szCs w:val="15"/>
                <w:color w:val="auto"/>
              </w:rPr>
            </w:pPr>
          </w:p>
        </w:tc>
      </w:tr>
      <w:tr>
        <w:trPr>
          <w:trHeight w:val="199"/>
        </w:trPr>
        <w:tc>
          <w:tcPr>
            <w:tcW w:w="6640" w:type="dxa"/>
            <w:vAlign w:val="bottom"/>
            <w:shd w:val="clear" w:color="auto" w:fill="CCEEFF"/>
          </w:tcPr>
          <w:p>
            <w:pPr>
              <w:ind w:left="60"/>
              <w:spacing w:after="0"/>
              <w:rPr>
                <w:sz w:val="20"/>
                <w:szCs w:val="20"/>
                <w:color w:val="auto"/>
              </w:rPr>
            </w:pPr>
            <w:r>
              <w:rPr>
                <w:rFonts w:ascii="Arial" w:cs="Arial" w:eastAsia="Arial" w:hAnsi="Arial"/>
                <w:sz w:val="13"/>
                <w:szCs w:val="13"/>
                <w:color w:val="auto"/>
              </w:rPr>
              <w:t>Past service cost</w:t>
            </w:r>
          </w:p>
        </w:tc>
        <w:tc>
          <w:tcPr>
            <w:tcW w:w="18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78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r>
      <w:tr>
        <w:trPr>
          <w:trHeight w:val="183"/>
        </w:trPr>
        <w:tc>
          <w:tcPr>
            <w:tcW w:w="6640" w:type="dxa"/>
            <w:vAlign w:val="bottom"/>
          </w:tcPr>
          <w:p>
            <w:pPr>
              <w:ind w:left="60"/>
              <w:spacing w:after="0"/>
              <w:rPr>
                <w:sz w:val="20"/>
                <w:szCs w:val="20"/>
                <w:color w:val="auto"/>
              </w:rPr>
            </w:pPr>
            <w:r>
              <w:rPr>
                <w:rFonts w:ascii="Arial" w:cs="Arial" w:eastAsia="Arial" w:hAnsi="Arial"/>
                <w:sz w:val="13"/>
                <w:szCs w:val="13"/>
                <w:color w:val="auto"/>
              </w:rPr>
              <w:t>Expenses</w:t>
            </w:r>
          </w:p>
        </w:tc>
        <w:tc>
          <w:tcPr>
            <w:tcW w:w="1840" w:type="dxa"/>
            <w:vAlign w:val="bottom"/>
          </w:tcPr>
          <w:p>
            <w:pPr>
              <w:jc w:val="right"/>
              <w:ind w:right="476"/>
              <w:spacing w:after="0"/>
              <w:rPr>
                <w:sz w:val="20"/>
                <w:szCs w:val="20"/>
                <w:color w:val="auto"/>
              </w:rPr>
            </w:pPr>
            <w:r>
              <w:rPr>
                <w:rFonts w:ascii="Arial" w:cs="Arial" w:eastAsia="Arial" w:hAnsi="Arial"/>
                <w:sz w:val="13"/>
                <w:szCs w:val="13"/>
                <w:color w:val="auto"/>
              </w:rPr>
              <w:t>—</w:t>
            </w:r>
          </w:p>
        </w:tc>
        <w:tc>
          <w:tcPr>
            <w:tcW w:w="1780" w:type="dxa"/>
            <w:vAlign w:val="bottom"/>
          </w:tcPr>
          <w:p>
            <w:pPr>
              <w:jc w:val="right"/>
              <w:ind w:right="676"/>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r>
      <w:tr>
        <w:trPr>
          <w:trHeight w:val="182"/>
        </w:trPr>
        <w:tc>
          <w:tcPr>
            <w:tcW w:w="6640" w:type="dxa"/>
            <w:vAlign w:val="bottom"/>
            <w:tcBorders>
              <w:top w:val="single" w:sz="8" w:color="auto"/>
              <w:bottom w:val="single" w:sz="8" w:color="auto"/>
            </w:tcBorders>
            <w:shd w:val="clear" w:color="auto" w:fill="CCEEFF"/>
          </w:tcPr>
          <w:p>
            <w:pPr>
              <w:spacing w:after="0"/>
              <w:rPr>
                <w:sz w:val="15"/>
                <w:szCs w:val="15"/>
                <w:color w:val="auto"/>
              </w:rPr>
            </w:pPr>
          </w:p>
        </w:tc>
        <w:tc>
          <w:tcPr>
            <w:tcW w:w="184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(38,783)</w:t>
            </w:r>
          </w:p>
        </w:tc>
        <w:tc>
          <w:tcPr>
            <w:tcW w:w="178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33,191</w:t>
            </w:r>
          </w:p>
        </w:tc>
        <w:tc>
          <w:tcPr>
            <w:tcW w:w="10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(5,592)</w:t>
            </w:r>
          </w:p>
        </w:tc>
        <w:tc>
          <w:tcPr>
            <w:tcW w:w="20" w:type="dxa"/>
            <w:vAlign w:val="bottom"/>
          </w:tcPr>
          <w:p>
            <w:pPr>
              <w:spacing w:after="0"/>
              <w:rPr>
                <w:sz w:val="15"/>
                <w:szCs w:val="15"/>
                <w:color w:val="auto"/>
              </w:rPr>
            </w:pPr>
          </w:p>
        </w:tc>
      </w:tr>
      <w:tr>
        <w:trPr>
          <w:trHeight w:val="168"/>
        </w:trPr>
        <w:tc>
          <w:tcPr>
            <w:tcW w:w="6640" w:type="dxa"/>
            <w:vAlign w:val="bottom"/>
          </w:tcPr>
          <w:p>
            <w:pPr>
              <w:ind w:left="60"/>
              <w:spacing w:after="0"/>
              <w:rPr>
                <w:sz w:val="20"/>
                <w:szCs w:val="20"/>
                <w:color w:val="auto"/>
              </w:rPr>
            </w:pPr>
            <w:r>
              <w:rPr>
                <w:rFonts w:ascii="Arial" w:cs="Arial" w:eastAsia="Arial" w:hAnsi="Arial"/>
                <w:sz w:val="13"/>
                <w:szCs w:val="13"/>
                <w:b w:val="1"/>
                <w:bCs w:val="1"/>
                <w:color w:val="auto"/>
              </w:rPr>
              <w:t>Re-measurements</w:t>
            </w:r>
          </w:p>
        </w:tc>
        <w:tc>
          <w:tcPr>
            <w:tcW w:w="1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1"/>
        </w:trPr>
        <w:tc>
          <w:tcPr>
            <w:tcW w:w="664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Experience adjustment</w:t>
            </w:r>
          </w:p>
        </w:tc>
        <w:tc>
          <w:tcPr>
            <w:tcW w:w="18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rPr>
              <w:t>(1,355)</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(1,355)</w:t>
            </w:r>
          </w:p>
        </w:tc>
        <w:tc>
          <w:tcPr>
            <w:tcW w:w="20" w:type="dxa"/>
            <w:vAlign w:val="bottom"/>
          </w:tcPr>
          <w:p>
            <w:pPr>
              <w:spacing w:after="0"/>
              <w:rPr>
                <w:sz w:val="16"/>
                <w:szCs w:val="16"/>
                <w:color w:val="auto"/>
              </w:rPr>
            </w:pPr>
          </w:p>
        </w:tc>
      </w:tr>
      <w:tr>
        <w:trPr>
          <w:trHeight w:val="183"/>
        </w:trPr>
        <w:tc>
          <w:tcPr>
            <w:tcW w:w="6640" w:type="dxa"/>
            <w:vAlign w:val="bottom"/>
          </w:tcPr>
          <w:p>
            <w:pPr>
              <w:ind w:left="60"/>
              <w:spacing w:after="0"/>
              <w:rPr>
                <w:sz w:val="20"/>
                <w:szCs w:val="20"/>
                <w:color w:val="auto"/>
              </w:rPr>
            </w:pPr>
            <w:r>
              <w:rPr>
                <w:rFonts w:ascii="Arial" w:cs="Arial" w:eastAsia="Arial" w:hAnsi="Arial"/>
                <w:sz w:val="13"/>
                <w:szCs w:val="13"/>
                <w:color w:val="auto"/>
              </w:rPr>
              <w:t>Gain or loss from change in demographic assumptions</w:t>
            </w:r>
          </w:p>
        </w:tc>
        <w:tc>
          <w:tcPr>
            <w:tcW w:w="1840" w:type="dxa"/>
            <w:vAlign w:val="bottom"/>
          </w:tcPr>
          <w:p>
            <w:pPr>
              <w:jc w:val="right"/>
              <w:ind w:right="476"/>
              <w:spacing w:after="0"/>
              <w:rPr>
                <w:sz w:val="20"/>
                <w:szCs w:val="20"/>
                <w:color w:val="auto"/>
              </w:rPr>
            </w:pPr>
            <w:r>
              <w:rPr>
                <w:rFonts w:ascii="Arial" w:cs="Arial" w:eastAsia="Arial" w:hAnsi="Arial"/>
                <w:sz w:val="13"/>
                <w:szCs w:val="13"/>
                <w:color w:val="auto"/>
              </w:rPr>
              <w:t>200</w:t>
            </w:r>
          </w:p>
        </w:tc>
        <w:tc>
          <w:tcPr>
            <w:tcW w:w="1780" w:type="dxa"/>
            <w:vAlign w:val="bottom"/>
          </w:tcPr>
          <w:p>
            <w:pPr>
              <w:jc w:val="right"/>
              <w:ind w:right="67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6"/>
              <w:spacing w:after="0"/>
              <w:rPr>
                <w:sz w:val="20"/>
                <w:szCs w:val="20"/>
                <w:color w:val="auto"/>
              </w:rPr>
            </w:pPr>
            <w:r>
              <w:rPr>
                <w:rFonts w:ascii="Arial" w:cs="Arial" w:eastAsia="Arial" w:hAnsi="Arial"/>
                <w:sz w:val="13"/>
                <w:szCs w:val="13"/>
                <w:color w:val="auto"/>
              </w:rPr>
              <w:t>200</w:t>
            </w:r>
          </w:p>
        </w:tc>
        <w:tc>
          <w:tcPr>
            <w:tcW w:w="20" w:type="dxa"/>
            <w:vAlign w:val="bottom"/>
          </w:tcPr>
          <w:p>
            <w:pPr>
              <w:spacing w:after="0"/>
              <w:rPr>
                <w:sz w:val="15"/>
                <w:szCs w:val="15"/>
                <w:color w:val="auto"/>
              </w:rPr>
            </w:pPr>
          </w:p>
        </w:tc>
      </w:tr>
      <w:tr>
        <w:trPr>
          <w:trHeight w:val="199"/>
        </w:trPr>
        <w:tc>
          <w:tcPr>
            <w:tcW w:w="6640" w:type="dxa"/>
            <w:vAlign w:val="bottom"/>
            <w:shd w:val="clear" w:color="auto" w:fill="CCEEFF"/>
          </w:tcPr>
          <w:p>
            <w:pPr>
              <w:ind w:left="60"/>
              <w:spacing w:after="0"/>
              <w:rPr>
                <w:sz w:val="20"/>
                <w:szCs w:val="20"/>
                <w:color w:val="auto"/>
              </w:rPr>
            </w:pPr>
            <w:r>
              <w:rPr>
                <w:rFonts w:ascii="Arial" w:cs="Arial" w:eastAsia="Arial" w:hAnsi="Arial"/>
                <w:sz w:val="13"/>
                <w:szCs w:val="13"/>
                <w:color w:val="auto"/>
              </w:rPr>
              <w:t>Gain or loss from change in financial assumptions</w:t>
            </w:r>
          </w:p>
        </w:tc>
        <w:tc>
          <w:tcPr>
            <w:tcW w:w="18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3,313</w:t>
            </w:r>
          </w:p>
        </w:tc>
        <w:tc>
          <w:tcPr>
            <w:tcW w:w="178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3,313</w:t>
            </w:r>
          </w:p>
        </w:tc>
        <w:tc>
          <w:tcPr>
            <w:tcW w:w="20" w:type="dxa"/>
            <w:vAlign w:val="bottom"/>
          </w:tcPr>
          <w:p>
            <w:pPr>
              <w:spacing w:after="0"/>
              <w:rPr>
                <w:sz w:val="17"/>
                <w:szCs w:val="17"/>
                <w:color w:val="auto"/>
              </w:rPr>
            </w:pPr>
          </w:p>
        </w:tc>
      </w:tr>
      <w:tr>
        <w:trPr>
          <w:trHeight w:val="183"/>
        </w:trPr>
        <w:tc>
          <w:tcPr>
            <w:tcW w:w="66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Experience gain or loss</w:t>
            </w:r>
          </w:p>
        </w:tc>
        <w:tc>
          <w:tcPr>
            <w:tcW w:w="18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350</w:t>
            </w:r>
          </w:p>
        </w:tc>
        <w:tc>
          <w:tcPr>
            <w:tcW w:w="178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350</w:t>
            </w:r>
          </w:p>
        </w:tc>
        <w:tc>
          <w:tcPr>
            <w:tcW w:w="20" w:type="dxa"/>
            <w:vAlign w:val="bottom"/>
          </w:tcPr>
          <w:p>
            <w:pPr>
              <w:spacing w:after="0"/>
              <w:rPr>
                <w:sz w:val="15"/>
                <w:szCs w:val="15"/>
                <w:color w:val="auto"/>
              </w:rPr>
            </w:pPr>
          </w:p>
        </w:tc>
      </w:tr>
      <w:tr>
        <w:trPr>
          <w:trHeight w:val="182"/>
        </w:trPr>
        <w:tc>
          <w:tcPr>
            <w:tcW w:w="664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3,863</w:t>
            </w:r>
          </w:p>
        </w:tc>
        <w:tc>
          <w:tcPr>
            <w:tcW w:w="178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b w:val="1"/>
                <w:bCs w:val="1"/>
                <w:color w:val="auto"/>
              </w:rPr>
              <w:t>(1,355)</w:t>
            </w: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2,508</w:t>
            </w:r>
          </w:p>
        </w:tc>
        <w:tc>
          <w:tcPr>
            <w:tcW w:w="20" w:type="dxa"/>
            <w:vAlign w:val="bottom"/>
          </w:tcPr>
          <w:p>
            <w:pPr>
              <w:spacing w:after="0"/>
              <w:rPr>
                <w:sz w:val="15"/>
                <w:szCs w:val="15"/>
                <w:color w:val="auto"/>
              </w:rPr>
            </w:pPr>
          </w:p>
        </w:tc>
      </w:tr>
      <w:tr>
        <w:trPr>
          <w:trHeight w:val="182"/>
        </w:trPr>
        <w:tc>
          <w:tcPr>
            <w:tcW w:w="6640" w:type="dxa"/>
            <w:vAlign w:val="bottom"/>
          </w:tcPr>
          <w:p>
            <w:pPr>
              <w:ind w:left="60"/>
              <w:spacing w:after="0"/>
              <w:rPr>
                <w:sz w:val="20"/>
                <w:szCs w:val="20"/>
                <w:color w:val="auto"/>
              </w:rPr>
            </w:pPr>
            <w:r>
              <w:rPr>
                <w:rFonts w:ascii="Arial" w:cs="Arial" w:eastAsia="Arial" w:hAnsi="Arial"/>
                <w:sz w:val="13"/>
                <w:szCs w:val="13"/>
                <w:color w:val="auto"/>
              </w:rPr>
              <w:t>Exchange differences</w:t>
            </w:r>
          </w:p>
        </w:tc>
        <w:tc>
          <w:tcPr>
            <w:tcW w:w="1840" w:type="dxa"/>
            <w:vAlign w:val="bottom"/>
          </w:tcPr>
          <w:p>
            <w:pPr>
              <w:jc w:val="right"/>
              <w:ind w:right="476"/>
              <w:spacing w:after="0"/>
              <w:rPr>
                <w:sz w:val="20"/>
                <w:szCs w:val="20"/>
                <w:color w:val="auto"/>
              </w:rPr>
            </w:pPr>
            <w:r>
              <w:rPr>
                <w:rFonts w:ascii="Arial" w:cs="Arial" w:eastAsia="Arial" w:hAnsi="Arial"/>
                <w:sz w:val="13"/>
                <w:szCs w:val="13"/>
                <w:color w:val="auto"/>
              </w:rPr>
              <w:t>1,836</w:t>
            </w:r>
          </w:p>
        </w:tc>
        <w:tc>
          <w:tcPr>
            <w:tcW w:w="1780" w:type="dxa"/>
            <w:vAlign w:val="bottom"/>
          </w:tcPr>
          <w:p>
            <w:pPr>
              <w:jc w:val="right"/>
              <w:ind w:right="636"/>
              <w:spacing w:after="0"/>
              <w:rPr>
                <w:sz w:val="20"/>
                <w:szCs w:val="20"/>
                <w:color w:val="auto"/>
              </w:rPr>
            </w:pPr>
            <w:r>
              <w:rPr>
                <w:rFonts w:ascii="Arial" w:cs="Arial" w:eastAsia="Arial" w:hAnsi="Arial"/>
                <w:sz w:val="13"/>
                <w:szCs w:val="13"/>
                <w:color w:val="auto"/>
              </w:rPr>
              <w:t>(1,654)</w:t>
            </w:r>
          </w:p>
        </w:tc>
        <w:tc>
          <w:tcPr>
            <w:tcW w:w="1000" w:type="dxa"/>
            <w:vAlign w:val="bottom"/>
          </w:tcPr>
          <w:p>
            <w:pPr>
              <w:jc w:val="right"/>
              <w:ind w:right="96"/>
              <w:spacing w:after="0"/>
              <w:rPr>
                <w:sz w:val="20"/>
                <w:szCs w:val="20"/>
                <w:color w:val="auto"/>
              </w:rPr>
            </w:pPr>
            <w:r>
              <w:rPr>
                <w:rFonts w:ascii="Arial" w:cs="Arial" w:eastAsia="Arial" w:hAnsi="Arial"/>
                <w:sz w:val="13"/>
                <w:szCs w:val="13"/>
                <w:color w:val="auto"/>
              </w:rPr>
              <w:t>182</w:t>
            </w:r>
          </w:p>
        </w:tc>
        <w:tc>
          <w:tcPr>
            <w:tcW w:w="20" w:type="dxa"/>
            <w:vAlign w:val="bottom"/>
          </w:tcPr>
          <w:p>
            <w:pPr>
              <w:spacing w:after="0"/>
              <w:rPr>
                <w:sz w:val="15"/>
                <w:szCs w:val="15"/>
                <w:color w:val="auto"/>
              </w:rPr>
            </w:pPr>
          </w:p>
        </w:tc>
      </w:tr>
      <w:tr>
        <w:trPr>
          <w:trHeight w:val="177"/>
        </w:trPr>
        <w:tc>
          <w:tcPr>
            <w:tcW w:w="664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Contributions:</w:t>
            </w:r>
          </w:p>
        </w:tc>
        <w:tc>
          <w:tcPr>
            <w:tcW w:w="18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6640" w:type="dxa"/>
            <w:vAlign w:val="bottom"/>
          </w:tcPr>
          <w:p>
            <w:pPr>
              <w:ind w:left="60"/>
              <w:spacing w:after="0"/>
              <w:rPr>
                <w:sz w:val="20"/>
                <w:szCs w:val="20"/>
                <w:color w:val="auto"/>
              </w:rPr>
            </w:pPr>
            <w:r>
              <w:rPr>
                <w:rFonts w:ascii="Arial" w:cs="Arial" w:eastAsia="Arial" w:hAnsi="Arial"/>
                <w:sz w:val="13"/>
                <w:szCs w:val="13"/>
                <w:color w:val="auto"/>
              </w:rPr>
              <w:t>- Employers</w:t>
            </w:r>
          </w:p>
        </w:tc>
        <w:tc>
          <w:tcPr>
            <w:tcW w:w="1840" w:type="dxa"/>
            <w:vAlign w:val="bottom"/>
          </w:tcPr>
          <w:p>
            <w:pPr>
              <w:jc w:val="right"/>
              <w:ind w:right="476"/>
              <w:spacing w:after="0"/>
              <w:rPr>
                <w:sz w:val="20"/>
                <w:szCs w:val="20"/>
                <w:color w:val="auto"/>
              </w:rPr>
            </w:pPr>
            <w:r>
              <w:rPr>
                <w:rFonts w:ascii="Arial" w:cs="Arial" w:eastAsia="Arial" w:hAnsi="Arial"/>
                <w:sz w:val="13"/>
                <w:szCs w:val="13"/>
                <w:color w:val="auto"/>
              </w:rPr>
              <w:t>—</w:t>
            </w:r>
          </w:p>
        </w:tc>
        <w:tc>
          <w:tcPr>
            <w:tcW w:w="1780" w:type="dxa"/>
            <w:vAlign w:val="bottom"/>
          </w:tcPr>
          <w:p>
            <w:pPr>
              <w:jc w:val="right"/>
              <w:ind w:right="676"/>
              <w:spacing w:after="0"/>
              <w:rPr>
                <w:sz w:val="20"/>
                <w:szCs w:val="20"/>
                <w:color w:val="auto"/>
              </w:rPr>
            </w:pPr>
            <w:r>
              <w:rPr>
                <w:rFonts w:ascii="Arial" w:cs="Arial" w:eastAsia="Arial" w:hAnsi="Arial"/>
                <w:sz w:val="13"/>
                <w:szCs w:val="13"/>
                <w:color w:val="auto"/>
              </w:rPr>
              <w:t>154</w:t>
            </w:r>
          </w:p>
        </w:tc>
        <w:tc>
          <w:tcPr>
            <w:tcW w:w="1000" w:type="dxa"/>
            <w:vAlign w:val="bottom"/>
          </w:tcPr>
          <w:p>
            <w:pPr>
              <w:jc w:val="right"/>
              <w:ind w:right="96"/>
              <w:spacing w:after="0"/>
              <w:rPr>
                <w:sz w:val="20"/>
                <w:szCs w:val="20"/>
                <w:color w:val="auto"/>
              </w:rPr>
            </w:pPr>
            <w:r>
              <w:rPr>
                <w:rFonts w:ascii="Arial" w:cs="Arial" w:eastAsia="Arial" w:hAnsi="Arial"/>
                <w:sz w:val="13"/>
                <w:szCs w:val="13"/>
                <w:color w:val="auto"/>
              </w:rPr>
              <w:t>154</w:t>
            </w:r>
          </w:p>
        </w:tc>
        <w:tc>
          <w:tcPr>
            <w:tcW w:w="20" w:type="dxa"/>
            <w:vAlign w:val="bottom"/>
          </w:tcPr>
          <w:p>
            <w:pPr>
              <w:spacing w:after="0"/>
              <w:rPr>
                <w:sz w:val="15"/>
                <w:szCs w:val="15"/>
                <w:color w:val="auto"/>
              </w:rPr>
            </w:pPr>
          </w:p>
        </w:tc>
      </w:tr>
      <w:tr>
        <w:trPr>
          <w:trHeight w:val="199"/>
        </w:trPr>
        <w:tc>
          <w:tcPr>
            <w:tcW w:w="6640" w:type="dxa"/>
            <w:vAlign w:val="bottom"/>
            <w:shd w:val="clear" w:color="auto" w:fill="CCEEFF"/>
          </w:tcPr>
          <w:p>
            <w:pPr>
              <w:ind w:left="60"/>
              <w:spacing w:after="0"/>
              <w:rPr>
                <w:sz w:val="20"/>
                <w:szCs w:val="20"/>
                <w:color w:val="auto"/>
              </w:rPr>
            </w:pPr>
            <w:r>
              <w:rPr>
                <w:rFonts w:ascii="Arial" w:cs="Arial" w:eastAsia="Arial" w:hAnsi="Arial"/>
                <w:sz w:val="13"/>
                <w:szCs w:val="13"/>
                <w:color w:val="auto"/>
              </w:rPr>
              <w:t>- Plan participants</w:t>
            </w:r>
          </w:p>
        </w:tc>
        <w:tc>
          <w:tcPr>
            <w:tcW w:w="18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(24)</w:t>
            </w:r>
          </w:p>
        </w:tc>
        <w:tc>
          <w:tcPr>
            <w:tcW w:w="178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rPr>
              <w:t>24</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r>
      <w:tr>
        <w:trPr>
          <w:trHeight w:val="183"/>
        </w:trPr>
        <w:tc>
          <w:tcPr>
            <w:tcW w:w="6640" w:type="dxa"/>
            <w:vAlign w:val="bottom"/>
          </w:tcPr>
          <w:p>
            <w:pPr>
              <w:ind w:left="60"/>
              <w:spacing w:after="0"/>
              <w:rPr>
                <w:sz w:val="20"/>
                <w:szCs w:val="20"/>
                <w:color w:val="auto"/>
              </w:rPr>
            </w:pPr>
            <w:r>
              <w:rPr>
                <w:rFonts w:ascii="Arial" w:cs="Arial" w:eastAsia="Arial" w:hAnsi="Arial"/>
                <w:sz w:val="13"/>
                <w:szCs w:val="13"/>
                <w:color w:val="auto"/>
              </w:rPr>
              <w:t>Benefit payments</w:t>
            </w:r>
          </w:p>
        </w:tc>
        <w:tc>
          <w:tcPr>
            <w:tcW w:w="1840" w:type="dxa"/>
            <w:vAlign w:val="bottom"/>
          </w:tcPr>
          <w:p>
            <w:pPr>
              <w:jc w:val="right"/>
              <w:ind w:right="476"/>
              <w:spacing w:after="0"/>
              <w:rPr>
                <w:sz w:val="20"/>
                <w:szCs w:val="20"/>
                <w:color w:val="auto"/>
              </w:rPr>
            </w:pPr>
            <w:r>
              <w:rPr>
                <w:rFonts w:ascii="Arial" w:cs="Arial" w:eastAsia="Arial" w:hAnsi="Arial"/>
                <w:sz w:val="13"/>
                <w:szCs w:val="13"/>
                <w:color w:val="auto"/>
              </w:rPr>
              <w:t>3,063</w:t>
            </w:r>
          </w:p>
        </w:tc>
        <w:tc>
          <w:tcPr>
            <w:tcW w:w="1780" w:type="dxa"/>
            <w:vAlign w:val="bottom"/>
          </w:tcPr>
          <w:p>
            <w:pPr>
              <w:jc w:val="right"/>
              <w:ind w:right="636"/>
              <w:spacing w:after="0"/>
              <w:rPr>
                <w:sz w:val="20"/>
                <w:szCs w:val="20"/>
                <w:color w:val="auto"/>
              </w:rPr>
            </w:pPr>
            <w:r>
              <w:rPr>
                <w:rFonts w:ascii="Arial" w:cs="Arial" w:eastAsia="Arial" w:hAnsi="Arial"/>
                <w:sz w:val="13"/>
                <w:szCs w:val="13"/>
                <w:color w:val="auto"/>
              </w:rPr>
              <w:t>(3,063)</w:t>
            </w: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r>
      <w:tr>
        <w:trPr>
          <w:trHeight w:val="182"/>
        </w:trPr>
        <w:tc>
          <w:tcPr>
            <w:tcW w:w="6640" w:type="dxa"/>
            <w:vAlign w:val="bottom"/>
            <w:tcBorders>
              <w:top w:val="single" w:sz="8" w:color="auto"/>
              <w:bottom w:val="single" w:sz="8" w:color="auto"/>
            </w:tcBorders>
            <w:shd w:val="clear" w:color="auto" w:fill="CCEEFF"/>
          </w:tcPr>
          <w:p>
            <w:pPr>
              <w:spacing w:after="0"/>
              <w:rPr>
                <w:sz w:val="15"/>
                <w:szCs w:val="15"/>
                <w:color w:val="auto"/>
              </w:rPr>
            </w:pPr>
          </w:p>
        </w:tc>
        <w:tc>
          <w:tcPr>
            <w:tcW w:w="184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3,039</w:t>
            </w:r>
          </w:p>
        </w:tc>
        <w:tc>
          <w:tcPr>
            <w:tcW w:w="178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b w:val="1"/>
                <w:bCs w:val="1"/>
                <w:color w:val="auto"/>
              </w:rPr>
              <w:t>(2,885)</w:t>
            </w:r>
          </w:p>
        </w:tc>
        <w:tc>
          <w:tcPr>
            <w:tcW w:w="10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154</w:t>
            </w:r>
          </w:p>
        </w:tc>
        <w:tc>
          <w:tcPr>
            <w:tcW w:w="20" w:type="dxa"/>
            <w:vAlign w:val="bottom"/>
          </w:tcPr>
          <w:p>
            <w:pPr>
              <w:spacing w:after="0"/>
              <w:rPr>
                <w:sz w:val="15"/>
                <w:szCs w:val="15"/>
                <w:color w:val="auto"/>
              </w:rPr>
            </w:pPr>
          </w:p>
        </w:tc>
      </w:tr>
      <w:tr>
        <w:trPr>
          <w:trHeight w:val="182"/>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2018</w:t>
            </w:r>
          </w:p>
        </w:tc>
        <w:tc>
          <w:tcPr>
            <w:tcW w:w="18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(30,045)</w:t>
            </w:r>
          </w:p>
        </w:tc>
        <w:tc>
          <w:tcPr>
            <w:tcW w:w="178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27,297</w:t>
            </w: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(2,748)</w:t>
            </w:r>
          </w:p>
        </w:tc>
        <w:tc>
          <w:tcPr>
            <w:tcW w:w="20" w:type="dxa"/>
            <w:vAlign w:val="bottom"/>
          </w:tcPr>
          <w:p>
            <w:pPr>
              <w:spacing w:after="0"/>
              <w:rPr>
                <w:sz w:val="15"/>
                <w:szCs w:val="15"/>
                <w:color w:val="auto"/>
              </w:rPr>
            </w:pPr>
          </w:p>
        </w:tc>
      </w:tr>
      <w:tr>
        <w:trPr>
          <w:trHeight w:val="227"/>
        </w:trPr>
        <w:tc>
          <w:tcPr>
            <w:tcW w:w="6640" w:type="dxa"/>
            <w:vAlign w:val="bottom"/>
          </w:tcPr>
          <w:p>
            <w:pPr>
              <w:spacing w:after="0"/>
              <w:rPr>
                <w:sz w:val="20"/>
                <w:szCs w:val="20"/>
                <w:color w:val="auto"/>
              </w:rPr>
            </w:pPr>
            <w:r>
              <w:rPr>
                <w:rFonts w:ascii="Arial" w:cs="Arial" w:eastAsia="Arial" w:hAnsi="Arial"/>
                <w:sz w:val="13"/>
                <w:szCs w:val="13"/>
                <w:color w:val="auto"/>
              </w:rPr>
              <w:t>Re-measurements are recognised in the Consolidated Statement of Comprehensive Income as follows:</w:t>
            </w:r>
          </w:p>
        </w:tc>
        <w:tc>
          <w:tcPr>
            <w:tcW w:w="18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9"/>
        </w:trPr>
        <w:tc>
          <w:tcPr>
            <w:tcW w:w="6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800" w:type="dxa"/>
            <w:vAlign w:val="bottom"/>
            <w:gridSpan w:val="3"/>
          </w:tcPr>
          <w:p>
            <w:pPr>
              <w:spacing w:after="0"/>
              <w:rPr>
                <w:sz w:val="7"/>
                <w:szCs w:val="7"/>
                <w:color w:val="auto"/>
              </w:rPr>
            </w:pPr>
          </w:p>
        </w:tc>
      </w:tr>
      <w:tr>
        <w:trPr>
          <w:trHeight w:val="155"/>
        </w:trPr>
        <w:tc>
          <w:tcPr>
            <w:tcW w:w="664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7"/>
        </w:trPr>
        <w:tc>
          <w:tcPr>
            <w:tcW w:w="664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December 2019</w:t>
            </w: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2018</w:t>
            </w:r>
          </w:p>
        </w:tc>
      </w:tr>
      <w:tr>
        <w:trPr>
          <w:trHeight w:val="182"/>
        </w:trPr>
        <w:tc>
          <w:tcPr>
            <w:tcW w:w="66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80" w:type="dxa"/>
            <w:vAlign w:val="bottom"/>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209"/>
        </w:trPr>
        <w:tc>
          <w:tcPr>
            <w:tcW w:w="66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3"/>
        </w:trPr>
        <w:tc>
          <w:tcPr>
            <w:tcW w:w="6640" w:type="dxa"/>
            <w:vAlign w:val="bottom"/>
          </w:tcPr>
          <w:p>
            <w:pPr>
              <w:ind w:left="20"/>
              <w:spacing w:after="0"/>
              <w:rPr>
                <w:sz w:val="20"/>
                <w:szCs w:val="20"/>
                <w:color w:val="auto"/>
              </w:rPr>
            </w:pPr>
            <w:r>
              <w:rPr>
                <w:rFonts w:ascii="Arial" w:cs="Arial" w:eastAsia="Arial" w:hAnsi="Arial"/>
                <w:sz w:val="13"/>
                <w:szCs w:val="13"/>
                <w:color w:val="auto"/>
              </w:rPr>
              <w:t>Return on plan assets (excl. amounts included in interest income/expense)</w:t>
            </w:r>
          </w:p>
        </w:tc>
        <w:tc>
          <w:tcPr>
            <w:tcW w:w="1840" w:type="dxa"/>
            <w:vAlign w:val="bottom"/>
          </w:tcPr>
          <w:p>
            <w:pPr>
              <w:spacing w:after="0"/>
              <w:rPr>
                <w:sz w:val="15"/>
                <w:szCs w:val="15"/>
                <w:color w:val="auto"/>
              </w:rPr>
            </w:pPr>
          </w:p>
        </w:tc>
        <w:tc>
          <w:tcPr>
            <w:tcW w:w="1780" w:type="dxa"/>
            <w:vAlign w:val="bottom"/>
          </w:tcPr>
          <w:p>
            <w:pPr>
              <w:jc w:val="right"/>
              <w:ind w:right="536"/>
              <w:spacing w:after="0"/>
              <w:rPr>
                <w:sz w:val="20"/>
                <w:szCs w:val="20"/>
                <w:color w:val="auto"/>
              </w:rPr>
            </w:pPr>
            <w:r>
              <w:rPr>
                <w:rFonts w:ascii="Arial" w:cs="Arial" w:eastAsia="Arial" w:hAnsi="Arial"/>
                <w:sz w:val="13"/>
                <w:szCs w:val="13"/>
                <w:b w:val="1"/>
                <w:bCs w:val="1"/>
                <w:color w:val="auto"/>
              </w:rPr>
              <w:t>2,714</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(1,355)</w:t>
            </w:r>
          </w:p>
        </w:tc>
        <w:tc>
          <w:tcPr>
            <w:tcW w:w="20" w:type="dxa"/>
            <w:vAlign w:val="bottom"/>
          </w:tcPr>
          <w:p>
            <w:pPr>
              <w:spacing w:after="0"/>
              <w:rPr>
                <w:sz w:val="15"/>
                <w:szCs w:val="15"/>
                <w:color w:val="auto"/>
              </w:rPr>
            </w:pPr>
          </w:p>
        </w:tc>
      </w:tr>
      <w:tr>
        <w:trPr>
          <w:trHeight w:val="199"/>
        </w:trPr>
        <w:tc>
          <w:tcPr>
            <w:tcW w:w="6640" w:type="dxa"/>
            <w:vAlign w:val="bottom"/>
            <w:shd w:val="clear" w:color="auto" w:fill="CCEEFF"/>
          </w:tcPr>
          <w:p>
            <w:pPr>
              <w:ind w:left="60"/>
              <w:spacing w:after="0"/>
              <w:rPr>
                <w:sz w:val="20"/>
                <w:szCs w:val="20"/>
                <w:color w:val="auto"/>
              </w:rPr>
            </w:pPr>
            <w:r>
              <w:rPr>
                <w:rFonts w:ascii="Arial" w:cs="Arial" w:eastAsia="Arial" w:hAnsi="Arial"/>
                <w:sz w:val="13"/>
                <w:szCs w:val="13"/>
                <w:color w:val="auto"/>
              </w:rPr>
              <w:t>Gain or loss from change in demographic assumptions</w:t>
            </w:r>
          </w:p>
        </w:tc>
        <w:tc>
          <w:tcPr>
            <w:tcW w:w="184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872</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200</w:t>
            </w:r>
          </w:p>
        </w:tc>
        <w:tc>
          <w:tcPr>
            <w:tcW w:w="20" w:type="dxa"/>
            <w:vAlign w:val="bottom"/>
            <w:shd w:val="clear" w:color="auto" w:fill="CCEEFF"/>
          </w:tcPr>
          <w:p>
            <w:pPr>
              <w:spacing w:after="0"/>
              <w:rPr>
                <w:sz w:val="17"/>
                <w:szCs w:val="17"/>
                <w:color w:val="auto"/>
              </w:rPr>
            </w:pPr>
          </w:p>
        </w:tc>
      </w:tr>
      <w:tr>
        <w:trPr>
          <w:trHeight w:val="183"/>
        </w:trPr>
        <w:tc>
          <w:tcPr>
            <w:tcW w:w="6640" w:type="dxa"/>
            <w:vAlign w:val="bottom"/>
          </w:tcPr>
          <w:p>
            <w:pPr>
              <w:ind w:left="60"/>
              <w:spacing w:after="0"/>
              <w:rPr>
                <w:sz w:val="20"/>
                <w:szCs w:val="20"/>
                <w:color w:val="auto"/>
              </w:rPr>
            </w:pPr>
            <w:r>
              <w:rPr>
                <w:rFonts w:ascii="Arial" w:cs="Arial" w:eastAsia="Arial" w:hAnsi="Arial"/>
                <w:sz w:val="13"/>
                <w:szCs w:val="13"/>
                <w:color w:val="auto"/>
              </w:rPr>
              <w:t>Gain or loss from change in financial assumptions</w:t>
            </w:r>
          </w:p>
        </w:tc>
        <w:tc>
          <w:tcPr>
            <w:tcW w:w="1840" w:type="dxa"/>
            <w:vAlign w:val="bottom"/>
          </w:tcPr>
          <w:p>
            <w:pPr>
              <w:spacing w:after="0"/>
              <w:rPr>
                <w:sz w:val="15"/>
                <w:szCs w:val="15"/>
                <w:color w:val="auto"/>
              </w:rPr>
            </w:pPr>
          </w:p>
        </w:tc>
        <w:tc>
          <w:tcPr>
            <w:tcW w:w="1780" w:type="dxa"/>
            <w:vAlign w:val="bottom"/>
          </w:tcPr>
          <w:p>
            <w:pPr>
              <w:jc w:val="right"/>
              <w:ind w:right="496"/>
              <w:spacing w:after="0"/>
              <w:rPr>
                <w:sz w:val="20"/>
                <w:szCs w:val="20"/>
                <w:color w:val="auto"/>
              </w:rPr>
            </w:pPr>
            <w:r>
              <w:rPr>
                <w:rFonts w:ascii="Arial" w:cs="Arial" w:eastAsia="Arial" w:hAnsi="Arial"/>
                <w:sz w:val="13"/>
                <w:szCs w:val="13"/>
                <w:b w:val="1"/>
                <w:bCs w:val="1"/>
                <w:color w:val="auto"/>
              </w:rPr>
              <w:t>(5,628)</w:t>
            </w:r>
          </w:p>
        </w:tc>
        <w:tc>
          <w:tcPr>
            <w:tcW w:w="1000" w:type="dxa"/>
            <w:vAlign w:val="bottom"/>
          </w:tcPr>
          <w:p>
            <w:pPr>
              <w:jc w:val="right"/>
              <w:ind w:right="56"/>
              <w:spacing w:after="0"/>
              <w:rPr>
                <w:sz w:val="20"/>
                <w:szCs w:val="20"/>
                <w:color w:val="auto"/>
              </w:rPr>
            </w:pPr>
            <w:r>
              <w:rPr>
                <w:rFonts w:ascii="Arial" w:cs="Arial" w:eastAsia="Arial" w:hAnsi="Arial"/>
                <w:sz w:val="13"/>
                <w:szCs w:val="13"/>
                <w:color w:val="auto"/>
              </w:rPr>
              <w:t>3,313</w:t>
            </w:r>
          </w:p>
        </w:tc>
        <w:tc>
          <w:tcPr>
            <w:tcW w:w="20" w:type="dxa"/>
            <w:vAlign w:val="bottom"/>
          </w:tcPr>
          <w:p>
            <w:pPr>
              <w:spacing w:after="0"/>
              <w:rPr>
                <w:sz w:val="15"/>
                <w:szCs w:val="15"/>
                <w:color w:val="auto"/>
              </w:rPr>
            </w:pPr>
          </w:p>
        </w:tc>
      </w:tr>
      <w:tr>
        <w:trPr>
          <w:trHeight w:val="191"/>
        </w:trPr>
        <w:tc>
          <w:tcPr>
            <w:tcW w:w="66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Experience gain or loss</w:t>
            </w:r>
          </w:p>
        </w:tc>
        <w:tc>
          <w:tcPr>
            <w:tcW w:w="184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350</w:t>
            </w:r>
          </w:p>
        </w:tc>
        <w:tc>
          <w:tcPr>
            <w:tcW w:w="20" w:type="dxa"/>
            <w:vAlign w:val="bottom"/>
            <w:tcBorders>
              <w:bottom w:val="single" w:sz="8" w:color="auto"/>
            </w:tcBorders>
            <w:shd w:val="clear" w:color="auto" w:fill="CCEEFF"/>
          </w:tcPr>
          <w:p>
            <w:pPr>
              <w:spacing w:after="0"/>
              <w:rPr>
                <w:sz w:val="16"/>
                <w:szCs w:val="16"/>
                <w:color w:val="auto"/>
              </w:rPr>
            </w:pPr>
          </w:p>
        </w:tc>
      </w:tr>
      <w:tr>
        <w:trPr>
          <w:trHeight w:val="189"/>
        </w:trPr>
        <w:tc>
          <w:tcPr>
            <w:tcW w:w="66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Comprehensive income at end of year</w:t>
            </w:r>
          </w:p>
        </w:tc>
        <w:tc>
          <w:tcPr>
            <w:tcW w:w="184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(2,042)</w:t>
            </w: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2,508</w:t>
            </w:r>
          </w:p>
        </w:tc>
      </w:tr>
      <w:tr>
        <w:trPr>
          <w:trHeight w:val="409"/>
        </w:trPr>
        <w:tc>
          <w:tcPr>
            <w:tcW w:w="6640" w:type="dxa"/>
            <w:vAlign w:val="bottom"/>
          </w:tcPr>
          <w:p>
            <w:pPr>
              <w:spacing w:after="0"/>
              <w:rPr>
                <w:sz w:val="20"/>
                <w:szCs w:val="20"/>
                <w:color w:val="auto"/>
              </w:rPr>
            </w:pPr>
            <w:r>
              <w:rPr>
                <w:rFonts w:ascii="Arial" w:cs="Arial" w:eastAsia="Arial" w:hAnsi="Arial"/>
                <w:sz w:val="13"/>
                <w:szCs w:val="13"/>
                <w:color w:val="auto"/>
              </w:rPr>
              <w:t>Defined benefit pension expense recognised in the Consolidated Statement of Profit and Loss was as follows:</w:t>
            </w:r>
          </w:p>
        </w:tc>
        <w:tc>
          <w:tcPr>
            <w:tcW w:w="1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9"/>
        </w:trPr>
        <w:tc>
          <w:tcPr>
            <w:tcW w:w="6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800" w:type="dxa"/>
            <w:vAlign w:val="bottom"/>
            <w:gridSpan w:val="3"/>
          </w:tcPr>
          <w:p>
            <w:pPr>
              <w:spacing w:after="0"/>
              <w:rPr>
                <w:sz w:val="7"/>
                <w:szCs w:val="7"/>
                <w:color w:val="auto"/>
              </w:rPr>
            </w:pPr>
          </w:p>
        </w:tc>
      </w:tr>
      <w:tr>
        <w:trPr>
          <w:trHeight w:val="155"/>
        </w:trPr>
        <w:tc>
          <w:tcPr>
            <w:tcW w:w="664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7"/>
        </w:trPr>
        <w:tc>
          <w:tcPr>
            <w:tcW w:w="664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December 2019</w:t>
            </w: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2018</w:t>
            </w:r>
          </w:p>
        </w:tc>
      </w:tr>
      <w:tr>
        <w:trPr>
          <w:trHeight w:val="182"/>
        </w:trPr>
        <w:tc>
          <w:tcPr>
            <w:tcW w:w="66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80" w:type="dxa"/>
            <w:vAlign w:val="bottom"/>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209"/>
        </w:trPr>
        <w:tc>
          <w:tcPr>
            <w:tcW w:w="66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3"/>
        </w:trPr>
        <w:tc>
          <w:tcPr>
            <w:tcW w:w="6640" w:type="dxa"/>
            <w:vAlign w:val="bottom"/>
          </w:tcPr>
          <w:p>
            <w:pPr>
              <w:ind w:left="20"/>
              <w:spacing w:after="0"/>
              <w:rPr>
                <w:sz w:val="20"/>
                <w:szCs w:val="20"/>
                <w:color w:val="auto"/>
              </w:rPr>
            </w:pPr>
            <w:r>
              <w:rPr>
                <w:rFonts w:ascii="Arial" w:cs="Arial" w:eastAsia="Arial" w:hAnsi="Arial"/>
                <w:sz w:val="13"/>
                <w:szCs w:val="13"/>
                <w:color w:val="auto"/>
              </w:rPr>
              <w:t>Current service cost recognised in profit or loss</w:t>
            </w:r>
          </w:p>
        </w:tc>
        <w:tc>
          <w:tcPr>
            <w:tcW w:w="1840" w:type="dxa"/>
            <w:vAlign w:val="bottom"/>
          </w:tcPr>
          <w:p>
            <w:pPr>
              <w:spacing w:after="0"/>
              <w:rPr>
                <w:sz w:val="15"/>
                <w:szCs w:val="15"/>
                <w:color w:val="auto"/>
              </w:rPr>
            </w:pPr>
          </w:p>
        </w:tc>
        <w:tc>
          <w:tcPr>
            <w:tcW w:w="1780" w:type="dxa"/>
            <w:vAlign w:val="bottom"/>
          </w:tcPr>
          <w:p>
            <w:pPr>
              <w:jc w:val="right"/>
              <w:ind w:right="536"/>
              <w:spacing w:after="0"/>
              <w:rPr>
                <w:sz w:val="20"/>
                <w:szCs w:val="20"/>
                <w:color w:val="auto"/>
              </w:rPr>
            </w:pPr>
            <w:r>
              <w:rPr>
                <w:rFonts w:ascii="Arial" w:cs="Arial" w:eastAsia="Arial" w:hAnsi="Arial"/>
                <w:sz w:val="13"/>
                <w:szCs w:val="13"/>
                <w:b w:val="1"/>
                <w:bCs w:val="1"/>
                <w:color w:val="auto"/>
              </w:rPr>
              <w:t>107</w:t>
            </w:r>
          </w:p>
        </w:tc>
        <w:tc>
          <w:tcPr>
            <w:tcW w:w="1000" w:type="dxa"/>
            <w:vAlign w:val="bottom"/>
          </w:tcPr>
          <w:p>
            <w:pPr>
              <w:jc w:val="right"/>
              <w:ind w:right="56"/>
              <w:spacing w:after="0"/>
              <w:rPr>
                <w:sz w:val="20"/>
                <w:szCs w:val="20"/>
                <w:color w:val="auto"/>
              </w:rPr>
            </w:pPr>
            <w:r>
              <w:rPr>
                <w:rFonts w:ascii="Arial" w:cs="Arial" w:eastAsia="Arial" w:hAnsi="Arial"/>
                <w:sz w:val="13"/>
                <w:szCs w:val="13"/>
                <w:color w:val="auto"/>
              </w:rPr>
              <w:t>125</w:t>
            </w:r>
          </w:p>
        </w:tc>
        <w:tc>
          <w:tcPr>
            <w:tcW w:w="20" w:type="dxa"/>
            <w:vAlign w:val="bottom"/>
          </w:tcPr>
          <w:p>
            <w:pPr>
              <w:spacing w:after="0"/>
              <w:rPr>
                <w:sz w:val="15"/>
                <w:szCs w:val="15"/>
                <w:color w:val="auto"/>
              </w:rPr>
            </w:pPr>
          </w:p>
        </w:tc>
      </w:tr>
      <w:tr>
        <w:trPr>
          <w:trHeight w:val="199"/>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interest expense recognised in profit or loss</w:t>
            </w:r>
          </w:p>
        </w:tc>
        <w:tc>
          <w:tcPr>
            <w:tcW w:w="184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77</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131</w:t>
            </w:r>
          </w:p>
        </w:tc>
        <w:tc>
          <w:tcPr>
            <w:tcW w:w="20" w:type="dxa"/>
            <w:vAlign w:val="bottom"/>
            <w:shd w:val="clear" w:color="auto" w:fill="CCEEFF"/>
          </w:tcPr>
          <w:p>
            <w:pPr>
              <w:spacing w:after="0"/>
              <w:rPr>
                <w:sz w:val="17"/>
                <w:szCs w:val="17"/>
                <w:color w:val="auto"/>
              </w:rPr>
            </w:pPr>
          </w:p>
        </w:tc>
      </w:tr>
      <w:tr>
        <w:trPr>
          <w:trHeight w:val="183"/>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Expenses</w:t>
            </w:r>
          </w:p>
        </w:tc>
        <w:tc>
          <w:tcPr>
            <w:tcW w:w="18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89"/>
        </w:trPr>
        <w:tc>
          <w:tcPr>
            <w:tcW w:w="66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2"/>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periodic pension cost</w:t>
            </w:r>
          </w:p>
        </w:tc>
        <w:tc>
          <w:tcPr>
            <w:tcW w:w="18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184</w:t>
            </w: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256</w:t>
            </w:r>
          </w:p>
        </w:tc>
        <w:tc>
          <w:tcPr>
            <w:tcW w:w="20" w:type="dxa"/>
            <w:vAlign w:val="bottom"/>
            <w:tcBorders>
              <w:bottom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80"/>
          </w:cols>
          <w:pgMar w:left="300" w:top="696" w:right="31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Retirement benefit obligations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Plan Assets Fair Value</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plan assets at 31 December 2019 is analysed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00" w:type="dxa"/>
            <w:vAlign w:val="bottom"/>
            <w:shd w:val="clear" w:color="auto" w:fill="CCEEFF"/>
          </w:tcPr>
          <w:p>
            <w:pPr>
              <w:spacing w:after="0"/>
              <w:rPr>
                <w:sz w:val="13"/>
                <w:szCs w:val="13"/>
                <w:color w:val="auto"/>
              </w:rPr>
            </w:pPr>
          </w:p>
        </w:tc>
        <w:tc>
          <w:tcPr>
            <w:tcW w:w="534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4800" w:type="dxa"/>
            <w:vAlign w:val="bottom"/>
            <w:tcBorders>
              <w:bottom w:val="single" w:sz="8" w:color="auto"/>
            </w:tcBorders>
            <w:shd w:val="clear" w:color="auto" w:fill="CCEEFF"/>
          </w:tcPr>
          <w:p>
            <w:pPr>
              <w:spacing w:after="0"/>
              <w:rPr>
                <w:sz w:val="15"/>
                <w:szCs w:val="15"/>
                <w:color w:val="auto"/>
              </w:rPr>
            </w:pPr>
          </w:p>
        </w:tc>
        <w:tc>
          <w:tcPr>
            <w:tcW w:w="53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4800" w:type="dxa"/>
            <w:vAlign w:val="bottom"/>
          </w:tcPr>
          <w:p>
            <w:pPr>
              <w:spacing w:after="0"/>
              <w:rPr>
                <w:sz w:val="15"/>
                <w:szCs w:val="15"/>
                <w:color w:val="auto"/>
              </w:rPr>
            </w:pPr>
          </w:p>
        </w:tc>
        <w:tc>
          <w:tcPr>
            <w:tcW w:w="534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9"/>
        </w:trPr>
        <w:tc>
          <w:tcPr>
            <w:tcW w:w="48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2"/>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Unit funds</w:t>
            </w:r>
          </w:p>
        </w:tc>
        <w:tc>
          <w:tcPr>
            <w:tcW w:w="53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32,016</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27,297</w:t>
            </w:r>
          </w:p>
        </w:tc>
      </w:tr>
    </w:tbl>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The plan’s assets do not include any of the Group’s own financial instruments, nor any property occupied by, or other assets used by the Group.</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At 31 December 2019 the long-term expected rate of return on cash is determined by reference to traditional corporate bond rates at the latest reporting date. The long-term expected returns on traditional corporate and government bonds are determined by reference to corporate bond yields and gilt yields respectively at the reporting date. The long-term expected returns on equities is based on the rate of return on government bonds with an allowance for out-performance. The long-term expected return on high yield bonds, secured loans and multi asset credit is based on the return on traditional corporate bonds with an allowance for out-performance.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The underlying asset split of the funds at 31 December 2019 and 31 December 2018 was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00" w:type="dxa"/>
            <w:vAlign w:val="bottom"/>
            <w:shd w:val="clear" w:color="auto" w:fill="CCEEFF"/>
          </w:tcPr>
          <w:p>
            <w:pPr>
              <w:spacing w:after="0"/>
              <w:rPr>
                <w:sz w:val="13"/>
                <w:szCs w:val="13"/>
                <w:color w:val="auto"/>
              </w:rPr>
            </w:pPr>
          </w:p>
        </w:tc>
        <w:tc>
          <w:tcPr>
            <w:tcW w:w="42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5900" w:type="dxa"/>
            <w:vAlign w:val="bottom"/>
            <w:tcBorders>
              <w:bottom w:val="single" w:sz="8" w:color="auto"/>
            </w:tcBorders>
            <w:shd w:val="clear" w:color="auto" w:fill="CCEEFF"/>
          </w:tcPr>
          <w:p>
            <w:pPr>
              <w:spacing w:after="0"/>
              <w:rPr>
                <w:sz w:val="15"/>
                <w:szCs w:val="15"/>
                <w:color w:val="auto"/>
              </w:rPr>
            </w:pPr>
          </w:p>
        </w:tc>
        <w:tc>
          <w:tcPr>
            <w:tcW w:w="42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9"/>
        </w:trPr>
        <w:tc>
          <w:tcPr>
            <w:tcW w:w="59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Bonds (including 50% high yield bonds)</w:t>
            </w:r>
          </w:p>
        </w:tc>
        <w:tc>
          <w:tcPr>
            <w:tcW w:w="42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40.00 %</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25.00 %</w:t>
            </w:r>
          </w:p>
        </w:tc>
      </w:tr>
      <w:tr>
        <w:trPr>
          <w:trHeight w:val="183"/>
        </w:trPr>
        <w:tc>
          <w:tcPr>
            <w:tcW w:w="5900" w:type="dxa"/>
            <w:vAlign w:val="bottom"/>
          </w:tcPr>
          <w:p>
            <w:pPr>
              <w:ind w:left="20"/>
              <w:spacing w:after="0"/>
              <w:rPr>
                <w:sz w:val="20"/>
                <w:szCs w:val="20"/>
                <w:color w:val="auto"/>
              </w:rPr>
            </w:pPr>
            <w:r>
              <w:rPr>
                <w:rFonts w:ascii="Arial" w:cs="Arial" w:eastAsia="Arial" w:hAnsi="Arial"/>
                <w:sz w:val="13"/>
                <w:szCs w:val="13"/>
                <w:color w:val="auto"/>
              </w:rPr>
              <w:t>Equities</w:t>
            </w:r>
          </w:p>
        </w:tc>
        <w:tc>
          <w:tcPr>
            <w:tcW w:w="4240" w:type="dxa"/>
            <w:vAlign w:val="bottom"/>
          </w:tcPr>
          <w:p>
            <w:pPr>
              <w:jc w:val="right"/>
              <w:ind w:right="316"/>
              <w:spacing w:after="0"/>
              <w:rPr>
                <w:sz w:val="20"/>
                <w:szCs w:val="20"/>
                <w:color w:val="auto"/>
              </w:rPr>
            </w:pPr>
            <w:r>
              <w:rPr>
                <w:rFonts w:ascii="Arial" w:cs="Arial" w:eastAsia="Arial" w:hAnsi="Arial"/>
                <w:sz w:val="13"/>
                <w:szCs w:val="13"/>
                <w:b w:val="1"/>
                <w:bCs w:val="1"/>
                <w:color w:val="auto"/>
              </w:rPr>
              <w:t>21.00 %</w:t>
            </w:r>
          </w:p>
        </w:tc>
        <w:tc>
          <w:tcPr>
            <w:tcW w:w="114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99"/>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Secured Loans and Multi Asset Credit</w:t>
            </w:r>
          </w:p>
        </w:tc>
        <w:tc>
          <w:tcPr>
            <w:tcW w:w="42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39.00 %</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83"/>
        </w:trPr>
        <w:tc>
          <w:tcPr>
            <w:tcW w:w="5900" w:type="dxa"/>
            <w:vAlign w:val="bottom"/>
          </w:tcPr>
          <w:p>
            <w:pPr>
              <w:ind w:left="20"/>
              <w:spacing w:after="0"/>
              <w:rPr>
                <w:sz w:val="20"/>
                <w:szCs w:val="20"/>
                <w:color w:val="auto"/>
              </w:rPr>
            </w:pPr>
            <w:r>
              <w:rPr>
                <w:rFonts w:ascii="Arial" w:cs="Arial" w:eastAsia="Arial" w:hAnsi="Arial"/>
                <w:sz w:val="13"/>
                <w:szCs w:val="13"/>
                <w:color w:val="auto"/>
              </w:rPr>
              <w:t>Gilts</w:t>
            </w:r>
          </w:p>
        </w:tc>
        <w:tc>
          <w:tcPr>
            <w:tcW w:w="4240" w:type="dxa"/>
            <w:vAlign w:val="bottom"/>
          </w:tcPr>
          <w:p>
            <w:pPr>
              <w:jc w:val="right"/>
              <w:ind w:right="316"/>
              <w:spacing w:after="0"/>
              <w:rPr>
                <w:sz w:val="20"/>
                <w:szCs w:val="20"/>
                <w:color w:val="auto"/>
              </w:rPr>
            </w:pPr>
            <w:r>
              <w:rPr>
                <w:rFonts w:ascii="Arial" w:cs="Arial" w:eastAsia="Arial" w:hAnsi="Arial"/>
                <w:sz w:val="13"/>
                <w:szCs w:val="13"/>
                <w:b w:val="1"/>
                <w:bCs w:val="1"/>
                <w:color w:val="auto"/>
              </w:rPr>
              <w:t>— %</w:t>
            </w:r>
          </w:p>
        </w:tc>
        <w:tc>
          <w:tcPr>
            <w:tcW w:w="1140" w:type="dxa"/>
            <w:vAlign w:val="bottom"/>
          </w:tcPr>
          <w:p>
            <w:pPr>
              <w:jc w:val="right"/>
              <w:spacing w:after="0"/>
              <w:rPr>
                <w:sz w:val="20"/>
                <w:szCs w:val="20"/>
                <w:color w:val="auto"/>
              </w:rPr>
            </w:pPr>
            <w:r>
              <w:rPr>
                <w:rFonts w:ascii="Arial" w:cs="Arial" w:eastAsia="Arial" w:hAnsi="Arial"/>
                <w:sz w:val="13"/>
                <w:szCs w:val="13"/>
                <w:color w:val="auto"/>
              </w:rPr>
              <w:t>71.00 %</w:t>
            </w:r>
          </w:p>
        </w:tc>
      </w:tr>
      <w:tr>
        <w:trPr>
          <w:trHeight w:val="200"/>
        </w:trPr>
        <w:tc>
          <w:tcPr>
            <w:tcW w:w="5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w:t>
            </w:r>
          </w:p>
        </w:tc>
        <w:tc>
          <w:tcPr>
            <w:tcW w:w="42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 %</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4.00 %</w:t>
            </w:r>
          </w:p>
        </w:tc>
      </w:tr>
    </w:tbl>
    <w:p>
      <w:pPr>
        <w:spacing w:after="0" w:line="25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assets of the scheme are held on an investment platform with Mobius Life Limited which invests in a number of investment funds with Legal &amp; General, Stone Harbor, Investec and Barings. The overall investment strategy is that approximately 20% of investments are in world equities, corporate bonds, high yield bonds, multi-asset credit fund and senior secured loans. There is no self-investment in employer related assets.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Sensitivity assumptions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sensitivity of the defined benefit obligation to changes in the weighted principal assumptions is: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Borders>
              <w:bottom w:val="single" w:sz="8" w:color="auto"/>
            </w:tcBorders>
            <w:shd w:val="clear" w:color="auto" w:fill="CCEEFF"/>
          </w:tcPr>
          <w:p>
            <w:pPr>
              <w:spacing w:after="0"/>
              <w:rPr>
                <w:sz w:val="16"/>
                <w:szCs w:val="16"/>
                <w:color w:val="auto"/>
              </w:rPr>
            </w:pPr>
          </w:p>
        </w:tc>
        <w:tc>
          <w:tcPr>
            <w:tcW w:w="474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3"/>
                <w:szCs w:val="13"/>
                <w:b w:val="1"/>
                <w:bCs w:val="1"/>
                <w:color w:val="auto"/>
              </w:rPr>
              <w:t>Change in Assumption</w:t>
            </w:r>
          </w:p>
        </w:tc>
        <w:tc>
          <w:tcPr>
            <w:tcW w:w="3900" w:type="dxa"/>
            <w:vAlign w:val="bottom"/>
            <w:tcBorders>
              <w:bottom w:val="single" w:sz="8" w:color="auto"/>
            </w:tcBorders>
            <w:shd w:val="clear" w:color="auto" w:fill="CCEEFF"/>
          </w:tcPr>
          <w:p>
            <w:pPr>
              <w:jc w:val="center"/>
              <w:ind w:left="36"/>
              <w:spacing w:after="0"/>
              <w:rPr>
                <w:sz w:val="20"/>
                <w:szCs w:val="20"/>
                <w:color w:val="auto"/>
              </w:rPr>
            </w:pPr>
            <w:r>
              <w:rPr>
                <w:rFonts w:ascii="Arial" w:cs="Arial" w:eastAsia="Arial" w:hAnsi="Arial"/>
                <w:sz w:val="13"/>
                <w:szCs w:val="13"/>
                <w:b w:val="1"/>
                <w:bCs w:val="1"/>
                <w:color w:val="auto"/>
                <w:w w:val="98"/>
              </w:rPr>
              <w:t>Change in Liabilities</w:t>
            </w:r>
          </w:p>
        </w:tc>
      </w:tr>
      <w:tr>
        <w:trPr>
          <w:trHeight w:val="182"/>
        </w:trPr>
        <w:tc>
          <w:tcPr>
            <w:tcW w:w="26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900" w:type="dxa"/>
            <w:vAlign w:val="bottom"/>
          </w:tcPr>
          <w:p>
            <w:pPr>
              <w:spacing w:after="0"/>
              <w:rPr>
                <w:sz w:val="15"/>
                <w:szCs w:val="15"/>
                <w:color w:val="auto"/>
              </w:rPr>
            </w:pPr>
          </w:p>
        </w:tc>
      </w:tr>
      <w:tr>
        <w:trPr>
          <w:trHeight w:val="191"/>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p>
        </w:tc>
        <w:tc>
          <w:tcPr>
            <w:tcW w:w="4740" w:type="dxa"/>
            <w:vAlign w:val="bottom"/>
            <w:shd w:val="clear" w:color="auto" w:fill="CCEEFF"/>
          </w:tcPr>
          <w:p>
            <w:pPr>
              <w:ind w:left="1340"/>
              <w:spacing w:after="0"/>
              <w:rPr>
                <w:sz w:val="20"/>
                <w:szCs w:val="20"/>
                <w:color w:val="auto"/>
              </w:rPr>
            </w:pPr>
            <w:r>
              <w:rPr>
                <w:rFonts w:ascii="Arial" w:cs="Arial" w:eastAsia="Arial" w:hAnsi="Arial"/>
                <w:sz w:val="13"/>
                <w:szCs w:val="13"/>
                <w:color w:val="auto"/>
              </w:rPr>
              <w:t>Decrease of 0.25% p.a.</w:t>
            </w:r>
          </w:p>
        </w:tc>
        <w:tc>
          <w:tcPr>
            <w:tcW w:w="3900" w:type="dxa"/>
            <w:vAlign w:val="bottom"/>
            <w:shd w:val="clear" w:color="auto" w:fill="CCEEFF"/>
          </w:tcPr>
          <w:p>
            <w:pPr>
              <w:jc w:val="center"/>
              <w:ind w:left="16"/>
              <w:spacing w:after="0"/>
              <w:rPr>
                <w:sz w:val="20"/>
                <w:szCs w:val="20"/>
                <w:color w:val="auto"/>
              </w:rPr>
            </w:pPr>
            <w:r>
              <w:rPr>
                <w:rFonts w:ascii="Arial" w:cs="Arial" w:eastAsia="Arial" w:hAnsi="Arial"/>
                <w:sz w:val="13"/>
                <w:szCs w:val="13"/>
                <w:color w:val="auto"/>
                <w:w w:val="97"/>
              </w:rPr>
              <w:t>Increase by 6.3%</w:t>
            </w:r>
          </w:p>
        </w:tc>
      </w:tr>
      <w:tr>
        <w:trPr>
          <w:trHeight w:val="183"/>
        </w:trPr>
        <w:tc>
          <w:tcPr>
            <w:tcW w:w="2620" w:type="dxa"/>
            <w:vAlign w:val="bottom"/>
          </w:tcPr>
          <w:p>
            <w:pPr>
              <w:ind w:left="20"/>
              <w:spacing w:after="0"/>
              <w:rPr>
                <w:sz w:val="20"/>
                <w:szCs w:val="20"/>
                <w:color w:val="auto"/>
              </w:rPr>
            </w:pPr>
            <w:r>
              <w:rPr>
                <w:rFonts w:ascii="Arial" w:cs="Arial" w:eastAsia="Arial" w:hAnsi="Arial"/>
                <w:sz w:val="13"/>
                <w:szCs w:val="13"/>
                <w:color w:val="auto"/>
              </w:rPr>
              <w:t>Rate of Inflation</w:t>
            </w:r>
          </w:p>
        </w:tc>
        <w:tc>
          <w:tcPr>
            <w:tcW w:w="4740" w:type="dxa"/>
            <w:vAlign w:val="bottom"/>
          </w:tcPr>
          <w:p>
            <w:pPr>
              <w:ind w:left="1340"/>
              <w:spacing w:after="0"/>
              <w:rPr>
                <w:sz w:val="20"/>
                <w:szCs w:val="20"/>
                <w:color w:val="auto"/>
              </w:rPr>
            </w:pPr>
            <w:r>
              <w:rPr>
                <w:rFonts w:ascii="Arial" w:cs="Arial" w:eastAsia="Arial" w:hAnsi="Arial"/>
                <w:sz w:val="13"/>
                <w:szCs w:val="13"/>
                <w:color w:val="auto"/>
              </w:rPr>
              <w:t>Increase of 0.25% p.a.</w:t>
            </w:r>
          </w:p>
        </w:tc>
        <w:tc>
          <w:tcPr>
            <w:tcW w:w="3900" w:type="dxa"/>
            <w:vAlign w:val="bottom"/>
          </w:tcPr>
          <w:p>
            <w:pPr>
              <w:jc w:val="center"/>
              <w:ind w:left="16"/>
              <w:spacing w:after="0"/>
              <w:rPr>
                <w:sz w:val="20"/>
                <w:szCs w:val="20"/>
                <w:color w:val="auto"/>
              </w:rPr>
            </w:pPr>
            <w:r>
              <w:rPr>
                <w:rFonts w:ascii="Arial" w:cs="Arial" w:eastAsia="Arial" w:hAnsi="Arial"/>
                <w:sz w:val="13"/>
                <w:szCs w:val="13"/>
                <w:color w:val="auto"/>
                <w:w w:val="97"/>
              </w:rPr>
              <w:t>Increase by 1.6%</w:t>
            </w:r>
          </w:p>
        </w:tc>
      </w:tr>
      <w:tr>
        <w:trPr>
          <w:trHeight w:val="19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Rate of Salary Growth</w:t>
            </w:r>
          </w:p>
        </w:tc>
        <w:tc>
          <w:tcPr>
            <w:tcW w:w="4740" w:type="dxa"/>
            <w:vAlign w:val="bottom"/>
            <w:shd w:val="clear" w:color="auto" w:fill="CCEEFF"/>
          </w:tcPr>
          <w:p>
            <w:pPr>
              <w:ind w:left="1340"/>
              <w:spacing w:after="0"/>
              <w:rPr>
                <w:sz w:val="20"/>
                <w:szCs w:val="20"/>
                <w:color w:val="auto"/>
              </w:rPr>
            </w:pPr>
            <w:r>
              <w:rPr>
                <w:rFonts w:ascii="Arial" w:cs="Arial" w:eastAsia="Arial" w:hAnsi="Arial"/>
                <w:sz w:val="13"/>
                <w:szCs w:val="13"/>
                <w:color w:val="auto"/>
              </w:rPr>
              <w:t>Increase of 0.25% p.a.</w:t>
            </w:r>
          </w:p>
        </w:tc>
        <w:tc>
          <w:tcPr>
            <w:tcW w:w="3900" w:type="dxa"/>
            <w:vAlign w:val="bottom"/>
            <w:shd w:val="clear" w:color="auto" w:fill="CCEEFF"/>
          </w:tcPr>
          <w:p>
            <w:pPr>
              <w:jc w:val="center"/>
              <w:ind w:left="16"/>
              <w:spacing w:after="0"/>
              <w:rPr>
                <w:sz w:val="20"/>
                <w:szCs w:val="20"/>
                <w:color w:val="auto"/>
              </w:rPr>
            </w:pPr>
            <w:r>
              <w:rPr>
                <w:rFonts w:ascii="Arial" w:cs="Arial" w:eastAsia="Arial" w:hAnsi="Arial"/>
                <w:sz w:val="13"/>
                <w:szCs w:val="13"/>
                <w:color w:val="auto"/>
                <w:w w:val="97"/>
              </w:rPr>
              <w:t>Increase by 0.2%</w:t>
            </w:r>
          </w:p>
        </w:tc>
      </w:tr>
      <w:tr>
        <w:trPr>
          <w:trHeight w:val="183"/>
        </w:trPr>
        <w:tc>
          <w:tcPr>
            <w:tcW w:w="2620" w:type="dxa"/>
            <w:vAlign w:val="bottom"/>
            <w:tcBorders>
              <w:bottom w:val="single" w:sz="8" w:color="00000A"/>
            </w:tcBorders>
          </w:tcPr>
          <w:p>
            <w:pPr>
              <w:ind w:left="20"/>
              <w:spacing w:after="0"/>
              <w:rPr>
                <w:sz w:val="20"/>
                <w:szCs w:val="20"/>
                <w:color w:val="auto"/>
              </w:rPr>
            </w:pPr>
            <w:r>
              <w:rPr>
                <w:rFonts w:ascii="Arial" w:cs="Arial" w:eastAsia="Arial" w:hAnsi="Arial"/>
                <w:sz w:val="13"/>
                <w:szCs w:val="13"/>
                <w:color w:val="auto"/>
              </w:rPr>
              <w:t>Rate of Mortality</w:t>
            </w:r>
          </w:p>
        </w:tc>
        <w:tc>
          <w:tcPr>
            <w:tcW w:w="4740" w:type="dxa"/>
            <w:vAlign w:val="bottom"/>
            <w:tcBorders>
              <w:bottom w:val="single" w:sz="8" w:color="00000A"/>
            </w:tcBorders>
          </w:tcPr>
          <w:p>
            <w:pPr>
              <w:ind w:left="1340"/>
              <w:spacing w:after="0"/>
              <w:rPr>
                <w:sz w:val="20"/>
                <w:szCs w:val="20"/>
                <w:color w:val="auto"/>
              </w:rPr>
            </w:pPr>
            <w:r>
              <w:rPr>
                <w:rFonts w:ascii="Arial" w:cs="Arial" w:eastAsia="Arial" w:hAnsi="Arial"/>
                <w:sz w:val="13"/>
                <w:szCs w:val="13"/>
                <w:color w:val="auto"/>
              </w:rPr>
              <w:t>Increase in life expectancy of 1 year</w:t>
            </w:r>
          </w:p>
        </w:tc>
        <w:tc>
          <w:tcPr>
            <w:tcW w:w="3900" w:type="dxa"/>
            <w:vAlign w:val="bottom"/>
            <w:tcBorders>
              <w:bottom w:val="single" w:sz="8" w:color="00000A"/>
            </w:tcBorders>
          </w:tcPr>
          <w:p>
            <w:pPr>
              <w:jc w:val="center"/>
              <w:ind w:left="16"/>
              <w:spacing w:after="0"/>
              <w:rPr>
                <w:sz w:val="20"/>
                <w:szCs w:val="20"/>
                <w:color w:val="auto"/>
              </w:rPr>
            </w:pPr>
            <w:r>
              <w:rPr>
                <w:rFonts w:ascii="Arial" w:cs="Arial" w:eastAsia="Arial" w:hAnsi="Arial"/>
                <w:sz w:val="13"/>
                <w:szCs w:val="13"/>
                <w:color w:val="auto"/>
                <w:w w:val="97"/>
              </w:rPr>
              <w:t>Increase by 3.6%</w:t>
            </w:r>
          </w:p>
        </w:tc>
      </w:tr>
    </w:tbl>
    <w:p>
      <w:pPr>
        <w:spacing w:after="0" w:line="2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sensitivities shown above are approximate. Each sensitivity considers one change in isolation. The inflation sensitivity includes the impact of changes to the assumptions for revaluation, pension increases and salary growth.</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plan typically exposes the Company to actuarial risks such as investment risk, interest rate risk, salary growth risk, mortality risk and longevity risk. A decrease in corporate bond yields, a rise in inflation or an increase in life expectancy would result in an increase to plan liabilities. This would detrimentally impact the Statement of Financial Position and may give rise to increased charges in future Statements of Profit and Loss. This effect would be partially offset by an increase in the value of the plan’s bond holdings, and in qualifying death in service insurance policies that cover mortality risk. Additionally, caps on inflationary increases are in place to protect the plan against extreme inflation.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80"/>
          </w:cols>
          <w:pgMar w:left="300" w:top="696" w:right="31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Retirement benefit obligations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flows and Maturity Profiles</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Group expects to contribute approximately $0.2 million of normal contribution to the defined benefit pension scheme for the year ended 31 December 2020. The average duration of the defined benefit obligation at the period ending 31 December 2019 is 26 years.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Aptiv Solutions Pension Scheme</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On 7 May 2014, the Company acquired 100% of the common stock of Aptiv Solutions (“Aptiv”). The acquisition of Aptiv was accounted for as a business combination in accordance with IFRS 3 Business Combinations. The Company has a defined benefit plan covering its employees in Switzerland as mandated by the Swiss government. Benefits are based on the employee’s years of service and compensation. Benefits are paid directly by the Company when they become due, in conformity with the funding requirements of applicable government regulations. The plan is managed externally and the related pension costs and liabilities are assessed in accordance with the advice of a professionally qualified actuary. Plan assets at 31 December 2019 and 31 December 2018 consist of units held in independently administered funds.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Financial assumptions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assumptions were used in determining the fair value of the plan assets and the present value of the projected benefit obligation at 31 December 2019:</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88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88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9"/>
        </w:trPr>
        <w:tc>
          <w:tcPr>
            <w:tcW w:w="8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8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p>
        </w:tc>
        <w:tc>
          <w:tcPr>
            <w:tcW w:w="126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0.30 %</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0.80 %</w:t>
            </w:r>
          </w:p>
        </w:tc>
      </w:tr>
      <w:tr>
        <w:trPr>
          <w:trHeight w:val="183"/>
        </w:trPr>
        <w:tc>
          <w:tcPr>
            <w:tcW w:w="8880" w:type="dxa"/>
            <w:vAlign w:val="bottom"/>
          </w:tcPr>
          <w:p>
            <w:pPr>
              <w:ind w:left="20"/>
              <w:spacing w:after="0"/>
              <w:rPr>
                <w:sz w:val="20"/>
                <w:szCs w:val="20"/>
                <w:color w:val="auto"/>
              </w:rPr>
            </w:pPr>
            <w:r>
              <w:rPr>
                <w:rFonts w:ascii="Arial" w:cs="Arial" w:eastAsia="Arial" w:hAnsi="Arial"/>
                <w:sz w:val="13"/>
                <w:szCs w:val="13"/>
                <w:color w:val="auto"/>
              </w:rPr>
              <w:t>Inflation rate</w:t>
            </w:r>
          </w:p>
        </w:tc>
        <w:tc>
          <w:tcPr>
            <w:tcW w:w="1260" w:type="dxa"/>
            <w:vAlign w:val="bottom"/>
          </w:tcPr>
          <w:p>
            <w:pPr>
              <w:jc w:val="right"/>
              <w:ind w:right="316"/>
              <w:spacing w:after="0"/>
              <w:rPr>
                <w:sz w:val="20"/>
                <w:szCs w:val="20"/>
                <w:color w:val="auto"/>
              </w:rPr>
            </w:pPr>
            <w:r>
              <w:rPr>
                <w:rFonts w:ascii="Arial" w:cs="Arial" w:eastAsia="Arial" w:hAnsi="Arial"/>
                <w:sz w:val="13"/>
                <w:szCs w:val="13"/>
                <w:b w:val="1"/>
                <w:bCs w:val="1"/>
                <w:color w:val="auto"/>
              </w:rPr>
              <w:t>1.00 %</w:t>
            </w:r>
          </w:p>
        </w:tc>
        <w:tc>
          <w:tcPr>
            <w:tcW w:w="1140" w:type="dxa"/>
            <w:vAlign w:val="bottom"/>
          </w:tcPr>
          <w:p>
            <w:pPr>
              <w:jc w:val="right"/>
              <w:spacing w:after="0"/>
              <w:rPr>
                <w:sz w:val="20"/>
                <w:szCs w:val="20"/>
                <w:color w:val="auto"/>
              </w:rPr>
            </w:pPr>
            <w:r>
              <w:rPr>
                <w:rFonts w:ascii="Arial" w:cs="Arial" w:eastAsia="Arial" w:hAnsi="Arial"/>
                <w:sz w:val="13"/>
                <w:szCs w:val="13"/>
                <w:color w:val="auto"/>
              </w:rPr>
              <w:t>1.00 %</w:t>
            </w:r>
          </w:p>
        </w:tc>
      </w:tr>
      <w:tr>
        <w:trPr>
          <w:trHeight w:val="199"/>
        </w:trPr>
        <w:tc>
          <w:tcPr>
            <w:tcW w:w="8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Future pension increases</w:t>
            </w:r>
          </w:p>
        </w:tc>
        <w:tc>
          <w:tcPr>
            <w:tcW w:w="126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0.00 %</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0.00 %</w:t>
            </w:r>
          </w:p>
        </w:tc>
      </w:tr>
      <w:tr>
        <w:trPr>
          <w:trHeight w:val="192"/>
        </w:trPr>
        <w:tc>
          <w:tcPr>
            <w:tcW w:w="8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Future salary increases</w:t>
            </w:r>
          </w:p>
        </w:tc>
        <w:tc>
          <w:tcPr>
            <w:tcW w:w="12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2.00 %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2.00 %</w:t>
            </w:r>
          </w:p>
        </w:tc>
      </w:tr>
      <w:tr>
        <w:trPr>
          <w:trHeight w:val="420"/>
        </w:trPr>
        <w:tc>
          <w:tcPr>
            <w:tcW w:w="8880" w:type="dxa"/>
            <w:vAlign w:val="bottom"/>
          </w:tcPr>
          <w:p>
            <w:pPr>
              <w:spacing w:after="0"/>
              <w:rPr>
                <w:sz w:val="20"/>
                <w:szCs w:val="20"/>
                <w:color w:val="auto"/>
              </w:rPr>
            </w:pPr>
            <w:r>
              <w:rPr>
                <w:rFonts w:ascii="Arial" w:cs="Arial" w:eastAsia="Arial" w:hAnsi="Arial"/>
                <w:sz w:val="13"/>
                <w:szCs w:val="13"/>
                <w:color w:val="auto"/>
              </w:rPr>
              <w:t>The discount rate is determined by reference to Swiss corporate bond yields at the reporting date.</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0"/>
        </w:trPr>
        <w:tc>
          <w:tcPr>
            <w:tcW w:w="8880" w:type="dxa"/>
            <w:vAlign w:val="bottom"/>
          </w:tcPr>
          <w:p>
            <w:pPr>
              <w:spacing w:after="0"/>
              <w:rPr>
                <w:sz w:val="20"/>
                <w:szCs w:val="20"/>
                <w:color w:val="auto"/>
              </w:rPr>
            </w:pPr>
            <w:r>
              <w:rPr>
                <w:rFonts w:ascii="Arial" w:cs="Arial" w:eastAsia="Arial" w:hAnsi="Arial"/>
                <w:sz w:val="13"/>
                <w:szCs w:val="13"/>
                <w:color w:val="auto"/>
                <w:w w:val="98"/>
              </w:rPr>
              <w:t>The following assumptions were used at the commencement of the year in determining the net periodic pension cost for the year ended 31 December 2019:</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9"/>
        </w:trPr>
        <w:tc>
          <w:tcPr>
            <w:tcW w:w="8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155"/>
        </w:trPr>
        <w:tc>
          <w:tcPr>
            <w:tcW w:w="888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88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9"/>
        </w:trPr>
        <w:tc>
          <w:tcPr>
            <w:tcW w:w="8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8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p>
        </w:tc>
        <w:tc>
          <w:tcPr>
            <w:tcW w:w="126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0.80 %</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0.80 %</w:t>
            </w:r>
          </w:p>
        </w:tc>
      </w:tr>
      <w:tr>
        <w:trPr>
          <w:trHeight w:val="192"/>
        </w:trPr>
        <w:tc>
          <w:tcPr>
            <w:tcW w:w="8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Future salary increases</w:t>
            </w:r>
          </w:p>
        </w:tc>
        <w:tc>
          <w:tcPr>
            <w:tcW w:w="12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2.00 %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2.00 %</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Mortality assumptions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3"/>
          <w:szCs w:val="13"/>
          <w:color w:val="auto"/>
        </w:rPr>
        <w:t>Assumptions regarding mortality experience are set based on actuarial advice in accordance with published statistics and experience. The mortality assumptions adopted at 31 December 2019 are determined using the BVG 2015 generational table, where the mortality rates are projected forward for each individual based on their date of birth to reflect expected future mortality improvements. The allowance for future improvements in mortality is using the CMI projection model with a long-term trend rate of 1.25%. These tables imply the following life expectancies, for males retiring at age 65 and females retiring at age 64:</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160" w:type="dxa"/>
            <w:vAlign w:val="bottom"/>
            <w:shd w:val="clear" w:color="auto" w:fill="CCEEFF"/>
          </w:tcPr>
          <w:p>
            <w:pPr>
              <w:spacing w:after="0"/>
              <w:rPr>
                <w:sz w:val="13"/>
                <w:szCs w:val="13"/>
                <w:color w:val="auto"/>
              </w:rPr>
            </w:pPr>
          </w:p>
        </w:tc>
        <w:tc>
          <w:tcPr>
            <w:tcW w:w="498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5160" w:type="dxa"/>
            <w:vAlign w:val="bottom"/>
            <w:tcBorders>
              <w:bottom w:val="single" w:sz="8" w:color="auto"/>
            </w:tcBorders>
            <w:shd w:val="clear" w:color="auto" w:fill="CCEEFF"/>
          </w:tcPr>
          <w:p>
            <w:pPr>
              <w:spacing w:after="0"/>
              <w:rPr>
                <w:sz w:val="15"/>
                <w:szCs w:val="15"/>
                <w:color w:val="auto"/>
              </w:rPr>
            </w:pPr>
          </w:p>
        </w:tc>
        <w:tc>
          <w:tcPr>
            <w:tcW w:w="49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9"/>
        </w:trPr>
        <w:tc>
          <w:tcPr>
            <w:tcW w:w="51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Male retiring in 2019</w:t>
            </w:r>
          </w:p>
        </w:tc>
        <w:tc>
          <w:tcPr>
            <w:tcW w:w="498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21.5 years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 years</w:t>
            </w:r>
          </w:p>
        </w:tc>
      </w:tr>
      <w:tr>
        <w:trPr>
          <w:trHeight w:val="183"/>
        </w:trPr>
        <w:tc>
          <w:tcPr>
            <w:tcW w:w="5160" w:type="dxa"/>
            <w:vAlign w:val="bottom"/>
          </w:tcPr>
          <w:p>
            <w:pPr>
              <w:ind w:left="20"/>
              <w:spacing w:after="0"/>
              <w:rPr>
                <w:sz w:val="20"/>
                <w:szCs w:val="20"/>
                <w:color w:val="auto"/>
              </w:rPr>
            </w:pPr>
            <w:r>
              <w:rPr>
                <w:rFonts w:ascii="Arial" w:cs="Arial" w:eastAsia="Arial" w:hAnsi="Arial"/>
                <w:sz w:val="13"/>
                <w:szCs w:val="13"/>
                <w:color w:val="auto"/>
              </w:rPr>
              <w:t>Female retiring in 2019</w:t>
            </w:r>
          </w:p>
        </w:tc>
        <w:tc>
          <w:tcPr>
            <w:tcW w:w="4980" w:type="dxa"/>
            <w:vAlign w:val="bottom"/>
          </w:tcPr>
          <w:p>
            <w:pPr>
              <w:jc w:val="right"/>
              <w:ind w:right="276"/>
              <w:spacing w:after="0"/>
              <w:rPr>
                <w:sz w:val="20"/>
                <w:szCs w:val="20"/>
                <w:color w:val="auto"/>
              </w:rPr>
            </w:pPr>
            <w:r>
              <w:rPr>
                <w:rFonts w:ascii="Arial" w:cs="Arial" w:eastAsia="Arial" w:hAnsi="Arial"/>
                <w:sz w:val="13"/>
                <w:szCs w:val="13"/>
                <w:b w:val="1"/>
                <w:bCs w:val="1"/>
                <w:color w:val="auto"/>
              </w:rPr>
              <w:t>23.7 years</w:t>
            </w:r>
          </w:p>
        </w:tc>
        <w:tc>
          <w:tcPr>
            <w:tcW w:w="1140" w:type="dxa"/>
            <w:vAlign w:val="bottom"/>
          </w:tcPr>
          <w:p>
            <w:pPr>
              <w:jc w:val="right"/>
              <w:spacing w:after="0"/>
              <w:rPr>
                <w:sz w:val="20"/>
                <w:szCs w:val="20"/>
                <w:color w:val="auto"/>
              </w:rPr>
            </w:pPr>
            <w:r>
              <w:rPr>
                <w:rFonts w:ascii="Arial" w:cs="Arial" w:eastAsia="Arial" w:hAnsi="Arial"/>
                <w:sz w:val="13"/>
                <w:szCs w:val="13"/>
                <w:color w:val="auto"/>
              </w:rPr>
              <w:t>23.7 years</w:t>
            </w:r>
          </w:p>
        </w:tc>
      </w:tr>
      <w:tr>
        <w:trPr>
          <w:trHeight w:val="199"/>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Male retiring in 2039</w:t>
            </w:r>
          </w:p>
        </w:tc>
        <w:tc>
          <w:tcPr>
            <w:tcW w:w="498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22.8 years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 years</w:t>
            </w:r>
          </w:p>
        </w:tc>
      </w:tr>
      <w:tr>
        <w:trPr>
          <w:trHeight w:val="192"/>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Female retiring in 2039</w:t>
            </w:r>
          </w:p>
        </w:tc>
        <w:tc>
          <w:tcPr>
            <w:tcW w:w="49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25.3 years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 years</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280"/>
          </w:cols>
          <w:pgMar w:left="300" w:top="696" w:right="31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Retirement benefit obligations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Funding status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60" w:type="dxa"/>
            <w:vAlign w:val="bottom"/>
            <w:shd w:val="clear" w:color="auto" w:fill="CCEEFF"/>
          </w:tcPr>
          <w:p>
            <w:pPr>
              <w:spacing w:after="0"/>
              <w:rPr>
                <w:sz w:val="13"/>
                <w:szCs w:val="13"/>
                <w:color w:val="auto"/>
              </w:rPr>
            </w:pPr>
          </w:p>
        </w:tc>
        <w:tc>
          <w:tcPr>
            <w:tcW w:w="268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 December</w:t>
            </w:r>
          </w:p>
        </w:tc>
      </w:tr>
      <w:tr>
        <w:trPr>
          <w:trHeight w:val="177"/>
        </w:trPr>
        <w:tc>
          <w:tcPr>
            <w:tcW w:w="5860" w:type="dxa"/>
            <w:vAlign w:val="bottom"/>
            <w:tcBorders>
              <w:bottom w:val="single" w:sz="8" w:color="auto"/>
            </w:tcBorders>
            <w:shd w:val="clear" w:color="auto" w:fill="CCEEFF"/>
          </w:tcPr>
          <w:p>
            <w:pPr>
              <w:spacing w:after="0"/>
              <w:rPr>
                <w:sz w:val="15"/>
                <w:szCs w:val="15"/>
                <w:color w:val="auto"/>
              </w:rPr>
            </w:pPr>
          </w:p>
        </w:tc>
        <w:tc>
          <w:tcPr>
            <w:tcW w:w="268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2018</w:t>
            </w:r>
          </w:p>
        </w:tc>
      </w:tr>
      <w:tr>
        <w:trPr>
          <w:trHeight w:val="182"/>
        </w:trPr>
        <w:tc>
          <w:tcPr>
            <w:tcW w:w="58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60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$’000</w:t>
            </w:r>
          </w:p>
        </w:tc>
      </w:tr>
      <w:tr>
        <w:trPr>
          <w:trHeight w:val="199"/>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Projected benefit obligation</w:t>
            </w:r>
          </w:p>
        </w:tc>
        <w:tc>
          <w:tcPr>
            <w:tcW w:w="26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(7,047)</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(5,279)</w:t>
            </w:r>
          </w:p>
        </w:tc>
        <w:tc>
          <w:tcPr>
            <w:tcW w:w="20" w:type="dxa"/>
            <w:vAlign w:val="bottom"/>
            <w:shd w:val="clear" w:color="auto" w:fill="CCEEFF"/>
          </w:tcPr>
          <w:p>
            <w:pPr>
              <w:spacing w:after="0"/>
              <w:rPr>
                <w:sz w:val="17"/>
                <w:szCs w:val="17"/>
                <w:color w:val="auto"/>
              </w:rPr>
            </w:pPr>
          </w:p>
        </w:tc>
      </w:tr>
      <w:tr>
        <w:trPr>
          <w:trHeight w:val="183"/>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Fair value of plan assets</w:t>
            </w:r>
          </w:p>
        </w:tc>
        <w:tc>
          <w:tcPr>
            <w:tcW w:w="26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6,014</w:t>
            </w: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4,707</w:t>
            </w:r>
          </w:p>
        </w:tc>
        <w:tc>
          <w:tcPr>
            <w:tcW w:w="20" w:type="dxa"/>
            <w:vAlign w:val="bottom"/>
            <w:tcBorders>
              <w:bottom w:val="single" w:sz="8" w:color="auto"/>
            </w:tcBorders>
          </w:tcPr>
          <w:p>
            <w:pPr>
              <w:spacing w:after="0"/>
              <w:rPr>
                <w:sz w:val="15"/>
                <w:szCs w:val="15"/>
                <w:color w:val="auto"/>
              </w:rPr>
            </w:pPr>
          </w:p>
        </w:tc>
      </w:tr>
      <w:tr>
        <w:trPr>
          <w:trHeight w:val="190"/>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Non-current other liabilities (note 20)</w:t>
            </w:r>
          </w:p>
        </w:tc>
        <w:tc>
          <w:tcPr>
            <w:tcW w:w="26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(1,033)</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(572)</w:t>
            </w:r>
          </w:p>
        </w:tc>
        <w:tc>
          <w:tcPr>
            <w:tcW w:w="20" w:type="dxa"/>
            <w:vAlign w:val="bottom"/>
            <w:tcBorders>
              <w:bottom w:val="single" w:sz="8" w:color="auto"/>
            </w:tcBorders>
            <w:shd w:val="clear" w:color="auto" w:fill="CCEEFF"/>
          </w:tcPr>
          <w:p>
            <w:pPr>
              <w:spacing w:after="0"/>
              <w:rPr>
                <w:sz w:val="16"/>
                <w:szCs w:val="16"/>
                <w:color w:val="auto"/>
              </w:rPr>
            </w:pPr>
          </w:p>
        </w:tc>
      </w:tr>
      <w:tr>
        <w:trPr>
          <w:trHeight w:val="420"/>
        </w:trPr>
        <w:tc>
          <w:tcPr>
            <w:tcW w:w="5860" w:type="dxa"/>
            <w:vAlign w:val="bottom"/>
          </w:tcPr>
          <w:p>
            <w:pPr>
              <w:spacing w:after="0"/>
              <w:rPr>
                <w:sz w:val="20"/>
                <w:szCs w:val="20"/>
                <w:color w:val="auto"/>
              </w:rPr>
            </w:pPr>
            <w:r>
              <w:rPr>
                <w:rFonts w:ascii="Arial" w:cs="Arial" w:eastAsia="Arial" w:hAnsi="Arial"/>
                <w:sz w:val="13"/>
                <w:szCs w:val="13"/>
                <w:color w:val="auto"/>
              </w:rPr>
              <w:t>Movement in the net benefit obligation recognised in non-current other liabilities was as follows:</w:t>
            </w:r>
          </w:p>
        </w:tc>
        <w:tc>
          <w:tcPr>
            <w:tcW w:w="2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9"/>
        </w:trPr>
        <w:tc>
          <w:tcPr>
            <w:tcW w:w="5860" w:type="dxa"/>
            <w:vAlign w:val="bottom"/>
          </w:tcPr>
          <w:p>
            <w:pPr>
              <w:spacing w:after="0"/>
              <w:rPr>
                <w:sz w:val="7"/>
                <w:szCs w:val="7"/>
                <w:color w:val="auto"/>
              </w:rPr>
            </w:pPr>
          </w:p>
        </w:tc>
        <w:tc>
          <w:tcPr>
            <w:tcW w:w="4280" w:type="dxa"/>
            <w:vAlign w:val="bottom"/>
            <w:gridSpan w:val="2"/>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6"/>
        </w:trPr>
        <w:tc>
          <w:tcPr>
            <w:tcW w:w="5860" w:type="dxa"/>
            <w:vAlign w:val="bottom"/>
            <w:shd w:val="clear" w:color="auto" w:fill="CCEEFF"/>
          </w:tcPr>
          <w:p>
            <w:pPr>
              <w:spacing w:after="0"/>
              <w:rPr>
                <w:sz w:val="15"/>
                <w:szCs w:val="15"/>
                <w:color w:val="auto"/>
              </w:rPr>
            </w:pPr>
          </w:p>
        </w:tc>
        <w:tc>
          <w:tcPr>
            <w:tcW w:w="4280" w:type="dxa"/>
            <w:vAlign w:val="bottom"/>
            <w:gridSpan w:val="2"/>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Present Value of Obligations Fair Value of Plan Assets</w:t>
            </w:r>
          </w:p>
        </w:tc>
        <w:tc>
          <w:tcPr>
            <w:tcW w:w="1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5860" w:type="dxa"/>
            <w:vAlign w:val="bottom"/>
            <w:tcBorders>
              <w:bottom w:val="single" w:sz="8" w:color="auto"/>
            </w:tcBorders>
            <w:shd w:val="clear" w:color="auto" w:fill="CCEEFF"/>
          </w:tcPr>
          <w:p>
            <w:pPr>
              <w:spacing w:after="0"/>
              <w:rPr>
                <w:sz w:val="15"/>
                <w:szCs w:val="15"/>
                <w:color w:val="auto"/>
              </w:rPr>
            </w:pPr>
          </w:p>
        </w:tc>
        <w:tc>
          <w:tcPr>
            <w:tcW w:w="268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5"/>
                <w:szCs w:val="15"/>
                <w:color w:val="auto"/>
              </w:rPr>
            </w:pPr>
          </w:p>
        </w:tc>
      </w:tr>
      <w:tr>
        <w:trPr>
          <w:trHeight w:val="176"/>
        </w:trPr>
        <w:tc>
          <w:tcPr>
            <w:tcW w:w="5860" w:type="dxa"/>
            <w:vAlign w:val="bottom"/>
          </w:tcPr>
          <w:p>
            <w:pPr>
              <w:spacing w:after="0"/>
              <w:rPr>
                <w:sz w:val="15"/>
                <w:szCs w:val="15"/>
                <w:color w:val="auto"/>
              </w:rPr>
            </w:pPr>
          </w:p>
        </w:tc>
        <w:tc>
          <w:tcPr>
            <w:tcW w:w="2680" w:type="dxa"/>
            <w:vAlign w:val="bottom"/>
          </w:tcPr>
          <w:p>
            <w:pPr>
              <w:jc w:val="right"/>
              <w:ind w:right="396"/>
              <w:spacing w:after="0"/>
              <w:rPr>
                <w:sz w:val="20"/>
                <w:szCs w:val="20"/>
                <w:color w:val="auto"/>
              </w:rPr>
            </w:pPr>
            <w:r>
              <w:rPr>
                <w:rFonts w:ascii="Arial" w:cs="Arial" w:eastAsia="Arial" w:hAnsi="Arial"/>
                <w:sz w:val="13"/>
                <w:szCs w:val="13"/>
                <w:b w:val="1"/>
                <w:bCs w:val="1"/>
                <w:color w:val="auto"/>
              </w:rPr>
              <w:t>$’000</w:t>
            </w:r>
          </w:p>
        </w:tc>
        <w:tc>
          <w:tcPr>
            <w:tcW w:w="1600" w:type="dxa"/>
            <w:vAlign w:val="bottom"/>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1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$’000</w:t>
            </w:r>
          </w:p>
        </w:tc>
      </w:tr>
      <w:tr>
        <w:trPr>
          <w:trHeight w:val="209"/>
        </w:trPr>
        <w:tc>
          <w:tcPr>
            <w:tcW w:w="58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3"/>
        </w:trPr>
        <w:tc>
          <w:tcPr>
            <w:tcW w:w="5860" w:type="dxa"/>
            <w:vAlign w:val="bottom"/>
          </w:tcPr>
          <w:p>
            <w:pPr>
              <w:ind w:left="320"/>
              <w:spacing w:after="0"/>
              <w:rPr>
                <w:sz w:val="20"/>
                <w:szCs w:val="20"/>
                <w:color w:val="auto"/>
              </w:rPr>
            </w:pPr>
            <w:r>
              <w:rPr>
                <w:rFonts w:ascii="Arial" w:cs="Arial" w:eastAsia="Arial" w:hAnsi="Arial"/>
                <w:sz w:val="13"/>
                <w:szCs w:val="13"/>
                <w:color w:val="auto"/>
              </w:rPr>
              <w:t>At 1 January 2019</w:t>
            </w:r>
          </w:p>
        </w:tc>
        <w:tc>
          <w:tcPr>
            <w:tcW w:w="2680" w:type="dxa"/>
            <w:vAlign w:val="bottom"/>
          </w:tcPr>
          <w:p>
            <w:pPr>
              <w:jc w:val="right"/>
              <w:ind w:right="496"/>
              <w:spacing w:after="0"/>
              <w:rPr>
                <w:sz w:val="20"/>
                <w:szCs w:val="20"/>
                <w:color w:val="auto"/>
              </w:rPr>
            </w:pPr>
            <w:r>
              <w:rPr>
                <w:rFonts w:ascii="Arial" w:cs="Arial" w:eastAsia="Arial" w:hAnsi="Arial"/>
                <w:sz w:val="13"/>
                <w:szCs w:val="13"/>
                <w:color w:val="auto"/>
              </w:rPr>
              <w:t>(5,279)</w:t>
            </w:r>
          </w:p>
        </w:tc>
        <w:tc>
          <w:tcPr>
            <w:tcW w:w="1600" w:type="dxa"/>
            <w:vAlign w:val="bottom"/>
          </w:tcPr>
          <w:p>
            <w:pPr>
              <w:jc w:val="right"/>
              <w:ind w:right="556"/>
              <w:spacing w:after="0"/>
              <w:rPr>
                <w:sz w:val="20"/>
                <w:szCs w:val="20"/>
                <w:color w:val="auto"/>
              </w:rPr>
            </w:pPr>
            <w:r>
              <w:rPr>
                <w:rFonts w:ascii="Arial" w:cs="Arial" w:eastAsia="Arial" w:hAnsi="Arial"/>
                <w:sz w:val="13"/>
                <w:szCs w:val="13"/>
                <w:color w:val="auto"/>
              </w:rPr>
              <w:t>4,707</w:t>
            </w: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(572)</w:t>
            </w:r>
          </w:p>
        </w:tc>
        <w:tc>
          <w:tcPr>
            <w:tcW w:w="20" w:type="dxa"/>
            <w:vAlign w:val="bottom"/>
          </w:tcPr>
          <w:p>
            <w:pPr>
              <w:spacing w:after="0"/>
              <w:rPr>
                <w:sz w:val="15"/>
                <w:szCs w:val="15"/>
                <w:color w:val="auto"/>
              </w:rPr>
            </w:pPr>
          </w:p>
        </w:tc>
      </w:tr>
      <w:tr>
        <w:trPr>
          <w:trHeight w:val="199"/>
        </w:trPr>
        <w:tc>
          <w:tcPr>
            <w:tcW w:w="5860" w:type="dxa"/>
            <w:vAlign w:val="bottom"/>
            <w:shd w:val="clear" w:color="auto" w:fill="CCEEFF"/>
          </w:tcPr>
          <w:p>
            <w:pPr>
              <w:ind w:left="60"/>
              <w:spacing w:after="0"/>
              <w:rPr>
                <w:sz w:val="20"/>
                <w:szCs w:val="20"/>
                <w:color w:val="auto"/>
              </w:rPr>
            </w:pPr>
            <w:r>
              <w:rPr>
                <w:rFonts w:ascii="Arial" w:cs="Arial" w:eastAsia="Arial" w:hAnsi="Arial"/>
                <w:sz w:val="13"/>
                <w:szCs w:val="13"/>
                <w:color w:val="auto"/>
              </w:rPr>
              <w:t>Current service costs</w:t>
            </w:r>
          </w:p>
        </w:tc>
        <w:tc>
          <w:tcPr>
            <w:tcW w:w="268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(115)</w:t>
            </w:r>
          </w:p>
        </w:tc>
        <w:tc>
          <w:tcPr>
            <w:tcW w:w="160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(115)</w:t>
            </w:r>
          </w:p>
        </w:tc>
        <w:tc>
          <w:tcPr>
            <w:tcW w:w="20" w:type="dxa"/>
            <w:vAlign w:val="bottom"/>
          </w:tcPr>
          <w:p>
            <w:pPr>
              <w:spacing w:after="0"/>
              <w:rPr>
                <w:sz w:val="17"/>
                <w:szCs w:val="17"/>
                <w:color w:val="auto"/>
              </w:rPr>
            </w:pPr>
          </w:p>
        </w:tc>
      </w:tr>
      <w:tr>
        <w:trPr>
          <w:trHeight w:val="183"/>
        </w:trPr>
        <w:tc>
          <w:tcPr>
            <w:tcW w:w="58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Interest expense/(income)</w:t>
            </w:r>
          </w:p>
        </w:tc>
        <w:tc>
          <w:tcPr>
            <w:tcW w:w="26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(40)</w:t>
            </w:r>
          </w:p>
        </w:tc>
        <w:tc>
          <w:tcPr>
            <w:tcW w:w="16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35</w:t>
            </w: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5"/>
                <w:szCs w:val="15"/>
                <w:color w:val="auto"/>
              </w:rPr>
            </w:pPr>
          </w:p>
        </w:tc>
      </w:tr>
      <w:tr>
        <w:trPr>
          <w:trHeight w:val="182"/>
        </w:trPr>
        <w:tc>
          <w:tcPr>
            <w:tcW w:w="5860" w:type="dxa"/>
            <w:vAlign w:val="bottom"/>
            <w:tcBorders>
              <w:bottom w:val="single" w:sz="8" w:color="auto"/>
            </w:tcBorders>
            <w:shd w:val="clear" w:color="auto" w:fill="CCEEFF"/>
          </w:tcPr>
          <w:p>
            <w:pPr>
              <w:spacing w:after="0"/>
              <w:rPr>
                <w:sz w:val="15"/>
                <w:szCs w:val="15"/>
                <w:color w:val="auto"/>
              </w:rPr>
            </w:pPr>
          </w:p>
        </w:tc>
        <w:tc>
          <w:tcPr>
            <w:tcW w:w="26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(5,434)</w:t>
            </w:r>
          </w:p>
        </w:tc>
        <w:tc>
          <w:tcPr>
            <w:tcW w:w="160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4,742</w:t>
            </w: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(692)</w:t>
            </w:r>
          </w:p>
        </w:tc>
        <w:tc>
          <w:tcPr>
            <w:tcW w:w="20" w:type="dxa"/>
            <w:vAlign w:val="bottom"/>
          </w:tcPr>
          <w:p>
            <w:pPr>
              <w:spacing w:after="0"/>
              <w:rPr>
                <w:sz w:val="15"/>
                <w:szCs w:val="15"/>
                <w:color w:val="auto"/>
              </w:rPr>
            </w:pPr>
          </w:p>
        </w:tc>
      </w:tr>
      <w:tr>
        <w:trPr>
          <w:trHeight w:val="189"/>
        </w:trPr>
        <w:tc>
          <w:tcPr>
            <w:tcW w:w="58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0"/>
        </w:trPr>
        <w:tc>
          <w:tcPr>
            <w:tcW w:w="586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Re-measurements</w:t>
            </w:r>
          </w:p>
        </w:tc>
        <w:tc>
          <w:tcPr>
            <w:tcW w:w="26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5860" w:type="dxa"/>
            <w:vAlign w:val="bottom"/>
          </w:tcPr>
          <w:p>
            <w:pPr>
              <w:ind w:left="60"/>
              <w:spacing w:after="0"/>
              <w:rPr>
                <w:sz w:val="20"/>
                <w:szCs w:val="20"/>
                <w:color w:val="auto"/>
              </w:rPr>
            </w:pPr>
            <w:r>
              <w:rPr>
                <w:rFonts w:ascii="Arial" w:cs="Arial" w:eastAsia="Arial" w:hAnsi="Arial"/>
                <w:sz w:val="13"/>
                <w:szCs w:val="13"/>
                <w:color w:val="auto"/>
              </w:rPr>
              <w:t>Experience adjustment</w:t>
            </w:r>
          </w:p>
        </w:tc>
        <w:tc>
          <w:tcPr>
            <w:tcW w:w="2680" w:type="dxa"/>
            <w:vAlign w:val="bottom"/>
          </w:tcPr>
          <w:p>
            <w:pPr>
              <w:jc w:val="right"/>
              <w:ind w:right="536"/>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556"/>
              <w:spacing w:after="0"/>
              <w:rPr>
                <w:sz w:val="20"/>
                <w:szCs w:val="20"/>
                <w:color w:val="auto"/>
              </w:rPr>
            </w:pPr>
            <w:r>
              <w:rPr>
                <w:rFonts w:ascii="Arial" w:cs="Arial" w:eastAsia="Arial" w:hAnsi="Arial"/>
                <w:sz w:val="13"/>
                <w:szCs w:val="13"/>
                <w:color w:val="auto"/>
              </w:rPr>
              <w:t>1,114</w:t>
            </w: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1,114</w:t>
            </w:r>
          </w:p>
        </w:tc>
        <w:tc>
          <w:tcPr>
            <w:tcW w:w="20" w:type="dxa"/>
            <w:vAlign w:val="bottom"/>
          </w:tcPr>
          <w:p>
            <w:pPr>
              <w:spacing w:after="0"/>
              <w:rPr>
                <w:sz w:val="15"/>
                <w:szCs w:val="15"/>
                <w:color w:val="auto"/>
              </w:rPr>
            </w:pPr>
          </w:p>
        </w:tc>
      </w:tr>
      <w:tr>
        <w:trPr>
          <w:trHeight w:val="199"/>
        </w:trPr>
        <w:tc>
          <w:tcPr>
            <w:tcW w:w="5860" w:type="dxa"/>
            <w:vAlign w:val="bottom"/>
            <w:shd w:val="clear" w:color="auto" w:fill="CCEEFF"/>
          </w:tcPr>
          <w:p>
            <w:pPr>
              <w:ind w:left="60"/>
              <w:spacing w:after="0"/>
              <w:rPr>
                <w:sz w:val="20"/>
                <w:szCs w:val="20"/>
                <w:color w:val="auto"/>
              </w:rPr>
            </w:pPr>
            <w:r>
              <w:rPr>
                <w:rFonts w:ascii="Arial" w:cs="Arial" w:eastAsia="Arial" w:hAnsi="Arial"/>
                <w:sz w:val="13"/>
                <w:szCs w:val="13"/>
                <w:color w:val="auto"/>
              </w:rPr>
              <w:t>Gain or loss from change in financial assumptions</w:t>
            </w:r>
          </w:p>
        </w:tc>
        <w:tc>
          <w:tcPr>
            <w:tcW w:w="268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(519)</w:t>
            </w:r>
          </w:p>
        </w:tc>
        <w:tc>
          <w:tcPr>
            <w:tcW w:w="160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(519)</w:t>
            </w:r>
          </w:p>
        </w:tc>
        <w:tc>
          <w:tcPr>
            <w:tcW w:w="20" w:type="dxa"/>
            <w:vAlign w:val="bottom"/>
          </w:tcPr>
          <w:p>
            <w:pPr>
              <w:spacing w:after="0"/>
              <w:rPr>
                <w:sz w:val="17"/>
                <w:szCs w:val="17"/>
                <w:color w:val="auto"/>
              </w:rPr>
            </w:pPr>
          </w:p>
        </w:tc>
      </w:tr>
      <w:tr>
        <w:trPr>
          <w:trHeight w:val="183"/>
        </w:trPr>
        <w:tc>
          <w:tcPr>
            <w:tcW w:w="58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Experience gain or loss</w:t>
            </w:r>
          </w:p>
        </w:tc>
        <w:tc>
          <w:tcPr>
            <w:tcW w:w="26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(960)</w:t>
            </w:r>
          </w:p>
        </w:tc>
        <w:tc>
          <w:tcPr>
            <w:tcW w:w="16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(960)</w:t>
            </w:r>
          </w:p>
        </w:tc>
        <w:tc>
          <w:tcPr>
            <w:tcW w:w="20" w:type="dxa"/>
            <w:vAlign w:val="bottom"/>
          </w:tcPr>
          <w:p>
            <w:pPr>
              <w:spacing w:after="0"/>
              <w:rPr>
                <w:sz w:val="15"/>
                <w:szCs w:val="15"/>
                <w:color w:val="auto"/>
              </w:rPr>
            </w:pPr>
          </w:p>
        </w:tc>
      </w:tr>
      <w:tr>
        <w:trPr>
          <w:trHeight w:val="182"/>
        </w:trPr>
        <w:tc>
          <w:tcPr>
            <w:tcW w:w="5860" w:type="dxa"/>
            <w:vAlign w:val="bottom"/>
            <w:tcBorders>
              <w:bottom w:val="single" w:sz="8" w:color="auto"/>
            </w:tcBorders>
            <w:shd w:val="clear" w:color="auto" w:fill="CCEEFF"/>
          </w:tcPr>
          <w:p>
            <w:pPr>
              <w:spacing w:after="0"/>
              <w:rPr>
                <w:sz w:val="15"/>
                <w:szCs w:val="15"/>
                <w:color w:val="auto"/>
              </w:rPr>
            </w:pPr>
          </w:p>
        </w:tc>
        <w:tc>
          <w:tcPr>
            <w:tcW w:w="26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(1,479)</w:t>
            </w:r>
          </w:p>
        </w:tc>
        <w:tc>
          <w:tcPr>
            <w:tcW w:w="160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1,114</w:t>
            </w: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(365)</w:t>
            </w:r>
          </w:p>
        </w:tc>
        <w:tc>
          <w:tcPr>
            <w:tcW w:w="20" w:type="dxa"/>
            <w:vAlign w:val="bottom"/>
          </w:tcPr>
          <w:p>
            <w:pPr>
              <w:spacing w:after="0"/>
              <w:rPr>
                <w:sz w:val="15"/>
                <w:szCs w:val="15"/>
                <w:color w:val="auto"/>
              </w:rPr>
            </w:pPr>
          </w:p>
        </w:tc>
      </w:tr>
      <w:tr>
        <w:trPr>
          <w:trHeight w:val="182"/>
        </w:trPr>
        <w:tc>
          <w:tcPr>
            <w:tcW w:w="5860" w:type="dxa"/>
            <w:vAlign w:val="bottom"/>
          </w:tcPr>
          <w:p>
            <w:pPr>
              <w:ind w:left="60"/>
              <w:spacing w:after="0"/>
              <w:rPr>
                <w:sz w:val="20"/>
                <w:szCs w:val="20"/>
                <w:color w:val="auto"/>
              </w:rPr>
            </w:pPr>
            <w:r>
              <w:rPr>
                <w:rFonts w:ascii="Arial" w:cs="Arial" w:eastAsia="Arial" w:hAnsi="Arial"/>
                <w:sz w:val="13"/>
                <w:szCs w:val="13"/>
                <w:color w:val="auto"/>
              </w:rPr>
              <w:t>Exchange differences</w:t>
            </w:r>
          </w:p>
        </w:tc>
        <w:tc>
          <w:tcPr>
            <w:tcW w:w="2680" w:type="dxa"/>
            <w:vAlign w:val="bottom"/>
          </w:tcPr>
          <w:p>
            <w:pPr>
              <w:jc w:val="right"/>
              <w:ind w:right="496"/>
              <w:spacing w:after="0"/>
              <w:rPr>
                <w:sz w:val="20"/>
                <w:szCs w:val="20"/>
                <w:color w:val="auto"/>
              </w:rPr>
            </w:pPr>
            <w:r>
              <w:rPr>
                <w:rFonts w:ascii="Arial" w:cs="Arial" w:eastAsia="Arial" w:hAnsi="Arial"/>
                <w:sz w:val="13"/>
                <w:szCs w:val="13"/>
                <w:color w:val="auto"/>
              </w:rPr>
              <w:t>(139)</w:t>
            </w:r>
          </w:p>
        </w:tc>
        <w:tc>
          <w:tcPr>
            <w:tcW w:w="1600" w:type="dxa"/>
            <w:vAlign w:val="bottom"/>
          </w:tcPr>
          <w:p>
            <w:pPr>
              <w:jc w:val="right"/>
              <w:ind w:right="556"/>
              <w:spacing w:after="0"/>
              <w:rPr>
                <w:sz w:val="20"/>
                <w:szCs w:val="20"/>
                <w:color w:val="auto"/>
              </w:rPr>
            </w:pPr>
            <w:r>
              <w:rPr>
                <w:rFonts w:ascii="Arial" w:cs="Arial" w:eastAsia="Arial" w:hAnsi="Arial"/>
                <w:sz w:val="13"/>
                <w:szCs w:val="13"/>
                <w:color w:val="auto"/>
              </w:rPr>
              <w:t>74</w:t>
            </w: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(65)</w:t>
            </w:r>
          </w:p>
        </w:tc>
        <w:tc>
          <w:tcPr>
            <w:tcW w:w="20" w:type="dxa"/>
            <w:vAlign w:val="bottom"/>
          </w:tcPr>
          <w:p>
            <w:pPr>
              <w:spacing w:after="0"/>
              <w:rPr>
                <w:sz w:val="15"/>
                <w:szCs w:val="15"/>
                <w:color w:val="auto"/>
              </w:rPr>
            </w:pPr>
          </w:p>
        </w:tc>
      </w:tr>
      <w:tr>
        <w:trPr>
          <w:trHeight w:val="209"/>
        </w:trPr>
        <w:tc>
          <w:tcPr>
            <w:tcW w:w="58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69"/>
        </w:trPr>
        <w:tc>
          <w:tcPr>
            <w:tcW w:w="5860" w:type="dxa"/>
            <w:vAlign w:val="bottom"/>
          </w:tcPr>
          <w:p>
            <w:pPr>
              <w:ind w:left="60"/>
              <w:spacing w:after="0"/>
              <w:rPr>
                <w:sz w:val="20"/>
                <w:szCs w:val="20"/>
                <w:color w:val="auto"/>
              </w:rPr>
            </w:pPr>
            <w:r>
              <w:rPr>
                <w:rFonts w:ascii="Arial" w:cs="Arial" w:eastAsia="Arial" w:hAnsi="Arial"/>
                <w:sz w:val="13"/>
                <w:szCs w:val="13"/>
                <w:b w:val="1"/>
                <w:bCs w:val="1"/>
                <w:color w:val="auto"/>
              </w:rPr>
              <w:t>Contributions:</w:t>
            </w:r>
          </w:p>
        </w:tc>
        <w:tc>
          <w:tcPr>
            <w:tcW w:w="2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1"/>
        </w:trPr>
        <w:tc>
          <w:tcPr>
            <w:tcW w:w="5860" w:type="dxa"/>
            <w:vAlign w:val="bottom"/>
            <w:shd w:val="clear" w:color="auto" w:fill="CCEEFF"/>
          </w:tcPr>
          <w:p>
            <w:pPr>
              <w:ind w:left="60"/>
              <w:spacing w:after="0"/>
              <w:rPr>
                <w:sz w:val="20"/>
                <w:szCs w:val="20"/>
                <w:color w:val="auto"/>
              </w:rPr>
            </w:pPr>
            <w:r>
              <w:rPr>
                <w:rFonts w:ascii="Arial" w:cs="Arial" w:eastAsia="Arial" w:hAnsi="Arial"/>
                <w:sz w:val="13"/>
                <w:szCs w:val="13"/>
                <w:color w:val="auto"/>
              </w:rPr>
              <w:t>- Employers</w:t>
            </w:r>
          </w:p>
        </w:tc>
        <w:tc>
          <w:tcPr>
            <w:tcW w:w="26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w:t>
            </w:r>
          </w:p>
        </w:tc>
        <w:tc>
          <w:tcPr>
            <w:tcW w:w="160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89</w:t>
            </w: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89</w:t>
            </w:r>
          </w:p>
        </w:tc>
        <w:tc>
          <w:tcPr>
            <w:tcW w:w="20" w:type="dxa"/>
            <w:vAlign w:val="bottom"/>
          </w:tcPr>
          <w:p>
            <w:pPr>
              <w:spacing w:after="0"/>
              <w:rPr>
                <w:sz w:val="16"/>
                <w:szCs w:val="16"/>
                <w:color w:val="auto"/>
              </w:rPr>
            </w:pPr>
          </w:p>
        </w:tc>
      </w:tr>
      <w:tr>
        <w:trPr>
          <w:trHeight w:val="183"/>
        </w:trPr>
        <w:tc>
          <w:tcPr>
            <w:tcW w:w="5860" w:type="dxa"/>
            <w:vAlign w:val="bottom"/>
          </w:tcPr>
          <w:p>
            <w:pPr>
              <w:ind w:left="60"/>
              <w:spacing w:after="0"/>
              <w:rPr>
                <w:sz w:val="20"/>
                <w:szCs w:val="20"/>
                <w:color w:val="auto"/>
              </w:rPr>
            </w:pPr>
            <w:r>
              <w:rPr>
                <w:rFonts w:ascii="Arial" w:cs="Arial" w:eastAsia="Arial" w:hAnsi="Arial"/>
                <w:sz w:val="13"/>
                <w:szCs w:val="13"/>
                <w:color w:val="auto"/>
              </w:rPr>
              <w:t>- Plan participants</w:t>
            </w:r>
          </w:p>
        </w:tc>
        <w:tc>
          <w:tcPr>
            <w:tcW w:w="2680" w:type="dxa"/>
            <w:vAlign w:val="bottom"/>
          </w:tcPr>
          <w:p>
            <w:pPr>
              <w:jc w:val="right"/>
              <w:ind w:right="496"/>
              <w:spacing w:after="0"/>
              <w:rPr>
                <w:sz w:val="20"/>
                <w:szCs w:val="20"/>
                <w:color w:val="auto"/>
              </w:rPr>
            </w:pPr>
            <w:r>
              <w:rPr>
                <w:rFonts w:ascii="Arial" w:cs="Arial" w:eastAsia="Arial" w:hAnsi="Arial"/>
                <w:sz w:val="13"/>
                <w:szCs w:val="13"/>
                <w:color w:val="auto"/>
              </w:rPr>
              <w:t>(67)</w:t>
            </w:r>
          </w:p>
        </w:tc>
        <w:tc>
          <w:tcPr>
            <w:tcW w:w="1600" w:type="dxa"/>
            <w:vAlign w:val="bottom"/>
          </w:tcPr>
          <w:p>
            <w:pPr>
              <w:jc w:val="right"/>
              <w:ind w:right="556"/>
              <w:spacing w:after="0"/>
              <w:rPr>
                <w:sz w:val="20"/>
                <w:szCs w:val="20"/>
                <w:color w:val="auto"/>
              </w:rPr>
            </w:pPr>
            <w:r>
              <w:rPr>
                <w:rFonts w:ascii="Arial" w:cs="Arial" w:eastAsia="Arial" w:hAnsi="Arial"/>
                <w:sz w:val="13"/>
                <w:szCs w:val="13"/>
                <w:color w:val="auto"/>
              </w:rPr>
              <w:t>67</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r>
      <w:tr>
        <w:trPr>
          <w:trHeight w:val="191"/>
        </w:trPr>
        <w:tc>
          <w:tcPr>
            <w:tcW w:w="58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Benefit payments</w:t>
            </w:r>
          </w:p>
        </w:tc>
        <w:tc>
          <w:tcPr>
            <w:tcW w:w="268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72</w:t>
            </w:r>
          </w:p>
        </w:tc>
        <w:tc>
          <w:tcPr>
            <w:tcW w:w="160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3"/>
                <w:szCs w:val="13"/>
                <w:color w:val="auto"/>
              </w:rPr>
              <w:t>(72)</w:t>
            </w: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r>
      <w:tr>
        <w:trPr>
          <w:trHeight w:val="182"/>
        </w:trPr>
        <w:tc>
          <w:tcPr>
            <w:tcW w:w="58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5</w:t>
            </w:r>
          </w:p>
        </w:tc>
        <w:tc>
          <w:tcPr>
            <w:tcW w:w="16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84</w:t>
            </w: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89</w:t>
            </w:r>
          </w:p>
        </w:tc>
        <w:tc>
          <w:tcPr>
            <w:tcW w:w="20" w:type="dxa"/>
            <w:vAlign w:val="bottom"/>
          </w:tcPr>
          <w:p>
            <w:pPr>
              <w:spacing w:after="0"/>
              <w:rPr>
                <w:sz w:val="15"/>
                <w:szCs w:val="15"/>
                <w:color w:val="auto"/>
              </w:rPr>
            </w:pPr>
          </w:p>
        </w:tc>
      </w:tr>
      <w:tr>
        <w:trPr>
          <w:trHeight w:val="190"/>
        </w:trPr>
        <w:tc>
          <w:tcPr>
            <w:tcW w:w="58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At 31 December 2019</w:t>
            </w:r>
          </w:p>
        </w:tc>
        <w:tc>
          <w:tcPr>
            <w:tcW w:w="26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(7,047)</w:t>
            </w:r>
          </w:p>
        </w:tc>
        <w:tc>
          <w:tcPr>
            <w:tcW w:w="160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6,014</w:t>
            </w: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(1,033)</w:t>
            </w: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280"/>
          </w:cols>
          <w:pgMar w:left="300" w:top="696" w:right="31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Retirement benefit obligations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60" w:type="dxa"/>
            <w:vAlign w:val="bottom"/>
            <w:shd w:val="clear" w:color="auto" w:fill="CCEEFF"/>
          </w:tcPr>
          <w:p>
            <w:pPr>
              <w:spacing w:after="0"/>
              <w:rPr>
                <w:sz w:val="16"/>
                <w:szCs w:val="16"/>
                <w:color w:val="auto"/>
              </w:rPr>
            </w:pPr>
          </w:p>
        </w:tc>
        <w:tc>
          <w:tcPr>
            <w:tcW w:w="4060" w:type="dxa"/>
            <w:vAlign w:val="bottom"/>
            <w:gridSpan w:val="2"/>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Present Value of Obligations Fair Value of Plan Assets</w:t>
            </w: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6260" w:type="dxa"/>
            <w:vAlign w:val="bottom"/>
            <w:tcBorders>
              <w:bottom w:val="single" w:sz="8" w:color="auto"/>
            </w:tcBorders>
            <w:shd w:val="clear" w:color="auto" w:fill="CCEEFF"/>
          </w:tcPr>
          <w:p>
            <w:pPr>
              <w:spacing w:after="0"/>
              <w:rPr>
                <w:sz w:val="14"/>
                <w:szCs w:val="14"/>
                <w:color w:val="auto"/>
              </w:rPr>
            </w:pPr>
          </w:p>
        </w:tc>
        <w:tc>
          <w:tcPr>
            <w:tcW w:w="220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76"/>
        </w:trPr>
        <w:tc>
          <w:tcPr>
            <w:tcW w:w="6260" w:type="dxa"/>
            <w:vAlign w:val="bottom"/>
          </w:tcPr>
          <w:p>
            <w:pPr>
              <w:spacing w:after="0"/>
              <w:rPr>
                <w:sz w:val="15"/>
                <w:szCs w:val="15"/>
                <w:color w:val="auto"/>
              </w:rPr>
            </w:pPr>
          </w:p>
        </w:tc>
        <w:tc>
          <w:tcPr>
            <w:tcW w:w="2200" w:type="dxa"/>
            <w:vAlign w:val="bottom"/>
          </w:tcPr>
          <w:p>
            <w:pPr>
              <w:jc w:val="right"/>
              <w:ind w:right="316"/>
              <w:spacing w:after="0"/>
              <w:rPr>
                <w:sz w:val="20"/>
                <w:szCs w:val="20"/>
                <w:color w:val="auto"/>
              </w:rPr>
            </w:pPr>
            <w:r>
              <w:rPr>
                <w:rFonts w:ascii="Arial" w:cs="Arial" w:eastAsia="Arial" w:hAnsi="Arial"/>
                <w:sz w:val="13"/>
                <w:szCs w:val="13"/>
                <w:b w:val="1"/>
                <w:bCs w:val="1"/>
                <w:color w:val="auto"/>
              </w:rPr>
              <w:t>$’000</w:t>
            </w:r>
          </w:p>
        </w:tc>
        <w:tc>
          <w:tcPr>
            <w:tcW w:w="1860" w:type="dxa"/>
            <w:vAlign w:val="bottom"/>
          </w:tcPr>
          <w:p>
            <w:pPr>
              <w:jc w:val="right"/>
              <w:ind w:right="596"/>
              <w:spacing w:after="0"/>
              <w:rPr>
                <w:sz w:val="20"/>
                <w:szCs w:val="20"/>
                <w:color w:val="auto"/>
              </w:rPr>
            </w:pPr>
            <w:r>
              <w:rPr>
                <w:rFonts w:ascii="Arial" w:cs="Arial" w:eastAsia="Arial" w:hAnsi="Arial"/>
                <w:sz w:val="13"/>
                <w:szCs w:val="13"/>
                <w:b w:val="1"/>
                <w:bCs w:val="1"/>
                <w:color w:val="auto"/>
              </w:rPr>
              <w:t>$’000</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$’000</w:t>
            </w:r>
          </w:p>
        </w:tc>
      </w:tr>
      <w:tr>
        <w:trPr>
          <w:trHeight w:val="209"/>
        </w:trPr>
        <w:tc>
          <w:tcPr>
            <w:tcW w:w="62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3"/>
        </w:trPr>
        <w:tc>
          <w:tcPr>
            <w:tcW w:w="6260" w:type="dxa"/>
            <w:vAlign w:val="bottom"/>
          </w:tcPr>
          <w:p>
            <w:pPr>
              <w:ind w:left="320"/>
              <w:spacing w:after="0"/>
              <w:rPr>
                <w:sz w:val="20"/>
                <w:szCs w:val="20"/>
                <w:color w:val="auto"/>
              </w:rPr>
            </w:pPr>
            <w:r>
              <w:rPr>
                <w:rFonts w:ascii="Arial" w:cs="Arial" w:eastAsia="Arial" w:hAnsi="Arial"/>
                <w:sz w:val="13"/>
                <w:szCs w:val="13"/>
                <w:color w:val="auto"/>
              </w:rPr>
              <w:t>At 1 January 2018</w:t>
            </w:r>
          </w:p>
        </w:tc>
        <w:tc>
          <w:tcPr>
            <w:tcW w:w="2200" w:type="dxa"/>
            <w:vAlign w:val="bottom"/>
          </w:tcPr>
          <w:p>
            <w:pPr>
              <w:jc w:val="right"/>
              <w:ind w:right="416"/>
              <w:spacing w:after="0"/>
              <w:rPr>
                <w:sz w:val="20"/>
                <w:szCs w:val="20"/>
                <w:color w:val="auto"/>
              </w:rPr>
            </w:pPr>
            <w:r>
              <w:rPr>
                <w:rFonts w:ascii="Arial" w:cs="Arial" w:eastAsia="Arial" w:hAnsi="Arial"/>
                <w:sz w:val="13"/>
                <w:szCs w:val="13"/>
                <w:color w:val="auto"/>
              </w:rPr>
              <w:t>(5,927)</w:t>
            </w:r>
          </w:p>
        </w:tc>
        <w:tc>
          <w:tcPr>
            <w:tcW w:w="1860" w:type="dxa"/>
            <w:vAlign w:val="bottom"/>
          </w:tcPr>
          <w:p>
            <w:pPr>
              <w:jc w:val="right"/>
              <w:ind w:right="736"/>
              <w:spacing w:after="0"/>
              <w:rPr>
                <w:sz w:val="20"/>
                <w:szCs w:val="20"/>
                <w:color w:val="auto"/>
              </w:rPr>
            </w:pPr>
            <w:r>
              <w:rPr>
                <w:rFonts w:ascii="Arial" w:cs="Arial" w:eastAsia="Arial" w:hAnsi="Arial"/>
                <w:sz w:val="13"/>
                <w:szCs w:val="13"/>
                <w:color w:val="auto"/>
              </w:rPr>
              <w:t>5,202</w:t>
            </w: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(725)</w:t>
            </w:r>
          </w:p>
        </w:tc>
        <w:tc>
          <w:tcPr>
            <w:tcW w:w="20" w:type="dxa"/>
            <w:vAlign w:val="bottom"/>
          </w:tcPr>
          <w:p>
            <w:pPr>
              <w:spacing w:after="0"/>
              <w:rPr>
                <w:sz w:val="15"/>
                <w:szCs w:val="15"/>
                <w:color w:val="auto"/>
              </w:rPr>
            </w:pPr>
          </w:p>
        </w:tc>
      </w:tr>
      <w:tr>
        <w:trPr>
          <w:trHeight w:val="199"/>
        </w:trPr>
        <w:tc>
          <w:tcPr>
            <w:tcW w:w="6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Current service costs</w:t>
            </w:r>
          </w:p>
        </w:tc>
        <w:tc>
          <w:tcPr>
            <w:tcW w:w="220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(138)</w:t>
            </w:r>
          </w:p>
        </w:tc>
        <w:tc>
          <w:tcPr>
            <w:tcW w:w="186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(138)</w:t>
            </w:r>
          </w:p>
        </w:tc>
        <w:tc>
          <w:tcPr>
            <w:tcW w:w="20" w:type="dxa"/>
            <w:vAlign w:val="bottom"/>
          </w:tcPr>
          <w:p>
            <w:pPr>
              <w:spacing w:after="0"/>
              <w:rPr>
                <w:sz w:val="17"/>
                <w:szCs w:val="17"/>
                <w:color w:val="auto"/>
              </w:rPr>
            </w:pPr>
          </w:p>
        </w:tc>
      </w:tr>
      <w:tr>
        <w:trPr>
          <w:trHeight w:val="183"/>
        </w:trPr>
        <w:tc>
          <w:tcPr>
            <w:tcW w:w="6260" w:type="dxa"/>
            <w:vAlign w:val="bottom"/>
          </w:tcPr>
          <w:p>
            <w:pPr>
              <w:ind w:left="60"/>
              <w:spacing w:after="0"/>
              <w:rPr>
                <w:sz w:val="20"/>
                <w:szCs w:val="20"/>
                <w:color w:val="auto"/>
              </w:rPr>
            </w:pPr>
            <w:r>
              <w:rPr>
                <w:rFonts w:ascii="Arial" w:cs="Arial" w:eastAsia="Arial" w:hAnsi="Arial"/>
                <w:sz w:val="13"/>
                <w:szCs w:val="13"/>
                <w:color w:val="auto"/>
              </w:rPr>
              <w:t>Interest expense/(income)</w:t>
            </w:r>
          </w:p>
        </w:tc>
        <w:tc>
          <w:tcPr>
            <w:tcW w:w="2200" w:type="dxa"/>
            <w:vAlign w:val="bottom"/>
          </w:tcPr>
          <w:p>
            <w:pPr>
              <w:jc w:val="right"/>
              <w:ind w:right="416"/>
              <w:spacing w:after="0"/>
              <w:rPr>
                <w:sz w:val="20"/>
                <w:szCs w:val="20"/>
                <w:color w:val="auto"/>
              </w:rPr>
            </w:pPr>
            <w:r>
              <w:rPr>
                <w:rFonts w:ascii="Arial" w:cs="Arial" w:eastAsia="Arial" w:hAnsi="Arial"/>
                <w:sz w:val="13"/>
                <w:szCs w:val="13"/>
                <w:color w:val="auto"/>
              </w:rPr>
              <w:t>(47)</w:t>
            </w:r>
          </w:p>
        </w:tc>
        <w:tc>
          <w:tcPr>
            <w:tcW w:w="1860" w:type="dxa"/>
            <w:vAlign w:val="bottom"/>
          </w:tcPr>
          <w:p>
            <w:pPr>
              <w:jc w:val="right"/>
              <w:ind w:right="736"/>
              <w:spacing w:after="0"/>
              <w:rPr>
                <w:sz w:val="20"/>
                <w:szCs w:val="20"/>
                <w:color w:val="auto"/>
              </w:rPr>
            </w:pPr>
            <w:r>
              <w:rPr>
                <w:rFonts w:ascii="Arial" w:cs="Arial" w:eastAsia="Arial" w:hAnsi="Arial"/>
                <w:sz w:val="13"/>
                <w:szCs w:val="13"/>
                <w:color w:val="auto"/>
              </w:rPr>
              <w:t>41</w:t>
            </w: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5"/>
                <w:szCs w:val="15"/>
                <w:color w:val="auto"/>
              </w:rPr>
            </w:pPr>
          </w:p>
        </w:tc>
      </w:tr>
      <w:tr>
        <w:trPr>
          <w:trHeight w:val="191"/>
        </w:trPr>
        <w:tc>
          <w:tcPr>
            <w:tcW w:w="6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Past service cost</w:t>
            </w:r>
          </w:p>
        </w:tc>
        <w:tc>
          <w:tcPr>
            <w:tcW w:w="22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8</w:t>
            </w:r>
          </w:p>
        </w:tc>
        <w:tc>
          <w:tcPr>
            <w:tcW w:w="186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8</w:t>
            </w:r>
          </w:p>
        </w:tc>
        <w:tc>
          <w:tcPr>
            <w:tcW w:w="20" w:type="dxa"/>
            <w:vAlign w:val="bottom"/>
          </w:tcPr>
          <w:p>
            <w:pPr>
              <w:spacing w:after="0"/>
              <w:rPr>
                <w:sz w:val="16"/>
                <w:szCs w:val="16"/>
                <w:color w:val="auto"/>
              </w:rPr>
            </w:pPr>
          </w:p>
        </w:tc>
      </w:tr>
      <w:tr>
        <w:trPr>
          <w:trHeight w:val="182"/>
        </w:trPr>
        <w:tc>
          <w:tcPr>
            <w:tcW w:w="62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(6,104)</w:t>
            </w:r>
          </w:p>
        </w:tc>
        <w:tc>
          <w:tcPr>
            <w:tcW w:w="186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b w:val="1"/>
                <w:bCs w:val="1"/>
                <w:color w:val="auto"/>
              </w:rPr>
              <w:t>5,243</w:t>
            </w: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(861)</w:t>
            </w:r>
          </w:p>
        </w:tc>
        <w:tc>
          <w:tcPr>
            <w:tcW w:w="20" w:type="dxa"/>
            <w:vAlign w:val="bottom"/>
          </w:tcPr>
          <w:p>
            <w:pPr>
              <w:spacing w:after="0"/>
              <w:rPr>
                <w:sz w:val="15"/>
                <w:szCs w:val="15"/>
                <w:color w:val="auto"/>
              </w:rPr>
            </w:pPr>
          </w:p>
        </w:tc>
      </w:tr>
      <w:tr>
        <w:trPr>
          <w:trHeight w:val="189"/>
        </w:trPr>
        <w:tc>
          <w:tcPr>
            <w:tcW w:w="626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6260" w:type="dxa"/>
            <w:vAlign w:val="bottom"/>
          </w:tcPr>
          <w:p>
            <w:pPr>
              <w:ind w:left="60"/>
              <w:spacing w:after="0"/>
              <w:rPr>
                <w:sz w:val="20"/>
                <w:szCs w:val="20"/>
                <w:color w:val="auto"/>
              </w:rPr>
            </w:pPr>
            <w:r>
              <w:rPr>
                <w:rFonts w:ascii="Arial" w:cs="Arial" w:eastAsia="Arial" w:hAnsi="Arial"/>
                <w:sz w:val="13"/>
                <w:szCs w:val="13"/>
                <w:b w:val="1"/>
                <w:bCs w:val="1"/>
                <w:color w:val="auto"/>
              </w:rPr>
              <w:t>Re-measurements</w:t>
            </w:r>
          </w:p>
        </w:tc>
        <w:tc>
          <w:tcPr>
            <w:tcW w:w="2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1"/>
        </w:trPr>
        <w:tc>
          <w:tcPr>
            <w:tcW w:w="6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Experience adjustment</w:t>
            </w:r>
          </w:p>
        </w:tc>
        <w:tc>
          <w:tcPr>
            <w:tcW w:w="22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186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rPr>
              <w:t>(240)</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(240)</w:t>
            </w:r>
          </w:p>
        </w:tc>
        <w:tc>
          <w:tcPr>
            <w:tcW w:w="20" w:type="dxa"/>
            <w:vAlign w:val="bottom"/>
          </w:tcPr>
          <w:p>
            <w:pPr>
              <w:spacing w:after="0"/>
              <w:rPr>
                <w:sz w:val="16"/>
                <w:szCs w:val="16"/>
                <w:color w:val="auto"/>
              </w:rPr>
            </w:pPr>
          </w:p>
        </w:tc>
      </w:tr>
      <w:tr>
        <w:trPr>
          <w:trHeight w:val="183"/>
        </w:trPr>
        <w:tc>
          <w:tcPr>
            <w:tcW w:w="6260" w:type="dxa"/>
            <w:vAlign w:val="bottom"/>
          </w:tcPr>
          <w:p>
            <w:pPr>
              <w:ind w:left="60"/>
              <w:spacing w:after="0"/>
              <w:rPr>
                <w:sz w:val="20"/>
                <w:szCs w:val="20"/>
                <w:color w:val="auto"/>
              </w:rPr>
            </w:pPr>
            <w:r>
              <w:rPr>
                <w:rFonts w:ascii="Arial" w:cs="Arial" w:eastAsia="Arial" w:hAnsi="Arial"/>
                <w:sz w:val="13"/>
                <w:szCs w:val="13"/>
                <w:color w:val="auto"/>
              </w:rPr>
              <w:t>Gain or loss from change in demographic assumptions</w:t>
            </w:r>
          </w:p>
        </w:tc>
        <w:tc>
          <w:tcPr>
            <w:tcW w:w="2200" w:type="dxa"/>
            <w:vAlign w:val="bottom"/>
          </w:tcPr>
          <w:p>
            <w:pPr>
              <w:jc w:val="right"/>
              <w:ind w:right="456"/>
              <w:spacing w:after="0"/>
              <w:rPr>
                <w:sz w:val="20"/>
                <w:szCs w:val="20"/>
                <w:color w:val="auto"/>
              </w:rPr>
            </w:pPr>
            <w:r>
              <w:rPr>
                <w:rFonts w:ascii="Arial" w:cs="Arial" w:eastAsia="Arial" w:hAnsi="Arial"/>
                <w:sz w:val="13"/>
                <w:szCs w:val="13"/>
                <w:color w:val="auto"/>
              </w:rPr>
              <w:t>360</w:t>
            </w:r>
          </w:p>
        </w:tc>
        <w:tc>
          <w:tcPr>
            <w:tcW w:w="1860" w:type="dxa"/>
            <w:vAlign w:val="bottom"/>
          </w:tcPr>
          <w:p>
            <w:pPr>
              <w:jc w:val="right"/>
              <w:ind w:right="73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6"/>
              <w:spacing w:after="0"/>
              <w:rPr>
                <w:sz w:val="20"/>
                <w:szCs w:val="20"/>
                <w:color w:val="auto"/>
              </w:rPr>
            </w:pPr>
            <w:r>
              <w:rPr>
                <w:rFonts w:ascii="Arial" w:cs="Arial" w:eastAsia="Arial" w:hAnsi="Arial"/>
                <w:sz w:val="13"/>
                <w:szCs w:val="13"/>
                <w:color w:val="auto"/>
              </w:rPr>
              <w:t>360</w:t>
            </w:r>
          </w:p>
        </w:tc>
        <w:tc>
          <w:tcPr>
            <w:tcW w:w="20" w:type="dxa"/>
            <w:vAlign w:val="bottom"/>
          </w:tcPr>
          <w:p>
            <w:pPr>
              <w:spacing w:after="0"/>
              <w:rPr>
                <w:sz w:val="15"/>
                <w:szCs w:val="15"/>
                <w:color w:val="auto"/>
              </w:rPr>
            </w:pPr>
          </w:p>
        </w:tc>
      </w:tr>
      <w:tr>
        <w:trPr>
          <w:trHeight w:val="191"/>
        </w:trPr>
        <w:tc>
          <w:tcPr>
            <w:tcW w:w="6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Experience gain or loss</w:t>
            </w:r>
          </w:p>
        </w:tc>
        <w:tc>
          <w:tcPr>
            <w:tcW w:w="22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12</w:t>
            </w:r>
          </w:p>
        </w:tc>
        <w:tc>
          <w:tcPr>
            <w:tcW w:w="186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6"/>
                <w:szCs w:val="16"/>
                <w:color w:val="auto"/>
              </w:rPr>
            </w:pPr>
          </w:p>
        </w:tc>
      </w:tr>
      <w:tr>
        <w:trPr>
          <w:trHeight w:val="182"/>
        </w:trPr>
        <w:tc>
          <w:tcPr>
            <w:tcW w:w="62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372</w:t>
            </w:r>
          </w:p>
        </w:tc>
        <w:tc>
          <w:tcPr>
            <w:tcW w:w="186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(240)</w:t>
            </w:r>
          </w:p>
        </w:tc>
        <w:tc>
          <w:tcPr>
            <w:tcW w:w="9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132</w:t>
            </w:r>
          </w:p>
        </w:tc>
        <w:tc>
          <w:tcPr>
            <w:tcW w:w="20" w:type="dxa"/>
            <w:vAlign w:val="bottom"/>
          </w:tcPr>
          <w:p>
            <w:pPr>
              <w:spacing w:after="0"/>
              <w:rPr>
                <w:sz w:val="15"/>
                <w:szCs w:val="15"/>
                <w:color w:val="auto"/>
              </w:rPr>
            </w:pPr>
          </w:p>
        </w:tc>
      </w:tr>
      <w:tr>
        <w:trPr>
          <w:trHeight w:val="189"/>
        </w:trPr>
        <w:tc>
          <w:tcPr>
            <w:tcW w:w="6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Exchange differences</w:t>
            </w:r>
          </w:p>
        </w:tc>
        <w:tc>
          <w:tcPr>
            <w:tcW w:w="22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50</w:t>
            </w:r>
          </w:p>
        </w:tc>
        <w:tc>
          <w:tcPr>
            <w:tcW w:w="186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rPr>
              <w:t>(2)</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48</w:t>
            </w:r>
          </w:p>
        </w:tc>
        <w:tc>
          <w:tcPr>
            <w:tcW w:w="20" w:type="dxa"/>
            <w:vAlign w:val="bottom"/>
          </w:tcPr>
          <w:p>
            <w:pPr>
              <w:spacing w:after="0"/>
              <w:rPr>
                <w:sz w:val="16"/>
                <w:szCs w:val="16"/>
                <w:color w:val="auto"/>
              </w:rPr>
            </w:pPr>
          </w:p>
        </w:tc>
      </w:tr>
      <w:tr>
        <w:trPr>
          <w:trHeight w:val="169"/>
        </w:trPr>
        <w:tc>
          <w:tcPr>
            <w:tcW w:w="6260" w:type="dxa"/>
            <w:vAlign w:val="bottom"/>
          </w:tcPr>
          <w:p>
            <w:pPr>
              <w:ind w:left="60"/>
              <w:spacing w:after="0"/>
              <w:rPr>
                <w:sz w:val="20"/>
                <w:szCs w:val="20"/>
                <w:color w:val="auto"/>
              </w:rPr>
            </w:pPr>
            <w:r>
              <w:rPr>
                <w:rFonts w:ascii="Arial" w:cs="Arial" w:eastAsia="Arial" w:hAnsi="Arial"/>
                <w:sz w:val="13"/>
                <w:szCs w:val="13"/>
                <w:b w:val="1"/>
                <w:bCs w:val="1"/>
                <w:color w:val="auto"/>
              </w:rPr>
              <w:t>Contributions:</w:t>
            </w:r>
          </w:p>
        </w:tc>
        <w:tc>
          <w:tcPr>
            <w:tcW w:w="2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1"/>
        </w:trPr>
        <w:tc>
          <w:tcPr>
            <w:tcW w:w="6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 Employers</w:t>
            </w:r>
          </w:p>
        </w:tc>
        <w:tc>
          <w:tcPr>
            <w:tcW w:w="22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186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rPr>
              <w:t>109</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109</w:t>
            </w:r>
          </w:p>
        </w:tc>
        <w:tc>
          <w:tcPr>
            <w:tcW w:w="20" w:type="dxa"/>
            <w:vAlign w:val="bottom"/>
          </w:tcPr>
          <w:p>
            <w:pPr>
              <w:spacing w:after="0"/>
              <w:rPr>
                <w:sz w:val="16"/>
                <w:szCs w:val="16"/>
                <w:color w:val="auto"/>
              </w:rPr>
            </w:pPr>
          </w:p>
        </w:tc>
      </w:tr>
      <w:tr>
        <w:trPr>
          <w:trHeight w:val="183"/>
        </w:trPr>
        <w:tc>
          <w:tcPr>
            <w:tcW w:w="6260" w:type="dxa"/>
            <w:vAlign w:val="bottom"/>
          </w:tcPr>
          <w:p>
            <w:pPr>
              <w:ind w:left="60"/>
              <w:spacing w:after="0"/>
              <w:rPr>
                <w:sz w:val="20"/>
                <w:szCs w:val="20"/>
                <w:color w:val="auto"/>
              </w:rPr>
            </w:pPr>
            <w:r>
              <w:rPr>
                <w:rFonts w:ascii="Arial" w:cs="Arial" w:eastAsia="Arial" w:hAnsi="Arial"/>
                <w:sz w:val="13"/>
                <w:szCs w:val="13"/>
                <w:color w:val="auto"/>
              </w:rPr>
              <w:t>- Plan participants</w:t>
            </w:r>
          </w:p>
        </w:tc>
        <w:tc>
          <w:tcPr>
            <w:tcW w:w="2200" w:type="dxa"/>
            <w:vAlign w:val="bottom"/>
          </w:tcPr>
          <w:p>
            <w:pPr>
              <w:jc w:val="right"/>
              <w:ind w:right="416"/>
              <w:spacing w:after="0"/>
              <w:rPr>
                <w:sz w:val="20"/>
                <w:szCs w:val="20"/>
                <w:color w:val="auto"/>
              </w:rPr>
            </w:pPr>
            <w:r>
              <w:rPr>
                <w:rFonts w:ascii="Arial" w:cs="Arial" w:eastAsia="Arial" w:hAnsi="Arial"/>
                <w:sz w:val="13"/>
                <w:szCs w:val="13"/>
                <w:color w:val="auto"/>
              </w:rPr>
              <w:t>(83)</w:t>
            </w:r>
          </w:p>
        </w:tc>
        <w:tc>
          <w:tcPr>
            <w:tcW w:w="1860" w:type="dxa"/>
            <w:vAlign w:val="bottom"/>
          </w:tcPr>
          <w:p>
            <w:pPr>
              <w:jc w:val="right"/>
              <w:ind w:right="736"/>
              <w:spacing w:after="0"/>
              <w:rPr>
                <w:sz w:val="20"/>
                <w:szCs w:val="20"/>
                <w:color w:val="auto"/>
              </w:rPr>
            </w:pPr>
            <w:r>
              <w:rPr>
                <w:rFonts w:ascii="Arial" w:cs="Arial" w:eastAsia="Arial" w:hAnsi="Arial"/>
                <w:sz w:val="13"/>
                <w:szCs w:val="13"/>
                <w:color w:val="auto"/>
              </w:rPr>
              <w:t>83</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r>
      <w:tr>
        <w:trPr>
          <w:trHeight w:val="191"/>
        </w:trPr>
        <w:tc>
          <w:tcPr>
            <w:tcW w:w="6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Benefit payments</w:t>
            </w:r>
          </w:p>
        </w:tc>
        <w:tc>
          <w:tcPr>
            <w:tcW w:w="22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486</w:t>
            </w:r>
          </w:p>
        </w:tc>
        <w:tc>
          <w:tcPr>
            <w:tcW w:w="186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rPr>
              <w:t>(486)</w:t>
            </w:r>
          </w:p>
        </w:tc>
        <w:tc>
          <w:tcPr>
            <w:tcW w:w="9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r>
      <w:tr>
        <w:trPr>
          <w:trHeight w:val="182"/>
        </w:trPr>
        <w:tc>
          <w:tcPr>
            <w:tcW w:w="62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403</w:t>
            </w:r>
          </w:p>
        </w:tc>
        <w:tc>
          <w:tcPr>
            <w:tcW w:w="186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(294)</w:t>
            </w:r>
          </w:p>
        </w:tc>
        <w:tc>
          <w:tcPr>
            <w:tcW w:w="9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109</w:t>
            </w:r>
          </w:p>
        </w:tc>
        <w:tc>
          <w:tcPr>
            <w:tcW w:w="20" w:type="dxa"/>
            <w:vAlign w:val="bottom"/>
          </w:tcPr>
          <w:p>
            <w:pPr>
              <w:spacing w:after="0"/>
              <w:rPr>
                <w:sz w:val="15"/>
                <w:szCs w:val="15"/>
                <w:color w:val="auto"/>
              </w:rPr>
            </w:pPr>
          </w:p>
        </w:tc>
      </w:tr>
      <w:tr>
        <w:trPr>
          <w:trHeight w:val="190"/>
        </w:trPr>
        <w:tc>
          <w:tcPr>
            <w:tcW w:w="62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b w:val="1"/>
                <w:bCs w:val="1"/>
                <w:color w:val="auto"/>
              </w:rPr>
              <w:t>At 31 December 2018</w:t>
            </w:r>
          </w:p>
        </w:tc>
        <w:tc>
          <w:tcPr>
            <w:tcW w:w="22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(5,279)</w:t>
            </w:r>
          </w:p>
        </w:tc>
        <w:tc>
          <w:tcPr>
            <w:tcW w:w="186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b w:val="1"/>
                <w:bCs w:val="1"/>
                <w:color w:val="auto"/>
              </w:rPr>
              <w:t>4,707</w:t>
            </w: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(572)</w:t>
            </w:r>
          </w:p>
        </w:tc>
        <w:tc>
          <w:tcPr>
            <w:tcW w:w="20" w:type="dxa"/>
            <w:vAlign w:val="bottom"/>
          </w:tcPr>
          <w:p>
            <w:pPr>
              <w:spacing w:after="0"/>
              <w:rPr>
                <w:sz w:val="16"/>
                <w:szCs w:val="16"/>
                <w:color w:val="auto"/>
              </w:rPr>
            </w:pPr>
          </w:p>
        </w:tc>
      </w:tr>
      <w:tr>
        <w:trPr>
          <w:trHeight w:val="420"/>
        </w:trPr>
        <w:tc>
          <w:tcPr>
            <w:tcW w:w="6260" w:type="dxa"/>
            <w:vAlign w:val="bottom"/>
          </w:tcPr>
          <w:p>
            <w:pPr>
              <w:spacing w:after="0"/>
              <w:rPr>
                <w:sz w:val="20"/>
                <w:szCs w:val="20"/>
                <w:color w:val="auto"/>
              </w:rPr>
            </w:pPr>
            <w:r>
              <w:rPr>
                <w:rFonts w:ascii="Arial" w:cs="Arial" w:eastAsia="Arial" w:hAnsi="Arial"/>
                <w:sz w:val="13"/>
                <w:szCs w:val="13"/>
                <w:color w:val="auto"/>
              </w:rPr>
              <w:t>Re-measurements are recognised in the Consolidated Statement of Comprehensive Income as follows:</w:t>
            </w:r>
          </w:p>
        </w:tc>
        <w:tc>
          <w:tcPr>
            <w:tcW w:w="2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9"/>
        </w:trPr>
        <w:tc>
          <w:tcPr>
            <w:tcW w:w="6260" w:type="dxa"/>
            <w:vAlign w:val="bottom"/>
          </w:tcPr>
          <w:p>
            <w:pPr>
              <w:spacing w:after="0"/>
              <w:rPr>
                <w:sz w:val="7"/>
                <w:szCs w:val="7"/>
                <w:color w:val="auto"/>
              </w:rPr>
            </w:pPr>
          </w:p>
        </w:tc>
        <w:tc>
          <w:tcPr>
            <w:tcW w:w="2200" w:type="dxa"/>
            <w:vAlign w:val="bottom"/>
          </w:tcPr>
          <w:p>
            <w:pPr>
              <w:spacing w:after="0"/>
              <w:rPr>
                <w:sz w:val="7"/>
                <w:szCs w:val="7"/>
                <w:color w:val="auto"/>
              </w:rPr>
            </w:pPr>
          </w:p>
        </w:tc>
        <w:tc>
          <w:tcPr>
            <w:tcW w:w="2820" w:type="dxa"/>
            <w:vAlign w:val="bottom"/>
            <w:gridSpan w:val="3"/>
          </w:tcPr>
          <w:p>
            <w:pPr>
              <w:spacing w:after="0"/>
              <w:rPr>
                <w:sz w:val="7"/>
                <w:szCs w:val="7"/>
                <w:color w:val="auto"/>
              </w:rPr>
            </w:pPr>
          </w:p>
        </w:tc>
      </w:tr>
      <w:tr>
        <w:trPr>
          <w:trHeight w:val="155"/>
        </w:trPr>
        <w:tc>
          <w:tcPr>
            <w:tcW w:w="626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2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7"/>
        </w:trPr>
        <w:tc>
          <w:tcPr>
            <w:tcW w:w="6260" w:type="dxa"/>
            <w:vAlign w:val="bottom"/>
            <w:tcBorders>
              <w:bottom w:val="single" w:sz="8" w:color="auto"/>
            </w:tcBorders>
            <w:shd w:val="clear" w:color="auto" w:fill="CCEEFF"/>
          </w:tcPr>
          <w:p>
            <w:pPr>
              <w:spacing w:after="0"/>
              <w:rPr>
                <w:sz w:val="15"/>
                <w:szCs w:val="15"/>
                <w:color w:val="auto"/>
              </w:rPr>
            </w:pPr>
          </w:p>
        </w:tc>
        <w:tc>
          <w:tcPr>
            <w:tcW w:w="220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December 2019</w:t>
            </w: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2018</w:t>
            </w:r>
          </w:p>
        </w:tc>
      </w:tr>
      <w:tr>
        <w:trPr>
          <w:trHeight w:val="182"/>
        </w:trPr>
        <w:tc>
          <w:tcPr>
            <w:tcW w:w="62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860" w:type="dxa"/>
            <w:vAlign w:val="bottom"/>
          </w:tcPr>
          <w:p>
            <w:pPr>
              <w:jc w:val="right"/>
              <w:ind w:right="476"/>
              <w:spacing w:after="0"/>
              <w:rPr>
                <w:sz w:val="20"/>
                <w:szCs w:val="20"/>
                <w:color w:val="auto"/>
              </w:rPr>
            </w:pPr>
            <w:r>
              <w:rPr>
                <w:rFonts w:ascii="Arial" w:cs="Arial" w:eastAsia="Arial" w:hAnsi="Arial"/>
                <w:sz w:val="13"/>
                <w:szCs w:val="13"/>
                <w:b w:val="1"/>
                <w:bCs w:val="1"/>
                <w:color w:val="auto"/>
              </w:rPr>
              <w:t>$’000</w:t>
            </w:r>
          </w:p>
        </w:tc>
        <w:tc>
          <w:tcPr>
            <w:tcW w:w="96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209"/>
        </w:trPr>
        <w:tc>
          <w:tcPr>
            <w:tcW w:w="62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3"/>
        </w:trPr>
        <w:tc>
          <w:tcPr>
            <w:tcW w:w="6260" w:type="dxa"/>
            <w:vAlign w:val="bottom"/>
          </w:tcPr>
          <w:p>
            <w:pPr>
              <w:ind w:left="20"/>
              <w:spacing w:after="0"/>
              <w:rPr>
                <w:sz w:val="20"/>
                <w:szCs w:val="20"/>
                <w:color w:val="auto"/>
              </w:rPr>
            </w:pPr>
            <w:r>
              <w:rPr>
                <w:rFonts w:ascii="Arial" w:cs="Arial" w:eastAsia="Arial" w:hAnsi="Arial"/>
                <w:sz w:val="13"/>
                <w:szCs w:val="13"/>
                <w:color w:val="auto"/>
              </w:rPr>
              <w:t>Return on Plan Assets (excl. amounts included in interest income/expense)</w:t>
            </w:r>
          </w:p>
        </w:tc>
        <w:tc>
          <w:tcPr>
            <w:tcW w:w="2200" w:type="dxa"/>
            <w:vAlign w:val="bottom"/>
          </w:tcPr>
          <w:p>
            <w:pPr>
              <w:spacing w:after="0"/>
              <w:rPr>
                <w:sz w:val="15"/>
                <w:szCs w:val="15"/>
                <w:color w:val="auto"/>
              </w:rPr>
            </w:pPr>
          </w:p>
        </w:tc>
        <w:tc>
          <w:tcPr>
            <w:tcW w:w="1860" w:type="dxa"/>
            <w:vAlign w:val="bottom"/>
          </w:tcPr>
          <w:p>
            <w:pPr>
              <w:jc w:val="right"/>
              <w:ind w:right="616"/>
              <w:spacing w:after="0"/>
              <w:rPr>
                <w:sz w:val="20"/>
                <w:szCs w:val="20"/>
                <w:color w:val="auto"/>
              </w:rPr>
            </w:pPr>
            <w:r>
              <w:rPr>
                <w:rFonts w:ascii="Arial" w:cs="Arial" w:eastAsia="Arial" w:hAnsi="Arial"/>
                <w:sz w:val="13"/>
                <w:szCs w:val="13"/>
                <w:b w:val="1"/>
                <w:bCs w:val="1"/>
                <w:color w:val="auto"/>
              </w:rPr>
              <w:t>1,114</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(240)</w:t>
            </w:r>
          </w:p>
        </w:tc>
        <w:tc>
          <w:tcPr>
            <w:tcW w:w="20" w:type="dxa"/>
            <w:vAlign w:val="bottom"/>
          </w:tcPr>
          <w:p>
            <w:pPr>
              <w:spacing w:after="0"/>
              <w:rPr>
                <w:sz w:val="15"/>
                <w:szCs w:val="15"/>
                <w:color w:val="auto"/>
              </w:rPr>
            </w:pPr>
          </w:p>
        </w:tc>
      </w:tr>
      <w:tr>
        <w:trPr>
          <w:trHeight w:val="199"/>
        </w:trPr>
        <w:tc>
          <w:tcPr>
            <w:tcW w:w="6260" w:type="dxa"/>
            <w:vAlign w:val="bottom"/>
            <w:shd w:val="clear" w:color="auto" w:fill="CCEEFF"/>
          </w:tcPr>
          <w:p>
            <w:pPr>
              <w:ind w:left="60"/>
              <w:spacing w:after="0"/>
              <w:rPr>
                <w:sz w:val="20"/>
                <w:szCs w:val="20"/>
                <w:color w:val="auto"/>
              </w:rPr>
            </w:pPr>
            <w:r>
              <w:rPr>
                <w:rFonts w:ascii="Arial" w:cs="Arial" w:eastAsia="Arial" w:hAnsi="Arial"/>
                <w:sz w:val="13"/>
                <w:szCs w:val="13"/>
                <w:color w:val="auto"/>
              </w:rPr>
              <w:t>Gain or loss from change in demographic assumptions</w:t>
            </w:r>
          </w:p>
        </w:tc>
        <w:tc>
          <w:tcPr>
            <w:tcW w:w="2200" w:type="dxa"/>
            <w:vAlign w:val="bottom"/>
            <w:shd w:val="clear" w:color="auto" w:fill="CCEEFF"/>
          </w:tcPr>
          <w:p>
            <w:pPr>
              <w:spacing w:after="0"/>
              <w:rPr>
                <w:sz w:val="17"/>
                <w:szCs w:val="17"/>
                <w:color w:val="auto"/>
              </w:rPr>
            </w:pPr>
          </w:p>
        </w:tc>
        <w:tc>
          <w:tcPr>
            <w:tcW w:w="1860" w:type="dxa"/>
            <w:vAlign w:val="bottom"/>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360</w:t>
            </w:r>
          </w:p>
        </w:tc>
        <w:tc>
          <w:tcPr>
            <w:tcW w:w="20" w:type="dxa"/>
            <w:vAlign w:val="bottom"/>
            <w:shd w:val="clear" w:color="auto" w:fill="CCEEFF"/>
          </w:tcPr>
          <w:p>
            <w:pPr>
              <w:spacing w:after="0"/>
              <w:rPr>
                <w:sz w:val="17"/>
                <w:szCs w:val="17"/>
                <w:color w:val="auto"/>
              </w:rPr>
            </w:pPr>
          </w:p>
        </w:tc>
      </w:tr>
      <w:tr>
        <w:trPr>
          <w:trHeight w:val="183"/>
        </w:trPr>
        <w:tc>
          <w:tcPr>
            <w:tcW w:w="6260" w:type="dxa"/>
            <w:vAlign w:val="bottom"/>
          </w:tcPr>
          <w:p>
            <w:pPr>
              <w:ind w:left="60"/>
              <w:spacing w:after="0"/>
              <w:rPr>
                <w:sz w:val="20"/>
                <w:szCs w:val="20"/>
                <w:color w:val="auto"/>
              </w:rPr>
            </w:pPr>
            <w:r>
              <w:rPr>
                <w:rFonts w:ascii="Arial" w:cs="Arial" w:eastAsia="Arial" w:hAnsi="Arial"/>
                <w:sz w:val="13"/>
                <w:szCs w:val="13"/>
                <w:color w:val="auto"/>
              </w:rPr>
              <w:t>Gain or loss from change in financial assumptions</w:t>
            </w:r>
          </w:p>
        </w:tc>
        <w:tc>
          <w:tcPr>
            <w:tcW w:w="2200" w:type="dxa"/>
            <w:vAlign w:val="bottom"/>
          </w:tcPr>
          <w:p>
            <w:pPr>
              <w:spacing w:after="0"/>
              <w:rPr>
                <w:sz w:val="15"/>
                <w:szCs w:val="15"/>
                <w:color w:val="auto"/>
              </w:rPr>
            </w:pPr>
          </w:p>
        </w:tc>
        <w:tc>
          <w:tcPr>
            <w:tcW w:w="1860" w:type="dxa"/>
            <w:vAlign w:val="bottom"/>
          </w:tcPr>
          <w:p>
            <w:pPr>
              <w:jc w:val="right"/>
              <w:ind w:right="576"/>
              <w:spacing w:after="0"/>
              <w:rPr>
                <w:sz w:val="20"/>
                <w:szCs w:val="20"/>
                <w:color w:val="auto"/>
              </w:rPr>
            </w:pPr>
            <w:r>
              <w:rPr>
                <w:rFonts w:ascii="Arial" w:cs="Arial" w:eastAsia="Arial" w:hAnsi="Arial"/>
                <w:sz w:val="13"/>
                <w:szCs w:val="13"/>
                <w:b w:val="1"/>
                <w:bCs w:val="1"/>
                <w:color w:val="auto"/>
              </w:rPr>
              <w:t>(519)</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r>
      <w:tr>
        <w:trPr>
          <w:trHeight w:val="191"/>
        </w:trPr>
        <w:tc>
          <w:tcPr>
            <w:tcW w:w="6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Experience gain or loss</w:t>
            </w:r>
          </w:p>
        </w:tc>
        <w:tc>
          <w:tcPr>
            <w:tcW w:w="2200" w:type="dxa"/>
            <w:vAlign w:val="bottom"/>
            <w:tcBorders>
              <w:bottom w:val="single" w:sz="8" w:color="auto"/>
            </w:tcBorders>
            <w:shd w:val="clear" w:color="auto" w:fill="CCEEFF"/>
          </w:tcPr>
          <w:p>
            <w:pPr>
              <w:spacing w:after="0"/>
              <w:rPr>
                <w:sz w:val="16"/>
                <w:szCs w:val="16"/>
                <w:color w:val="auto"/>
              </w:rPr>
            </w:pPr>
          </w:p>
        </w:tc>
        <w:tc>
          <w:tcPr>
            <w:tcW w:w="18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(960)</w:t>
            </w: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12</w:t>
            </w:r>
          </w:p>
        </w:tc>
        <w:tc>
          <w:tcPr>
            <w:tcW w:w="20" w:type="dxa"/>
            <w:vAlign w:val="bottom"/>
            <w:tcBorders>
              <w:bottom w:val="single" w:sz="8" w:color="auto"/>
            </w:tcBorders>
            <w:shd w:val="clear" w:color="auto" w:fill="CCEEFF"/>
          </w:tcPr>
          <w:p>
            <w:pPr>
              <w:spacing w:after="0"/>
              <w:rPr>
                <w:sz w:val="16"/>
                <w:szCs w:val="16"/>
                <w:color w:val="auto"/>
              </w:rPr>
            </w:pPr>
          </w:p>
        </w:tc>
      </w:tr>
      <w:tr>
        <w:trPr>
          <w:trHeight w:val="189"/>
        </w:trPr>
        <w:tc>
          <w:tcPr>
            <w:tcW w:w="62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Comprehensive income at end of year</w:t>
            </w:r>
          </w:p>
        </w:tc>
        <w:tc>
          <w:tcPr>
            <w:tcW w:w="2200" w:type="dxa"/>
            <w:vAlign w:val="bottom"/>
            <w:tcBorders>
              <w:bottom w:val="single" w:sz="8" w:color="auto"/>
            </w:tcBorders>
            <w:shd w:val="clear" w:color="auto" w:fill="CCEEFF"/>
          </w:tcPr>
          <w:p>
            <w:pPr>
              <w:spacing w:after="0"/>
              <w:rPr>
                <w:sz w:val="16"/>
                <w:szCs w:val="16"/>
                <w:color w:val="auto"/>
              </w:rPr>
            </w:pPr>
          </w:p>
        </w:tc>
        <w:tc>
          <w:tcPr>
            <w:tcW w:w="18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(365)</w:t>
            </w: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132</w:t>
            </w:r>
          </w:p>
        </w:tc>
        <w:tc>
          <w:tcPr>
            <w:tcW w:w="20" w:type="dxa"/>
            <w:vAlign w:val="bottom"/>
            <w:tcBorders>
              <w:bottom w:val="single" w:sz="8" w:color="auto"/>
            </w:tcBorders>
            <w:shd w:val="clear" w:color="auto" w:fill="CCEEFF"/>
          </w:tcPr>
          <w:p>
            <w:pPr>
              <w:spacing w:after="0"/>
              <w:rPr>
                <w:sz w:val="16"/>
                <w:szCs w:val="16"/>
                <w:color w:val="auto"/>
              </w:rPr>
            </w:pPr>
          </w:p>
        </w:tc>
      </w:tr>
      <w:tr>
        <w:trPr>
          <w:trHeight w:val="409"/>
        </w:trPr>
        <w:tc>
          <w:tcPr>
            <w:tcW w:w="6260" w:type="dxa"/>
            <w:vAlign w:val="bottom"/>
          </w:tcPr>
          <w:p>
            <w:pPr>
              <w:spacing w:after="0"/>
              <w:rPr>
                <w:sz w:val="20"/>
                <w:szCs w:val="20"/>
                <w:color w:val="auto"/>
              </w:rPr>
            </w:pPr>
            <w:r>
              <w:rPr>
                <w:rFonts w:ascii="Arial" w:cs="Arial" w:eastAsia="Arial" w:hAnsi="Arial"/>
                <w:sz w:val="13"/>
                <w:szCs w:val="13"/>
                <w:color w:val="auto"/>
                <w:w w:val="99"/>
              </w:rPr>
              <w:t>Defined benefit pension expense recognised in the Consolidated Statement of Profit and Loss was as follows:</w:t>
            </w:r>
          </w:p>
        </w:tc>
        <w:tc>
          <w:tcPr>
            <w:tcW w:w="2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9"/>
        </w:trPr>
        <w:tc>
          <w:tcPr>
            <w:tcW w:w="6260" w:type="dxa"/>
            <w:vAlign w:val="bottom"/>
          </w:tcPr>
          <w:p>
            <w:pPr>
              <w:spacing w:after="0"/>
              <w:rPr>
                <w:sz w:val="7"/>
                <w:szCs w:val="7"/>
                <w:color w:val="auto"/>
              </w:rPr>
            </w:pPr>
          </w:p>
        </w:tc>
        <w:tc>
          <w:tcPr>
            <w:tcW w:w="2200" w:type="dxa"/>
            <w:vAlign w:val="bottom"/>
          </w:tcPr>
          <w:p>
            <w:pPr>
              <w:spacing w:after="0"/>
              <w:rPr>
                <w:sz w:val="7"/>
                <w:szCs w:val="7"/>
                <w:color w:val="auto"/>
              </w:rPr>
            </w:pPr>
          </w:p>
        </w:tc>
        <w:tc>
          <w:tcPr>
            <w:tcW w:w="2820" w:type="dxa"/>
            <w:vAlign w:val="bottom"/>
            <w:gridSpan w:val="3"/>
          </w:tcPr>
          <w:p>
            <w:pPr>
              <w:spacing w:after="0"/>
              <w:rPr>
                <w:sz w:val="7"/>
                <w:szCs w:val="7"/>
                <w:color w:val="auto"/>
              </w:rPr>
            </w:pPr>
          </w:p>
        </w:tc>
      </w:tr>
      <w:tr>
        <w:trPr>
          <w:trHeight w:val="155"/>
        </w:trPr>
        <w:tc>
          <w:tcPr>
            <w:tcW w:w="626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28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7"/>
        </w:trPr>
        <w:tc>
          <w:tcPr>
            <w:tcW w:w="6260" w:type="dxa"/>
            <w:vAlign w:val="bottom"/>
            <w:tcBorders>
              <w:bottom w:val="single" w:sz="8" w:color="auto"/>
            </w:tcBorders>
            <w:shd w:val="clear" w:color="auto" w:fill="CCEEFF"/>
          </w:tcPr>
          <w:p>
            <w:pPr>
              <w:spacing w:after="0"/>
              <w:rPr>
                <w:sz w:val="15"/>
                <w:szCs w:val="15"/>
                <w:color w:val="auto"/>
              </w:rPr>
            </w:pPr>
          </w:p>
        </w:tc>
        <w:tc>
          <w:tcPr>
            <w:tcW w:w="220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December 2019</w:t>
            </w: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2018</w:t>
            </w:r>
          </w:p>
        </w:tc>
      </w:tr>
      <w:tr>
        <w:trPr>
          <w:trHeight w:val="182"/>
        </w:trPr>
        <w:tc>
          <w:tcPr>
            <w:tcW w:w="62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860" w:type="dxa"/>
            <w:vAlign w:val="bottom"/>
          </w:tcPr>
          <w:p>
            <w:pPr>
              <w:jc w:val="right"/>
              <w:ind w:right="456"/>
              <w:spacing w:after="0"/>
              <w:rPr>
                <w:sz w:val="20"/>
                <w:szCs w:val="20"/>
                <w:color w:val="auto"/>
              </w:rPr>
            </w:pPr>
            <w:r>
              <w:rPr>
                <w:rFonts w:ascii="Arial" w:cs="Arial" w:eastAsia="Arial" w:hAnsi="Arial"/>
                <w:sz w:val="13"/>
                <w:szCs w:val="13"/>
                <w:b w:val="1"/>
                <w:bCs w:val="1"/>
                <w:color w:val="auto"/>
              </w:rPr>
              <w:t>$’000</w:t>
            </w:r>
          </w:p>
        </w:tc>
        <w:tc>
          <w:tcPr>
            <w:tcW w:w="9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$’000</w:t>
            </w:r>
          </w:p>
        </w:tc>
      </w:tr>
      <w:tr>
        <w:trPr>
          <w:trHeight w:val="209"/>
        </w:trPr>
        <w:tc>
          <w:tcPr>
            <w:tcW w:w="62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3"/>
        </w:trPr>
        <w:tc>
          <w:tcPr>
            <w:tcW w:w="6260" w:type="dxa"/>
            <w:vAlign w:val="bottom"/>
          </w:tcPr>
          <w:p>
            <w:pPr>
              <w:ind w:left="20"/>
              <w:spacing w:after="0"/>
              <w:rPr>
                <w:sz w:val="20"/>
                <w:szCs w:val="20"/>
                <w:color w:val="auto"/>
              </w:rPr>
            </w:pPr>
            <w:r>
              <w:rPr>
                <w:rFonts w:ascii="Arial" w:cs="Arial" w:eastAsia="Arial" w:hAnsi="Arial"/>
                <w:sz w:val="13"/>
                <w:szCs w:val="13"/>
                <w:color w:val="auto"/>
              </w:rPr>
              <w:t>Current service cost recognised in profit or loss</w:t>
            </w:r>
          </w:p>
        </w:tc>
        <w:tc>
          <w:tcPr>
            <w:tcW w:w="2200" w:type="dxa"/>
            <w:vAlign w:val="bottom"/>
          </w:tcPr>
          <w:p>
            <w:pPr>
              <w:spacing w:after="0"/>
              <w:rPr>
                <w:sz w:val="15"/>
                <w:szCs w:val="15"/>
                <w:color w:val="auto"/>
              </w:rPr>
            </w:pPr>
          </w:p>
        </w:tc>
        <w:tc>
          <w:tcPr>
            <w:tcW w:w="1860" w:type="dxa"/>
            <w:vAlign w:val="bottom"/>
          </w:tcPr>
          <w:p>
            <w:pPr>
              <w:jc w:val="right"/>
              <w:ind w:right="596"/>
              <w:spacing w:after="0"/>
              <w:rPr>
                <w:sz w:val="20"/>
                <w:szCs w:val="20"/>
                <w:color w:val="auto"/>
              </w:rPr>
            </w:pPr>
            <w:r>
              <w:rPr>
                <w:rFonts w:ascii="Arial" w:cs="Arial" w:eastAsia="Arial" w:hAnsi="Arial"/>
                <w:sz w:val="13"/>
                <w:szCs w:val="13"/>
                <w:b w:val="1"/>
                <w:bCs w:val="1"/>
                <w:color w:val="auto"/>
              </w:rPr>
              <w:t>115</w:t>
            </w: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138</w:t>
            </w:r>
          </w:p>
        </w:tc>
        <w:tc>
          <w:tcPr>
            <w:tcW w:w="20" w:type="dxa"/>
            <w:vAlign w:val="bottom"/>
          </w:tcPr>
          <w:p>
            <w:pPr>
              <w:spacing w:after="0"/>
              <w:rPr>
                <w:sz w:val="15"/>
                <w:szCs w:val="15"/>
                <w:color w:val="auto"/>
              </w:rPr>
            </w:pPr>
          </w:p>
        </w:tc>
      </w:tr>
      <w:tr>
        <w:trPr>
          <w:trHeight w:val="199"/>
        </w:trPr>
        <w:tc>
          <w:tcPr>
            <w:tcW w:w="6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interest expense recognised in profit or loss</w:t>
            </w:r>
          </w:p>
        </w:tc>
        <w:tc>
          <w:tcPr>
            <w:tcW w:w="2200" w:type="dxa"/>
            <w:vAlign w:val="bottom"/>
            <w:shd w:val="clear" w:color="auto" w:fill="CCEEFF"/>
          </w:tcPr>
          <w:p>
            <w:pPr>
              <w:spacing w:after="0"/>
              <w:rPr>
                <w:sz w:val="17"/>
                <w:szCs w:val="17"/>
                <w:color w:val="auto"/>
              </w:rPr>
            </w:pPr>
          </w:p>
        </w:tc>
        <w:tc>
          <w:tcPr>
            <w:tcW w:w="1860" w:type="dxa"/>
            <w:vAlign w:val="bottom"/>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5</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w:t>
            </w:r>
          </w:p>
        </w:tc>
        <w:tc>
          <w:tcPr>
            <w:tcW w:w="20" w:type="dxa"/>
            <w:vAlign w:val="bottom"/>
            <w:shd w:val="clear" w:color="auto" w:fill="CCEEFF"/>
          </w:tcPr>
          <w:p>
            <w:pPr>
              <w:spacing w:after="0"/>
              <w:rPr>
                <w:sz w:val="17"/>
                <w:szCs w:val="17"/>
                <w:color w:val="auto"/>
              </w:rPr>
            </w:pPr>
          </w:p>
        </w:tc>
      </w:tr>
      <w:tr>
        <w:trPr>
          <w:trHeight w:val="183"/>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Past service cost</w:t>
            </w:r>
          </w:p>
        </w:tc>
        <w:tc>
          <w:tcPr>
            <w:tcW w:w="2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(8)</w:t>
            </w:r>
          </w:p>
        </w:tc>
        <w:tc>
          <w:tcPr>
            <w:tcW w:w="20" w:type="dxa"/>
            <w:vAlign w:val="bottom"/>
            <w:tcBorders>
              <w:bottom w:val="single" w:sz="8" w:color="auto"/>
            </w:tcBorders>
          </w:tcPr>
          <w:p>
            <w:pPr>
              <w:spacing w:after="0"/>
              <w:rPr>
                <w:sz w:val="15"/>
                <w:szCs w:val="15"/>
                <w:color w:val="auto"/>
              </w:rPr>
            </w:pPr>
          </w:p>
        </w:tc>
      </w:tr>
      <w:tr>
        <w:trPr>
          <w:trHeight w:val="189"/>
        </w:trPr>
        <w:tc>
          <w:tcPr>
            <w:tcW w:w="626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2"/>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periodic pension cost</w:t>
            </w:r>
          </w:p>
        </w:tc>
        <w:tc>
          <w:tcPr>
            <w:tcW w:w="2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120</w:t>
            </w: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136</w:t>
            </w:r>
          </w:p>
        </w:tc>
        <w:tc>
          <w:tcPr>
            <w:tcW w:w="20" w:type="dxa"/>
            <w:vAlign w:val="bottom"/>
            <w:tcBorders>
              <w:bottom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280"/>
          </w:cols>
          <w:pgMar w:left="300" w:top="696" w:right="31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Retirement benefit obligations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Plan Assets Fair Value</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plan assets at 31 December 2019 is analysed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00" w:type="dxa"/>
            <w:vAlign w:val="bottom"/>
            <w:shd w:val="clear" w:color="auto" w:fill="CCEEFF"/>
          </w:tcPr>
          <w:p>
            <w:pPr>
              <w:spacing w:after="0"/>
              <w:rPr>
                <w:sz w:val="13"/>
                <w:szCs w:val="13"/>
                <w:color w:val="auto"/>
              </w:rPr>
            </w:pPr>
          </w:p>
        </w:tc>
        <w:tc>
          <w:tcPr>
            <w:tcW w:w="534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4800" w:type="dxa"/>
            <w:vAlign w:val="bottom"/>
            <w:tcBorders>
              <w:bottom w:val="single" w:sz="8" w:color="auto"/>
            </w:tcBorders>
            <w:shd w:val="clear" w:color="auto" w:fill="CCEEFF"/>
          </w:tcPr>
          <w:p>
            <w:pPr>
              <w:spacing w:after="0"/>
              <w:rPr>
                <w:sz w:val="15"/>
                <w:szCs w:val="15"/>
                <w:color w:val="auto"/>
              </w:rPr>
            </w:pPr>
          </w:p>
        </w:tc>
        <w:tc>
          <w:tcPr>
            <w:tcW w:w="53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4800" w:type="dxa"/>
            <w:vAlign w:val="bottom"/>
          </w:tcPr>
          <w:p>
            <w:pPr>
              <w:spacing w:after="0"/>
              <w:rPr>
                <w:sz w:val="15"/>
                <w:szCs w:val="15"/>
                <w:color w:val="auto"/>
              </w:rPr>
            </w:pPr>
          </w:p>
        </w:tc>
        <w:tc>
          <w:tcPr>
            <w:tcW w:w="534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7"/>
        </w:trPr>
        <w:tc>
          <w:tcPr>
            <w:tcW w:w="4800" w:type="dxa"/>
            <w:vAlign w:val="bottom"/>
            <w:shd w:val="clear" w:color="auto" w:fill="CCEEFF"/>
          </w:tcPr>
          <w:p>
            <w:pPr>
              <w:spacing w:after="0"/>
              <w:rPr>
                <w:sz w:val="15"/>
                <w:szCs w:val="15"/>
                <w:color w:val="auto"/>
              </w:rPr>
            </w:pPr>
          </w:p>
        </w:tc>
        <w:tc>
          <w:tcPr>
            <w:tcW w:w="5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92"/>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Unit funds</w:t>
            </w:r>
          </w:p>
        </w:tc>
        <w:tc>
          <w:tcPr>
            <w:tcW w:w="53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6,014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4,707</w:t>
            </w:r>
          </w:p>
        </w:tc>
      </w:tr>
    </w:tbl>
    <w:p>
      <w:pPr>
        <w:spacing w:after="0" w:line="2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assets of the scheme are invested in an insured plan with Swiss Life and held in a combination of debt securities, equity securities and in real estate. There is no self-investment in employer related assets.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Sensitivity assumptions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sensitivity of the defined benefit obligation to changes in the weighted principal assumptions is: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Borders>
              <w:bottom w:val="single" w:sz="8" w:color="auto"/>
            </w:tcBorders>
            <w:shd w:val="clear" w:color="auto" w:fill="CCEEFF"/>
          </w:tcPr>
          <w:p>
            <w:pPr>
              <w:spacing w:after="0"/>
              <w:rPr>
                <w:sz w:val="16"/>
                <w:szCs w:val="16"/>
                <w:color w:val="auto"/>
              </w:rPr>
            </w:pPr>
          </w:p>
        </w:tc>
        <w:tc>
          <w:tcPr>
            <w:tcW w:w="492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3"/>
                <w:szCs w:val="13"/>
                <w:b w:val="1"/>
                <w:bCs w:val="1"/>
                <w:color w:val="auto"/>
              </w:rPr>
              <w:t>Change in Assumption</w:t>
            </w:r>
          </w:p>
        </w:tc>
        <w:tc>
          <w:tcPr>
            <w:tcW w:w="372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3"/>
                <w:szCs w:val="13"/>
                <w:b w:val="1"/>
                <w:bCs w:val="1"/>
                <w:color w:val="auto"/>
                <w:w w:val="98"/>
              </w:rPr>
              <w:t>Change in Liabilities</w:t>
            </w:r>
          </w:p>
        </w:tc>
      </w:tr>
      <w:tr>
        <w:trPr>
          <w:trHeight w:val="151"/>
        </w:trPr>
        <w:tc>
          <w:tcPr>
            <w:tcW w:w="26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91"/>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p>
        </w:tc>
        <w:tc>
          <w:tcPr>
            <w:tcW w:w="4920" w:type="dxa"/>
            <w:vAlign w:val="bottom"/>
            <w:shd w:val="clear" w:color="auto" w:fill="CCEEFF"/>
          </w:tcPr>
          <w:p>
            <w:pPr>
              <w:ind w:left="1340"/>
              <w:spacing w:after="0"/>
              <w:rPr>
                <w:sz w:val="20"/>
                <w:szCs w:val="20"/>
                <w:color w:val="auto"/>
              </w:rPr>
            </w:pPr>
            <w:r>
              <w:rPr>
                <w:rFonts w:ascii="Arial" w:cs="Arial" w:eastAsia="Arial" w:hAnsi="Arial"/>
                <w:sz w:val="13"/>
                <w:szCs w:val="13"/>
                <w:color w:val="auto"/>
              </w:rPr>
              <w:t>Decrease of 0.25% p.a.</w:t>
            </w:r>
          </w:p>
        </w:tc>
        <w:tc>
          <w:tcPr>
            <w:tcW w:w="3720" w:type="dxa"/>
            <w:vAlign w:val="bottom"/>
            <w:shd w:val="clear" w:color="auto" w:fill="CCEEFF"/>
          </w:tcPr>
          <w:p>
            <w:pPr>
              <w:jc w:val="center"/>
              <w:ind w:left="196"/>
              <w:spacing w:after="0"/>
              <w:rPr>
                <w:sz w:val="20"/>
                <w:szCs w:val="20"/>
                <w:color w:val="auto"/>
              </w:rPr>
            </w:pPr>
            <w:r>
              <w:rPr>
                <w:rFonts w:ascii="Arial" w:cs="Arial" w:eastAsia="Arial" w:hAnsi="Arial"/>
                <w:sz w:val="13"/>
                <w:szCs w:val="13"/>
                <w:color w:val="auto"/>
                <w:w w:val="97"/>
              </w:rPr>
              <w:t>Increase by 4.4%</w:t>
            </w:r>
          </w:p>
        </w:tc>
      </w:tr>
      <w:tr>
        <w:trPr>
          <w:trHeight w:val="183"/>
        </w:trPr>
        <w:tc>
          <w:tcPr>
            <w:tcW w:w="2620" w:type="dxa"/>
            <w:vAlign w:val="bottom"/>
          </w:tcPr>
          <w:p>
            <w:pPr>
              <w:ind w:left="20"/>
              <w:spacing w:after="0"/>
              <w:rPr>
                <w:sz w:val="20"/>
                <w:szCs w:val="20"/>
                <w:color w:val="auto"/>
              </w:rPr>
            </w:pPr>
            <w:r>
              <w:rPr>
                <w:rFonts w:ascii="Arial" w:cs="Arial" w:eastAsia="Arial" w:hAnsi="Arial"/>
                <w:sz w:val="13"/>
                <w:szCs w:val="13"/>
                <w:color w:val="auto"/>
              </w:rPr>
              <w:t>Rate of Salary Growth</w:t>
            </w:r>
          </w:p>
        </w:tc>
        <w:tc>
          <w:tcPr>
            <w:tcW w:w="4920" w:type="dxa"/>
            <w:vAlign w:val="bottom"/>
          </w:tcPr>
          <w:p>
            <w:pPr>
              <w:ind w:left="1340"/>
              <w:spacing w:after="0"/>
              <w:rPr>
                <w:sz w:val="20"/>
                <w:szCs w:val="20"/>
                <w:color w:val="auto"/>
              </w:rPr>
            </w:pPr>
            <w:r>
              <w:rPr>
                <w:rFonts w:ascii="Arial" w:cs="Arial" w:eastAsia="Arial" w:hAnsi="Arial"/>
                <w:sz w:val="13"/>
                <w:szCs w:val="13"/>
                <w:color w:val="auto"/>
              </w:rPr>
              <w:t>Increase of 0.25% p.a.</w:t>
            </w:r>
          </w:p>
        </w:tc>
        <w:tc>
          <w:tcPr>
            <w:tcW w:w="3720" w:type="dxa"/>
            <w:vAlign w:val="bottom"/>
          </w:tcPr>
          <w:p>
            <w:pPr>
              <w:jc w:val="center"/>
              <w:ind w:left="196"/>
              <w:spacing w:after="0"/>
              <w:rPr>
                <w:sz w:val="20"/>
                <w:szCs w:val="20"/>
                <w:color w:val="auto"/>
              </w:rPr>
            </w:pPr>
            <w:r>
              <w:rPr>
                <w:rFonts w:ascii="Arial" w:cs="Arial" w:eastAsia="Arial" w:hAnsi="Arial"/>
                <w:sz w:val="13"/>
                <w:szCs w:val="13"/>
                <w:color w:val="auto"/>
                <w:w w:val="97"/>
              </w:rPr>
              <w:t>Increase by 0.2%</w:t>
            </w:r>
          </w:p>
        </w:tc>
      </w:tr>
      <w:tr>
        <w:trPr>
          <w:trHeight w:val="191"/>
        </w:trPr>
        <w:tc>
          <w:tcPr>
            <w:tcW w:w="2620" w:type="dxa"/>
            <w:vAlign w:val="bottom"/>
            <w:tcBorders>
              <w:bottom w:val="single" w:sz="8" w:color="00000A"/>
            </w:tcBorders>
            <w:shd w:val="clear" w:color="auto" w:fill="CCEEFF"/>
          </w:tcPr>
          <w:p>
            <w:pPr>
              <w:ind w:left="20"/>
              <w:spacing w:after="0"/>
              <w:rPr>
                <w:sz w:val="20"/>
                <w:szCs w:val="20"/>
                <w:color w:val="auto"/>
              </w:rPr>
            </w:pPr>
            <w:r>
              <w:rPr>
                <w:rFonts w:ascii="Arial" w:cs="Arial" w:eastAsia="Arial" w:hAnsi="Arial"/>
                <w:sz w:val="13"/>
                <w:szCs w:val="13"/>
                <w:color w:val="auto"/>
              </w:rPr>
              <w:t>Rate of Mortality</w:t>
            </w:r>
          </w:p>
        </w:tc>
        <w:tc>
          <w:tcPr>
            <w:tcW w:w="4920" w:type="dxa"/>
            <w:vAlign w:val="bottom"/>
            <w:tcBorders>
              <w:bottom w:val="single" w:sz="8" w:color="00000A"/>
            </w:tcBorders>
            <w:shd w:val="clear" w:color="auto" w:fill="CCEEFF"/>
          </w:tcPr>
          <w:p>
            <w:pPr>
              <w:ind w:left="1340"/>
              <w:spacing w:after="0"/>
              <w:rPr>
                <w:sz w:val="20"/>
                <w:szCs w:val="20"/>
                <w:color w:val="auto"/>
              </w:rPr>
            </w:pPr>
            <w:r>
              <w:rPr>
                <w:rFonts w:ascii="Arial" w:cs="Arial" w:eastAsia="Arial" w:hAnsi="Arial"/>
                <w:sz w:val="13"/>
                <w:szCs w:val="13"/>
                <w:color w:val="auto"/>
              </w:rPr>
              <w:t>Decrease in mortality rate of 1.00% p.a.</w:t>
            </w:r>
          </w:p>
        </w:tc>
        <w:tc>
          <w:tcPr>
            <w:tcW w:w="3720" w:type="dxa"/>
            <w:vAlign w:val="bottom"/>
            <w:tcBorders>
              <w:bottom w:val="single" w:sz="8" w:color="00000A"/>
            </w:tcBorders>
            <w:shd w:val="clear" w:color="auto" w:fill="CCEEFF"/>
          </w:tcPr>
          <w:p>
            <w:pPr>
              <w:jc w:val="center"/>
              <w:ind w:left="196"/>
              <w:spacing w:after="0"/>
              <w:rPr>
                <w:sz w:val="20"/>
                <w:szCs w:val="20"/>
                <w:color w:val="auto"/>
              </w:rPr>
            </w:pPr>
            <w:r>
              <w:rPr>
                <w:rFonts w:ascii="Arial" w:cs="Arial" w:eastAsia="Arial" w:hAnsi="Arial"/>
                <w:sz w:val="13"/>
                <w:szCs w:val="13"/>
                <w:color w:val="auto"/>
                <w:w w:val="97"/>
              </w:rPr>
              <w:t>Increase by 0.2%</w:t>
            </w:r>
          </w:p>
        </w:tc>
      </w:tr>
    </w:tbl>
    <w:p>
      <w:pPr>
        <w:spacing w:after="0" w:line="25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sensitivities shown above are approximate. Each sensitivity considers one change in isolation. The inflation sensitivity includes the impact of changes to the assumptions for revaluation, pension increases and salary growth. The average duration of the defined benefit obligation at the period ending 31 December 2019 is 17 years.</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plan typically exposes the Company to actuarial risks such as investment risk, interest rate risk, salary growth risk, mortality risk and longevity risk. A decrease in corporate bond yields, a rise in inflation or an increase in life expectancy would result in an increase to plan liabilities. This would detrimentally impact the Balance Sheet position and may give rise to increased charges in future Statements of Profit and Loss. This effect would be partially offset by an increase in the value of the plan’s bond holdings, and in qualifying death in service insurance policies that cover mortality risk. Additionally, caps on inflationary increases are in place to protect the plan against extreme inflation.</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Share-based payment</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3"/>
          <w:szCs w:val="13"/>
          <w:i w:val="1"/>
          <w:iCs w:val="1"/>
          <w:color w:val="auto"/>
        </w:rPr>
        <w:t>Share Options</w:t>
      </w:r>
    </w:p>
    <w:p>
      <w:pPr>
        <w:spacing w:after="0" w:line="138"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21 July 2008 the Company adopted the Employee Share Option Plan 2008 (the “2008 Employee Plan”) pursuant to which the Compensation and Organisation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Organisation Committee of the Company’s Board of Directors may grant options to any consultant, adviser or non-Executive Director retained by the Company or any Subsidiary for the purchase of ordinary shares.</w:t>
      </w:r>
    </w:p>
    <w:p>
      <w:pPr>
        <w:spacing w:after="0" w:line="12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14 February 2017 both the 2008 Employee Plan and the 2008 Consultants Plan (together the “2008 Option Plans”) were amended and restated in order to increase the number of options that can be issued under the 2008 Consultants Plan from 0.4 million to 1 million and to extend the date for options to be granted under the 2008 Option Plans.</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3"/>
          <w:szCs w:val="13"/>
          <w:color w:val="auto"/>
        </w:rPr>
        <w:t>An aggregate of 6.0 million ordinary shares have been reserved under the 2008 Employee Plan, as reduced by any shares issued or to be issued pursuant to options granted under the 2008 Consultants Plan, under which a limit of 1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No options may be granted under the 2008 Option Plans after 14 February 2027.</w:t>
      </w:r>
    </w:p>
    <w:p>
      <w:pPr>
        <w:spacing w:after="0" w:line="123"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Each option granted under the 2008 Employees Plan or the 2008 Consultants Plan (together the “2008 Option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280"/>
          </w:cols>
          <w:pgMar w:left="300" w:top="696" w:right="31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Share-based payments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29"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17 January 2003 the Company adopted the Share Option Plan 2003 (“the 2003 Plan”), pursuant to which the Compensation and Organisation Committee of the Company’s Board of Directors could grant options to employees of the Company or its subsidiaries for the purchase of ordinary shares. Each grant of an option under the 2003 Plan was to be evidenced by a Stock Option Agreement between the individual and the Company. The exercise price was to be specified in each Stock Option Agreement; however option prices could not be less than 100% of the fair market value of an ordinary share on the date the option was granted.</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An aggregate of 6.0 million ordinary shares were reserved under the 2003 Plan; and, in no event could the number of ordinary shares that may be issued pursuant to options awarded under the 2003 Plan exceed 10% of the outstanding shares, as defined in the 2003 Plan, at the time of the grant. Further, the maximum number of ordinary shares with respect to which options could be granted under the 2003 Plan during any calendar year to any employee was 0.4 million ordinary shares. The 2003 Share Option Plan expired on 17 January 2013. No new options may be granted under this plan.</w:t>
      </w:r>
    </w:p>
    <w:p>
      <w:pPr>
        <w:spacing w:after="0" w:line="16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Share option awards are granted with an exercise price equal to the market price of the Company’s ordinary shares at date of grant. Share options typically vest over a period of five years from date of grant and expire eight years from date of grant. Share options granted to non-executive directors during 2018 vest over 12 months and expire eight years from the date of grant. The maximum contractual term of options outstanding at 31 December 2018 is eight years.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Set out below is a summary of the total number of options outstanding and number of options available to grant under each plan as at 31 December 2019:</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Borders>
              <w:bottom w:val="single" w:sz="8" w:color="auto"/>
            </w:tcBorders>
            <w:shd w:val="clear" w:color="auto" w:fill="CCEEFF"/>
          </w:tcPr>
          <w:p>
            <w:pPr>
              <w:spacing w:after="0"/>
              <w:rPr>
                <w:sz w:val="16"/>
                <w:szCs w:val="16"/>
                <w:color w:val="auto"/>
              </w:rPr>
            </w:pPr>
          </w:p>
        </w:tc>
        <w:tc>
          <w:tcPr>
            <w:tcW w:w="3420" w:type="dxa"/>
            <w:vAlign w:val="bottom"/>
            <w:tcBorders>
              <w:bottom w:val="single" w:sz="8" w:color="auto"/>
            </w:tcBorders>
            <w:shd w:val="clear" w:color="auto" w:fill="CCEEFF"/>
          </w:tcPr>
          <w:p>
            <w:pPr>
              <w:spacing w:after="0"/>
              <w:rPr>
                <w:sz w:val="16"/>
                <w:szCs w:val="16"/>
                <w:color w:val="auto"/>
              </w:rPr>
            </w:pPr>
          </w:p>
        </w:tc>
        <w:tc>
          <w:tcPr>
            <w:tcW w:w="36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Outstanding</w:t>
            </w:r>
          </w:p>
        </w:tc>
        <w:tc>
          <w:tcPr>
            <w:tcW w:w="128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Available to Grant</w:t>
            </w:r>
          </w:p>
        </w:tc>
        <w:tc>
          <w:tcPr>
            <w:tcW w:w="840" w:type="dxa"/>
            <w:vAlign w:val="bottom"/>
            <w:tcBorders>
              <w:bottom w:val="single" w:sz="8" w:color="auto"/>
            </w:tcBorders>
            <w:shd w:val="clear" w:color="auto" w:fill="CCEEFF"/>
          </w:tcPr>
          <w:p>
            <w:pPr>
              <w:spacing w:after="0"/>
              <w:rPr>
                <w:sz w:val="16"/>
                <w:szCs w:val="16"/>
                <w:color w:val="auto"/>
              </w:rPr>
            </w:pPr>
          </w:p>
        </w:tc>
      </w:tr>
      <w:tr>
        <w:trPr>
          <w:trHeight w:val="147"/>
        </w:trPr>
        <w:tc>
          <w:tcPr>
            <w:tcW w:w="3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660" w:type="dxa"/>
            <w:vAlign w:val="bottom"/>
          </w:tcPr>
          <w:p>
            <w:pPr>
              <w:jc w:val="right"/>
              <w:ind w:right="496"/>
              <w:spacing w:after="0" w:line="147" w:lineRule="exact"/>
              <w:rPr>
                <w:sz w:val="20"/>
                <w:szCs w:val="20"/>
                <w:color w:val="auto"/>
              </w:rPr>
            </w:pPr>
            <w:r>
              <w:rPr>
                <w:rFonts w:ascii="Arial" w:cs="Arial" w:eastAsia="Arial" w:hAnsi="Arial"/>
                <w:sz w:val="13"/>
                <w:szCs w:val="13"/>
                <w:b w:val="1"/>
                <w:bCs w:val="1"/>
                <w:color w:val="auto"/>
              </w:rPr>
              <w:t>31 December</w:t>
            </w:r>
          </w:p>
        </w:tc>
        <w:tc>
          <w:tcPr>
            <w:tcW w:w="1280" w:type="dxa"/>
            <w:vAlign w:val="bottom"/>
          </w:tcPr>
          <w:p>
            <w:pPr>
              <w:jc w:val="right"/>
              <w:ind w:right="276"/>
              <w:spacing w:after="0" w:line="147" w:lineRule="exact"/>
              <w:rPr>
                <w:sz w:val="20"/>
                <w:szCs w:val="20"/>
                <w:color w:val="auto"/>
              </w:rPr>
            </w:pPr>
            <w:r>
              <w:rPr>
                <w:rFonts w:ascii="Arial" w:cs="Arial" w:eastAsia="Arial" w:hAnsi="Arial"/>
                <w:sz w:val="13"/>
                <w:szCs w:val="13"/>
                <w:color w:val="auto"/>
              </w:rPr>
              <w:t>31 December</w:t>
            </w:r>
          </w:p>
        </w:tc>
        <w:tc>
          <w:tcPr>
            <w:tcW w:w="1760" w:type="dxa"/>
            <w:vAlign w:val="bottom"/>
          </w:tcPr>
          <w:p>
            <w:pPr>
              <w:jc w:val="right"/>
              <w:ind w:right="576"/>
              <w:spacing w:after="0" w:line="147" w:lineRule="exact"/>
              <w:rPr>
                <w:sz w:val="20"/>
                <w:szCs w:val="20"/>
                <w:color w:val="auto"/>
              </w:rPr>
            </w:pPr>
            <w:r>
              <w:rPr>
                <w:rFonts w:ascii="Arial" w:cs="Arial" w:eastAsia="Arial" w:hAnsi="Arial"/>
                <w:sz w:val="13"/>
                <w:szCs w:val="13"/>
                <w:b w:val="1"/>
                <w:bCs w:val="1"/>
                <w:color w:val="auto"/>
              </w:rPr>
              <w:t>31 December</w:t>
            </w:r>
          </w:p>
        </w:tc>
        <w:tc>
          <w:tcPr>
            <w:tcW w:w="840" w:type="dxa"/>
            <w:vAlign w:val="bottom"/>
          </w:tcPr>
          <w:p>
            <w:pPr>
              <w:jc w:val="right"/>
              <w:spacing w:after="0" w:line="147" w:lineRule="exact"/>
              <w:rPr>
                <w:sz w:val="20"/>
                <w:szCs w:val="20"/>
                <w:color w:val="auto"/>
              </w:rPr>
            </w:pPr>
            <w:r>
              <w:rPr>
                <w:rFonts w:ascii="Arial" w:cs="Arial" w:eastAsia="Arial" w:hAnsi="Arial"/>
                <w:sz w:val="13"/>
                <w:szCs w:val="13"/>
                <w:color w:val="auto"/>
              </w:rPr>
              <w:t>31 December</w:t>
            </w:r>
          </w:p>
        </w:tc>
      </w:tr>
      <w:tr>
        <w:trPr>
          <w:trHeight w:val="177"/>
        </w:trPr>
        <w:tc>
          <w:tcPr>
            <w:tcW w:w="32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2019</w:t>
            </w:r>
          </w:p>
        </w:tc>
        <w:tc>
          <w:tcPr>
            <w:tcW w:w="12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2018</w:t>
            </w:r>
          </w:p>
        </w:tc>
        <w:tc>
          <w:tcPr>
            <w:tcW w:w="176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2018</w:t>
            </w:r>
          </w:p>
        </w:tc>
      </w:tr>
      <w:tr>
        <w:trPr>
          <w:trHeight w:val="189"/>
        </w:trPr>
        <w:tc>
          <w:tcPr>
            <w:tcW w:w="320" w:type="dxa"/>
            <w:vAlign w:val="bottom"/>
            <w:shd w:val="clear" w:color="auto" w:fill="CCEEFF"/>
          </w:tcPr>
          <w:p>
            <w:pPr>
              <w:spacing w:after="0"/>
              <w:rPr>
                <w:sz w:val="16"/>
                <w:szCs w:val="16"/>
                <w:color w:val="auto"/>
              </w:rPr>
            </w:pPr>
          </w:p>
        </w:tc>
        <w:tc>
          <w:tcPr>
            <w:tcW w:w="3420" w:type="dxa"/>
            <w:vAlign w:val="bottom"/>
            <w:shd w:val="clear" w:color="auto" w:fill="CCEEFF"/>
          </w:tcPr>
          <w:p>
            <w:pPr>
              <w:spacing w:after="0"/>
              <w:rPr>
                <w:sz w:val="16"/>
                <w:szCs w:val="16"/>
                <w:color w:val="auto"/>
              </w:rPr>
            </w:pPr>
          </w:p>
        </w:tc>
        <w:tc>
          <w:tcPr>
            <w:tcW w:w="36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3"/>
        </w:trPr>
        <w:tc>
          <w:tcPr>
            <w:tcW w:w="320" w:type="dxa"/>
            <w:vAlign w:val="bottom"/>
          </w:tcPr>
          <w:p>
            <w:pPr>
              <w:ind w:left="20"/>
              <w:spacing w:after="0"/>
              <w:rPr>
                <w:sz w:val="20"/>
                <w:szCs w:val="20"/>
                <w:color w:val="auto"/>
              </w:rPr>
            </w:pPr>
            <w:r>
              <w:rPr>
                <w:rFonts w:ascii="Arial" w:cs="Arial" w:eastAsia="Arial" w:hAnsi="Arial"/>
                <w:sz w:val="13"/>
                <w:szCs w:val="13"/>
                <w:color w:val="auto"/>
                <w:w w:val="96"/>
              </w:rPr>
              <w:t>2003</w:t>
            </w:r>
          </w:p>
        </w:tc>
        <w:tc>
          <w:tcPr>
            <w:tcW w:w="3420" w:type="dxa"/>
            <w:vAlign w:val="bottom"/>
          </w:tcPr>
          <w:p>
            <w:pPr>
              <w:ind w:left="20"/>
              <w:spacing w:after="0"/>
              <w:rPr>
                <w:sz w:val="20"/>
                <w:szCs w:val="20"/>
                <w:color w:val="auto"/>
              </w:rPr>
            </w:pPr>
            <w:r>
              <w:rPr>
                <w:rFonts w:ascii="Arial" w:cs="Arial" w:eastAsia="Arial" w:hAnsi="Arial"/>
                <w:sz w:val="13"/>
                <w:szCs w:val="13"/>
                <w:color w:val="auto"/>
              </w:rPr>
              <w:t>Stock Option Plan</w:t>
            </w:r>
          </w:p>
        </w:tc>
        <w:tc>
          <w:tcPr>
            <w:tcW w:w="3660" w:type="dxa"/>
            <w:vAlign w:val="bottom"/>
          </w:tcPr>
          <w:p>
            <w:pPr>
              <w:jc w:val="right"/>
              <w:ind w:right="636"/>
              <w:spacing w:after="0"/>
              <w:rPr>
                <w:sz w:val="20"/>
                <w:szCs w:val="20"/>
                <w:color w:val="auto"/>
              </w:rPr>
            </w:pPr>
            <w:r>
              <w:rPr>
                <w:rFonts w:ascii="Arial" w:cs="Arial" w:eastAsia="Arial" w:hAnsi="Arial"/>
                <w:sz w:val="13"/>
                <w:szCs w:val="13"/>
                <w:b w:val="1"/>
                <w:bCs w:val="1"/>
                <w:color w:val="auto"/>
              </w:rPr>
              <w:t>14,818</w:t>
            </w:r>
          </w:p>
        </w:tc>
        <w:tc>
          <w:tcPr>
            <w:tcW w:w="1280" w:type="dxa"/>
            <w:vAlign w:val="bottom"/>
          </w:tcPr>
          <w:p>
            <w:pPr>
              <w:jc w:val="right"/>
              <w:ind w:right="416"/>
              <w:spacing w:after="0"/>
              <w:rPr>
                <w:sz w:val="20"/>
                <w:szCs w:val="20"/>
                <w:color w:val="auto"/>
              </w:rPr>
            </w:pPr>
            <w:r>
              <w:rPr>
                <w:rFonts w:ascii="Arial" w:cs="Arial" w:eastAsia="Arial" w:hAnsi="Arial"/>
                <w:sz w:val="13"/>
                <w:szCs w:val="13"/>
                <w:color w:val="auto"/>
              </w:rPr>
              <w:t>28,939</w:t>
            </w:r>
          </w:p>
        </w:tc>
        <w:tc>
          <w:tcPr>
            <w:tcW w:w="1760" w:type="dxa"/>
            <w:vAlign w:val="bottom"/>
          </w:tcPr>
          <w:p>
            <w:pPr>
              <w:jc w:val="right"/>
              <w:ind w:right="696"/>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76"/>
              <w:spacing w:after="0"/>
              <w:rPr>
                <w:sz w:val="20"/>
                <w:szCs w:val="20"/>
                <w:color w:val="auto"/>
              </w:rPr>
            </w:pPr>
            <w:r>
              <w:rPr>
                <w:rFonts w:ascii="Arial" w:cs="Arial" w:eastAsia="Arial" w:hAnsi="Arial"/>
                <w:sz w:val="13"/>
                <w:szCs w:val="13"/>
                <w:color w:val="auto"/>
              </w:rPr>
              <w:t>—</w:t>
            </w:r>
          </w:p>
        </w:tc>
      </w:tr>
      <w:tr>
        <w:trPr>
          <w:trHeight w:val="191"/>
        </w:trPr>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96"/>
              </w:rPr>
              <w:t>2008</w:t>
            </w:r>
          </w:p>
        </w:tc>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Stock Option Plans</w:t>
            </w:r>
          </w:p>
        </w:tc>
        <w:tc>
          <w:tcPr>
            <w:tcW w:w="366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b w:val="1"/>
                <w:bCs w:val="1"/>
                <w:color w:val="auto"/>
              </w:rPr>
              <w:t>641,289</w:t>
            </w:r>
          </w:p>
        </w:tc>
        <w:tc>
          <w:tcPr>
            <w:tcW w:w="12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891,807</w:t>
            </w:r>
          </w:p>
        </w:tc>
        <w:tc>
          <w:tcPr>
            <w:tcW w:w="176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b w:val="1"/>
                <w:bCs w:val="1"/>
                <w:color w:val="auto"/>
              </w:rPr>
              <w:t>3,121,866</w:t>
            </w:r>
          </w:p>
        </w:tc>
        <w:tc>
          <w:tcPr>
            <w:tcW w:w="8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3,187,397</w:t>
            </w:r>
          </w:p>
        </w:tc>
      </w:tr>
      <w:tr>
        <w:trPr>
          <w:trHeight w:val="189"/>
        </w:trPr>
        <w:tc>
          <w:tcPr>
            <w:tcW w:w="3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2"/>
        </w:trPr>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89"/>
              </w:rPr>
              <w:t>Total</w:t>
            </w:r>
          </w:p>
        </w:tc>
        <w:tc>
          <w:tcPr>
            <w:tcW w:w="3420" w:type="dxa"/>
            <w:vAlign w:val="bottom"/>
            <w:tcBorders>
              <w:bottom w:val="single" w:sz="8" w:color="auto"/>
            </w:tcBorders>
            <w:shd w:val="clear" w:color="auto" w:fill="CCEEFF"/>
          </w:tcPr>
          <w:p>
            <w:pPr>
              <w:spacing w:after="0"/>
              <w:rPr>
                <w:sz w:val="16"/>
                <w:szCs w:val="16"/>
                <w:color w:val="auto"/>
              </w:rPr>
            </w:pPr>
          </w:p>
        </w:tc>
        <w:tc>
          <w:tcPr>
            <w:tcW w:w="366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b w:val="1"/>
                <w:bCs w:val="1"/>
                <w:color w:val="auto"/>
              </w:rPr>
              <w:t>656,107</w:t>
            </w:r>
          </w:p>
        </w:tc>
        <w:tc>
          <w:tcPr>
            <w:tcW w:w="12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920,746</w:t>
            </w:r>
          </w:p>
        </w:tc>
        <w:tc>
          <w:tcPr>
            <w:tcW w:w="176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b w:val="1"/>
                <w:bCs w:val="1"/>
                <w:color w:val="auto"/>
              </w:rPr>
              <w:t>3,121,866</w:t>
            </w:r>
          </w:p>
        </w:tc>
        <w:tc>
          <w:tcPr>
            <w:tcW w:w="8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3,187,397</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The 2003 Share Option Plan expired on 17 January 2013 and no further options may be granted under this plan.</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The total number of share options outstanding and exercisable at 31 December 2019 is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360" w:type="dxa"/>
            <w:vAlign w:val="bottom"/>
            <w:shd w:val="clear" w:color="auto" w:fill="CCEEFF"/>
          </w:tcPr>
          <w:p>
            <w:pPr>
              <w:spacing w:after="0"/>
              <w:rPr>
                <w:sz w:val="13"/>
                <w:szCs w:val="13"/>
                <w:color w:val="auto"/>
              </w:rPr>
            </w:pPr>
          </w:p>
        </w:tc>
        <w:tc>
          <w:tcPr>
            <w:tcW w:w="440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Number of</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w:t>
            </w:r>
          </w:p>
        </w:tc>
      </w:tr>
      <w:tr>
        <w:trPr>
          <w:trHeight w:val="177"/>
        </w:trPr>
        <w:tc>
          <w:tcPr>
            <w:tcW w:w="5360" w:type="dxa"/>
            <w:vAlign w:val="bottom"/>
            <w:tcBorders>
              <w:bottom w:val="single" w:sz="8" w:color="auto"/>
            </w:tcBorders>
            <w:shd w:val="clear" w:color="auto" w:fill="CCEEFF"/>
          </w:tcPr>
          <w:p>
            <w:pPr>
              <w:spacing w:after="0"/>
              <w:rPr>
                <w:sz w:val="15"/>
                <w:szCs w:val="15"/>
                <w:color w:val="auto"/>
              </w:rPr>
            </w:pPr>
          </w:p>
        </w:tc>
        <w:tc>
          <w:tcPr>
            <w:tcW w:w="44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Options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Exercise Price</w:t>
            </w:r>
          </w:p>
        </w:tc>
      </w:tr>
      <w:tr>
        <w:trPr>
          <w:trHeight w:val="189"/>
        </w:trPr>
        <w:tc>
          <w:tcPr>
            <w:tcW w:w="53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2"/>
        </w:trPr>
        <w:tc>
          <w:tcPr>
            <w:tcW w:w="5360" w:type="dxa"/>
            <w:vAlign w:val="bottom"/>
            <w:shd w:val="clear" w:color="auto" w:fill="CCEEFF"/>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18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Outstanding at 31 December 2017</w:t>
            </w:r>
          </w:p>
        </w:tc>
        <w:tc>
          <w:tcPr>
            <w:tcW w:w="44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1,171,393</w:t>
            </w:r>
          </w:p>
        </w:tc>
        <w:tc>
          <w:tcPr>
            <w:tcW w:w="15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$56.02</w:t>
            </w:r>
          </w:p>
        </w:tc>
      </w:tr>
      <w:tr>
        <w:trPr>
          <w:trHeight w:val="189"/>
        </w:trPr>
        <w:tc>
          <w:tcPr>
            <w:tcW w:w="5360" w:type="dxa"/>
            <w:vAlign w:val="bottom"/>
            <w:shd w:val="clear" w:color="auto" w:fill="CCEEFF"/>
          </w:tcPr>
          <w:p>
            <w:pPr>
              <w:spacing w:after="0"/>
              <w:rPr>
                <w:sz w:val="16"/>
                <w:szCs w:val="16"/>
                <w:color w:val="auto"/>
              </w:rPr>
            </w:pPr>
          </w:p>
        </w:tc>
        <w:tc>
          <w:tcPr>
            <w:tcW w:w="44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83"/>
        </w:trPr>
        <w:tc>
          <w:tcPr>
            <w:tcW w:w="5360" w:type="dxa"/>
            <w:vAlign w:val="bottom"/>
          </w:tcPr>
          <w:p>
            <w:pPr>
              <w:ind w:left="20"/>
              <w:spacing w:after="0"/>
              <w:rPr>
                <w:sz w:val="20"/>
                <w:szCs w:val="20"/>
                <w:color w:val="auto"/>
              </w:rPr>
            </w:pPr>
            <w:r>
              <w:rPr>
                <w:rFonts w:ascii="Arial" w:cs="Arial" w:eastAsia="Arial" w:hAnsi="Arial"/>
                <w:sz w:val="13"/>
                <w:szCs w:val="13"/>
                <w:color w:val="auto"/>
              </w:rPr>
              <w:t>Granted</w:t>
            </w:r>
          </w:p>
        </w:tc>
        <w:tc>
          <w:tcPr>
            <w:tcW w:w="4400" w:type="dxa"/>
            <w:vAlign w:val="bottom"/>
          </w:tcPr>
          <w:p>
            <w:pPr>
              <w:jc w:val="right"/>
              <w:ind w:right="456"/>
              <w:spacing w:after="0"/>
              <w:rPr>
                <w:sz w:val="20"/>
                <w:szCs w:val="20"/>
                <w:color w:val="auto"/>
              </w:rPr>
            </w:pPr>
            <w:r>
              <w:rPr>
                <w:rFonts w:ascii="Arial" w:cs="Arial" w:eastAsia="Arial" w:hAnsi="Arial"/>
                <w:sz w:val="13"/>
                <w:szCs w:val="13"/>
                <w:color w:val="auto"/>
              </w:rPr>
              <w:t>167,557</w:t>
            </w:r>
          </w:p>
        </w:tc>
        <w:tc>
          <w:tcPr>
            <w:tcW w:w="1520" w:type="dxa"/>
            <w:vAlign w:val="bottom"/>
          </w:tcPr>
          <w:p>
            <w:pPr>
              <w:jc w:val="right"/>
              <w:ind w:right="76"/>
              <w:spacing w:after="0"/>
              <w:rPr>
                <w:sz w:val="20"/>
                <w:szCs w:val="20"/>
                <w:color w:val="auto"/>
              </w:rPr>
            </w:pPr>
            <w:r>
              <w:rPr>
                <w:rFonts w:ascii="Arial" w:cs="Arial" w:eastAsia="Arial" w:hAnsi="Arial"/>
                <w:sz w:val="13"/>
                <w:szCs w:val="13"/>
                <w:color w:val="auto"/>
              </w:rPr>
              <w:t>$118.90</w:t>
            </w:r>
          </w:p>
        </w:tc>
      </w:tr>
      <w:tr>
        <w:trPr>
          <w:trHeight w:val="199"/>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Exercised</w:t>
            </w:r>
          </w:p>
        </w:tc>
        <w:tc>
          <w:tcPr>
            <w:tcW w:w="440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(408,699)</w:t>
            </w:r>
          </w:p>
        </w:tc>
        <w:tc>
          <w:tcPr>
            <w:tcW w:w="15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$41.12</w:t>
            </w:r>
          </w:p>
        </w:tc>
      </w:tr>
      <w:tr>
        <w:trPr>
          <w:trHeight w:val="18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Forfeited</w:t>
            </w:r>
          </w:p>
        </w:tc>
        <w:tc>
          <w:tcPr>
            <w:tcW w:w="44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(9,505)</w:t>
            </w:r>
          </w:p>
        </w:tc>
        <w:tc>
          <w:tcPr>
            <w:tcW w:w="15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$32.35</w:t>
            </w:r>
          </w:p>
        </w:tc>
      </w:tr>
      <w:tr>
        <w:trPr>
          <w:trHeight w:val="189"/>
        </w:trPr>
        <w:tc>
          <w:tcPr>
            <w:tcW w:w="5360" w:type="dxa"/>
            <w:vAlign w:val="bottom"/>
            <w:shd w:val="clear" w:color="auto" w:fill="CCEEFF"/>
          </w:tcPr>
          <w:p>
            <w:pPr>
              <w:spacing w:after="0"/>
              <w:rPr>
                <w:sz w:val="16"/>
                <w:szCs w:val="16"/>
                <w:color w:val="auto"/>
              </w:rPr>
            </w:pPr>
          </w:p>
        </w:tc>
        <w:tc>
          <w:tcPr>
            <w:tcW w:w="44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8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Outstanding at 31 December 2018</w:t>
            </w:r>
          </w:p>
        </w:tc>
        <w:tc>
          <w:tcPr>
            <w:tcW w:w="44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920,746</w:t>
            </w:r>
          </w:p>
        </w:tc>
        <w:tc>
          <w:tcPr>
            <w:tcW w:w="15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$74.32</w:t>
            </w:r>
          </w:p>
        </w:tc>
      </w:tr>
      <w:tr>
        <w:trPr>
          <w:trHeight w:val="189"/>
        </w:trPr>
        <w:tc>
          <w:tcPr>
            <w:tcW w:w="5360" w:type="dxa"/>
            <w:vAlign w:val="bottom"/>
            <w:shd w:val="clear" w:color="auto" w:fill="CCEEFF"/>
          </w:tcPr>
          <w:p>
            <w:pPr>
              <w:spacing w:after="0"/>
              <w:rPr>
                <w:sz w:val="16"/>
                <w:szCs w:val="16"/>
                <w:color w:val="auto"/>
              </w:rPr>
            </w:pPr>
          </w:p>
        </w:tc>
        <w:tc>
          <w:tcPr>
            <w:tcW w:w="44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83"/>
        </w:trPr>
        <w:tc>
          <w:tcPr>
            <w:tcW w:w="5360" w:type="dxa"/>
            <w:vAlign w:val="bottom"/>
          </w:tcPr>
          <w:p>
            <w:pPr>
              <w:ind w:left="20"/>
              <w:spacing w:after="0"/>
              <w:rPr>
                <w:sz w:val="20"/>
                <w:szCs w:val="20"/>
                <w:color w:val="auto"/>
              </w:rPr>
            </w:pPr>
            <w:r>
              <w:rPr>
                <w:rFonts w:ascii="Arial" w:cs="Arial" w:eastAsia="Arial" w:hAnsi="Arial"/>
                <w:sz w:val="13"/>
                <w:szCs w:val="13"/>
                <w:color w:val="auto"/>
              </w:rPr>
              <w:t>Granted</w:t>
            </w:r>
          </w:p>
        </w:tc>
        <w:tc>
          <w:tcPr>
            <w:tcW w:w="4400" w:type="dxa"/>
            <w:vAlign w:val="bottom"/>
          </w:tcPr>
          <w:p>
            <w:pPr>
              <w:jc w:val="right"/>
              <w:ind w:right="456"/>
              <w:spacing w:after="0"/>
              <w:rPr>
                <w:sz w:val="20"/>
                <w:szCs w:val="20"/>
                <w:color w:val="auto"/>
              </w:rPr>
            </w:pPr>
            <w:r>
              <w:rPr>
                <w:rFonts w:ascii="Arial" w:cs="Arial" w:eastAsia="Arial" w:hAnsi="Arial"/>
                <w:sz w:val="13"/>
                <w:szCs w:val="13"/>
                <w:color w:val="auto"/>
              </w:rPr>
              <w:t>97,112</w:t>
            </w:r>
          </w:p>
        </w:tc>
        <w:tc>
          <w:tcPr>
            <w:tcW w:w="1520" w:type="dxa"/>
            <w:vAlign w:val="bottom"/>
          </w:tcPr>
          <w:p>
            <w:pPr>
              <w:jc w:val="right"/>
              <w:ind w:right="76"/>
              <w:spacing w:after="0"/>
              <w:rPr>
                <w:sz w:val="20"/>
                <w:szCs w:val="20"/>
                <w:color w:val="auto"/>
              </w:rPr>
            </w:pPr>
            <w:r>
              <w:rPr>
                <w:rFonts w:ascii="Arial" w:cs="Arial" w:eastAsia="Arial" w:hAnsi="Arial"/>
                <w:sz w:val="13"/>
                <w:szCs w:val="13"/>
                <w:color w:val="auto"/>
              </w:rPr>
              <w:t>$140.13</w:t>
            </w:r>
          </w:p>
        </w:tc>
      </w:tr>
      <w:tr>
        <w:trPr>
          <w:trHeight w:val="199"/>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Exercised</w:t>
            </w:r>
          </w:p>
        </w:tc>
        <w:tc>
          <w:tcPr>
            <w:tcW w:w="440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(329,870)</w:t>
            </w:r>
          </w:p>
        </w:tc>
        <w:tc>
          <w:tcPr>
            <w:tcW w:w="15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$65.54</w:t>
            </w:r>
          </w:p>
        </w:tc>
      </w:tr>
      <w:tr>
        <w:trPr>
          <w:trHeight w:val="18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Forfeited</w:t>
            </w:r>
          </w:p>
        </w:tc>
        <w:tc>
          <w:tcPr>
            <w:tcW w:w="44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(31,881)</w:t>
            </w:r>
          </w:p>
        </w:tc>
        <w:tc>
          <w:tcPr>
            <w:tcW w:w="15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$88.12</w:t>
            </w:r>
          </w:p>
        </w:tc>
      </w:tr>
      <w:tr>
        <w:trPr>
          <w:trHeight w:val="189"/>
        </w:trPr>
        <w:tc>
          <w:tcPr>
            <w:tcW w:w="5360" w:type="dxa"/>
            <w:vAlign w:val="bottom"/>
            <w:shd w:val="clear" w:color="auto" w:fill="CCEEFF"/>
          </w:tcPr>
          <w:p>
            <w:pPr>
              <w:spacing w:after="0"/>
              <w:rPr>
                <w:sz w:val="16"/>
                <w:szCs w:val="16"/>
                <w:color w:val="auto"/>
              </w:rPr>
            </w:pPr>
          </w:p>
        </w:tc>
        <w:tc>
          <w:tcPr>
            <w:tcW w:w="44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92"/>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Outstanding at 31 December 2019</w:t>
            </w:r>
          </w:p>
        </w:tc>
        <w:tc>
          <w:tcPr>
            <w:tcW w:w="44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656,107</w:t>
            </w:r>
          </w:p>
        </w:tc>
        <w:tc>
          <w:tcPr>
            <w:tcW w:w="15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$87.80</w:t>
            </w:r>
          </w:p>
        </w:tc>
      </w:tr>
      <w:tr>
        <w:trPr>
          <w:trHeight w:val="191"/>
        </w:trPr>
        <w:tc>
          <w:tcPr>
            <w:tcW w:w="5360" w:type="dxa"/>
            <w:vAlign w:val="bottom"/>
            <w:shd w:val="clear" w:color="auto" w:fill="CCEEFF"/>
          </w:tcPr>
          <w:p>
            <w:pPr>
              <w:spacing w:after="0"/>
              <w:rPr>
                <w:sz w:val="16"/>
                <w:szCs w:val="16"/>
                <w:color w:val="auto"/>
              </w:rPr>
            </w:pPr>
          </w:p>
        </w:tc>
        <w:tc>
          <w:tcPr>
            <w:tcW w:w="44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92"/>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Exercisable at 31 December 2019</w:t>
            </w:r>
          </w:p>
        </w:tc>
        <w:tc>
          <w:tcPr>
            <w:tcW w:w="44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298,077</w:t>
            </w:r>
          </w:p>
        </w:tc>
        <w:tc>
          <w:tcPr>
            <w:tcW w:w="15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$68.72</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intrinsic value of the Company’s shares on date of exercise of share options during the year ended 31 December 2019 was $79.51 (31 December 2018: $93.36).</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280"/>
          </w:cols>
          <w:pgMar w:left="300" w:top="696" w:right="31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Share-based payments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At 31 December 2019, the range of exercise prices and weighted average remaining contractual life of outstanding and exercisable options was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Borders>
              <w:bottom w:val="single" w:sz="8" w:color="auto"/>
            </w:tcBorders>
            <w:shd w:val="clear" w:color="auto" w:fill="CCEEFF"/>
          </w:tcPr>
          <w:p>
            <w:pPr>
              <w:spacing w:after="0"/>
              <w:rPr>
                <w:sz w:val="16"/>
                <w:szCs w:val="16"/>
                <w:color w:val="auto"/>
              </w:rPr>
            </w:pPr>
          </w:p>
        </w:tc>
        <w:tc>
          <w:tcPr>
            <w:tcW w:w="2020" w:type="dxa"/>
            <w:vAlign w:val="bottom"/>
            <w:tcBorders>
              <w:bottom w:val="single" w:sz="8" w:color="auto"/>
            </w:tcBorders>
            <w:shd w:val="clear" w:color="auto" w:fill="CCEEFF"/>
          </w:tcPr>
          <w:p>
            <w:pPr>
              <w:spacing w:after="0"/>
              <w:rPr>
                <w:sz w:val="16"/>
                <w:szCs w:val="16"/>
                <w:color w:val="auto"/>
              </w:rPr>
            </w:pPr>
          </w:p>
        </w:tc>
        <w:tc>
          <w:tcPr>
            <w:tcW w:w="3460" w:type="dxa"/>
            <w:vAlign w:val="bottom"/>
            <w:tcBorders>
              <w:bottom w:val="single" w:sz="8" w:color="auto"/>
            </w:tcBorders>
            <w:gridSpan w:val="2"/>
            <w:shd w:val="clear" w:color="auto" w:fill="CCEEFF"/>
          </w:tcPr>
          <w:p>
            <w:pPr>
              <w:jc w:val="right"/>
              <w:ind w:right="1456"/>
              <w:spacing w:after="0"/>
              <w:rPr>
                <w:sz w:val="20"/>
                <w:szCs w:val="20"/>
                <w:color w:val="auto"/>
              </w:rPr>
            </w:pPr>
            <w:r>
              <w:rPr>
                <w:rFonts w:ascii="Arial" w:cs="Arial" w:eastAsia="Arial" w:hAnsi="Arial"/>
                <w:sz w:val="13"/>
                <w:szCs w:val="13"/>
                <w:b w:val="1"/>
                <w:bCs w:val="1"/>
                <w:color w:val="auto"/>
              </w:rPr>
              <w:t>Options Outstanding</w:t>
            </w:r>
          </w:p>
        </w:tc>
        <w:tc>
          <w:tcPr>
            <w:tcW w:w="28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spacing w:after="0"/>
              <w:rPr>
                <w:sz w:val="16"/>
                <w:szCs w:val="16"/>
                <w:color w:val="auto"/>
              </w:rPr>
            </w:pPr>
          </w:p>
        </w:tc>
        <w:tc>
          <w:tcPr>
            <w:tcW w:w="3400" w:type="dxa"/>
            <w:vAlign w:val="bottom"/>
            <w:tcBorders>
              <w:bottom w:val="single" w:sz="8" w:color="auto"/>
            </w:tcBorders>
            <w:gridSpan w:val="3"/>
            <w:shd w:val="clear" w:color="auto" w:fill="CCEEFF"/>
          </w:tcPr>
          <w:p>
            <w:pPr>
              <w:jc w:val="right"/>
              <w:ind w:right="1216"/>
              <w:spacing w:after="0"/>
              <w:rPr>
                <w:sz w:val="20"/>
                <w:szCs w:val="20"/>
                <w:color w:val="auto"/>
              </w:rPr>
            </w:pPr>
            <w:r>
              <w:rPr>
                <w:rFonts w:ascii="Arial" w:cs="Arial" w:eastAsia="Arial" w:hAnsi="Arial"/>
                <w:sz w:val="13"/>
                <w:szCs w:val="13"/>
                <w:b w:val="1"/>
                <w:bCs w:val="1"/>
                <w:color w:val="auto"/>
              </w:rPr>
              <w:t>Options Exercisable</w:t>
            </w:r>
          </w:p>
        </w:tc>
      </w:tr>
      <w:tr>
        <w:trPr>
          <w:trHeight w:val="147"/>
        </w:trPr>
        <w:tc>
          <w:tcPr>
            <w:tcW w:w="400" w:type="dxa"/>
            <w:vAlign w:val="bottom"/>
          </w:tcPr>
          <w:p>
            <w:pPr>
              <w:spacing w:after="0"/>
              <w:rPr>
                <w:sz w:val="12"/>
                <w:szCs w:val="12"/>
                <w:color w:val="auto"/>
              </w:rPr>
            </w:pPr>
          </w:p>
        </w:tc>
        <w:tc>
          <w:tcPr>
            <w:tcW w:w="2020" w:type="dxa"/>
            <w:vAlign w:val="bottom"/>
          </w:tcPr>
          <w:p>
            <w:pPr>
              <w:jc w:val="right"/>
              <w:ind w:right="356"/>
              <w:spacing w:after="0" w:line="147" w:lineRule="exact"/>
              <w:rPr>
                <w:sz w:val="20"/>
                <w:szCs w:val="20"/>
                <w:color w:val="auto"/>
              </w:rPr>
            </w:pPr>
            <w:r>
              <w:rPr>
                <w:rFonts w:ascii="Arial" w:cs="Arial" w:eastAsia="Arial" w:hAnsi="Arial"/>
                <w:sz w:val="13"/>
                <w:szCs w:val="13"/>
                <w:b w:val="1"/>
                <w:bCs w:val="1"/>
                <w:color w:val="auto"/>
              </w:rPr>
              <w:t>Range Exercise Price</w:t>
            </w:r>
          </w:p>
        </w:tc>
        <w:tc>
          <w:tcPr>
            <w:tcW w:w="1580" w:type="dxa"/>
            <w:vAlign w:val="bottom"/>
          </w:tcPr>
          <w:p>
            <w:pPr>
              <w:jc w:val="right"/>
              <w:spacing w:after="0" w:line="147" w:lineRule="exact"/>
              <w:rPr>
                <w:sz w:val="20"/>
                <w:szCs w:val="20"/>
                <w:color w:val="auto"/>
              </w:rPr>
            </w:pPr>
            <w:r>
              <w:rPr>
                <w:rFonts w:ascii="Arial" w:cs="Arial" w:eastAsia="Arial" w:hAnsi="Arial"/>
                <w:sz w:val="13"/>
                <w:szCs w:val="13"/>
                <w:b w:val="1"/>
                <w:bCs w:val="1"/>
                <w:color w:val="auto"/>
              </w:rPr>
              <w:t>Number of Shares</w:t>
            </w:r>
          </w:p>
        </w:tc>
        <w:tc>
          <w:tcPr>
            <w:tcW w:w="1880" w:type="dxa"/>
            <w:vAlign w:val="bottom"/>
          </w:tcPr>
          <w:p>
            <w:pPr>
              <w:jc w:val="right"/>
              <w:spacing w:after="0" w:line="147" w:lineRule="exact"/>
              <w:rPr>
                <w:sz w:val="20"/>
                <w:szCs w:val="20"/>
                <w:color w:val="auto"/>
              </w:rPr>
            </w:pPr>
            <w:r>
              <w:rPr>
                <w:rFonts w:ascii="Arial" w:cs="Arial" w:eastAsia="Arial" w:hAnsi="Arial"/>
                <w:sz w:val="13"/>
                <w:szCs w:val="13"/>
                <w:b w:val="1"/>
                <w:bCs w:val="1"/>
                <w:color w:val="auto"/>
              </w:rPr>
              <w:t>Weighted Average Remaining</w:t>
            </w:r>
          </w:p>
        </w:tc>
        <w:tc>
          <w:tcPr>
            <w:tcW w:w="280" w:type="dxa"/>
            <w:vAlign w:val="bottom"/>
          </w:tcPr>
          <w:p>
            <w:pPr>
              <w:spacing w:after="0"/>
              <w:rPr>
                <w:sz w:val="12"/>
                <w:szCs w:val="12"/>
                <w:color w:val="auto"/>
              </w:rPr>
            </w:pPr>
          </w:p>
        </w:tc>
        <w:tc>
          <w:tcPr>
            <w:tcW w:w="1700" w:type="dxa"/>
            <w:vAlign w:val="bottom"/>
          </w:tcPr>
          <w:p>
            <w:pPr>
              <w:jc w:val="right"/>
              <w:ind w:right="356"/>
              <w:spacing w:after="0" w:line="147" w:lineRule="exact"/>
              <w:rPr>
                <w:sz w:val="20"/>
                <w:szCs w:val="20"/>
                <w:color w:val="auto"/>
              </w:rPr>
            </w:pPr>
            <w:r>
              <w:rPr>
                <w:rFonts w:ascii="Arial" w:cs="Arial" w:eastAsia="Arial" w:hAnsi="Arial"/>
                <w:sz w:val="13"/>
                <w:szCs w:val="13"/>
                <w:b w:val="1"/>
                <w:bCs w:val="1"/>
                <w:color w:val="auto"/>
              </w:rPr>
              <w:t>Weighted Average</w:t>
            </w:r>
          </w:p>
        </w:tc>
        <w:tc>
          <w:tcPr>
            <w:tcW w:w="1500" w:type="dxa"/>
            <w:vAlign w:val="bottom"/>
          </w:tcPr>
          <w:p>
            <w:pPr>
              <w:jc w:val="right"/>
              <w:spacing w:after="0" w:line="147" w:lineRule="exact"/>
              <w:rPr>
                <w:sz w:val="20"/>
                <w:szCs w:val="20"/>
                <w:color w:val="auto"/>
              </w:rPr>
            </w:pPr>
            <w:r>
              <w:rPr>
                <w:rFonts w:ascii="Arial" w:cs="Arial" w:eastAsia="Arial" w:hAnsi="Arial"/>
                <w:sz w:val="13"/>
                <w:szCs w:val="13"/>
                <w:b w:val="1"/>
                <w:bCs w:val="1"/>
                <w:color w:val="auto"/>
              </w:rPr>
              <w:t>Number of Shares</w:t>
            </w:r>
          </w:p>
        </w:tc>
        <w:tc>
          <w:tcPr>
            <w:tcW w:w="160" w:type="dxa"/>
            <w:vAlign w:val="bottom"/>
          </w:tcPr>
          <w:p>
            <w:pPr>
              <w:spacing w:after="0"/>
              <w:rPr>
                <w:sz w:val="12"/>
                <w:szCs w:val="12"/>
                <w:color w:val="auto"/>
              </w:rPr>
            </w:pPr>
          </w:p>
        </w:tc>
        <w:tc>
          <w:tcPr>
            <w:tcW w:w="1740" w:type="dxa"/>
            <w:vAlign w:val="bottom"/>
          </w:tcPr>
          <w:p>
            <w:pPr>
              <w:jc w:val="right"/>
              <w:spacing w:after="0" w:line="147" w:lineRule="exact"/>
              <w:rPr>
                <w:sz w:val="20"/>
                <w:szCs w:val="20"/>
                <w:color w:val="auto"/>
              </w:rPr>
            </w:pPr>
            <w:r>
              <w:rPr>
                <w:rFonts w:ascii="Arial" w:cs="Arial" w:eastAsia="Arial" w:hAnsi="Arial"/>
                <w:sz w:val="13"/>
                <w:szCs w:val="13"/>
                <w:b w:val="1"/>
                <w:bCs w:val="1"/>
                <w:color w:val="auto"/>
                <w:w w:val="99"/>
              </w:rPr>
              <w:t>Weighted Average Exercise</w:t>
            </w:r>
          </w:p>
        </w:tc>
      </w:tr>
      <w:tr>
        <w:trPr>
          <w:trHeight w:val="177"/>
        </w:trPr>
        <w:tc>
          <w:tcPr>
            <w:tcW w:w="4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Contractual Life</w:t>
            </w: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Exercise Price</w:t>
            </w:r>
          </w:p>
        </w:tc>
        <w:tc>
          <w:tcPr>
            <w:tcW w:w="1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Price</w:t>
            </w:r>
          </w:p>
        </w:tc>
      </w:tr>
      <w:tr>
        <w:trPr>
          <w:trHeight w:val="189"/>
        </w:trPr>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02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22.30</w:t>
            </w:r>
          </w:p>
        </w:tc>
        <w:tc>
          <w:tcPr>
            <w:tcW w:w="15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35,405</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0.32</w:t>
            </w:r>
          </w:p>
        </w:tc>
        <w:tc>
          <w:tcPr>
            <w:tcW w:w="2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35,405</w:t>
            </w:r>
          </w:p>
        </w:tc>
        <w:tc>
          <w:tcPr>
            <w:tcW w:w="1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183"/>
        </w:trPr>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2020" w:type="dxa"/>
            <w:vAlign w:val="bottom"/>
          </w:tcPr>
          <w:p>
            <w:pPr>
              <w:jc w:val="right"/>
              <w:ind w:right="496"/>
              <w:spacing w:after="0"/>
              <w:rPr>
                <w:sz w:val="20"/>
                <w:szCs w:val="20"/>
                <w:color w:val="auto"/>
              </w:rPr>
            </w:pPr>
            <w:r>
              <w:rPr>
                <w:rFonts w:ascii="Arial" w:cs="Arial" w:eastAsia="Arial" w:hAnsi="Arial"/>
                <w:sz w:val="13"/>
                <w:szCs w:val="13"/>
                <w:color w:val="auto"/>
              </w:rPr>
              <w:t>23.66</w:t>
            </w:r>
          </w:p>
        </w:tc>
        <w:tc>
          <w:tcPr>
            <w:tcW w:w="1580" w:type="dxa"/>
            <w:vAlign w:val="bottom"/>
          </w:tcPr>
          <w:p>
            <w:pPr>
              <w:jc w:val="right"/>
              <w:ind w:right="136"/>
              <w:spacing w:after="0"/>
              <w:rPr>
                <w:sz w:val="20"/>
                <w:szCs w:val="20"/>
                <w:color w:val="auto"/>
              </w:rPr>
            </w:pPr>
            <w:r>
              <w:rPr>
                <w:rFonts w:ascii="Arial" w:cs="Arial" w:eastAsia="Arial" w:hAnsi="Arial"/>
                <w:sz w:val="13"/>
                <w:szCs w:val="13"/>
                <w:color w:val="auto"/>
              </w:rPr>
              <w:t>31</w:t>
            </w:r>
          </w:p>
        </w:tc>
        <w:tc>
          <w:tcPr>
            <w:tcW w:w="1880" w:type="dxa"/>
            <w:vAlign w:val="bottom"/>
          </w:tcPr>
          <w:p>
            <w:pPr>
              <w:jc w:val="right"/>
              <w:spacing w:after="0"/>
              <w:rPr>
                <w:sz w:val="20"/>
                <w:szCs w:val="20"/>
                <w:color w:val="auto"/>
              </w:rPr>
            </w:pPr>
            <w:r>
              <w:rPr>
                <w:rFonts w:ascii="Arial" w:cs="Arial" w:eastAsia="Arial" w:hAnsi="Arial"/>
                <w:sz w:val="13"/>
                <w:szCs w:val="13"/>
                <w:color w:val="auto"/>
              </w:rPr>
              <w:t>0.57</w:t>
            </w: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00" w:type="dxa"/>
            <w:vAlign w:val="bottom"/>
          </w:tcPr>
          <w:p>
            <w:pPr>
              <w:jc w:val="right"/>
              <w:ind w:right="76"/>
              <w:spacing w:after="0"/>
              <w:rPr>
                <w:sz w:val="20"/>
                <w:szCs w:val="20"/>
                <w:color w:val="auto"/>
              </w:rPr>
            </w:pPr>
            <w:r>
              <w:rPr>
                <w:rFonts w:ascii="Arial" w:cs="Arial" w:eastAsia="Arial" w:hAnsi="Arial"/>
                <w:sz w:val="13"/>
                <w:szCs w:val="13"/>
                <w:color w:val="auto"/>
              </w:rPr>
              <w:t>31</w:t>
            </w: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99"/>
        </w:trPr>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02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26.71</w:t>
            </w:r>
          </w:p>
        </w:tc>
        <w:tc>
          <w:tcPr>
            <w:tcW w:w="15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450</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0.69</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450</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183"/>
        </w:trPr>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2020" w:type="dxa"/>
            <w:vAlign w:val="bottom"/>
          </w:tcPr>
          <w:p>
            <w:pPr>
              <w:jc w:val="right"/>
              <w:ind w:right="496"/>
              <w:spacing w:after="0"/>
              <w:rPr>
                <w:sz w:val="20"/>
                <w:szCs w:val="20"/>
                <w:color w:val="auto"/>
              </w:rPr>
            </w:pPr>
            <w:r>
              <w:rPr>
                <w:rFonts w:ascii="Arial" w:cs="Arial" w:eastAsia="Arial" w:hAnsi="Arial"/>
                <w:sz w:val="13"/>
                <w:szCs w:val="13"/>
                <w:color w:val="auto"/>
              </w:rPr>
              <w:t>32.37</w:t>
            </w:r>
          </w:p>
        </w:tc>
        <w:tc>
          <w:tcPr>
            <w:tcW w:w="1580" w:type="dxa"/>
            <w:vAlign w:val="bottom"/>
          </w:tcPr>
          <w:p>
            <w:pPr>
              <w:jc w:val="right"/>
              <w:ind w:right="136"/>
              <w:spacing w:after="0"/>
              <w:rPr>
                <w:sz w:val="20"/>
                <w:szCs w:val="20"/>
                <w:color w:val="auto"/>
              </w:rPr>
            </w:pPr>
            <w:r>
              <w:rPr>
                <w:rFonts w:ascii="Arial" w:cs="Arial" w:eastAsia="Arial" w:hAnsi="Arial"/>
                <w:sz w:val="13"/>
                <w:szCs w:val="13"/>
                <w:color w:val="auto"/>
              </w:rPr>
              <w:t>18,313</w:t>
            </w:r>
          </w:p>
        </w:tc>
        <w:tc>
          <w:tcPr>
            <w:tcW w:w="1880" w:type="dxa"/>
            <w:vAlign w:val="bottom"/>
          </w:tcPr>
          <w:p>
            <w:pPr>
              <w:jc w:val="right"/>
              <w:spacing w:after="0"/>
              <w:rPr>
                <w:sz w:val="20"/>
                <w:szCs w:val="20"/>
                <w:color w:val="auto"/>
              </w:rPr>
            </w:pPr>
            <w:r>
              <w:rPr>
                <w:rFonts w:ascii="Arial" w:cs="Arial" w:eastAsia="Arial" w:hAnsi="Arial"/>
                <w:sz w:val="13"/>
                <w:szCs w:val="13"/>
                <w:color w:val="auto"/>
              </w:rPr>
              <w:t>1.33</w:t>
            </w: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00" w:type="dxa"/>
            <w:vAlign w:val="bottom"/>
          </w:tcPr>
          <w:p>
            <w:pPr>
              <w:jc w:val="right"/>
              <w:ind w:right="76"/>
              <w:spacing w:after="0"/>
              <w:rPr>
                <w:sz w:val="20"/>
                <w:szCs w:val="20"/>
                <w:color w:val="auto"/>
              </w:rPr>
            </w:pPr>
            <w:r>
              <w:rPr>
                <w:rFonts w:ascii="Arial" w:cs="Arial" w:eastAsia="Arial" w:hAnsi="Arial"/>
                <w:sz w:val="13"/>
                <w:szCs w:val="13"/>
                <w:color w:val="auto"/>
              </w:rPr>
              <w:t>18,313</w:t>
            </w: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99"/>
        </w:trPr>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02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36.22</w:t>
            </w:r>
          </w:p>
        </w:tc>
        <w:tc>
          <w:tcPr>
            <w:tcW w:w="15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645</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645</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183"/>
        </w:trPr>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2020" w:type="dxa"/>
            <w:vAlign w:val="bottom"/>
          </w:tcPr>
          <w:p>
            <w:pPr>
              <w:jc w:val="right"/>
              <w:ind w:right="496"/>
              <w:spacing w:after="0"/>
              <w:rPr>
                <w:sz w:val="20"/>
                <w:szCs w:val="20"/>
                <w:color w:val="auto"/>
              </w:rPr>
            </w:pPr>
            <w:r>
              <w:rPr>
                <w:rFonts w:ascii="Arial" w:cs="Arial" w:eastAsia="Arial" w:hAnsi="Arial"/>
                <w:sz w:val="13"/>
                <w:szCs w:val="13"/>
                <w:color w:val="auto"/>
              </w:rPr>
              <w:t>37.90</w:t>
            </w:r>
          </w:p>
        </w:tc>
        <w:tc>
          <w:tcPr>
            <w:tcW w:w="1580" w:type="dxa"/>
            <w:vAlign w:val="bottom"/>
          </w:tcPr>
          <w:p>
            <w:pPr>
              <w:jc w:val="right"/>
              <w:ind w:right="136"/>
              <w:spacing w:after="0"/>
              <w:rPr>
                <w:sz w:val="20"/>
                <w:szCs w:val="20"/>
                <w:color w:val="auto"/>
              </w:rPr>
            </w:pPr>
            <w:r>
              <w:rPr>
                <w:rFonts w:ascii="Arial" w:cs="Arial" w:eastAsia="Arial" w:hAnsi="Arial"/>
                <w:sz w:val="13"/>
                <w:szCs w:val="13"/>
                <w:color w:val="auto"/>
              </w:rPr>
              <w:t>920</w:t>
            </w:r>
          </w:p>
        </w:tc>
        <w:tc>
          <w:tcPr>
            <w:tcW w:w="1880" w:type="dxa"/>
            <w:vAlign w:val="bottom"/>
          </w:tcPr>
          <w:p>
            <w:pPr>
              <w:jc w:val="right"/>
              <w:spacing w:after="0"/>
              <w:rPr>
                <w:sz w:val="20"/>
                <w:szCs w:val="20"/>
                <w:color w:val="auto"/>
              </w:rPr>
            </w:pPr>
            <w:r>
              <w:rPr>
                <w:rFonts w:ascii="Arial" w:cs="Arial" w:eastAsia="Arial" w:hAnsi="Arial"/>
                <w:sz w:val="13"/>
                <w:szCs w:val="13"/>
                <w:color w:val="auto"/>
              </w:rPr>
              <w:t>1.93</w:t>
            </w: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00" w:type="dxa"/>
            <w:vAlign w:val="bottom"/>
          </w:tcPr>
          <w:p>
            <w:pPr>
              <w:jc w:val="right"/>
              <w:ind w:right="76"/>
              <w:spacing w:after="0"/>
              <w:rPr>
                <w:sz w:val="20"/>
                <w:szCs w:val="20"/>
                <w:color w:val="auto"/>
              </w:rPr>
            </w:pPr>
            <w:r>
              <w:rPr>
                <w:rFonts w:ascii="Arial" w:cs="Arial" w:eastAsia="Arial" w:hAnsi="Arial"/>
                <w:sz w:val="13"/>
                <w:szCs w:val="13"/>
                <w:color w:val="auto"/>
              </w:rPr>
              <w:t>920</w:t>
            </w: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99"/>
        </w:trPr>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02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40.83</w:t>
            </w:r>
          </w:p>
        </w:tc>
        <w:tc>
          <w:tcPr>
            <w:tcW w:w="15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22,740</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22,740</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183"/>
        </w:trPr>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2020" w:type="dxa"/>
            <w:vAlign w:val="bottom"/>
          </w:tcPr>
          <w:p>
            <w:pPr>
              <w:jc w:val="right"/>
              <w:ind w:right="496"/>
              <w:spacing w:after="0"/>
              <w:rPr>
                <w:sz w:val="20"/>
                <w:szCs w:val="20"/>
                <w:color w:val="auto"/>
              </w:rPr>
            </w:pPr>
            <w:r>
              <w:rPr>
                <w:rFonts w:ascii="Arial" w:cs="Arial" w:eastAsia="Arial" w:hAnsi="Arial"/>
                <w:sz w:val="13"/>
                <w:szCs w:val="13"/>
                <w:color w:val="auto"/>
              </w:rPr>
              <w:t>47.03</w:t>
            </w:r>
          </w:p>
        </w:tc>
        <w:tc>
          <w:tcPr>
            <w:tcW w:w="1580" w:type="dxa"/>
            <w:vAlign w:val="bottom"/>
          </w:tcPr>
          <w:p>
            <w:pPr>
              <w:jc w:val="right"/>
              <w:ind w:right="136"/>
              <w:spacing w:after="0"/>
              <w:rPr>
                <w:sz w:val="20"/>
                <w:szCs w:val="20"/>
                <w:color w:val="auto"/>
              </w:rPr>
            </w:pPr>
            <w:r>
              <w:rPr>
                <w:rFonts w:ascii="Arial" w:cs="Arial" w:eastAsia="Arial" w:hAnsi="Arial"/>
                <w:sz w:val="13"/>
                <w:szCs w:val="13"/>
                <w:color w:val="auto"/>
              </w:rPr>
              <w:t>2,757</w:t>
            </w:r>
          </w:p>
        </w:tc>
        <w:tc>
          <w:tcPr>
            <w:tcW w:w="1880" w:type="dxa"/>
            <w:vAlign w:val="bottom"/>
          </w:tcPr>
          <w:p>
            <w:pPr>
              <w:jc w:val="right"/>
              <w:spacing w:after="0"/>
              <w:rPr>
                <w:sz w:val="20"/>
                <w:szCs w:val="20"/>
                <w:color w:val="auto"/>
              </w:rPr>
            </w:pPr>
            <w:r>
              <w:rPr>
                <w:rFonts w:ascii="Arial" w:cs="Arial" w:eastAsia="Arial" w:hAnsi="Arial"/>
                <w:sz w:val="13"/>
                <w:szCs w:val="13"/>
                <w:color w:val="auto"/>
              </w:rPr>
              <w:t>2.17</w:t>
            </w: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00" w:type="dxa"/>
            <w:vAlign w:val="bottom"/>
          </w:tcPr>
          <w:p>
            <w:pPr>
              <w:jc w:val="right"/>
              <w:ind w:right="76"/>
              <w:spacing w:after="0"/>
              <w:rPr>
                <w:sz w:val="20"/>
                <w:szCs w:val="20"/>
                <w:color w:val="auto"/>
              </w:rPr>
            </w:pPr>
            <w:r>
              <w:rPr>
                <w:rFonts w:ascii="Arial" w:cs="Arial" w:eastAsia="Arial" w:hAnsi="Arial"/>
                <w:sz w:val="13"/>
                <w:szCs w:val="13"/>
                <w:color w:val="auto"/>
              </w:rPr>
              <w:t>2,757</w:t>
            </w: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99"/>
        </w:trPr>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02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48.67</w:t>
            </w:r>
          </w:p>
        </w:tc>
        <w:tc>
          <w:tcPr>
            <w:tcW w:w="15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10,128</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10,128</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183"/>
        </w:trPr>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2020" w:type="dxa"/>
            <w:vAlign w:val="bottom"/>
          </w:tcPr>
          <w:p>
            <w:pPr>
              <w:jc w:val="right"/>
              <w:ind w:right="496"/>
              <w:spacing w:after="0"/>
              <w:rPr>
                <w:sz w:val="20"/>
                <w:szCs w:val="20"/>
                <w:color w:val="auto"/>
              </w:rPr>
            </w:pPr>
            <w:r>
              <w:rPr>
                <w:rFonts w:ascii="Arial" w:cs="Arial" w:eastAsia="Arial" w:hAnsi="Arial"/>
                <w:sz w:val="13"/>
                <w:szCs w:val="13"/>
                <w:color w:val="auto"/>
              </w:rPr>
              <w:t>65.60</w:t>
            </w:r>
          </w:p>
        </w:tc>
        <w:tc>
          <w:tcPr>
            <w:tcW w:w="1580" w:type="dxa"/>
            <w:vAlign w:val="bottom"/>
          </w:tcPr>
          <w:p>
            <w:pPr>
              <w:jc w:val="right"/>
              <w:ind w:right="136"/>
              <w:spacing w:after="0"/>
              <w:rPr>
                <w:sz w:val="20"/>
                <w:szCs w:val="20"/>
                <w:color w:val="auto"/>
              </w:rPr>
            </w:pPr>
            <w:r>
              <w:rPr>
                <w:rFonts w:ascii="Arial" w:cs="Arial" w:eastAsia="Arial" w:hAnsi="Arial"/>
                <w:sz w:val="13"/>
                <w:szCs w:val="13"/>
                <w:color w:val="auto"/>
              </w:rPr>
              <w:t>34,342</w:t>
            </w:r>
          </w:p>
        </w:tc>
        <w:tc>
          <w:tcPr>
            <w:tcW w:w="1880" w:type="dxa"/>
            <w:vAlign w:val="bottom"/>
          </w:tcPr>
          <w:p>
            <w:pPr>
              <w:jc w:val="right"/>
              <w:spacing w:after="0"/>
              <w:rPr>
                <w:sz w:val="20"/>
                <w:szCs w:val="20"/>
                <w:color w:val="auto"/>
              </w:rPr>
            </w:pPr>
            <w:r>
              <w:rPr>
                <w:rFonts w:ascii="Arial" w:cs="Arial" w:eastAsia="Arial" w:hAnsi="Arial"/>
                <w:sz w:val="13"/>
                <w:szCs w:val="13"/>
                <w:color w:val="auto"/>
              </w:rPr>
              <w:t>4.38</w:t>
            </w: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00" w:type="dxa"/>
            <w:vAlign w:val="bottom"/>
          </w:tcPr>
          <w:p>
            <w:pPr>
              <w:jc w:val="right"/>
              <w:ind w:right="76"/>
              <w:spacing w:after="0"/>
              <w:rPr>
                <w:sz w:val="20"/>
                <w:szCs w:val="20"/>
                <w:color w:val="auto"/>
              </w:rPr>
            </w:pPr>
            <w:r>
              <w:rPr>
                <w:rFonts w:ascii="Arial" w:cs="Arial" w:eastAsia="Arial" w:hAnsi="Arial"/>
                <w:sz w:val="13"/>
                <w:szCs w:val="13"/>
                <w:color w:val="auto"/>
              </w:rPr>
              <w:t>14,646</w:t>
            </w: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99"/>
        </w:trPr>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02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66.47</w:t>
            </w:r>
          </w:p>
        </w:tc>
        <w:tc>
          <w:tcPr>
            <w:tcW w:w="15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3,445</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2,096</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183"/>
        </w:trPr>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2020" w:type="dxa"/>
            <w:vAlign w:val="bottom"/>
          </w:tcPr>
          <w:p>
            <w:pPr>
              <w:jc w:val="right"/>
              <w:ind w:right="496"/>
              <w:spacing w:after="0"/>
              <w:rPr>
                <w:sz w:val="20"/>
                <w:szCs w:val="20"/>
                <w:color w:val="auto"/>
              </w:rPr>
            </w:pPr>
            <w:r>
              <w:rPr>
                <w:rFonts w:ascii="Arial" w:cs="Arial" w:eastAsia="Arial" w:hAnsi="Arial"/>
                <w:sz w:val="13"/>
                <w:szCs w:val="13"/>
                <w:color w:val="auto"/>
              </w:rPr>
              <w:t>68.39</w:t>
            </w:r>
          </w:p>
        </w:tc>
        <w:tc>
          <w:tcPr>
            <w:tcW w:w="1580" w:type="dxa"/>
            <w:vAlign w:val="bottom"/>
          </w:tcPr>
          <w:p>
            <w:pPr>
              <w:jc w:val="right"/>
              <w:ind w:right="136"/>
              <w:spacing w:after="0"/>
              <w:rPr>
                <w:sz w:val="20"/>
                <w:szCs w:val="20"/>
                <w:color w:val="auto"/>
              </w:rPr>
            </w:pPr>
            <w:r>
              <w:rPr>
                <w:rFonts w:ascii="Arial" w:cs="Arial" w:eastAsia="Arial" w:hAnsi="Arial"/>
                <w:sz w:val="13"/>
                <w:szCs w:val="13"/>
                <w:color w:val="auto"/>
              </w:rPr>
              <w:t>61,847</w:t>
            </w:r>
          </w:p>
        </w:tc>
        <w:tc>
          <w:tcPr>
            <w:tcW w:w="1880" w:type="dxa"/>
            <w:vAlign w:val="bottom"/>
          </w:tcPr>
          <w:p>
            <w:pPr>
              <w:jc w:val="right"/>
              <w:spacing w:after="0"/>
              <w:rPr>
                <w:sz w:val="20"/>
                <w:szCs w:val="20"/>
                <w:color w:val="auto"/>
              </w:rPr>
            </w:pPr>
            <w:r>
              <w:rPr>
                <w:rFonts w:ascii="Arial" w:cs="Arial" w:eastAsia="Arial" w:hAnsi="Arial"/>
                <w:sz w:val="13"/>
                <w:szCs w:val="13"/>
                <w:color w:val="auto"/>
              </w:rPr>
              <w:t>3.18</w:t>
            </w: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00" w:type="dxa"/>
            <w:vAlign w:val="bottom"/>
          </w:tcPr>
          <w:p>
            <w:pPr>
              <w:jc w:val="right"/>
              <w:ind w:right="76"/>
              <w:spacing w:after="0"/>
              <w:rPr>
                <w:sz w:val="20"/>
                <w:szCs w:val="20"/>
                <w:color w:val="auto"/>
              </w:rPr>
            </w:pPr>
            <w:r>
              <w:rPr>
                <w:rFonts w:ascii="Arial" w:cs="Arial" w:eastAsia="Arial" w:hAnsi="Arial"/>
                <w:sz w:val="13"/>
                <w:szCs w:val="13"/>
                <w:color w:val="auto"/>
              </w:rPr>
              <w:t>38,351</w:t>
            </w: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99"/>
        </w:trPr>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02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71.95</w:t>
            </w:r>
          </w:p>
        </w:tc>
        <w:tc>
          <w:tcPr>
            <w:tcW w:w="15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100,123</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68,595</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183"/>
        </w:trPr>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2020" w:type="dxa"/>
            <w:vAlign w:val="bottom"/>
          </w:tcPr>
          <w:p>
            <w:pPr>
              <w:jc w:val="right"/>
              <w:ind w:right="496"/>
              <w:spacing w:after="0"/>
              <w:rPr>
                <w:sz w:val="20"/>
                <w:szCs w:val="20"/>
                <w:color w:val="auto"/>
              </w:rPr>
            </w:pPr>
            <w:r>
              <w:rPr>
                <w:rFonts w:ascii="Arial" w:cs="Arial" w:eastAsia="Arial" w:hAnsi="Arial"/>
                <w:sz w:val="13"/>
                <w:szCs w:val="13"/>
                <w:color w:val="auto"/>
              </w:rPr>
              <w:t>83.47</w:t>
            </w:r>
          </w:p>
        </w:tc>
        <w:tc>
          <w:tcPr>
            <w:tcW w:w="1580" w:type="dxa"/>
            <w:vAlign w:val="bottom"/>
          </w:tcPr>
          <w:p>
            <w:pPr>
              <w:jc w:val="right"/>
              <w:ind w:right="136"/>
              <w:spacing w:after="0"/>
              <w:rPr>
                <w:sz w:val="20"/>
                <w:szCs w:val="20"/>
                <w:color w:val="auto"/>
              </w:rPr>
            </w:pPr>
            <w:r>
              <w:rPr>
                <w:rFonts w:ascii="Arial" w:cs="Arial" w:eastAsia="Arial" w:hAnsi="Arial"/>
                <w:sz w:val="13"/>
                <w:szCs w:val="13"/>
                <w:color w:val="auto"/>
              </w:rPr>
              <w:t>89,308</w:t>
            </w:r>
          </w:p>
        </w:tc>
        <w:tc>
          <w:tcPr>
            <w:tcW w:w="1880" w:type="dxa"/>
            <w:vAlign w:val="bottom"/>
          </w:tcPr>
          <w:p>
            <w:pPr>
              <w:jc w:val="right"/>
              <w:spacing w:after="0"/>
              <w:rPr>
                <w:sz w:val="20"/>
                <w:szCs w:val="20"/>
                <w:color w:val="auto"/>
              </w:rPr>
            </w:pPr>
            <w:r>
              <w:rPr>
                <w:rFonts w:ascii="Arial" w:cs="Arial" w:eastAsia="Arial" w:hAnsi="Arial"/>
                <w:sz w:val="13"/>
                <w:szCs w:val="13"/>
                <w:color w:val="auto"/>
              </w:rPr>
              <w:t>5.17</w:t>
            </w: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00" w:type="dxa"/>
            <w:vAlign w:val="bottom"/>
          </w:tcPr>
          <w:p>
            <w:pPr>
              <w:jc w:val="right"/>
              <w:ind w:right="76"/>
              <w:spacing w:after="0"/>
              <w:rPr>
                <w:sz w:val="20"/>
                <w:szCs w:val="20"/>
                <w:color w:val="auto"/>
              </w:rPr>
            </w:pPr>
            <w:r>
              <w:rPr>
                <w:rFonts w:ascii="Arial" w:cs="Arial" w:eastAsia="Arial" w:hAnsi="Arial"/>
                <w:sz w:val="13"/>
                <w:szCs w:val="13"/>
                <w:color w:val="auto"/>
              </w:rPr>
              <w:t>16,578</w:t>
            </w: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99"/>
        </w:trPr>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02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90.03</w:t>
            </w:r>
          </w:p>
        </w:tc>
        <w:tc>
          <w:tcPr>
            <w:tcW w:w="15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52,082</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23,594</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183"/>
        </w:trPr>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2020" w:type="dxa"/>
            <w:vAlign w:val="bottom"/>
          </w:tcPr>
          <w:p>
            <w:pPr>
              <w:jc w:val="right"/>
              <w:ind w:right="496"/>
              <w:spacing w:after="0"/>
              <w:rPr>
                <w:sz w:val="20"/>
                <w:szCs w:val="20"/>
                <w:color w:val="auto"/>
              </w:rPr>
            </w:pPr>
            <w:r>
              <w:rPr>
                <w:rFonts w:ascii="Arial" w:cs="Arial" w:eastAsia="Arial" w:hAnsi="Arial"/>
                <w:sz w:val="13"/>
                <w:szCs w:val="13"/>
                <w:color w:val="auto"/>
              </w:rPr>
              <w:t>115.11</w:t>
            </w:r>
          </w:p>
        </w:tc>
        <w:tc>
          <w:tcPr>
            <w:tcW w:w="1580" w:type="dxa"/>
            <w:vAlign w:val="bottom"/>
          </w:tcPr>
          <w:p>
            <w:pPr>
              <w:jc w:val="right"/>
              <w:ind w:right="136"/>
              <w:spacing w:after="0"/>
              <w:rPr>
                <w:sz w:val="20"/>
                <w:szCs w:val="20"/>
                <w:color w:val="auto"/>
              </w:rPr>
            </w:pPr>
            <w:r>
              <w:rPr>
                <w:rFonts w:ascii="Arial" w:cs="Arial" w:eastAsia="Arial" w:hAnsi="Arial"/>
                <w:sz w:val="13"/>
                <w:szCs w:val="13"/>
                <w:color w:val="auto"/>
              </w:rPr>
              <w:t>87,636</w:t>
            </w:r>
          </w:p>
        </w:tc>
        <w:tc>
          <w:tcPr>
            <w:tcW w:w="1880" w:type="dxa"/>
            <w:vAlign w:val="bottom"/>
          </w:tcPr>
          <w:p>
            <w:pPr>
              <w:jc w:val="right"/>
              <w:spacing w:after="0"/>
              <w:rPr>
                <w:sz w:val="20"/>
                <w:szCs w:val="20"/>
                <w:color w:val="auto"/>
              </w:rPr>
            </w:pPr>
            <w:r>
              <w:rPr>
                <w:rFonts w:ascii="Arial" w:cs="Arial" w:eastAsia="Arial" w:hAnsi="Arial"/>
                <w:sz w:val="13"/>
                <w:szCs w:val="13"/>
                <w:color w:val="auto"/>
              </w:rPr>
              <w:t>6.17</w:t>
            </w: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00" w:type="dxa"/>
            <w:vAlign w:val="bottom"/>
          </w:tcPr>
          <w:p>
            <w:pPr>
              <w:jc w:val="right"/>
              <w:ind w:right="76"/>
              <w:spacing w:after="0"/>
              <w:rPr>
                <w:sz w:val="20"/>
                <w:szCs w:val="20"/>
                <w:color w:val="auto"/>
              </w:rPr>
            </w:pPr>
            <w:r>
              <w:rPr>
                <w:rFonts w:ascii="Arial" w:cs="Arial" w:eastAsia="Arial" w:hAnsi="Arial"/>
                <w:sz w:val="13"/>
                <w:szCs w:val="13"/>
                <w:color w:val="auto"/>
              </w:rPr>
              <w:t>6,868</w:t>
            </w: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99"/>
        </w:trPr>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02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125.74</w:t>
            </w:r>
          </w:p>
        </w:tc>
        <w:tc>
          <w:tcPr>
            <w:tcW w:w="15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41,270</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35,960</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183"/>
        </w:trPr>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2020" w:type="dxa"/>
            <w:vAlign w:val="bottom"/>
          </w:tcPr>
          <w:p>
            <w:pPr>
              <w:jc w:val="right"/>
              <w:ind w:right="496"/>
              <w:spacing w:after="0"/>
              <w:rPr>
                <w:sz w:val="20"/>
                <w:szCs w:val="20"/>
                <w:color w:val="auto"/>
              </w:rPr>
            </w:pPr>
            <w:r>
              <w:rPr>
                <w:rFonts w:ascii="Arial" w:cs="Arial" w:eastAsia="Arial" w:hAnsi="Arial"/>
                <w:sz w:val="13"/>
                <w:szCs w:val="13"/>
                <w:color w:val="auto"/>
              </w:rPr>
              <w:t>137.47</w:t>
            </w:r>
          </w:p>
        </w:tc>
        <w:tc>
          <w:tcPr>
            <w:tcW w:w="1580" w:type="dxa"/>
            <w:vAlign w:val="bottom"/>
          </w:tcPr>
          <w:p>
            <w:pPr>
              <w:jc w:val="right"/>
              <w:ind w:right="136"/>
              <w:spacing w:after="0"/>
              <w:rPr>
                <w:sz w:val="20"/>
                <w:szCs w:val="20"/>
                <w:color w:val="auto"/>
              </w:rPr>
            </w:pPr>
            <w:r>
              <w:rPr>
                <w:rFonts w:ascii="Arial" w:cs="Arial" w:eastAsia="Arial" w:hAnsi="Arial"/>
                <w:sz w:val="13"/>
                <w:szCs w:val="13"/>
                <w:color w:val="auto"/>
              </w:rPr>
              <w:t>8,378</w:t>
            </w:r>
          </w:p>
        </w:tc>
        <w:tc>
          <w:tcPr>
            <w:tcW w:w="1880" w:type="dxa"/>
            <w:vAlign w:val="bottom"/>
          </w:tcPr>
          <w:p>
            <w:pPr>
              <w:jc w:val="right"/>
              <w:spacing w:after="0"/>
              <w:rPr>
                <w:sz w:val="20"/>
                <w:szCs w:val="20"/>
                <w:color w:val="auto"/>
              </w:rPr>
            </w:pPr>
            <w:r>
              <w:rPr>
                <w:rFonts w:ascii="Arial" w:cs="Arial" w:eastAsia="Arial" w:hAnsi="Arial"/>
                <w:sz w:val="13"/>
                <w:szCs w:val="13"/>
                <w:color w:val="auto"/>
              </w:rPr>
              <w:t>7.38</w:t>
            </w: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99"/>
        </w:trPr>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02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140.38</w:t>
            </w:r>
          </w:p>
        </w:tc>
        <w:tc>
          <w:tcPr>
            <w:tcW w:w="15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86,287</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02"/>
        </w:trPr>
        <w:tc>
          <w:tcPr>
            <w:tcW w:w="4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r>
      <w:tr>
        <w:trPr>
          <w:trHeight w:val="174"/>
        </w:trPr>
        <w:tc>
          <w:tcPr>
            <w:tcW w:w="40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$22.30 - $140.38</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656,107</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4.76</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170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87.80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298,077</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1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68.72</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option fair values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grant date fair value of share options granted by the Company during the year ended 31 December 2019 was $38.95 based on the following grants: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Borders>
              <w:bottom w:val="single" w:sz="8" w:color="auto"/>
            </w:tcBorders>
            <w:shd w:val="clear" w:color="auto" w:fill="CCEEFF"/>
          </w:tcPr>
          <w:p>
            <w:pPr>
              <w:jc w:val="right"/>
              <w:ind w:right="1476"/>
              <w:spacing w:after="0"/>
              <w:rPr>
                <w:sz w:val="20"/>
                <w:szCs w:val="20"/>
                <w:color w:val="auto"/>
              </w:rPr>
            </w:pPr>
            <w:r>
              <w:rPr>
                <w:rFonts w:ascii="Arial" w:cs="Arial" w:eastAsia="Arial" w:hAnsi="Arial"/>
                <w:sz w:val="13"/>
                <w:szCs w:val="13"/>
                <w:b w:val="1"/>
                <w:bCs w:val="1"/>
                <w:color w:val="auto"/>
              </w:rPr>
              <w:t>Grant Date</w:t>
            </w:r>
          </w:p>
        </w:tc>
        <w:tc>
          <w:tcPr>
            <w:tcW w:w="350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3"/>
                <w:szCs w:val="13"/>
                <w:b w:val="1"/>
                <w:bCs w:val="1"/>
                <w:color w:val="auto"/>
              </w:rPr>
              <w:t>Number of Shares</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 Exercise Price</w:t>
            </w:r>
          </w:p>
        </w:tc>
      </w:tr>
      <w:tr>
        <w:trPr>
          <w:trHeight w:val="175"/>
        </w:trPr>
        <w:tc>
          <w:tcPr>
            <w:tcW w:w="4900" w:type="dxa"/>
            <w:vAlign w:val="bottom"/>
          </w:tcPr>
          <w:p>
            <w:pPr>
              <w:jc w:val="right"/>
              <w:ind w:right="1476"/>
              <w:spacing w:after="0"/>
              <w:rPr>
                <w:sz w:val="20"/>
                <w:szCs w:val="20"/>
                <w:color w:val="auto"/>
              </w:rPr>
            </w:pPr>
            <w:r>
              <w:rPr>
                <w:rFonts w:ascii="Arial" w:cs="Arial" w:eastAsia="Arial" w:hAnsi="Arial"/>
                <w:sz w:val="13"/>
                <w:szCs w:val="13"/>
                <w:color w:val="auto"/>
              </w:rPr>
              <w:t>3 Mar 19</w:t>
            </w:r>
          </w:p>
        </w:tc>
        <w:tc>
          <w:tcPr>
            <w:tcW w:w="3500" w:type="dxa"/>
            <w:vAlign w:val="bottom"/>
          </w:tcPr>
          <w:p>
            <w:pPr>
              <w:jc w:val="right"/>
              <w:ind w:right="916"/>
              <w:spacing w:after="0"/>
              <w:rPr>
                <w:sz w:val="20"/>
                <w:szCs w:val="20"/>
                <w:color w:val="auto"/>
              </w:rPr>
            </w:pPr>
            <w:r>
              <w:rPr>
                <w:rFonts w:ascii="Arial" w:cs="Arial" w:eastAsia="Arial" w:hAnsi="Arial"/>
                <w:sz w:val="13"/>
                <w:szCs w:val="13"/>
                <w:color w:val="auto"/>
              </w:rPr>
              <w:t>88,734</w:t>
            </w:r>
          </w:p>
        </w:tc>
        <w:tc>
          <w:tcPr>
            <w:tcW w:w="2860" w:type="dxa"/>
            <w:vAlign w:val="bottom"/>
          </w:tcPr>
          <w:p>
            <w:pPr>
              <w:jc w:val="right"/>
              <w:ind w:right="76"/>
              <w:spacing w:after="0"/>
              <w:rPr>
                <w:sz w:val="20"/>
                <w:szCs w:val="20"/>
                <w:color w:val="auto"/>
              </w:rPr>
            </w:pPr>
            <w:r>
              <w:rPr>
                <w:rFonts w:ascii="Arial" w:cs="Arial" w:eastAsia="Arial" w:hAnsi="Arial"/>
                <w:sz w:val="13"/>
                <w:szCs w:val="13"/>
                <w:color w:val="auto"/>
              </w:rPr>
              <w:t>$140.38</w:t>
            </w:r>
          </w:p>
        </w:tc>
      </w:tr>
      <w:tr>
        <w:trPr>
          <w:trHeight w:val="191"/>
        </w:trPr>
        <w:tc>
          <w:tcPr>
            <w:tcW w:w="4900" w:type="dxa"/>
            <w:vAlign w:val="bottom"/>
            <w:tcBorders>
              <w:bottom w:val="single" w:sz="8" w:color="auto"/>
            </w:tcBorders>
            <w:shd w:val="clear" w:color="auto" w:fill="CCEEFF"/>
          </w:tcPr>
          <w:p>
            <w:pPr>
              <w:jc w:val="right"/>
              <w:ind w:right="1476"/>
              <w:spacing w:after="0"/>
              <w:rPr>
                <w:sz w:val="20"/>
                <w:szCs w:val="20"/>
                <w:color w:val="auto"/>
              </w:rPr>
            </w:pPr>
            <w:r>
              <w:rPr>
                <w:rFonts w:ascii="Arial" w:cs="Arial" w:eastAsia="Arial" w:hAnsi="Arial"/>
                <w:sz w:val="13"/>
                <w:szCs w:val="13"/>
                <w:color w:val="auto"/>
              </w:rPr>
              <w:t>17 May 19</w:t>
            </w:r>
          </w:p>
        </w:tc>
        <w:tc>
          <w:tcPr>
            <w:tcW w:w="35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3"/>
                <w:szCs w:val="13"/>
                <w:color w:val="auto"/>
              </w:rPr>
              <w:t>8,378</w:t>
            </w:r>
          </w:p>
        </w:tc>
        <w:tc>
          <w:tcPr>
            <w:tcW w:w="28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$137.47</w:t>
            </w:r>
          </w:p>
        </w:tc>
      </w:tr>
      <w:tr>
        <w:trPr>
          <w:trHeight w:val="189"/>
        </w:trPr>
        <w:tc>
          <w:tcPr>
            <w:tcW w:w="49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192"/>
        </w:trPr>
        <w:tc>
          <w:tcPr>
            <w:tcW w:w="4900" w:type="dxa"/>
            <w:vAlign w:val="bottom"/>
            <w:tcBorders>
              <w:bottom w:val="single" w:sz="8" w:color="auto"/>
            </w:tcBorders>
            <w:shd w:val="clear" w:color="auto" w:fill="CCEEFF"/>
          </w:tcPr>
          <w:p>
            <w:pPr>
              <w:spacing w:after="0"/>
              <w:rPr>
                <w:sz w:val="16"/>
                <w:szCs w:val="16"/>
                <w:color w:val="auto"/>
              </w:rPr>
            </w:pPr>
          </w:p>
        </w:tc>
        <w:tc>
          <w:tcPr>
            <w:tcW w:w="35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3"/>
                <w:szCs w:val="13"/>
                <w:b w:val="1"/>
                <w:bCs w:val="1"/>
                <w:color w:val="auto"/>
              </w:rPr>
              <w:t>97,112</w:t>
            </w:r>
          </w:p>
        </w:tc>
        <w:tc>
          <w:tcPr>
            <w:tcW w:w="28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$140.13</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option fair values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grant date fair value of share options granted by the Company during the year ended 31 December 2018 was $31.74 based on the following grants: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Borders>
              <w:bottom w:val="single" w:sz="8" w:color="auto"/>
            </w:tcBorders>
            <w:shd w:val="clear" w:color="auto" w:fill="CCEEFF"/>
          </w:tcPr>
          <w:p>
            <w:pPr>
              <w:jc w:val="right"/>
              <w:ind w:right="1436"/>
              <w:spacing w:after="0"/>
              <w:rPr>
                <w:sz w:val="20"/>
                <w:szCs w:val="20"/>
                <w:color w:val="auto"/>
              </w:rPr>
            </w:pPr>
            <w:r>
              <w:rPr>
                <w:rFonts w:ascii="Arial" w:cs="Arial" w:eastAsia="Arial" w:hAnsi="Arial"/>
                <w:sz w:val="13"/>
                <w:szCs w:val="13"/>
                <w:b w:val="1"/>
                <w:bCs w:val="1"/>
                <w:color w:val="auto"/>
              </w:rPr>
              <w:t>Grant Date</w:t>
            </w:r>
          </w:p>
        </w:tc>
        <w:tc>
          <w:tcPr>
            <w:tcW w:w="34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b w:val="1"/>
                <w:bCs w:val="1"/>
                <w:color w:val="auto"/>
              </w:rPr>
              <w:t>Number of Shares</w:t>
            </w:r>
          </w:p>
        </w:tc>
        <w:tc>
          <w:tcPr>
            <w:tcW w:w="2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 Exercise Price</w:t>
            </w:r>
          </w:p>
        </w:tc>
      </w:tr>
      <w:tr>
        <w:trPr>
          <w:trHeight w:val="175"/>
        </w:trPr>
        <w:tc>
          <w:tcPr>
            <w:tcW w:w="5040" w:type="dxa"/>
            <w:vAlign w:val="bottom"/>
          </w:tcPr>
          <w:p>
            <w:pPr>
              <w:jc w:val="right"/>
              <w:ind w:right="1436"/>
              <w:spacing w:after="0"/>
              <w:rPr>
                <w:sz w:val="20"/>
                <w:szCs w:val="20"/>
                <w:color w:val="auto"/>
              </w:rPr>
            </w:pPr>
            <w:r>
              <w:rPr>
                <w:rFonts w:ascii="Arial" w:cs="Arial" w:eastAsia="Arial" w:hAnsi="Arial"/>
                <w:sz w:val="13"/>
                <w:szCs w:val="13"/>
                <w:color w:val="auto"/>
              </w:rPr>
              <w:t>3 Mar 18</w:t>
            </w:r>
          </w:p>
        </w:tc>
        <w:tc>
          <w:tcPr>
            <w:tcW w:w="3400" w:type="dxa"/>
            <w:vAlign w:val="bottom"/>
          </w:tcPr>
          <w:p>
            <w:pPr>
              <w:jc w:val="right"/>
              <w:ind w:right="736"/>
              <w:spacing w:after="0"/>
              <w:rPr>
                <w:sz w:val="20"/>
                <w:szCs w:val="20"/>
                <w:color w:val="auto"/>
              </w:rPr>
            </w:pPr>
            <w:r>
              <w:rPr>
                <w:rFonts w:ascii="Arial" w:cs="Arial" w:eastAsia="Arial" w:hAnsi="Arial"/>
                <w:sz w:val="13"/>
                <w:szCs w:val="13"/>
                <w:color w:val="auto"/>
              </w:rPr>
              <w:t>107,794</w:t>
            </w:r>
          </w:p>
        </w:tc>
        <w:tc>
          <w:tcPr>
            <w:tcW w:w="2840" w:type="dxa"/>
            <w:vAlign w:val="bottom"/>
          </w:tcPr>
          <w:p>
            <w:pPr>
              <w:jc w:val="right"/>
              <w:ind w:right="76"/>
              <w:spacing w:after="0"/>
              <w:rPr>
                <w:sz w:val="20"/>
                <w:szCs w:val="20"/>
                <w:color w:val="auto"/>
              </w:rPr>
            </w:pPr>
            <w:r>
              <w:rPr>
                <w:rFonts w:ascii="Arial" w:cs="Arial" w:eastAsia="Arial" w:hAnsi="Arial"/>
                <w:sz w:val="13"/>
                <w:szCs w:val="13"/>
                <w:color w:val="auto"/>
              </w:rPr>
              <w:t>$115.11</w:t>
            </w:r>
          </w:p>
        </w:tc>
      </w:tr>
      <w:tr>
        <w:trPr>
          <w:trHeight w:val="191"/>
        </w:trPr>
        <w:tc>
          <w:tcPr>
            <w:tcW w:w="5040" w:type="dxa"/>
            <w:vAlign w:val="bottom"/>
            <w:tcBorders>
              <w:bottom w:val="single" w:sz="8" w:color="auto"/>
            </w:tcBorders>
            <w:shd w:val="clear" w:color="auto" w:fill="CCEEFF"/>
          </w:tcPr>
          <w:p>
            <w:pPr>
              <w:jc w:val="right"/>
              <w:ind w:right="1436"/>
              <w:spacing w:after="0"/>
              <w:rPr>
                <w:sz w:val="20"/>
                <w:szCs w:val="20"/>
                <w:color w:val="auto"/>
              </w:rPr>
            </w:pPr>
            <w:r>
              <w:rPr>
                <w:rFonts w:ascii="Arial" w:cs="Arial" w:eastAsia="Arial" w:hAnsi="Arial"/>
                <w:sz w:val="13"/>
                <w:szCs w:val="13"/>
                <w:color w:val="auto"/>
              </w:rPr>
              <w:t>18 May 18</w:t>
            </w:r>
          </w:p>
        </w:tc>
        <w:tc>
          <w:tcPr>
            <w:tcW w:w="34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59,763</w:t>
            </w:r>
          </w:p>
        </w:tc>
        <w:tc>
          <w:tcPr>
            <w:tcW w:w="28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$125.74</w:t>
            </w:r>
          </w:p>
        </w:tc>
      </w:tr>
      <w:tr>
        <w:trPr>
          <w:trHeight w:val="189"/>
        </w:trPr>
        <w:tc>
          <w:tcPr>
            <w:tcW w:w="50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92"/>
        </w:trPr>
        <w:tc>
          <w:tcPr>
            <w:tcW w:w="5040" w:type="dxa"/>
            <w:vAlign w:val="bottom"/>
            <w:tcBorders>
              <w:bottom w:val="single" w:sz="8" w:color="auto"/>
            </w:tcBorders>
            <w:shd w:val="clear" w:color="auto" w:fill="CCEEFF"/>
          </w:tcPr>
          <w:p>
            <w:pPr>
              <w:spacing w:after="0"/>
              <w:rPr>
                <w:sz w:val="16"/>
                <w:szCs w:val="16"/>
                <w:color w:val="auto"/>
              </w:rPr>
            </w:pPr>
          </w:p>
        </w:tc>
        <w:tc>
          <w:tcPr>
            <w:tcW w:w="34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rPr>
              <w:t>167,557</w:t>
            </w:r>
          </w:p>
        </w:tc>
        <w:tc>
          <w:tcPr>
            <w:tcW w:w="28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$118.90</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280"/>
          </w:cols>
          <w:pgMar w:left="300" w:top="696" w:right="31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Share-based payments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 of share options – Assumptions</w:t>
      </w:r>
    </w:p>
    <w:p>
      <w:pPr>
        <w:spacing w:after="0" w:line="202"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 fair values of options granted during the year ended 31 December 2019 and the year ended 31 December 2018 were calculated using a binomial option-pricing-model, using the following assumptions: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Borders>
              <w:bottom w:val="single" w:sz="8" w:color="auto"/>
            </w:tcBorders>
            <w:shd w:val="clear" w:color="auto" w:fill="CCEEFF"/>
          </w:tcPr>
          <w:p>
            <w:pPr>
              <w:spacing w:after="0"/>
              <w:rPr>
                <w:sz w:val="16"/>
                <w:szCs w:val="16"/>
                <w:color w:val="auto"/>
              </w:rPr>
            </w:pPr>
          </w:p>
        </w:tc>
        <w:tc>
          <w:tcPr>
            <w:tcW w:w="42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Year ended 31 December 2019</w:t>
            </w:r>
          </w:p>
        </w:tc>
        <w:tc>
          <w:tcPr>
            <w:tcW w:w="2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Year ended 31 December 2018</w:t>
            </w:r>
          </w:p>
        </w:tc>
      </w:tr>
      <w:tr>
        <w:trPr>
          <w:trHeight w:val="175"/>
        </w:trPr>
        <w:tc>
          <w:tcPr>
            <w:tcW w:w="4900" w:type="dxa"/>
            <w:vAlign w:val="bottom"/>
          </w:tcPr>
          <w:p>
            <w:pPr>
              <w:ind w:left="20"/>
              <w:spacing w:after="0"/>
              <w:rPr>
                <w:sz w:val="20"/>
                <w:szCs w:val="20"/>
                <w:color w:val="auto"/>
              </w:rPr>
            </w:pPr>
            <w:r>
              <w:rPr>
                <w:rFonts w:ascii="Arial" w:cs="Arial" w:eastAsia="Arial" w:hAnsi="Arial"/>
                <w:sz w:val="13"/>
                <w:szCs w:val="13"/>
                <w:color w:val="auto"/>
              </w:rPr>
              <w:t>Weighted average share price</w:t>
            </w:r>
          </w:p>
        </w:tc>
        <w:tc>
          <w:tcPr>
            <w:tcW w:w="4280" w:type="dxa"/>
            <w:vAlign w:val="bottom"/>
          </w:tcPr>
          <w:p>
            <w:pPr>
              <w:jc w:val="right"/>
              <w:ind w:right="416"/>
              <w:spacing w:after="0"/>
              <w:rPr>
                <w:sz w:val="20"/>
                <w:szCs w:val="20"/>
                <w:color w:val="auto"/>
              </w:rPr>
            </w:pPr>
            <w:r>
              <w:rPr>
                <w:rFonts w:ascii="Arial" w:cs="Arial" w:eastAsia="Arial" w:hAnsi="Arial"/>
                <w:sz w:val="13"/>
                <w:szCs w:val="13"/>
                <w:b w:val="1"/>
                <w:bCs w:val="1"/>
                <w:color w:val="auto"/>
              </w:rPr>
              <w:t>$140.13</w:t>
            </w:r>
          </w:p>
        </w:tc>
        <w:tc>
          <w:tcPr>
            <w:tcW w:w="1960" w:type="dxa"/>
            <w:vAlign w:val="bottom"/>
          </w:tcPr>
          <w:p>
            <w:pPr>
              <w:jc w:val="right"/>
              <w:spacing w:after="0"/>
              <w:rPr>
                <w:sz w:val="20"/>
                <w:szCs w:val="20"/>
                <w:color w:val="auto"/>
              </w:rPr>
            </w:pPr>
            <w:r>
              <w:rPr>
                <w:rFonts w:ascii="Arial" w:cs="Arial" w:eastAsia="Arial" w:hAnsi="Arial"/>
                <w:sz w:val="13"/>
                <w:szCs w:val="13"/>
                <w:color w:val="auto"/>
              </w:rPr>
              <w:t>$118.90</w:t>
            </w:r>
          </w:p>
        </w:tc>
        <w:tc>
          <w:tcPr>
            <w:tcW w:w="140" w:type="dxa"/>
            <w:vAlign w:val="bottom"/>
          </w:tcPr>
          <w:p>
            <w:pPr>
              <w:spacing w:after="0"/>
              <w:rPr>
                <w:sz w:val="15"/>
                <w:szCs w:val="15"/>
                <w:color w:val="auto"/>
              </w:rPr>
            </w:pPr>
          </w:p>
        </w:tc>
      </w:tr>
      <w:tr>
        <w:trPr>
          <w:trHeight w:val="199"/>
        </w:trPr>
        <w:tc>
          <w:tcPr>
            <w:tcW w:w="4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exercise price</w:t>
            </w:r>
          </w:p>
        </w:tc>
        <w:tc>
          <w:tcPr>
            <w:tcW w:w="428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$140.13</w:t>
            </w:r>
          </w:p>
        </w:tc>
        <w:tc>
          <w:tcPr>
            <w:tcW w:w="1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$118.90</w:t>
            </w:r>
          </w:p>
        </w:tc>
        <w:tc>
          <w:tcPr>
            <w:tcW w:w="140" w:type="dxa"/>
            <w:vAlign w:val="bottom"/>
            <w:shd w:val="clear" w:color="auto" w:fill="CCEEFF"/>
          </w:tcPr>
          <w:p>
            <w:pPr>
              <w:spacing w:after="0"/>
              <w:rPr>
                <w:sz w:val="17"/>
                <w:szCs w:val="17"/>
                <w:color w:val="auto"/>
              </w:rPr>
            </w:pPr>
          </w:p>
        </w:tc>
      </w:tr>
      <w:tr>
        <w:trPr>
          <w:trHeight w:val="191"/>
        </w:trPr>
        <w:tc>
          <w:tcPr>
            <w:tcW w:w="4900" w:type="dxa"/>
            <w:vAlign w:val="bottom"/>
          </w:tcPr>
          <w:p>
            <w:pPr>
              <w:ind w:left="20"/>
              <w:spacing w:after="0"/>
              <w:rPr>
                <w:sz w:val="20"/>
                <w:szCs w:val="20"/>
                <w:color w:val="auto"/>
              </w:rPr>
            </w:pPr>
            <w:r>
              <w:rPr>
                <w:rFonts w:ascii="Arial" w:cs="Arial" w:eastAsia="Arial" w:hAnsi="Arial"/>
                <w:sz w:val="13"/>
                <w:szCs w:val="13"/>
                <w:color w:val="auto"/>
              </w:rPr>
              <w:t xml:space="preserve">Expected volatility </w:t>
            </w:r>
            <w:r>
              <w:rPr>
                <w:rFonts w:ascii="Arial" w:cs="Arial" w:eastAsia="Arial" w:hAnsi="Arial"/>
                <w:sz w:val="16"/>
                <w:szCs w:val="16"/>
                <w:color w:val="auto"/>
                <w:vertAlign w:val="superscript"/>
              </w:rPr>
              <w:t>(1)</w:t>
            </w:r>
          </w:p>
        </w:tc>
        <w:tc>
          <w:tcPr>
            <w:tcW w:w="4280" w:type="dxa"/>
            <w:vAlign w:val="bottom"/>
          </w:tcPr>
          <w:p>
            <w:pPr>
              <w:jc w:val="right"/>
              <w:ind w:right="256"/>
              <w:spacing w:after="0"/>
              <w:rPr>
                <w:sz w:val="20"/>
                <w:szCs w:val="20"/>
                <w:color w:val="auto"/>
              </w:rPr>
            </w:pPr>
            <w:r>
              <w:rPr>
                <w:rFonts w:ascii="Arial" w:cs="Arial" w:eastAsia="Arial" w:hAnsi="Arial"/>
                <w:sz w:val="13"/>
                <w:szCs w:val="13"/>
                <w:b w:val="1"/>
                <w:bCs w:val="1"/>
                <w:color w:val="auto"/>
              </w:rPr>
              <w:t>25.0 %</w:t>
            </w:r>
          </w:p>
        </w:tc>
        <w:tc>
          <w:tcPr>
            <w:tcW w:w="1960" w:type="dxa"/>
            <w:vAlign w:val="bottom"/>
          </w:tcPr>
          <w:p>
            <w:pPr>
              <w:jc w:val="right"/>
              <w:spacing w:after="0"/>
              <w:rPr>
                <w:sz w:val="20"/>
                <w:szCs w:val="20"/>
                <w:color w:val="auto"/>
              </w:rPr>
            </w:pPr>
            <w:r>
              <w:rPr>
                <w:rFonts w:ascii="Arial" w:cs="Arial" w:eastAsia="Arial" w:hAnsi="Arial"/>
                <w:sz w:val="13"/>
                <w:szCs w:val="13"/>
                <w:color w:val="auto"/>
              </w:rPr>
              <w:t>25.0</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r>
      <w:tr>
        <w:trPr>
          <w:trHeight w:val="191"/>
        </w:trPr>
        <w:tc>
          <w:tcPr>
            <w:tcW w:w="4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dividend yield</w:t>
            </w:r>
          </w:p>
        </w:tc>
        <w:tc>
          <w:tcPr>
            <w:tcW w:w="428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r>
      <w:tr>
        <w:trPr>
          <w:trHeight w:val="191"/>
        </w:trPr>
        <w:tc>
          <w:tcPr>
            <w:tcW w:w="4900" w:type="dxa"/>
            <w:vAlign w:val="bottom"/>
          </w:tcPr>
          <w:p>
            <w:pPr>
              <w:ind w:left="20"/>
              <w:spacing w:after="0"/>
              <w:rPr>
                <w:sz w:val="20"/>
                <w:szCs w:val="20"/>
                <w:color w:val="auto"/>
              </w:rPr>
            </w:pPr>
            <w:r>
              <w:rPr>
                <w:rFonts w:ascii="Arial" w:cs="Arial" w:eastAsia="Arial" w:hAnsi="Arial"/>
                <w:sz w:val="13"/>
                <w:szCs w:val="13"/>
                <w:color w:val="auto"/>
              </w:rPr>
              <w:t xml:space="preserve">Risk-free rate </w:t>
            </w:r>
            <w:r>
              <w:rPr>
                <w:rFonts w:ascii="Arial" w:cs="Arial" w:eastAsia="Arial" w:hAnsi="Arial"/>
                <w:sz w:val="16"/>
                <w:szCs w:val="16"/>
                <w:color w:val="auto"/>
                <w:vertAlign w:val="superscript"/>
              </w:rPr>
              <w:t>(2)</w:t>
            </w:r>
          </w:p>
        </w:tc>
        <w:tc>
          <w:tcPr>
            <w:tcW w:w="4280" w:type="dxa"/>
            <w:vAlign w:val="bottom"/>
          </w:tcPr>
          <w:p>
            <w:pPr>
              <w:jc w:val="right"/>
              <w:ind w:right="416"/>
              <w:spacing w:after="0"/>
              <w:rPr>
                <w:sz w:val="20"/>
                <w:szCs w:val="20"/>
                <w:color w:val="auto"/>
              </w:rPr>
            </w:pPr>
            <w:r>
              <w:rPr>
                <w:rFonts w:ascii="Arial" w:cs="Arial" w:eastAsia="Arial" w:hAnsi="Arial"/>
                <w:sz w:val="13"/>
                <w:szCs w:val="13"/>
                <w:b w:val="1"/>
                <w:bCs w:val="1"/>
                <w:color w:val="auto"/>
              </w:rPr>
              <w:t>2.2%-2.7%</w:t>
            </w:r>
          </w:p>
        </w:tc>
        <w:tc>
          <w:tcPr>
            <w:tcW w:w="1960" w:type="dxa"/>
            <w:vAlign w:val="bottom"/>
          </w:tcPr>
          <w:p>
            <w:pPr>
              <w:jc w:val="right"/>
              <w:spacing w:after="0"/>
              <w:rPr>
                <w:sz w:val="20"/>
                <w:szCs w:val="20"/>
                <w:color w:val="auto"/>
              </w:rPr>
            </w:pPr>
            <w:r>
              <w:rPr>
                <w:rFonts w:ascii="Arial" w:cs="Arial" w:eastAsia="Arial" w:hAnsi="Arial"/>
                <w:sz w:val="13"/>
                <w:szCs w:val="13"/>
                <w:color w:val="auto"/>
              </w:rPr>
              <w:t>2.8%-3.0%</w:t>
            </w:r>
          </w:p>
        </w:tc>
        <w:tc>
          <w:tcPr>
            <w:tcW w:w="140" w:type="dxa"/>
            <w:vAlign w:val="bottom"/>
          </w:tcPr>
          <w:p>
            <w:pPr>
              <w:spacing w:after="0"/>
              <w:rPr>
                <w:sz w:val="16"/>
                <w:szCs w:val="16"/>
                <w:color w:val="auto"/>
              </w:rPr>
            </w:pPr>
          </w:p>
        </w:tc>
      </w:tr>
      <w:tr>
        <w:trPr>
          <w:trHeight w:val="191"/>
        </w:trPr>
        <w:tc>
          <w:tcPr>
            <w:tcW w:w="4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Rate of forced early exercise</w:t>
            </w:r>
          </w:p>
        </w:tc>
        <w:tc>
          <w:tcPr>
            <w:tcW w:w="428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10% p.a.</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 p.a.</w:t>
            </w:r>
          </w:p>
        </w:tc>
      </w:tr>
      <w:tr>
        <w:trPr>
          <w:trHeight w:val="183"/>
        </w:trPr>
        <w:tc>
          <w:tcPr>
            <w:tcW w:w="4900" w:type="dxa"/>
            <w:vAlign w:val="bottom"/>
          </w:tcPr>
          <w:p>
            <w:pPr>
              <w:ind w:left="20"/>
              <w:spacing w:after="0"/>
              <w:rPr>
                <w:sz w:val="20"/>
                <w:szCs w:val="20"/>
                <w:color w:val="auto"/>
              </w:rPr>
            </w:pPr>
            <w:r>
              <w:rPr>
                <w:rFonts w:ascii="Arial" w:cs="Arial" w:eastAsia="Arial" w:hAnsi="Arial"/>
                <w:sz w:val="13"/>
                <w:szCs w:val="13"/>
                <w:color w:val="auto"/>
              </w:rPr>
              <w:t>Minimum gain for voluntary early exercise</w:t>
            </w:r>
          </w:p>
        </w:tc>
        <w:tc>
          <w:tcPr>
            <w:tcW w:w="4280" w:type="dxa"/>
            <w:vAlign w:val="bottom"/>
          </w:tcPr>
          <w:p>
            <w:pPr>
              <w:jc w:val="right"/>
              <w:ind w:right="256"/>
              <w:spacing w:after="0"/>
              <w:rPr>
                <w:sz w:val="20"/>
                <w:szCs w:val="20"/>
                <w:color w:val="auto"/>
              </w:rPr>
            </w:pPr>
            <w:r>
              <w:rPr>
                <w:rFonts w:ascii="Arial" w:cs="Arial" w:eastAsia="Arial" w:hAnsi="Arial"/>
                <w:sz w:val="13"/>
                <w:szCs w:val="13"/>
                <w:b w:val="1"/>
                <w:bCs w:val="1"/>
                <w:color w:val="auto"/>
              </w:rPr>
              <w:t>25% of exercise price</w:t>
            </w:r>
          </w:p>
        </w:tc>
        <w:tc>
          <w:tcPr>
            <w:tcW w:w="2100" w:type="dxa"/>
            <w:vAlign w:val="bottom"/>
            <w:gridSpan w:val="2"/>
          </w:tcPr>
          <w:p>
            <w:pPr>
              <w:jc w:val="right"/>
              <w:spacing w:after="0"/>
              <w:rPr>
                <w:sz w:val="20"/>
                <w:szCs w:val="20"/>
                <w:color w:val="auto"/>
              </w:rPr>
            </w:pPr>
            <w:r>
              <w:rPr>
                <w:rFonts w:ascii="Arial" w:cs="Arial" w:eastAsia="Arial" w:hAnsi="Arial"/>
                <w:sz w:val="13"/>
                <w:szCs w:val="13"/>
                <w:color w:val="auto"/>
              </w:rPr>
              <w:t>25% of exercise price</w:t>
            </w:r>
          </w:p>
        </w:tc>
      </w:tr>
      <w:tr>
        <w:trPr>
          <w:trHeight w:val="200"/>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Rate of voluntary early exercise at minimum gain</w:t>
            </w:r>
          </w:p>
        </w:tc>
        <w:tc>
          <w:tcPr>
            <w:tcW w:w="42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75% per annum</w:t>
            </w:r>
          </w:p>
        </w:tc>
        <w:tc>
          <w:tcPr>
            <w:tcW w:w="2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75% per annum</w:t>
            </w:r>
          </w:p>
        </w:tc>
      </w:tr>
    </w:tbl>
    <w:p>
      <w:pPr>
        <w:spacing w:after="0" w:line="78" w:lineRule="exact"/>
        <w:rPr>
          <w:sz w:val="20"/>
          <w:szCs w:val="20"/>
          <w:color w:val="auto"/>
        </w:rPr>
      </w:pPr>
    </w:p>
    <w:p>
      <w:pPr>
        <w:ind w:left="180" w:hanging="175"/>
        <w:spacing w:after="0"/>
        <w:tabs>
          <w:tab w:leader="none" w:pos="180" w:val="left"/>
        </w:tabs>
        <w:numPr>
          <w:ilvl w:val="0"/>
          <w:numId w:val="31"/>
        </w:numPr>
        <w:rPr>
          <w:rFonts w:ascii="Arial" w:cs="Arial" w:eastAsia="Arial" w:hAnsi="Arial"/>
          <w:sz w:val="11"/>
          <w:szCs w:val="11"/>
          <w:color w:val="auto"/>
        </w:rPr>
      </w:pPr>
      <w:r>
        <w:rPr>
          <w:rFonts w:ascii="Arial" w:cs="Arial" w:eastAsia="Arial" w:hAnsi="Arial"/>
          <w:sz w:val="11"/>
          <w:szCs w:val="11"/>
          <w:color w:val="auto"/>
        </w:rPr>
        <w:t>Expected volatility has been determined based upon the volatility of the Company’s share price over a period which is commensurate with the expected term of the options granted.</w:t>
      </w:r>
    </w:p>
    <w:p>
      <w:pPr>
        <w:spacing w:after="0" w:line="11" w:lineRule="exact"/>
        <w:rPr>
          <w:rFonts w:ascii="Arial" w:cs="Arial" w:eastAsia="Arial" w:hAnsi="Arial"/>
          <w:sz w:val="11"/>
          <w:szCs w:val="11"/>
          <w:color w:val="auto"/>
        </w:rPr>
      </w:pPr>
    </w:p>
    <w:p>
      <w:pPr>
        <w:ind w:left="180" w:hanging="175"/>
        <w:spacing w:after="0"/>
        <w:tabs>
          <w:tab w:leader="none" w:pos="180" w:val="left"/>
        </w:tabs>
        <w:numPr>
          <w:ilvl w:val="0"/>
          <w:numId w:val="31"/>
        </w:numPr>
        <w:rPr>
          <w:rFonts w:ascii="Arial" w:cs="Arial" w:eastAsia="Arial" w:hAnsi="Arial"/>
          <w:sz w:val="11"/>
          <w:szCs w:val="11"/>
          <w:color w:val="auto"/>
        </w:rPr>
      </w:pPr>
      <w:r>
        <w:rPr>
          <w:rFonts w:ascii="Arial" w:cs="Arial" w:eastAsia="Arial" w:hAnsi="Arial"/>
          <w:sz w:val="11"/>
          <w:szCs w:val="11"/>
          <w:color w:val="auto"/>
        </w:rPr>
        <w:t>Risk-free rate is dependent on the grant date.</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Restricted share units</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On 23 April 2013 the Company adopted the 2013 Employees Restricted Share Unit and Performance Share Unit Plan (the “2013 RSU Plan”) pursuant to which the Compensation and Organisation Committee of the Company’s Board of Directors may select any employee, or any Director holding a salaried office or employment with the Company, or a Subsidiary to receive an award under the plan. On 11 May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zero cost and vest over a service period. Awards under the 2013 RSU Plan may be settled in cash or shares at the option of the Company.</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30 April 2019 the Company approved the 2019 Consultants and Directors Restricted Share Unit Plan (the “2019 Consultants RSU Plan”), which was effective as of 16 May 2019, pursuant to which the Compensation and Organisation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in May 2019 vest over twelve months.</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has awarded RSUs and PSUs to certain key individuals of the Group. The fair value of RSUs is based on the share price at the date of grant, with the expense spread over the vesting period. The following table summarises RSU and PSU activity for the year ended 31 December 2019:</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shd w:val="clear" w:color="auto" w:fill="CCEEFF"/>
          </w:tcPr>
          <w:p>
            <w:pPr>
              <w:spacing w:after="0"/>
              <w:rPr>
                <w:sz w:val="13"/>
                <w:szCs w:val="13"/>
                <w:color w:val="auto"/>
              </w:rPr>
            </w:pPr>
          </w:p>
        </w:tc>
        <w:tc>
          <w:tcPr>
            <w:tcW w:w="252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RSU Outstanding</w:t>
            </w:r>
          </w:p>
        </w:tc>
        <w:tc>
          <w:tcPr>
            <w:tcW w:w="210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Weighted Average Grant</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PSU Outstanding</w:t>
            </w: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Weighted Average Grant</w:t>
            </w:r>
          </w:p>
        </w:tc>
      </w:tr>
      <w:tr>
        <w:trPr>
          <w:trHeight w:val="177"/>
        </w:trPr>
        <w:tc>
          <w:tcPr>
            <w:tcW w:w="3280" w:type="dxa"/>
            <w:vAlign w:val="bottom"/>
            <w:tcBorders>
              <w:bottom w:val="single" w:sz="8" w:color="auto"/>
            </w:tcBorders>
            <w:shd w:val="clear" w:color="auto" w:fill="CCEEFF"/>
          </w:tcPr>
          <w:p>
            <w:pPr>
              <w:spacing w:after="0"/>
              <w:rPr>
                <w:sz w:val="15"/>
                <w:szCs w:val="15"/>
                <w:color w:val="auto"/>
              </w:rPr>
            </w:pPr>
          </w:p>
        </w:tc>
        <w:tc>
          <w:tcPr>
            <w:tcW w:w="25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Number of Shares</w:t>
            </w:r>
          </w:p>
        </w:tc>
        <w:tc>
          <w:tcPr>
            <w:tcW w:w="21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Date Fair Value</w:t>
            </w:r>
          </w:p>
        </w:tc>
        <w:tc>
          <w:tcPr>
            <w:tcW w:w="17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Number of Shares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Date Fair Value</w:t>
            </w:r>
          </w:p>
        </w:tc>
      </w:tr>
      <w:tr>
        <w:trPr>
          <w:trHeight w:val="189"/>
        </w:trPr>
        <w:tc>
          <w:tcPr>
            <w:tcW w:w="32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83"/>
        </w:trPr>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Outstanding at 31 December 2018</w:t>
            </w:r>
          </w:p>
        </w:tc>
        <w:tc>
          <w:tcPr>
            <w:tcW w:w="25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534,677</w:t>
            </w:r>
          </w:p>
        </w:tc>
        <w:tc>
          <w:tcPr>
            <w:tcW w:w="21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$89.50</w:t>
            </w:r>
          </w:p>
        </w:tc>
        <w:tc>
          <w:tcPr>
            <w:tcW w:w="17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251,053</w:t>
            </w:r>
          </w:p>
        </w:tc>
        <w:tc>
          <w:tcPr>
            <w:tcW w:w="1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$85.95</w:t>
            </w:r>
          </w:p>
        </w:tc>
      </w:tr>
      <w:tr>
        <w:trPr>
          <w:trHeight w:val="189"/>
        </w:trPr>
        <w:tc>
          <w:tcPr>
            <w:tcW w:w="32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1"/>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Awarded</w:t>
            </w:r>
          </w:p>
        </w:tc>
        <w:tc>
          <w:tcPr>
            <w:tcW w:w="25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160,237</w:t>
            </w:r>
          </w:p>
        </w:tc>
        <w:tc>
          <w:tcPr>
            <w:tcW w:w="21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$138.33</w:t>
            </w:r>
          </w:p>
        </w:tc>
        <w:tc>
          <w:tcPr>
            <w:tcW w:w="170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60,182</w:t>
            </w:r>
          </w:p>
        </w:tc>
        <w:tc>
          <w:tcPr>
            <w:tcW w:w="16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$140.13</w:t>
            </w:r>
          </w:p>
        </w:tc>
      </w:tr>
      <w:tr>
        <w:trPr>
          <w:trHeight w:val="183"/>
        </w:trPr>
        <w:tc>
          <w:tcPr>
            <w:tcW w:w="3280" w:type="dxa"/>
            <w:vAlign w:val="bottom"/>
          </w:tcPr>
          <w:p>
            <w:pPr>
              <w:ind w:left="20"/>
              <w:spacing w:after="0"/>
              <w:rPr>
                <w:sz w:val="20"/>
                <w:szCs w:val="20"/>
                <w:color w:val="auto"/>
              </w:rPr>
            </w:pPr>
            <w:r>
              <w:rPr>
                <w:rFonts w:ascii="Arial" w:cs="Arial" w:eastAsia="Arial" w:hAnsi="Arial"/>
                <w:sz w:val="13"/>
                <w:szCs w:val="13"/>
                <w:color w:val="auto"/>
              </w:rPr>
              <w:t>Shares Vested</w:t>
            </w:r>
          </w:p>
        </w:tc>
        <w:tc>
          <w:tcPr>
            <w:tcW w:w="2520" w:type="dxa"/>
            <w:vAlign w:val="bottom"/>
          </w:tcPr>
          <w:p>
            <w:pPr>
              <w:jc w:val="right"/>
              <w:ind w:right="236"/>
              <w:spacing w:after="0"/>
              <w:rPr>
                <w:sz w:val="20"/>
                <w:szCs w:val="20"/>
                <w:color w:val="auto"/>
              </w:rPr>
            </w:pPr>
            <w:r>
              <w:rPr>
                <w:rFonts w:ascii="Arial" w:cs="Arial" w:eastAsia="Arial" w:hAnsi="Arial"/>
                <w:sz w:val="13"/>
                <w:szCs w:val="13"/>
                <w:color w:val="auto"/>
              </w:rPr>
              <w:t>(238,960)</w:t>
            </w:r>
          </w:p>
        </w:tc>
        <w:tc>
          <w:tcPr>
            <w:tcW w:w="2100" w:type="dxa"/>
            <w:vAlign w:val="bottom"/>
          </w:tcPr>
          <w:p>
            <w:pPr>
              <w:jc w:val="right"/>
              <w:ind w:right="456"/>
              <w:spacing w:after="0"/>
              <w:rPr>
                <w:sz w:val="20"/>
                <w:szCs w:val="20"/>
                <w:color w:val="auto"/>
              </w:rPr>
            </w:pPr>
            <w:r>
              <w:rPr>
                <w:rFonts w:ascii="Arial" w:cs="Arial" w:eastAsia="Arial" w:hAnsi="Arial"/>
                <w:sz w:val="13"/>
                <w:szCs w:val="13"/>
                <w:color w:val="auto"/>
              </w:rPr>
              <w:t>$69.19</w:t>
            </w:r>
          </w:p>
        </w:tc>
        <w:tc>
          <w:tcPr>
            <w:tcW w:w="1700" w:type="dxa"/>
            <w:vAlign w:val="bottom"/>
          </w:tcPr>
          <w:p>
            <w:pPr>
              <w:jc w:val="right"/>
              <w:ind w:right="236"/>
              <w:spacing w:after="0"/>
              <w:rPr>
                <w:sz w:val="20"/>
                <w:szCs w:val="20"/>
                <w:color w:val="auto"/>
              </w:rPr>
            </w:pPr>
            <w:r>
              <w:rPr>
                <w:rFonts w:ascii="Arial" w:cs="Arial" w:eastAsia="Arial" w:hAnsi="Arial"/>
                <w:sz w:val="13"/>
                <w:szCs w:val="13"/>
                <w:color w:val="auto"/>
              </w:rPr>
              <w:t>(118,611)</w:t>
            </w:r>
          </w:p>
        </w:tc>
        <w:tc>
          <w:tcPr>
            <w:tcW w:w="1680" w:type="dxa"/>
            <w:vAlign w:val="bottom"/>
          </w:tcPr>
          <w:p>
            <w:pPr>
              <w:jc w:val="right"/>
              <w:ind w:right="76"/>
              <w:spacing w:after="0"/>
              <w:rPr>
                <w:sz w:val="20"/>
                <w:szCs w:val="20"/>
                <w:color w:val="auto"/>
              </w:rPr>
            </w:pPr>
            <w:r>
              <w:rPr>
                <w:rFonts w:ascii="Arial" w:cs="Arial" w:eastAsia="Arial" w:hAnsi="Arial"/>
                <w:sz w:val="13"/>
                <w:szCs w:val="13"/>
                <w:color w:val="auto"/>
              </w:rPr>
              <w:t>$71.45</w:t>
            </w:r>
          </w:p>
        </w:tc>
      </w:tr>
      <w:tr>
        <w:trPr>
          <w:trHeight w:val="191"/>
        </w:trPr>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Forfeited</w:t>
            </w:r>
          </w:p>
        </w:tc>
        <w:tc>
          <w:tcPr>
            <w:tcW w:w="25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(66,054)</w:t>
            </w:r>
          </w:p>
        </w:tc>
        <w:tc>
          <w:tcPr>
            <w:tcW w:w="21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$107.03</w:t>
            </w:r>
          </w:p>
        </w:tc>
        <w:tc>
          <w:tcPr>
            <w:tcW w:w="17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(16,635)</w:t>
            </w:r>
          </w:p>
        </w:tc>
        <w:tc>
          <w:tcPr>
            <w:tcW w:w="1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$91.94</w:t>
            </w:r>
          </w:p>
        </w:tc>
      </w:tr>
      <w:tr>
        <w:trPr>
          <w:trHeight w:val="189"/>
        </w:trPr>
        <w:tc>
          <w:tcPr>
            <w:tcW w:w="32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2"/>
        </w:trPr>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Outstanding at 31 December 2019</w:t>
            </w:r>
          </w:p>
        </w:tc>
        <w:tc>
          <w:tcPr>
            <w:tcW w:w="25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389,900</w:t>
            </w:r>
          </w:p>
        </w:tc>
        <w:tc>
          <w:tcPr>
            <w:tcW w:w="21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$119.07</w:t>
            </w:r>
          </w:p>
        </w:tc>
        <w:tc>
          <w:tcPr>
            <w:tcW w:w="17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175,989</w:t>
            </w:r>
          </w:p>
        </w:tc>
        <w:tc>
          <w:tcPr>
            <w:tcW w:w="1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$110.79</w:t>
            </w:r>
          </w:p>
        </w:tc>
      </w:tr>
    </w:tbl>
    <w:p>
      <w:pPr>
        <w:spacing w:after="0" w:line="25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PSUs vest based on service and specified EPS targets over the period 2017 – 2019, 2018 - 2020 and 2019 - 2021. Further PSUs up to a total of 75,615 PSUs may also be awarded depending upon actual EPS outturn from 2017 to 2021.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280"/>
          </w:cols>
          <w:pgMar w:left="300" w:top="696" w:right="31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Share-based payments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Share-based payment expense</w:t>
      </w: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Operating profit for the year ended 31 December 2019 is stated after charging $25.9 million in respect of share-based payment expense. Share-based payment expense has been allocated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180" w:type="dxa"/>
            <w:vAlign w:val="bottom"/>
            <w:shd w:val="clear" w:color="auto" w:fill="CCEEFF"/>
          </w:tcPr>
          <w:p>
            <w:pPr>
              <w:spacing w:after="0"/>
              <w:rPr>
                <w:sz w:val="13"/>
                <w:szCs w:val="13"/>
                <w:color w:val="auto"/>
              </w:rPr>
            </w:pPr>
          </w:p>
        </w:tc>
        <w:tc>
          <w:tcPr>
            <w:tcW w:w="61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7"/>
        </w:trPr>
        <w:tc>
          <w:tcPr>
            <w:tcW w:w="5180" w:type="dxa"/>
            <w:vAlign w:val="bottom"/>
            <w:tcBorders>
              <w:bottom w:val="single" w:sz="8" w:color="auto"/>
            </w:tcBorders>
            <w:shd w:val="clear" w:color="auto" w:fill="CCEEFF"/>
          </w:tcPr>
          <w:p>
            <w:pPr>
              <w:spacing w:after="0"/>
              <w:rPr>
                <w:sz w:val="15"/>
                <w:szCs w:val="15"/>
                <w:color w:val="auto"/>
              </w:rPr>
            </w:pPr>
          </w:p>
        </w:tc>
        <w:tc>
          <w:tcPr>
            <w:tcW w:w="51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December 2019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5180" w:type="dxa"/>
            <w:vAlign w:val="bottom"/>
          </w:tcPr>
          <w:p>
            <w:pPr>
              <w:spacing w:after="0"/>
              <w:rPr>
                <w:sz w:val="15"/>
                <w:szCs w:val="15"/>
                <w:color w:val="auto"/>
              </w:rPr>
            </w:pPr>
          </w:p>
        </w:tc>
        <w:tc>
          <w:tcPr>
            <w:tcW w:w="5100" w:type="dxa"/>
            <w:vAlign w:val="bottom"/>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0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9"/>
        </w:trPr>
        <w:tc>
          <w:tcPr>
            <w:tcW w:w="518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83"/>
        </w:trPr>
        <w:tc>
          <w:tcPr>
            <w:tcW w:w="5180" w:type="dxa"/>
            <w:vAlign w:val="bottom"/>
          </w:tcPr>
          <w:p>
            <w:pPr>
              <w:ind w:left="20"/>
              <w:spacing w:after="0"/>
              <w:rPr>
                <w:sz w:val="20"/>
                <w:szCs w:val="20"/>
                <w:color w:val="auto"/>
              </w:rPr>
            </w:pPr>
            <w:r>
              <w:rPr>
                <w:rFonts w:ascii="Arial" w:cs="Arial" w:eastAsia="Arial" w:hAnsi="Arial"/>
                <w:sz w:val="13"/>
                <w:szCs w:val="13"/>
                <w:color w:val="auto"/>
              </w:rPr>
              <w:t>Direct costs</w:t>
            </w:r>
          </w:p>
        </w:tc>
        <w:tc>
          <w:tcPr>
            <w:tcW w:w="5100" w:type="dxa"/>
            <w:vAlign w:val="bottom"/>
          </w:tcPr>
          <w:p>
            <w:pPr>
              <w:jc w:val="right"/>
              <w:ind w:right="556"/>
              <w:spacing w:after="0"/>
              <w:rPr>
                <w:sz w:val="20"/>
                <w:szCs w:val="20"/>
                <w:color w:val="auto"/>
              </w:rPr>
            </w:pPr>
            <w:r>
              <w:rPr>
                <w:rFonts w:ascii="Arial" w:cs="Arial" w:eastAsia="Arial" w:hAnsi="Arial"/>
                <w:sz w:val="13"/>
                <w:szCs w:val="13"/>
                <w:b w:val="1"/>
                <w:bCs w:val="1"/>
                <w:color w:val="auto"/>
              </w:rPr>
              <w:t>14,263</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15,460</w:t>
            </w:r>
          </w:p>
        </w:tc>
      </w:tr>
      <w:tr>
        <w:trPr>
          <w:trHeight w:val="191"/>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operating expenses</w:t>
            </w:r>
          </w:p>
        </w:tc>
        <w:tc>
          <w:tcPr>
            <w:tcW w:w="510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11,623</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12,599</w:t>
            </w:r>
          </w:p>
        </w:tc>
      </w:tr>
      <w:tr>
        <w:trPr>
          <w:trHeight w:val="189"/>
        </w:trPr>
        <w:tc>
          <w:tcPr>
            <w:tcW w:w="51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510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25,886</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28,059</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280"/>
          </w:cols>
          <w:pgMar w:left="300" w:top="696" w:right="31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Property, Plant and Equipment</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Office</w:t>
            </w:r>
          </w:p>
        </w:tc>
        <w:tc>
          <w:tcPr>
            <w:tcW w:w="1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49"/>
        </w:trPr>
        <w:tc>
          <w:tcPr>
            <w:tcW w:w="22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Leasehold</w:t>
            </w:r>
          </w:p>
        </w:tc>
        <w:tc>
          <w:tcPr>
            <w:tcW w:w="112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Computer</w:t>
            </w:r>
          </w:p>
        </w:tc>
        <w:tc>
          <w:tcPr>
            <w:tcW w:w="112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furniture &amp;</w:t>
            </w:r>
          </w:p>
        </w:tc>
        <w:tc>
          <w:tcPr>
            <w:tcW w:w="122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Laboratory</w:t>
            </w:r>
          </w:p>
        </w:tc>
        <w:tc>
          <w:tcPr>
            <w:tcW w:w="110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Motor</w:t>
            </w:r>
          </w:p>
        </w:tc>
        <w:tc>
          <w:tcPr>
            <w:tcW w:w="880" w:type="dxa"/>
            <w:vAlign w:val="bottom"/>
            <w:shd w:val="clear" w:color="auto" w:fill="CCEEFF"/>
          </w:tcPr>
          <w:p>
            <w:pPr>
              <w:spacing w:after="0"/>
              <w:rPr>
                <w:sz w:val="12"/>
                <w:szCs w:val="12"/>
                <w:color w:val="auto"/>
              </w:rPr>
            </w:pPr>
          </w:p>
        </w:tc>
      </w:tr>
      <w:tr>
        <w:trPr>
          <w:trHeight w:val="182"/>
        </w:trPr>
        <w:tc>
          <w:tcPr>
            <w:tcW w:w="22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Land</w:t>
            </w:r>
          </w:p>
        </w:tc>
        <w:tc>
          <w:tcPr>
            <w:tcW w:w="9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Buildings</w:t>
            </w:r>
          </w:p>
        </w:tc>
        <w:tc>
          <w:tcPr>
            <w:tcW w:w="12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improvements</w:t>
            </w:r>
          </w:p>
        </w:tc>
        <w:tc>
          <w:tcPr>
            <w:tcW w:w="11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equipment</w:t>
            </w:r>
          </w:p>
        </w:tc>
        <w:tc>
          <w:tcPr>
            <w:tcW w:w="11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fixtures</w:t>
            </w:r>
          </w:p>
        </w:tc>
        <w:tc>
          <w:tcPr>
            <w:tcW w:w="12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equipment</w:t>
            </w:r>
          </w:p>
        </w:tc>
        <w:tc>
          <w:tcPr>
            <w:tcW w:w="11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vehicles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6"/>
        </w:trPr>
        <w:tc>
          <w:tcPr>
            <w:tcW w:w="2280" w:type="dxa"/>
            <w:vAlign w:val="bottom"/>
          </w:tcPr>
          <w:p>
            <w:pPr>
              <w:spacing w:after="0"/>
              <w:rPr>
                <w:sz w:val="15"/>
                <w:szCs w:val="15"/>
                <w:color w:val="auto"/>
              </w:rPr>
            </w:pPr>
          </w:p>
        </w:tc>
        <w:tc>
          <w:tcPr>
            <w:tcW w:w="1320" w:type="dxa"/>
            <w:vAlign w:val="bottom"/>
          </w:tcPr>
          <w:p>
            <w:pPr>
              <w:jc w:val="right"/>
              <w:ind w:right="19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24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220" w:type="dxa"/>
            <w:vAlign w:val="bottom"/>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99"/>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3"/>
        </w:trPr>
        <w:tc>
          <w:tcPr>
            <w:tcW w:w="2280" w:type="dxa"/>
            <w:vAlign w:val="bottom"/>
          </w:tcPr>
          <w:p>
            <w:pPr>
              <w:ind w:left="20"/>
              <w:spacing w:after="0"/>
              <w:rPr>
                <w:sz w:val="20"/>
                <w:szCs w:val="20"/>
                <w:color w:val="auto"/>
              </w:rPr>
            </w:pPr>
            <w:r>
              <w:rPr>
                <w:rFonts w:ascii="Arial" w:cs="Arial" w:eastAsia="Arial" w:hAnsi="Arial"/>
                <w:sz w:val="13"/>
                <w:szCs w:val="13"/>
                <w:color w:val="auto"/>
              </w:rPr>
              <w:t>At 1 January 2019</w:t>
            </w:r>
          </w:p>
        </w:tc>
        <w:tc>
          <w:tcPr>
            <w:tcW w:w="1320" w:type="dxa"/>
            <w:vAlign w:val="bottom"/>
          </w:tcPr>
          <w:p>
            <w:pPr>
              <w:jc w:val="right"/>
              <w:ind w:right="336"/>
              <w:spacing w:after="0"/>
              <w:rPr>
                <w:sz w:val="20"/>
                <w:szCs w:val="20"/>
                <w:color w:val="auto"/>
              </w:rPr>
            </w:pPr>
            <w:r>
              <w:rPr>
                <w:rFonts w:ascii="Arial" w:cs="Arial" w:eastAsia="Arial" w:hAnsi="Arial"/>
                <w:sz w:val="13"/>
                <w:szCs w:val="13"/>
                <w:color w:val="auto"/>
              </w:rPr>
              <w:t>4,574</w:t>
            </w:r>
          </w:p>
        </w:tc>
        <w:tc>
          <w:tcPr>
            <w:tcW w:w="980" w:type="dxa"/>
            <w:vAlign w:val="bottom"/>
          </w:tcPr>
          <w:p>
            <w:pPr>
              <w:jc w:val="right"/>
              <w:ind w:right="196"/>
              <w:spacing w:after="0"/>
              <w:rPr>
                <w:sz w:val="20"/>
                <w:szCs w:val="20"/>
                <w:color w:val="auto"/>
              </w:rPr>
            </w:pPr>
            <w:r>
              <w:rPr>
                <w:rFonts w:ascii="Arial" w:cs="Arial" w:eastAsia="Arial" w:hAnsi="Arial"/>
                <w:sz w:val="13"/>
                <w:szCs w:val="13"/>
                <w:color w:val="auto"/>
              </w:rPr>
              <w:t>70,111</w:t>
            </w:r>
          </w:p>
        </w:tc>
        <w:tc>
          <w:tcPr>
            <w:tcW w:w="1240" w:type="dxa"/>
            <w:vAlign w:val="bottom"/>
          </w:tcPr>
          <w:p>
            <w:pPr>
              <w:jc w:val="right"/>
              <w:ind w:right="316"/>
              <w:spacing w:after="0"/>
              <w:rPr>
                <w:sz w:val="20"/>
                <w:szCs w:val="20"/>
                <w:color w:val="auto"/>
              </w:rPr>
            </w:pPr>
            <w:r>
              <w:rPr>
                <w:rFonts w:ascii="Arial" w:cs="Arial" w:eastAsia="Arial" w:hAnsi="Arial"/>
                <w:sz w:val="13"/>
                <w:szCs w:val="13"/>
                <w:color w:val="auto"/>
              </w:rPr>
              <w:t>33,475</w:t>
            </w:r>
          </w:p>
        </w:tc>
        <w:tc>
          <w:tcPr>
            <w:tcW w:w="1120" w:type="dxa"/>
            <w:vAlign w:val="bottom"/>
          </w:tcPr>
          <w:p>
            <w:pPr>
              <w:jc w:val="right"/>
              <w:ind w:right="316"/>
              <w:spacing w:after="0"/>
              <w:rPr>
                <w:sz w:val="20"/>
                <w:szCs w:val="20"/>
                <w:color w:val="auto"/>
              </w:rPr>
            </w:pPr>
            <w:r>
              <w:rPr>
                <w:rFonts w:ascii="Arial" w:cs="Arial" w:eastAsia="Arial" w:hAnsi="Arial"/>
                <w:sz w:val="13"/>
                <w:szCs w:val="13"/>
                <w:color w:val="auto"/>
              </w:rPr>
              <w:t>122,150</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72,649</w:t>
            </w:r>
          </w:p>
        </w:tc>
        <w:tc>
          <w:tcPr>
            <w:tcW w:w="1220" w:type="dxa"/>
            <w:vAlign w:val="bottom"/>
          </w:tcPr>
          <w:p>
            <w:pPr>
              <w:jc w:val="right"/>
              <w:ind w:right="396"/>
              <w:spacing w:after="0"/>
              <w:rPr>
                <w:sz w:val="20"/>
                <w:szCs w:val="20"/>
                <w:color w:val="auto"/>
              </w:rPr>
            </w:pPr>
            <w:r>
              <w:rPr>
                <w:rFonts w:ascii="Arial" w:cs="Arial" w:eastAsia="Arial" w:hAnsi="Arial"/>
                <w:sz w:val="13"/>
                <w:szCs w:val="13"/>
                <w:color w:val="auto"/>
              </w:rPr>
              <w:t>24,917</w:t>
            </w:r>
          </w:p>
        </w:tc>
        <w:tc>
          <w:tcPr>
            <w:tcW w:w="1100" w:type="dxa"/>
            <w:vAlign w:val="bottom"/>
          </w:tcPr>
          <w:p>
            <w:pPr>
              <w:jc w:val="right"/>
              <w:ind w:right="356"/>
              <w:spacing w:after="0"/>
              <w:rPr>
                <w:sz w:val="20"/>
                <w:szCs w:val="20"/>
                <w:color w:val="auto"/>
              </w:rPr>
            </w:pPr>
            <w:r>
              <w:rPr>
                <w:rFonts w:ascii="Arial" w:cs="Arial" w:eastAsia="Arial" w:hAnsi="Arial"/>
                <w:sz w:val="13"/>
                <w:szCs w:val="13"/>
                <w:color w:val="auto"/>
              </w:rPr>
              <w:t>8</w:t>
            </w:r>
          </w:p>
        </w:tc>
        <w:tc>
          <w:tcPr>
            <w:tcW w:w="880" w:type="dxa"/>
            <w:vAlign w:val="bottom"/>
          </w:tcPr>
          <w:p>
            <w:pPr>
              <w:jc w:val="right"/>
              <w:ind w:right="96"/>
              <w:spacing w:after="0"/>
              <w:rPr>
                <w:sz w:val="20"/>
                <w:szCs w:val="20"/>
                <w:color w:val="auto"/>
              </w:rPr>
            </w:pPr>
            <w:r>
              <w:rPr>
                <w:rFonts w:ascii="Arial" w:cs="Arial" w:eastAsia="Arial" w:hAnsi="Arial"/>
                <w:sz w:val="13"/>
                <w:szCs w:val="13"/>
                <w:color w:val="auto"/>
              </w:rPr>
              <w:t>327,884</w:t>
            </w:r>
          </w:p>
        </w:tc>
      </w:tr>
      <w:tr>
        <w:trPr>
          <w:trHeight w:val="199"/>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32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61</w:t>
            </w:r>
          </w:p>
        </w:tc>
        <w:tc>
          <w:tcPr>
            <w:tcW w:w="12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2,878</w:t>
            </w:r>
          </w:p>
        </w:tc>
        <w:tc>
          <w:tcPr>
            <w:tcW w:w="11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7,321</w:t>
            </w:r>
          </w:p>
        </w:tc>
        <w:tc>
          <w:tcPr>
            <w:tcW w:w="11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6,537</w:t>
            </w:r>
          </w:p>
        </w:tc>
        <w:tc>
          <w:tcPr>
            <w:tcW w:w="122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2,461</w:t>
            </w:r>
          </w:p>
        </w:tc>
        <w:tc>
          <w:tcPr>
            <w:tcW w:w="11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72</w:t>
            </w: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19,330</w:t>
            </w:r>
          </w:p>
        </w:tc>
      </w:tr>
      <w:tr>
        <w:trPr>
          <w:trHeight w:val="183"/>
        </w:trPr>
        <w:tc>
          <w:tcPr>
            <w:tcW w:w="2280" w:type="dxa"/>
            <w:vAlign w:val="bottom"/>
          </w:tcPr>
          <w:p>
            <w:pPr>
              <w:ind w:left="20"/>
              <w:spacing w:after="0"/>
              <w:rPr>
                <w:sz w:val="20"/>
                <w:szCs w:val="20"/>
                <w:color w:val="auto"/>
              </w:rPr>
            </w:pPr>
            <w:r>
              <w:rPr>
                <w:rFonts w:ascii="Arial" w:cs="Arial" w:eastAsia="Arial" w:hAnsi="Arial"/>
                <w:sz w:val="13"/>
                <w:szCs w:val="13"/>
                <w:color w:val="auto"/>
              </w:rPr>
              <w:t>Disposals</w:t>
            </w:r>
          </w:p>
        </w:tc>
        <w:tc>
          <w:tcPr>
            <w:tcW w:w="132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96"/>
              <w:spacing w:after="0"/>
              <w:rPr>
                <w:sz w:val="20"/>
                <w:szCs w:val="20"/>
                <w:color w:val="auto"/>
              </w:rPr>
            </w:pPr>
            <w:r>
              <w:rPr>
                <w:rFonts w:ascii="Arial" w:cs="Arial" w:eastAsia="Arial" w:hAnsi="Arial"/>
                <w:sz w:val="13"/>
                <w:szCs w:val="13"/>
                <w:color w:val="auto"/>
              </w:rPr>
              <w:t>(499)</w:t>
            </w:r>
          </w:p>
        </w:tc>
        <w:tc>
          <w:tcPr>
            <w:tcW w:w="1120" w:type="dxa"/>
            <w:vAlign w:val="bottom"/>
          </w:tcPr>
          <w:p>
            <w:pPr>
              <w:jc w:val="right"/>
              <w:ind w:right="276"/>
              <w:spacing w:after="0"/>
              <w:rPr>
                <w:sz w:val="20"/>
                <w:szCs w:val="20"/>
                <w:color w:val="auto"/>
              </w:rPr>
            </w:pPr>
            <w:r>
              <w:rPr>
                <w:rFonts w:ascii="Arial" w:cs="Arial" w:eastAsia="Arial" w:hAnsi="Arial"/>
                <w:sz w:val="13"/>
                <w:szCs w:val="13"/>
                <w:color w:val="auto"/>
              </w:rPr>
              <w:t>(687)</w:t>
            </w:r>
          </w:p>
        </w:tc>
        <w:tc>
          <w:tcPr>
            <w:tcW w:w="1120" w:type="dxa"/>
            <w:vAlign w:val="bottom"/>
          </w:tcPr>
          <w:p>
            <w:pPr>
              <w:jc w:val="right"/>
              <w:ind w:right="276"/>
              <w:spacing w:after="0"/>
              <w:rPr>
                <w:sz w:val="20"/>
                <w:szCs w:val="20"/>
                <w:color w:val="auto"/>
              </w:rPr>
            </w:pPr>
            <w:r>
              <w:rPr>
                <w:rFonts w:ascii="Arial" w:cs="Arial" w:eastAsia="Arial" w:hAnsi="Arial"/>
                <w:sz w:val="13"/>
                <w:szCs w:val="13"/>
                <w:color w:val="auto"/>
              </w:rPr>
              <w:t>(2,030)</w:t>
            </w:r>
          </w:p>
        </w:tc>
        <w:tc>
          <w:tcPr>
            <w:tcW w:w="1220" w:type="dxa"/>
            <w:vAlign w:val="bottom"/>
          </w:tcPr>
          <w:p>
            <w:pPr>
              <w:jc w:val="right"/>
              <w:ind w:right="356"/>
              <w:spacing w:after="0"/>
              <w:rPr>
                <w:sz w:val="20"/>
                <w:szCs w:val="20"/>
                <w:color w:val="auto"/>
              </w:rPr>
            </w:pPr>
            <w:r>
              <w:rPr>
                <w:rFonts w:ascii="Arial" w:cs="Arial" w:eastAsia="Arial" w:hAnsi="Arial"/>
                <w:sz w:val="13"/>
                <w:szCs w:val="13"/>
                <w:color w:val="auto"/>
              </w:rPr>
              <w:t>(125)</w:t>
            </w:r>
          </w:p>
        </w:tc>
        <w:tc>
          <w:tcPr>
            <w:tcW w:w="1100" w:type="dxa"/>
            <w:vAlign w:val="bottom"/>
          </w:tcPr>
          <w:p>
            <w:pPr>
              <w:jc w:val="right"/>
              <w:ind w:right="316"/>
              <w:spacing w:after="0"/>
              <w:rPr>
                <w:sz w:val="20"/>
                <w:szCs w:val="20"/>
                <w:color w:val="auto"/>
              </w:rPr>
            </w:pPr>
            <w:r>
              <w:rPr>
                <w:rFonts w:ascii="Arial" w:cs="Arial" w:eastAsia="Arial" w:hAnsi="Arial"/>
                <w:sz w:val="13"/>
                <w:szCs w:val="13"/>
                <w:color w:val="auto"/>
              </w:rPr>
              <w:t>(18)</w:t>
            </w: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(3,359)</w:t>
            </w:r>
          </w:p>
        </w:tc>
      </w:tr>
      <w:tr>
        <w:trPr>
          <w:trHeight w:val="199"/>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w:t>
            </w:r>
          </w:p>
        </w:tc>
        <w:tc>
          <w:tcPr>
            <w:tcW w:w="132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10</w:t>
            </w:r>
          </w:p>
        </w:tc>
        <w:tc>
          <w:tcPr>
            <w:tcW w:w="12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301</w:t>
            </w:r>
          </w:p>
        </w:tc>
        <w:tc>
          <w:tcPr>
            <w:tcW w:w="11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98</w:t>
            </w:r>
          </w:p>
        </w:tc>
        <w:tc>
          <w:tcPr>
            <w:tcW w:w="11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781</w:t>
            </w:r>
          </w:p>
        </w:tc>
        <w:tc>
          <w:tcPr>
            <w:tcW w:w="122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1,330</w:t>
            </w:r>
          </w:p>
        </w:tc>
        <w:tc>
          <w:tcPr>
            <w:tcW w:w="11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33</w:t>
            </w: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2,553</w:t>
            </w:r>
          </w:p>
        </w:tc>
      </w:tr>
      <w:tr>
        <w:trPr>
          <w:trHeight w:val="183"/>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3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(647)</w:t>
            </w: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(302)</w:t>
            </w:r>
          </w:p>
        </w:tc>
        <w:tc>
          <w:tcPr>
            <w:tcW w:w="11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(651)</w:t>
            </w:r>
          </w:p>
        </w:tc>
        <w:tc>
          <w:tcPr>
            <w:tcW w:w="11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(546)</w:t>
            </w:r>
          </w:p>
        </w:tc>
        <w:tc>
          <w:tcPr>
            <w:tcW w:w="12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(117)</w:t>
            </w:r>
          </w:p>
        </w:tc>
        <w:tc>
          <w:tcPr>
            <w:tcW w:w="11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1</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(2,262)</w:t>
            </w:r>
          </w:p>
        </w:tc>
      </w:tr>
      <w:tr>
        <w:trPr>
          <w:trHeight w:val="157"/>
        </w:trPr>
        <w:tc>
          <w:tcPr>
            <w:tcW w:w="2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3"/>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2019</w:t>
            </w:r>
          </w:p>
        </w:tc>
        <w:tc>
          <w:tcPr>
            <w:tcW w:w="13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4,574</w:t>
            </w:r>
          </w:p>
        </w:tc>
        <w:tc>
          <w:tcPr>
            <w:tcW w:w="9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69,535</w:t>
            </w:r>
          </w:p>
        </w:tc>
        <w:tc>
          <w:tcPr>
            <w:tcW w:w="12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35,853</w:t>
            </w:r>
          </w:p>
        </w:tc>
        <w:tc>
          <w:tcPr>
            <w:tcW w:w="11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128,231</w:t>
            </w: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77,391</w:t>
            </w:r>
          </w:p>
        </w:tc>
        <w:tc>
          <w:tcPr>
            <w:tcW w:w="12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28,466</w:t>
            </w:r>
          </w:p>
        </w:tc>
        <w:tc>
          <w:tcPr>
            <w:tcW w:w="11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96</w:t>
            </w: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344,146</w:t>
            </w:r>
          </w:p>
        </w:tc>
      </w:tr>
      <w:tr>
        <w:trPr>
          <w:trHeight w:val="157"/>
        </w:trPr>
        <w:tc>
          <w:tcPr>
            <w:tcW w:w="2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3"/>
        </w:trPr>
        <w:tc>
          <w:tcPr>
            <w:tcW w:w="2280" w:type="dxa"/>
            <w:vAlign w:val="bottom"/>
          </w:tcPr>
          <w:p>
            <w:pPr>
              <w:ind w:left="20"/>
              <w:spacing w:after="0"/>
              <w:rPr>
                <w:sz w:val="20"/>
                <w:szCs w:val="20"/>
                <w:color w:val="auto"/>
              </w:rPr>
            </w:pPr>
            <w:r>
              <w:rPr>
                <w:rFonts w:ascii="Arial" w:cs="Arial" w:eastAsia="Arial" w:hAnsi="Arial"/>
                <w:sz w:val="13"/>
                <w:szCs w:val="13"/>
                <w:b w:val="1"/>
                <w:bCs w:val="1"/>
                <w:color w:val="auto"/>
              </w:rPr>
              <w:t>Depreciation</w:t>
            </w: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9"/>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2019</w:t>
            </w:r>
          </w:p>
        </w:tc>
        <w:tc>
          <w:tcPr>
            <w:tcW w:w="132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19,312</w:t>
            </w:r>
          </w:p>
        </w:tc>
        <w:tc>
          <w:tcPr>
            <w:tcW w:w="12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27,731</w:t>
            </w:r>
          </w:p>
        </w:tc>
        <w:tc>
          <w:tcPr>
            <w:tcW w:w="11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103,931</w:t>
            </w:r>
          </w:p>
        </w:tc>
        <w:tc>
          <w:tcPr>
            <w:tcW w:w="11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55,216</w:t>
            </w:r>
          </w:p>
        </w:tc>
        <w:tc>
          <w:tcPr>
            <w:tcW w:w="122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17,984</w:t>
            </w:r>
          </w:p>
        </w:tc>
        <w:tc>
          <w:tcPr>
            <w:tcW w:w="11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224,174</w:t>
            </w:r>
          </w:p>
        </w:tc>
      </w:tr>
      <w:tr>
        <w:trPr>
          <w:trHeight w:val="183"/>
        </w:trPr>
        <w:tc>
          <w:tcPr>
            <w:tcW w:w="2280" w:type="dxa"/>
            <w:vAlign w:val="bottom"/>
          </w:tcPr>
          <w:p>
            <w:pPr>
              <w:ind w:left="20"/>
              <w:spacing w:after="0"/>
              <w:rPr>
                <w:sz w:val="20"/>
                <w:szCs w:val="20"/>
                <w:color w:val="auto"/>
              </w:rPr>
            </w:pPr>
            <w:r>
              <w:rPr>
                <w:rFonts w:ascii="Arial" w:cs="Arial" w:eastAsia="Arial" w:hAnsi="Arial"/>
                <w:sz w:val="13"/>
                <w:szCs w:val="13"/>
                <w:color w:val="auto"/>
              </w:rPr>
              <w:t>Charge for year</w:t>
            </w:r>
          </w:p>
        </w:tc>
        <w:tc>
          <w:tcPr>
            <w:tcW w:w="132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96"/>
              <w:spacing w:after="0"/>
              <w:rPr>
                <w:sz w:val="20"/>
                <w:szCs w:val="20"/>
                <w:color w:val="auto"/>
              </w:rPr>
            </w:pPr>
            <w:r>
              <w:rPr>
                <w:rFonts w:ascii="Arial" w:cs="Arial" w:eastAsia="Arial" w:hAnsi="Arial"/>
                <w:sz w:val="13"/>
                <w:szCs w:val="13"/>
                <w:color w:val="auto"/>
              </w:rPr>
              <w:t>2,129</w:t>
            </w:r>
          </w:p>
        </w:tc>
        <w:tc>
          <w:tcPr>
            <w:tcW w:w="1240" w:type="dxa"/>
            <w:vAlign w:val="bottom"/>
          </w:tcPr>
          <w:p>
            <w:pPr>
              <w:jc w:val="right"/>
              <w:ind w:right="316"/>
              <w:spacing w:after="0"/>
              <w:rPr>
                <w:sz w:val="20"/>
                <w:szCs w:val="20"/>
                <w:color w:val="auto"/>
              </w:rPr>
            </w:pPr>
            <w:r>
              <w:rPr>
                <w:rFonts w:ascii="Arial" w:cs="Arial" w:eastAsia="Arial" w:hAnsi="Arial"/>
                <w:sz w:val="13"/>
                <w:szCs w:val="13"/>
                <w:color w:val="auto"/>
              </w:rPr>
              <w:t>1,199</w:t>
            </w:r>
          </w:p>
        </w:tc>
        <w:tc>
          <w:tcPr>
            <w:tcW w:w="1120" w:type="dxa"/>
            <w:vAlign w:val="bottom"/>
          </w:tcPr>
          <w:p>
            <w:pPr>
              <w:jc w:val="right"/>
              <w:ind w:right="316"/>
              <w:spacing w:after="0"/>
              <w:rPr>
                <w:sz w:val="20"/>
                <w:szCs w:val="20"/>
                <w:color w:val="auto"/>
              </w:rPr>
            </w:pPr>
            <w:r>
              <w:rPr>
                <w:rFonts w:ascii="Arial" w:cs="Arial" w:eastAsia="Arial" w:hAnsi="Arial"/>
                <w:sz w:val="13"/>
                <w:szCs w:val="13"/>
                <w:color w:val="auto"/>
              </w:rPr>
              <w:t>8,988</w:t>
            </w:r>
          </w:p>
        </w:tc>
        <w:tc>
          <w:tcPr>
            <w:tcW w:w="1120" w:type="dxa"/>
            <w:vAlign w:val="bottom"/>
          </w:tcPr>
          <w:p>
            <w:pPr>
              <w:jc w:val="right"/>
              <w:ind w:right="296"/>
              <w:spacing w:after="0"/>
              <w:rPr>
                <w:sz w:val="20"/>
                <w:szCs w:val="20"/>
                <w:color w:val="auto"/>
              </w:rPr>
            </w:pPr>
            <w:r>
              <w:rPr>
                <w:rFonts w:ascii="Arial" w:cs="Arial" w:eastAsia="Arial" w:hAnsi="Arial"/>
                <w:sz w:val="13"/>
                <w:szCs w:val="13"/>
                <w:color w:val="auto"/>
              </w:rPr>
              <w:t>4,770</w:t>
            </w:r>
          </w:p>
        </w:tc>
        <w:tc>
          <w:tcPr>
            <w:tcW w:w="1220" w:type="dxa"/>
            <w:vAlign w:val="bottom"/>
          </w:tcPr>
          <w:p>
            <w:pPr>
              <w:jc w:val="right"/>
              <w:ind w:right="396"/>
              <w:spacing w:after="0"/>
              <w:rPr>
                <w:sz w:val="20"/>
                <w:szCs w:val="20"/>
                <w:color w:val="auto"/>
              </w:rPr>
            </w:pPr>
            <w:r>
              <w:rPr>
                <w:rFonts w:ascii="Arial" w:cs="Arial" w:eastAsia="Arial" w:hAnsi="Arial"/>
                <w:sz w:val="13"/>
                <w:szCs w:val="13"/>
                <w:color w:val="auto"/>
              </w:rPr>
              <w:t>2,490</w:t>
            </w:r>
          </w:p>
        </w:tc>
        <w:tc>
          <w:tcPr>
            <w:tcW w:w="1100" w:type="dxa"/>
            <w:vAlign w:val="bottom"/>
          </w:tcPr>
          <w:p>
            <w:pPr>
              <w:jc w:val="right"/>
              <w:ind w:right="356"/>
              <w:spacing w:after="0"/>
              <w:rPr>
                <w:sz w:val="20"/>
                <w:szCs w:val="20"/>
                <w:color w:val="auto"/>
              </w:rPr>
            </w:pPr>
            <w:r>
              <w:rPr>
                <w:rFonts w:ascii="Arial" w:cs="Arial" w:eastAsia="Arial" w:hAnsi="Arial"/>
                <w:sz w:val="13"/>
                <w:szCs w:val="13"/>
                <w:color w:val="auto"/>
              </w:rPr>
              <w:t>21</w:t>
            </w:r>
          </w:p>
        </w:tc>
        <w:tc>
          <w:tcPr>
            <w:tcW w:w="880" w:type="dxa"/>
            <w:vAlign w:val="bottom"/>
          </w:tcPr>
          <w:p>
            <w:pPr>
              <w:jc w:val="right"/>
              <w:ind w:right="96"/>
              <w:spacing w:after="0"/>
              <w:rPr>
                <w:sz w:val="20"/>
                <w:szCs w:val="20"/>
                <w:color w:val="auto"/>
              </w:rPr>
            </w:pPr>
            <w:r>
              <w:rPr>
                <w:rFonts w:ascii="Arial" w:cs="Arial" w:eastAsia="Arial" w:hAnsi="Arial"/>
                <w:sz w:val="13"/>
                <w:szCs w:val="13"/>
                <w:color w:val="auto"/>
              </w:rPr>
              <w:t>19,597</w:t>
            </w:r>
          </w:p>
        </w:tc>
      </w:tr>
      <w:tr>
        <w:trPr>
          <w:trHeight w:val="199"/>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Eliminated on disposal</w:t>
            </w:r>
          </w:p>
        </w:tc>
        <w:tc>
          <w:tcPr>
            <w:tcW w:w="132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(499)</w:t>
            </w:r>
          </w:p>
        </w:tc>
        <w:tc>
          <w:tcPr>
            <w:tcW w:w="11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(662)</w:t>
            </w:r>
          </w:p>
        </w:tc>
        <w:tc>
          <w:tcPr>
            <w:tcW w:w="11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(1,521)</w:t>
            </w:r>
          </w:p>
        </w:tc>
        <w:tc>
          <w:tcPr>
            <w:tcW w:w="122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(125)</w:t>
            </w:r>
          </w:p>
        </w:tc>
        <w:tc>
          <w:tcPr>
            <w:tcW w:w="110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(18)</w:t>
            </w: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(2,825)</w:t>
            </w:r>
          </w:p>
        </w:tc>
      </w:tr>
      <w:tr>
        <w:trPr>
          <w:trHeight w:val="183"/>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3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(290)</w:t>
            </w: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(273)</w:t>
            </w:r>
          </w:p>
        </w:tc>
        <w:tc>
          <w:tcPr>
            <w:tcW w:w="11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(228)</w:t>
            </w:r>
          </w:p>
        </w:tc>
        <w:tc>
          <w:tcPr>
            <w:tcW w:w="11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(241)</w:t>
            </w:r>
          </w:p>
        </w:tc>
        <w:tc>
          <w:tcPr>
            <w:tcW w:w="12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(23)</w:t>
            </w:r>
          </w:p>
        </w:tc>
        <w:tc>
          <w:tcPr>
            <w:tcW w:w="11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(2)</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(1,057)</w:t>
            </w:r>
          </w:p>
        </w:tc>
      </w:tr>
      <w:tr>
        <w:trPr>
          <w:trHeight w:val="157"/>
        </w:trPr>
        <w:tc>
          <w:tcPr>
            <w:tcW w:w="2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3"/>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2019</w:t>
            </w:r>
          </w:p>
        </w:tc>
        <w:tc>
          <w:tcPr>
            <w:tcW w:w="13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21,151</w:t>
            </w:r>
          </w:p>
        </w:tc>
        <w:tc>
          <w:tcPr>
            <w:tcW w:w="12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28,158</w:t>
            </w:r>
          </w:p>
        </w:tc>
        <w:tc>
          <w:tcPr>
            <w:tcW w:w="11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112,029</w:t>
            </w: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58,224</w:t>
            </w:r>
          </w:p>
        </w:tc>
        <w:tc>
          <w:tcPr>
            <w:tcW w:w="12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20,326</w:t>
            </w:r>
          </w:p>
        </w:tc>
        <w:tc>
          <w:tcPr>
            <w:tcW w:w="11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1</w:t>
            </w: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239,889</w:t>
            </w:r>
          </w:p>
        </w:tc>
      </w:tr>
      <w:tr>
        <w:trPr>
          <w:trHeight w:val="157"/>
        </w:trPr>
        <w:tc>
          <w:tcPr>
            <w:tcW w:w="2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3"/>
        </w:trPr>
        <w:tc>
          <w:tcPr>
            <w:tcW w:w="2280" w:type="dxa"/>
            <w:vAlign w:val="bottom"/>
          </w:tcPr>
          <w:p>
            <w:pPr>
              <w:ind w:left="20"/>
              <w:spacing w:after="0"/>
              <w:rPr>
                <w:sz w:val="20"/>
                <w:szCs w:val="20"/>
                <w:color w:val="auto"/>
              </w:rPr>
            </w:pPr>
            <w:r>
              <w:rPr>
                <w:rFonts w:ascii="Arial" w:cs="Arial" w:eastAsia="Arial" w:hAnsi="Arial"/>
                <w:sz w:val="13"/>
                <w:szCs w:val="13"/>
                <w:b w:val="1"/>
                <w:bCs w:val="1"/>
                <w:color w:val="auto"/>
              </w:rPr>
              <w:t>Net book value</w:t>
            </w: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0"/>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2019</w:t>
            </w:r>
          </w:p>
        </w:tc>
        <w:tc>
          <w:tcPr>
            <w:tcW w:w="13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4,574</w:t>
            </w:r>
          </w:p>
        </w:tc>
        <w:tc>
          <w:tcPr>
            <w:tcW w:w="9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48,384</w:t>
            </w:r>
          </w:p>
        </w:tc>
        <w:tc>
          <w:tcPr>
            <w:tcW w:w="12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7,695</w:t>
            </w:r>
          </w:p>
        </w:tc>
        <w:tc>
          <w:tcPr>
            <w:tcW w:w="11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16,202</w:t>
            </w:r>
          </w:p>
        </w:tc>
        <w:tc>
          <w:tcPr>
            <w:tcW w:w="11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19,167</w:t>
            </w:r>
          </w:p>
        </w:tc>
        <w:tc>
          <w:tcPr>
            <w:tcW w:w="122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8,140</w:t>
            </w:r>
          </w:p>
        </w:tc>
        <w:tc>
          <w:tcPr>
            <w:tcW w:w="11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95</w:t>
            </w:r>
          </w:p>
        </w:tc>
        <w:tc>
          <w:tcPr>
            <w:tcW w:w="8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104,257</w:t>
            </w:r>
          </w:p>
        </w:tc>
      </w:tr>
      <w:tr>
        <w:trPr>
          <w:trHeight w:val="159"/>
        </w:trPr>
        <w:tc>
          <w:tcPr>
            <w:tcW w:w="2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2"/>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2018</w:t>
            </w:r>
          </w:p>
        </w:tc>
        <w:tc>
          <w:tcPr>
            <w:tcW w:w="13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4,574</w:t>
            </w:r>
          </w:p>
        </w:tc>
        <w:tc>
          <w:tcPr>
            <w:tcW w:w="9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50,799</w:t>
            </w:r>
          </w:p>
        </w:tc>
        <w:tc>
          <w:tcPr>
            <w:tcW w:w="12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5,744</w:t>
            </w:r>
          </w:p>
        </w:tc>
        <w:tc>
          <w:tcPr>
            <w:tcW w:w="11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18,219</w:t>
            </w:r>
          </w:p>
        </w:tc>
        <w:tc>
          <w:tcPr>
            <w:tcW w:w="11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17,433</w:t>
            </w:r>
          </w:p>
        </w:tc>
        <w:tc>
          <w:tcPr>
            <w:tcW w:w="122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6,933</w:t>
            </w:r>
          </w:p>
        </w:tc>
        <w:tc>
          <w:tcPr>
            <w:tcW w:w="11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8</w:t>
            </w:r>
          </w:p>
        </w:tc>
        <w:tc>
          <w:tcPr>
            <w:tcW w:w="8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103,710</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Depreciation expense of $19.6 million has been charged to “other operating expenses” in the Consolidated Statement of Profit and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260"/>
          </w:cols>
          <w:pgMar w:left="300" w:top="696"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12. Property, Plant and Equipment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Office</w:t>
            </w:r>
          </w:p>
        </w:tc>
        <w:tc>
          <w:tcPr>
            <w:tcW w:w="1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49"/>
        </w:trPr>
        <w:tc>
          <w:tcPr>
            <w:tcW w:w="22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Leasehold</w:t>
            </w:r>
          </w:p>
        </w:tc>
        <w:tc>
          <w:tcPr>
            <w:tcW w:w="112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Computer</w:t>
            </w:r>
          </w:p>
        </w:tc>
        <w:tc>
          <w:tcPr>
            <w:tcW w:w="114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furniture &amp;</w:t>
            </w:r>
          </w:p>
        </w:tc>
        <w:tc>
          <w:tcPr>
            <w:tcW w:w="122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Laboratory</w:t>
            </w:r>
          </w:p>
        </w:tc>
        <w:tc>
          <w:tcPr>
            <w:tcW w:w="1080" w:type="dxa"/>
            <w:vAlign w:val="bottom"/>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Motor</w:t>
            </w:r>
          </w:p>
        </w:tc>
        <w:tc>
          <w:tcPr>
            <w:tcW w:w="880" w:type="dxa"/>
            <w:vAlign w:val="bottom"/>
            <w:shd w:val="clear" w:color="auto" w:fill="CCEEFF"/>
          </w:tcPr>
          <w:p>
            <w:pPr>
              <w:spacing w:after="0"/>
              <w:rPr>
                <w:sz w:val="12"/>
                <w:szCs w:val="12"/>
                <w:color w:val="auto"/>
              </w:rPr>
            </w:pPr>
          </w:p>
        </w:tc>
      </w:tr>
      <w:tr>
        <w:trPr>
          <w:trHeight w:val="182"/>
        </w:trPr>
        <w:tc>
          <w:tcPr>
            <w:tcW w:w="22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Land</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Buildings</w:t>
            </w:r>
          </w:p>
        </w:tc>
        <w:tc>
          <w:tcPr>
            <w:tcW w:w="12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improvements</w:t>
            </w:r>
          </w:p>
        </w:tc>
        <w:tc>
          <w:tcPr>
            <w:tcW w:w="11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equipment</w:t>
            </w:r>
          </w:p>
        </w:tc>
        <w:tc>
          <w:tcPr>
            <w:tcW w:w="11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fixtures</w:t>
            </w:r>
          </w:p>
        </w:tc>
        <w:tc>
          <w:tcPr>
            <w:tcW w:w="12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equipment</w:t>
            </w:r>
          </w:p>
        </w:tc>
        <w:tc>
          <w:tcPr>
            <w:tcW w:w="10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vehicles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6"/>
        </w:trPr>
        <w:tc>
          <w:tcPr>
            <w:tcW w:w="2280" w:type="dxa"/>
            <w:vAlign w:val="bottom"/>
          </w:tcPr>
          <w:p>
            <w:pPr>
              <w:spacing w:after="0"/>
              <w:rPr>
                <w:sz w:val="15"/>
                <w:szCs w:val="15"/>
                <w:color w:val="auto"/>
              </w:rPr>
            </w:pPr>
          </w:p>
        </w:tc>
        <w:tc>
          <w:tcPr>
            <w:tcW w:w="1320" w:type="dxa"/>
            <w:vAlign w:val="bottom"/>
          </w:tcPr>
          <w:p>
            <w:pPr>
              <w:jc w:val="right"/>
              <w:ind w:right="19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24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220" w:type="dxa"/>
            <w:vAlign w:val="bottom"/>
          </w:tcPr>
          <w:p>
            <w:pPr>
              <w:jc w:val="right"/>
              <w:ind w:right="256"/>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196"/>
              <w:spacing w:after="0"/>
              <w:rPr>
                <w:sz w:val="20"/>
                <w:szCs w:val="20"/>
                <w:color w:val="auto"/>
              </w:rPr>
            </w:pPr>
            <w:r>
              <w:rPr>
                <w:rFonts w:ascii="Arial" w:cs="Arial" w:eastAsia="Arial" w:hAnsi="Arial"/>
                <w:sz w:val="13"/>
                <w:szCs w:val="13"/>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99"/>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3"/>
        </w:trPr>
        <w:tc>
          <w:tcPr>
            <w:tcW w:w="2280" w:type="dxa"/>
            <w:vAlign w:val="bottom"/>
          </w:tcPr>
          <w:p>
            <w:pPr>
              <w:ind w:left="20"/>
              <w:spacing w:after="0"/>
              <w:rPr>
                <w:sz w:val="20"/>
                <w:szCs w:val="20"/>
                <w:color w:val="auto"/>
              </w:rPr>
            </w:pPr>
            <w:r>
              <w:rPr>
                <w:rFonts w:ascii="Arial" w:cs="Arial" w:eastAsia="Arial" w:hAnsi="Arial"/>
                <w:sz w:val="13"/>
                <w:szCs w:val="13"/>
                <w:color w:val="auto"/>
              </w:rPr>
              <w:t>At 1 January 2018</w:t>
            </w:r>
          </w:p>
        </w:tc>
        <w:tc>
          <w:tcPr>
            <w:tcW w:w="1320" w:type="dxa"/>
            <w:vAlign w:val="bottom"/>
          </w:tcPr>
          <w:p>
            <w:pPr>
              <w:jc w:val="right"/>
              <w:ind w:right="336"/>
              <w:spacing w:after="0"/>
              <w:rPr>
                <w:sz w:val="20"/>
                <w:szCs w:val="20"/>
                <w:color w:val="auto"/>
              </w:rPr>
            </w:pPr>
            <w:r>
              <w:rPr>
                <w:rFonts w:ascii="Arial" w:cs="Arial" w:eastAsia="Arial" w:hAnsi="Arial"/>
                <w:sz w:val="13"/>
                <w:szCs w:val="13"/>
                <w:color w:val="auto"/>
              </w:rPr>
              <w:t>4,402</w:t>
            </w:r>
          </w:p>
        </w:tc>
        <w:tc>
          <w:tcPr>
            <w:tcW w:w="980" w:type="dxa"/>
            <w:vAlign w:val="bottom"/>
          </w:tcPr>
          <w:p>
            <w:pPr>
              <w:jc w:val="right"/>
              <w:ind w:right="196"/>
              <w:spacing w:after="0"/>
              <w:rPr>
                <w:sz w:val="20"/>
                <w:szCs w:val="20"/>
                <w:color w:val="auto"/>
              </w:rPr>
            </w:pPr>
            <w:r>
              <w:rPr>
                <w:rFonts w:ascii="Arial" w:cs="Arial" w:eastAsia="Arial" w:hAnsi="Arial"/>
                <w:sz w:val="13"/>
                <w:szCs w:val="13"/>
                <w:color w:val="auto"/>
              </w:rPr>
              <w:t>71,009</w:t>
            </w:r>
          </w:p>
        </w:tc>
        <w:tc>
          <w:tcPr>
            <w:tcW w:w="1240" w:type="dxa"/>
            <w:vAlign w:val="bottom"/>
          </w:tcPr>
          <w:p>
            <w:pPr>
              <w:jc w:val="right"/>
              <w:ind w:right="316"/>
              <w:spacing w:after="0"/>
              <w:rPr>
                <w:sz w:val="20"/>
                <w:szCs w:val="20"/>
                <w:color w:val="auto"/>
              </w:rPr>
            </w:pPr>
            <w:r>
              <w:rPr>
                <w:rFonts w:ascii="Arial" w:cs="Arial" w:eastAsia="Arial" w:hAnsi="Arial"/>
                <w:sz w:val="13"/>
                <w:szCs w:val="13"/>
                <w:color w:val="auto"/>
              </w:rPr>
              <w:t>34,805</w:t>
            </w:r>
          </w:p>
        </w:tc>
        <w:tc>
          <w:tcPr>
            <w:tcW w:w="1120" w:type="dxa"/>
            <w:vAlign w:val="bottom"/>
          </w:tcPr>
          <w:p>
            <w:pPr>
              <w:jc w:val="right"/>
              <w:ind w:right="316"/>
              <w:spacing w:after="0"/>
              <w:rPr>
                <w:sz w:val="20"/>
                <w:szCs w:val="20"/>
                <w:color w:val="auto"/>
              </w:rPr>
            </w:pPr>
            <w:r>
              <w:rPr>
                <w:rFonts w:ascii="Arial" w:cs="Arial" w:eastAsia="Arial" w:hAnsi="Arial"/>
                <w:sz w:val="13"/>
                <w:szCs w:val="13"/>
                <w:color w:val="auto"/>
              </w:rPr>
              <w:t>113,498</w:t>
            </w:r>
          </w:p>
        </w:tc>
        <w:tc>
          <w:tcPr>
            <w:tcW w:w="1140" w:type="dxa"/>
            <w:vAlign w:val="bottom"/>
          </w:tcPr>
          <w:p>
            <w:pPr>
              <w:jc w:val="right"/>
              <w:ind w:right="316"/>
              <w:spacing w:after="0"/>
              <w:rPr>
                <w:sz w:val="20"/>
                <w:szCs w:val="20"/>
                <w:color w:val="auto"/>
              </w:rPr>
            </w:pPr>
            <w:r>
              <w:rPr>
                <w:rFonts w:ascii="Arial" w:cs="Arial" w:eastAsia="Arial" w:hAnsi="Arial"/>
                <w:sz w:val="13"/>
                <w:szCs w:val="13"/>
                <w:color w:val="auto"/>
              </w:rPr>
              <w:t>68,934</w:t>
            </w:r>
          </w:p>
        </w:tc>
        <w:tc>
          <w:tcPr>
            <w:tcW w:w="1220" w:type="dxa"/>
            <w:vAlign w:val="bottom"/>
          </w:tcPr>
          <w:p>
            <w:pPr>
              <w:jc w:val="right"/>
              <w:ind w:right="396"/>
              <w:spacing w:after="0"/>
              <w:rPr>
                <w:sz w:val="20"/>
                <w:szCs w:val="20"/>
                <w:color w:val="auto"/>
              </w:rPr>
            </w:pPr>
            <w:r>
              <w:rPr>
                <w:rFonts w:ascii="Arial" w:cs="Arial" w:eastAsia="Arial" w:hAnsi="Arial"/>
                <w:sz w:val="13"/>
                <w:szCs w:val="13"/>
                <w:color w:val="auto"/>
              </w:rPr>
              <w:t>23,742</w:t>
            </w:r>
          </w:p>
        </w:tc>
        <w:tc>
          <w:tcPr>
            <w:tcW w:w="1080" w:type="dxa"/>
            <w:vAlign w:val="bottom"/>
          </w:tcPr>
          <w:p>
            <w:pPr>
              <w:jc w:val="right"/>
              <w:ind w:right="336"/>
              <w:spacing w:after="0"/>
              <w:rPr>
                <w:sz w:val="20"/>
                <w:szCs w:val="20"/>
                <w:color w:val="auto"/>
              </w:rPr>
            </w:pPr>
            <w:r>
              <w:rPr>
                <w:rFonts w:ascii="Arial" w:cs="Arial" w:eastAsia="Arial" w:hAnsi="Arial"/>
                <w:sz w:val="13"/>
                <w:szCs w:val="13"/>
                <w:color w:val="auto"/>
              </w:rPr>
              <w:t>16</w:t>
            </w:r>
          </w:p>
        </w:tc>
        <w:tc>
          <w:tcPr>
            <w:tcW w:w="880" w:type="dxa"/>
            <w:vAlign w:val="bottom"/>
          </w:tcPr>
          <w:p>
            <w:pPr>
              <w:jc w:val="right"/>
              <w:ind w:right="96"/>
              <w:spacing w:after="0"/>
              <w:rPr>
                <w:sz w:val="20"/>
                <w:szCs w:val="20"/>
                <w:color w:val="auto"/>
              </w:rPr>
            </w:pPr>
            <w:r>
              <w:rPr>
                <w:rFonts w:ascii="Arial" w:cs="Arial" w:eastAsia="Arial" w:hAnsi="Arial"/>
                <w:sz w:val="13"/>
                <w:szCs w:val="13"/>
                <w:color w:val="auto"/>
              </w:rPr>
              <w:t>316,406</w:t>
            </w:r>
          </w:p>
        </w:tc>
      </w:tr>
      <w:tr>
        <w:trPr>
          <w:trHeight w:val="199"/>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32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49</w:t>
            </w:r>
          </w:p>
        </w:tc>
        <w:tc>
          <w:tcPr>
            <w:tcW w:w="12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451</w:t>
            </w:r>
          </w:p>
        </w:tc>
        <w:tc>
          <w:tcPr>
            <w:tcW w:w="11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12,828</w:t>
            </w:r>
          </w:p>
        </w:tc>
        <w:tc>
          <w:tcPr>
            <w:tcW w:w="11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5,780</w:t>
            </w:r>
          </w:p>
        </w:tc>
        <w:tc>
          <w:tcPr>
            <w:tcW w:w="122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1,652</w:t>
            </w:r>
          </w:p>
        </w:tc>
        <w:tc>
          <w:tcPr>
            <w:tcW w:w="10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20,760</w:t>
            </w:r>
          </w:p>
        </w:tc>
      </w:tr>
      <w:tr>
        <w:trPr>
          <w:trHeight w:val="183"/>
        </w:trPr>
        <w:tc>
          <w:tcPr>
            <w:tcW w:w="2280" w:type="dxa"/>
            <w:vAlign w:val="bottom"/>
          </w:tcPr>
          <w:p>
            <w:pPr>
              <w:ind w:left="20"/>
              <w:spacing w:after="0"/>
              <w:rPr>
                <w:sz w:val="20"/>
                <w:szCs w:val="20"/>
                <w:color w:val="auto"/>
              </w:rPr>
            </w:pPr>
            <w:r>
              <w:rPr>
                <w:rFonts w:ascii="Arial" w:cs="Arial" w:eastAsia="Arial" w:hAnsi="Arial"/>
                <w:sz w:val="13"/>
                <w:szCs w:val="13"/>
                <w:color w:val="auto"/>
              </w:rPr>
              <w:t>Disposals</w:t>
            </w:r>
          </w:p>
        </w:tc>
        <w:tc>
          <w:tcPr>
            <w:tcW w:w="132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76"/>
              <w:spacing w:after="0"/>
              <w:rPr>
                <w:sz w:val="20"/>
                <w:szCs w:val="20"/>
                <w:color w:val="auto"/>
              </w:rPr>
            </w:pPr>
            <w:r>
              <w:rPr>
                <w:rFonts w:ascii="Arial" w:cs="Arial" w:eastAsia="Arial" w:hAnsi="Arial"/>
                <w:sz w:val="13"/>
                <w:szCs w:val="13"/>
                <w:color w:val="auto"/>
              </w:rPr>
              <w:t>(38)</w:t>
            </w:r>
          </w:p>
        </w:tc>
        <w:tc>
          <w:tcPr>
            <w:tcW w:w="1120" w:type="dxa"/>
            <w:vAlign w:val="bottom"/>
          </w:tcPr>
          <w:p>
            <w:pPr>
              <w:jc w:val="right"/>
              <w:ind w:right="276"/>
              <w:spacing w:after="0"/>
              <w:rPr>
                <w:sz w:val="20"/>
                <w:szCs w:val="20"/>
                <w:color w:val="auto"/>
              </w:rPr>
            </w:pPr>
            <w:r>
              <w:rPr>
                <w:rFonts w:ascii="Arial" w:cs="Arial" w:eastAsia="Arial" w:hAnsi="Arial"/>
                <w:sz w:val="13"/>
                <w:szCs w:val="13"/>
                <w:color w:val="auto"/>
              </w:rPr>
              <w:t>(1,443)</w:t>
            </w:r>
          </w:p>
        </w:tc>
        <w:tc>
          <w:tcPr>
            <w:tcW w:w="1140" w:type="dxa"/>
            <w:vAlign w:val="bottom"/>
          </w:tcPr>
          <w:p>
            <w:pPr>
              <w:jc w:val="right"/>
              <w:ind w:right="276"/>
              <w:spacing w:after="0"/>
              <w:rPr>
                <w:sz w:val="20"/>
                <w:szCs w:val="20"/>
                <w:color w:val="auto"/>
              </w:rPr>
            </w:pPr>
            <w:r>
              <w:rPr>
                <w:rFonts w:ascii="Arial" w:cs="Arial" w:eastAsia="Arial" w:hAnsi="Arial"/>
                <w:sz w:val="13"/>
                <w:szCs w:val="13"/>
                <w:color w:val="auto"/>
              </w:rPr>
              <w:t>(202)</w:t>
            </w:r>
          </w:p>
        </w:tc>
        <w:tc>
          <w:tcPr>
            <w:tcW w:w="1220" w:type="dxa"/>
            <w:vAlign w:val="bottom"/>
          </w:tcPr>
          <w:p>
            <w:pPr>
              <w:jc w:val="right"/>
              <w:ind w:right="356"/>
              <w:spacing w:after="0"/>
              <w:rPr>
                <w:sz w:val="20"/>
                <w:szCs w:val="20"/>
                <w:color w:val="auto"/>
              </w:rPr>
            </w:pPr>
            <w:r>
              <w:rPr>
                <w:rFonts w:ascii="Arial" w:cs="Arial" w:eastAsia="Arial" w:hAnsi="Arial"/>
                <w:sz w:val="13"/>
                <w:szCs w:val="13"/>
                <w:color w:val="auto"/>
              </w:rPr>
              <w:t>(116)</w:t>
            </w:r>
          </w:p>
        </w:tc>
        <w:tc>
          <w:tcPr>
            <w:tcW w:w="108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(1,799)</w:t>
            </w:r>
          </w:p>
        </w:tc>
      </w:tr>
      <w:tr>
        <w:trPr>
          <w:trHeight w:val="199"/>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Arising on acquisition</w:t>
            </w:r>
          </w:p>
        </w:tc>
        <w:tc>
          <w:tcPr>
            <w:tcW w:w="132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1,462</w:t>
            </w:r>
          </w:p>
        </w:tc>
        <w:tc>
          <w:tcPr>
            <w:tcW w:w="12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1,462</w:t>
            </w:r>
          </w:p>
        </w:tc>
      </w:tr>
      <w:tr>
        <w:trPr>
          <w:trHeight w:val="183"/>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3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172</w:t>
            </w:r>
          </w:p>
        </w:tc>
        <w:tc>
          <w:tcPr>
            <w:tcW w:w="9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(2,409)</w:t>
            </w: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(1,743)</w:t>
            </w:r>
          </w:p>
        </w:tc>
        <w:tc>
          <w:tcPr>
            <w:tcW w:w="11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(2,733)</w:t>
            </w:r>
          </w:p>
        </w:tc>
        <w:tc>
          <w:tcPr>
            <w:tcW w:w="11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(1,863)</w:t>
            </w:r>
          </w:p>
        </w:tc>
        <w:tc>
          <w:tcPr>
            <w:tcW w:w="12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(361)</w:t>
            </w:r>
          </w:p>
        </w:tc>
        <w:tc>
          <w:tcPr>
            <w:tcW w:w="10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(8)</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(8,945)</w:t>
            </w:r>
          </w:p>
        </w:tc>
      </w:tr>
      <w:tr>
        <w:trPr>
          <w:trHeight w:val="157"/>
        </w:trPr>
        <w:tc>
          <w:tcPr>
            <w:tcW w:w="2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3"/>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2018</w:t>
            </w:r>
          </w:p>
        </w:tc>
        <w:tc>
          <w:tcPr>
            <w:tcW w:w="13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4,574</w:t>
            </w:r>
          </w:p>
        </w:tc>
        <w:tc>
          <w:tcPr>
            <w:tcW w:w="9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70,111</w:t>
            </w:r>
          </w:p>
        </w:tc>
        <w:tc>
          <w:tcPr>
            <w:tcW w:w="12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33,475</w:t>
            </w:r>
          </w:p>
        </w:tc>
        <w:tc>
          <w:tcPr>
            <w:tcW w:w="11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122,150</w:t>
            </w:r>
          </w:p>
        </w:tc>
        <w:tc>
          <w:tcPr>
            <w:tcW w:w="11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72,649</w:t>
            </w:r>
          </w:p>
        </w:tc>
        <w:tc>
          <w:tcPr>
            <w:tcW w:w="12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24,917</w:t>
            </w:r>
          </w:p>
        </w:tc>
        <w:tc>
          <w:tcPr>
            <w:tcW w:w="10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8</w:t>
            </w: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327,884</w:t>
            </w:r>
          </w:p>
        </w:tc>
      </w:tr>
      <w:tr>
        <w:trPr>
          <w:trHeight w:val="157"/>
        </w:trPr>
        <w:tc>
          <w:tcPr>
            <w:tcW w:w="2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3"/>
        </w:trPr>
        <w:tc>
          <w:tcPr>
            <w:tcW w:w="2280" w:type="dxa"/>
            <w:vAlign w:val="bottom"/>
          </w:tcPr>
          <w:p>
            <w:pPr>
              <w:ind w:left="20"/>
              <w:spacing w:after="0"/>
              <w:rPr>
                <w:sz w:val="20"/>
                <w:szCs w:val="20"/>
                <w:color w:val="auto"/>
              </w:rPr>
            </w:pPr>
            <w:r>
              <w:rPr>
                <w:rFonts w:ascii="Arial" w:cs="Arial" w:eastAsia="Arial" w:hAnsi="Arial"/>
                <w:sz w:val="13"/>
                <w:szCs w:val="13"/>
                <w:b w:val="1"/>
                <w:bCs w:val="1"/>
                <w:color w:val="auto"/>
              </w:rPr>
              <w:t>Depreciation</w:t>
            </w: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9"/>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2018</w:t>
            </w:r>
          </w:p>
        </w:tc>
        <w:tc>
          <w:tcPr>
            <w:tcW w:w="132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18,486</w:t>
            </w:r>
          </w:p>
        </w:tc>
        <w:tc>
          <w:tcPr>
            <w:tcW w:w="12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26,812</w:t>
            </w:r>
          </w:p>
        </w:tc>
        <w:tc>
          <w:tcPr>
            <w:tcW w:w="11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96,947</w:t>
            </w:r>
          </w:p>
        </w:tc>
        <w:tc>
          <w:tcPr>
            <w:tcW w:w="11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52,735</w:t>
            </w:r>
          </w:p>
        </w:tc>
        <w:tc>
          <w:tcPr>
            <w:tcW w:w="122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16,324</w:t>
            </w:r>
          </w:p>
        </w:tc>
        <w:tc>
          <w:tcPr>
            <w:tcW w:w="10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2</w:t>
            </w: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211,306</w:t>
            </w:r>
          </w:p>
        </w:tc>
      </w:tr>
      <w:tr>
        <w:trPr>
          <w:trHeight w:val="183"/>
        </w:trPr>
        <w:tc>
          <w:tcPr>
            <w:tcW w:w="2280" w:type="dxa"/>
            <w:vAlign w:val="bottom"/>
          </w:tcPr>
          <w:p>
            <w:pPr>
              <w:ind w:left="20"/>
              <w:spacing w:after="0"/>
              <w:rPr>
                <w:sz w:val="20"/>
                <w:szCs w:val="20"/>
                <w:color w:val="auto"/>
              </w:rPr>
            </w:pPr>
            <w:r>
              <w:rPr>
                <w:rFonts w:ascii="Arial" w:cs="Arial" w:eastAsia="Arial" w:hAnsi="Arial"/>
                <w:sz w:val="13"/>
                <w:szCs w:val="13"/>
                <w:color w:val="auto"/>
              </w:rPr>
              <w:t>Charge for year</w:t>
            </w:r>
          </w:p>
        </w:tc>
        <w:tc>
          <w:tcPr>
            <w:tcW w:w="132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96"/>
              <w:spacing w:after="0"/>
              <w:rPr>
                <w:sz w:val="20"/>
                <w:szCs w:val="20"/>
                <w:color w:val="auto"/>
              </w:rPr>
            </w:pPr>
            <w:r>
              <w:rPr>
                <w:rFonts w:ascii="Arial" w:cs="Arial" w:eastAsia="Arial" w:hAnsi="Arial"/>
                <w:sz w:val="13"/>
                <w:szCs w:val="13"/>
                <w:color w:val="auto"/>
              </w:rPr>
              <w:t>1,484</w:t>
            </w:r>
          </w:p>
        </w:tc>
        <w:tc>
          <w:tcPr>
            <w:tcW w:w="1240" w:type="dxa"/>
            <w:vAlign w:val="bottom"/>
          </w:tcPr>
          <w:p>
            <w:pPr>
              <w:jc w:val="right"/>
              <w:ind w:right="316"/>
              <w:spacing w:after="0"/>
              <w:rPr>
                <w:sz w:val="20"/>
                <w:szCs w:val="20"/>
                <w:color w:val="auto"/>
              </w:rPr>
            </w:pPr>
            <w:r>
              <w:rPr>
                <w:rFonts w:ascii="Arial" w:cs="Arial" w:eastAsia="Arial" w:hAnsi="Arial"/>
                <w:sz w:val="13"/>
                <w:szCs w:val="13"/>
                <w:color w:val="auto"/>
              </w:rPr>
              <w:t>2,078</w:t>
            </w:r>
          </w:p>
        </w:tc>
        <w:tc>
          <w:tcPr>
            <w:tcW w:w="1120" w:type="dxa"/>
            <w:vAlign w:val="bottom"/>
          </w:tcPr>
          <w:p>
            <w:pPr>
              <w:jc w:val="right"/>
              <w:ind w:right="316"/>
              <w:spacing w:after="0"/>
              <w:rPr>
                <w:sz w:val="20"/>
                <w:szCs w:val="20"/>
                <w:color w:val="auto"/>
              </w:rPr>
            </w:pPr>
            <w:r>
              <w:rPr>
                <w:rFonts w:ascii="Arial" w:cs="Arial" w:eastAsia="Arial" w:hAnsi="Arial"/>
                <w:sz w:val="13"/>
                <w:szCs w:val="13"/>
                <w:color w:val="auto"/>
              </w:rPr>
              <w:t>10,409</w:t>
            </w:r>
          </w:p>
        </w:tc>
        <w:tc>
          <w:tcPr>
            <w:tcW w:w="1140" w:type="dxa"/>
            <w:vAlign w:val="bottom"/>
          </w:tcPr>
          <w:p>
            <w:pPr>
              <w:jc w:val="right"/>
              <w:ind w:right="316"/>
              <w:spacing w:after="0"/>
              <w:rPr>
                <w:sz w:val="20"/>
                <w:szCs w:val="20"/>
                <w:color w:val="auto"/>
              </w:rPr>
            </w:pPr>
            <w:r>
              <w:rPr>
                <w:rFonts w:ascii="Arial" w:cs="Arial" w:eastAsia="Arial" w:hAnsi="Arial"/>
                <w:sz w:val="13"/>
                <w:szCs w:val="13"/>
                <w:color w:val="auto"/>
              </w:rPr>
              <w:t>3,898</w:t>
            </w:r>
          </w:p>
        </w:tc>
        <w:tc>
          <w:tcPr>
            <w:tcW w:w="1220" w:type="dxa"/>
            <w:vAlign w:val="bottom"/>
          </w:tcPr>
          <w:p>
            <w:pPr>
              <w:jc w:val="right"/>
              <w:ind w:right="396"/>
              <w:spacing w:after="0"/>
              <w:rPr>
                <w:sz w:val="20"/>
                <w:szCs w:val="20"/>
                <w:color w:val="auto"/>
              </w:rPr>
            </w:pPr>
            <w:r>
              <w:rPr>
                <w:rFonts w:ascii="Arial" w:cs="Arial" w:eastAsia="Arial" w:hAnsi="Arial"/>
                <w:sz w:val="13"/>
                <w:szCs w:val="13"/>
                <w:color w:val="auto"/>
              </w:rPr>
              <w:t>2,127</w:t>
            </w:r>
          </w:p>
        </w:tc>
        <w:tc>
          <w:tcPr>
            <w:tcW w:w="108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6"/>
              <w:spacing w:after="0"/>
              <w:rPr>
                <w:sz w:val="20"/>
                <w:szCs w:val="20"/>
                <w:color w:val="auto"/>
              </w:rPr>
            </w:pPr>
            <w:r>
              <w:rPr>
                <w:rFonts w:ascii="Arial" w:cs="Arial" w:eastAsia="Arial" w:hAnsi="Arial"/>
                <w:sz w:val="13"/>
                <w:szCs w:val="13"/>
                <w:color w:val="auto"/>
              </w:rPr>
              <w:t>19,996</w:t>
            </w:r>
          </w:p>
        </w:tc>
      </w:tr>
      <w:tr>
        <w:trPr>
          <w:trHeight w:val="199"/>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Eliminated on disposal</w:t>
            </w:r>
          </w:p>
        </w:tc>
        <w:tc>
          <w:tcPr>
            <w:tcW w:w="132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(26)</w:t>
            </w:r>
          </w:p>
        </w:tc>
        <w:tc>
          <w:tcPr>
            <w:tcW w:w="11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(1,174)</w:t>
            </w:r>
          </w:p>
        </w:tc>
        <w:tc>
          <w:tcPr>
            <w:tcW w:w="114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(158)</w:t>
            </w:r>
          </w:p>
        </w:tc>
        <w:tc>
          <w:tcPr>
            <w:tcW w:w="122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(116)</w:t>
            </w:r>
          </w:p>
        </w:tc>
        <w:tc>
          <w:tcPr>
            <w:tcW w:w="10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(1,474)</w:t>
            </w:r>
          </w:p>
        </w:tc>
      </w:tr>
      <w:tr>
        <w:trPr>
          <w:trHeight w:val="183"/>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3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(658)</w:t>
            </w: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(1,133)</w:t>
            </w:r>
          </w:p>
        </w:tc>
        <w:tc>
          <w:tcPr>
            <w:tcW w:w="11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(2,251)</w:t>
            </w:r>
          </w:p>
        </w:tc>
        <w:tc>
          <w:tcPr>
            <w:tcW w:w="11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(1,259)</w:t>
            </w:r>
          </w:p>
        </w:tc>
        <w:tc>
          <w:tcPr>
            <w:tcW w:w="12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(351)</w:t>
            </w:r>
          </w:p>
        </w:tc>
        <w:tc>
          <w:tcPr>
            <w:tcW w:w="10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(2)</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(5,654)</w:t>
            </w:r>
          </w:p>
        </w:tc>
      </w:tr>
      <w:tr>
        <w:trPr>
          <w:trHeight w:val="157"/>
        </w:trPr>
        <w:tc>
          <w:tcPr>
            <w:tcW w:w="2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3"/>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2018</w:t>
            </w:r>
          </w:p>
        </w:tc>
        <w:tc>
          <w:tcPr>
            <w:tcW w:w="13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19,312</w:t>
            </w:r>
          </w:p>
        </w:tc>
        <w:tc>
          <w:tcPr>
            <w:tcW w:w="12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27,731</w:t>
            </w:r>
          </w:p>
        </w:tc>
        <w:tc>
          <w:tcPr>
            <w:tcW w:w="11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103,931</w:t>
            </w:r>
          </w:p>
        </w:tc>
        <w:tc>
          <w:tcPr>
            <w:tcW w:w="11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55,216</w:t>
            </w:r>
          </w:p>
        </w:tc>
        <w:tc>
          <w:tcPr>
            <w:tcW w:w="12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17,984</w:t>
            </w:r>
          </w:p>
        </w:tc>
        <w:tc>
          <w:tcPr>
            <w:tcW w:w="10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224,174</w:t>
            </w:r>
          </w:p>
        </w:tc>
      </w:tr>
      <w:tr>
        <w:trPr>
          <w:trHeight w:val="157"/>
        </w:trPr>
        <w:tc>
          <w:tcPr>
            <w:tcW w:w="2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3"/>
        </w:trPr>
        <w:tc>
          <w:tcPr>
            <w:tcW w:w="2280" w:type="dxa"/>
            <w:vAlign w:val="bottom"/>
          </w:tcPr>
          <w:p>
            <w:pPr>
              <w:ind w:left="20"/>
              <w:spacing w:after="0"/>
              <w:rPr>
                <w:sz w:val="20"/>
                <w:szCs w:val="20"/>
                <w:color w:val="auto"/>
              </w:rPr>
            </w:pPr>
            <w:r>
              <w:rPr>
                <w:rFonts w:ascii="Arial" w:cs="Arial" w:eastAsia="Arial" w:hAnsi="Arial"/>
                <w:sz w:val="13"/>
                <w:szCs w:val="13"/>
                <w:b w:val="1"/>
                <w:bCs w:val="1"/>
                <w:color w:val="auto"/>
              </w:rPr>
              <w:t>Net book value</w:t>
            </w: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0"/>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2018</w:t>
            </w:r>
          </w:p>
        </w:tc>
        <w:tc>
          <w:tcPr>
            <w:tcW w:w="13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4,574</w:t>
            </w:r>
          </w:p>
        </w:tc>
        <w:tc>
          <w:tcPr>
            <w:tcW w:w="9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50,799</w:t>
            </w:r>
          </w:p>
        </w:tc>
        <w:tc>
          <w:tcPr>
            <w:tcW w:w="12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5,744</w:t>
            </w:r>
          </w:p>
        </w:tc>
        <w:tc>
          <w:tcPr>
            <w:tcW w:w="11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18,219</w:t>
            </w:r>
          </w:p>
        </w:tc>
        <w:tc>
          <w:tcPr>
            <w:tcW w:w="11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17,433</w:t>
            </w:r>
          </w:p>
        </w:tc>
        <w:tc>
          <w:tcPr>
            <w:tcW w:w="122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6,933</w:t>
            </w:r>
          </w:p>
        </w:tc>
        <w:tc>
          <w:tcPr>
            <w:tcW w:w="10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8</w:t>
            </w:r>
          </w:p>
        </w:tc>
        <w:tc>
          <w:tcPr>
            <w:tcW w:w="8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103,710</w:t>
            </w:r>
          </w:p>
        </w:tc>
      </w:tr>
      <w:tr>
        <w:trPr>
          <w:trHeight w:val="159"/>
        </w:trPr>
        <w:tc>
          <w:tcPr>
            <w:tcW w:w="2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2"/>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2017</w:t>
            </w:r>
          </w:p>
        </w:tc>
        <w:tc>
          <w:tcPr>
            <w:tcW w:w="13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4,402</w:t>
            </w:r>
          </w:p>
        </w:tc>
        <w:tc>
          <w:tcPr>
            <w:tcW w:w="9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52,523</w:t>
            </w:r>
          </w:p>
        </w:tc>
        <w:tc>
          <w:tcPr>
            <w:tcW w:w="12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7,993</w:t>
            </w:r>
          </w:p>
        </w:tc>
        <w:tc>
          <w:tcPr>
            <w:tcW w:w="11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16,551</w:t>
            </w:r>
          </w:p>
        </w:tc>
        <w:tc>
          <w:tcPr>
            <w:tcW w:w="11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16,199</w:t>
            </w:r>
          </w:p>
        </w:tc>
        <w:tc>
          <w:tcPr>
            <w:tcW w:w="122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rPr>
              <w:t>7,418</w:t>
            </w:r>
          </w:p>
        </w:tc>
        <w:tc>
          <w:tcPr>
            <w:tcW w:w="10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14</w:t>
            </w:r>
          </w:p>
        </w:tc>
        <w:tc>
          <w:tcPr>
            <w:tcW w:w="8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105,100</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Depreciation expense of $20.0 million has been charged to “other operating expenses” in the Consolidated Statement of Profit and Loss.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260"/>
          </w:cols>
          <w:pgMar w:left="300" w:top="696"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13. Intangible assets – goodwill and other</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Trade</w:t>
            </w:r>
          </w:p>
        </w:tc>
        <w:tc>
          <w:tcPr>
            <w:tcW w:w="9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49"/>
        </w:trPr>
        <w:tc>
          <w:tcPr>
            <w:tcW w:w="20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Computer</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Customer</w:t>
            </w:r>
          </w:p>
        </w:tc>
        <w:tc>
          <w:tcPr>
            <w:tcW w:w="10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Technology</w:t>
            </w:r>
          </w:p>
        </w:tc>
        <w:tc>
          <w:tcPr>
            <w:tcW w:w="120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Name and Non-</w:t>
            </w:r>
          </w:p>
        </w:tc>
        <w:tc>
          <w:tcPr>
            <w:tcW w:w="9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Patient</w:t>
            </w: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77"/>
        </w:trPr>
        <w:tc>
          <w:tcPr>
            <w:tcW w:w="20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Software</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Relationships</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Volunteer List</w:t>
            </w:r>
          </w:p>
        </w:tc>
        <w:tc>
          <w:tcPr>
            <w:tcW w:w="11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Order Backlog</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Asset</w:t>
            </w:r>
          </w:p>
        </w:tc>
        <w:tc>
          <w:tcPr>
            <w:tcW w:w="12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Competes</w:t>
            </w:r>
          </w:p>
        </w:tc>
        <w:tc>
          <w:tcPr>
            <w:tcW w:w="9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Database</w:t>
            </w:r>
          </w:p>
        </w:tc>
        <w:tc>
          <w:tcPr>
            <w:tcW w:w="9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Goodwill</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82"/>
        </w:trPr>
        <w:tc>
          <w:tcPr>
            <w:tcW w:w="2080" w:type="dxa"/>
            <w:vAlign w:val="bottom"/>
          </w:tcPr>
          <w:p>
            <w:pPr>
              <w:spacing w:after="0"/>
              <w:rPr>
                <w:sz w:val="15"/>
                <w:szCs w:val="15"/>
                <w:color w:val="auto"/>
              </w:rPr>
            </w:pPr>
          </w:p>
        </w:tc>
        <w:tc>
          <w:tcPr>
            <w:tcW w:w="114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040" w:type="dxa"/>
            <w:vAlign w:val="bottom"/>
          </w:tcPr>
          <w:p>
            <w:pPr>
              <w:jc w:val="right"/>
              <w:ind w:right="16"/>
              <w:spacing w:after="0"/>
              <w:rPr>
                <w:sz w:val="20"/>
                <w:szCs w:val="20"/>
                <w:color w:val="auto"/>
              </w:rPr>
            </w:pPr>
            <w:r>
              <w:rPr>
                <w:rFonts w:ascii="Arial" w:cs="Arial" w:eastAsia="Arial" w:hAnsi="Arial"/>
                <w:sz w:val="13"/>
                <w:szCs w:val="13"/>
                <w:b w:val="1"/>
                <w:bCs w:val="1"/>
                <w:color w:val="auto"/>
              </w:rPr>
              <w:t>$’000</w:t>
            </w:r>
          </w:p>
        </w:tc>
        <w:tc>
          <w:tcPr>
            <w:tcW w:w="1020" w:type="dxa"/>
            <w:vAlign w:val="bottom"/>
          </w:tcPr>
          <w:p>
            <w:pPr>
              <w:jc w:val="right"/>
              <w:ind w:right="1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20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940" w:type="dxa"/>
            <w:vAlign w:val="bottom"/>
          </w:tcPr>
          <w:p>
            <w:pPr>
              <w:ind w:left="480"/>
              <w:spacing w:after="0"/>
              <w:rPr>
                <w:sz w:val="20"/>
                <w:szCs w:val="20"/>
                <w:color w:val="auto"/>
              </w:rPr>
            </w:pPr>
            <w:r>
              <w:rPr>
                <w:rFonts w:ascii="Arial" w:cs="Arial" w:eastAsia="Arial" w:hAnsi="Arial"/>
                <w:sz w:val="13"/>
                <w:szCs w:val="13"/>
                <w:b w:val="1"/>
                <w:bCs w:val="1"/>
                <w:color w:val="auto"/>
              </w:rPr>
              <w:t>$’000</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99"/>
        </w:trPr>
        <w:tc>
          <w:tcPr>
            <w:tcW w:w="2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83"/>
        </w:trPr>
        <w:tc>
          <w:tcPr>
            <w:tcW w:w="2080" w:type="dxa"/>
            <w:vAlign w:val="bottom"/>
          </w:tcPr>
          <w:p>
            <w:pPr>
              <w:ind w:left="20"/>
              <w:spacing w:after="0"/>
              <w:rPr>
                <w:sz w:val="20"/>
                <w:szCs w:val="20"/>
                <w:color w:val="auto"/>
              </w:rPr>
            </w:pPr>
            <w:r>
              <w:rPr>
                <w:rFonts w:ascii="Arial" w:cs="Arial" w:eastAsia="Arial" w:hAnsi="Arial"/>
                <w:sz w:val="13"/>
                <w:szCs w:val="13"/>
                <w:color w:val="auto"/>
              </w:rPr>
              <w:t>At 1 January 2019</w:t>
            </w:r>
          </w:p>
        </w:tc>
        <w:tc>
          <w:tcPr>
            <w:tcW w:w="1140" w:type="dxa"/>
            <w:vAlign w:val="bottom"/>
          </w:tcPr>
          <w:p>
            <w:pPr>
              <w:jc w:val="right"/>
              <w:ind w:right="196"/>
              <w:spacing w:after="0"/>
              <w:rPr>
                <w:sz w:val="20"/>
                <w:szCs w:val="20"/>
                <w:color w:val="auto"/>
              </w:rPr>
            </w:pPr>
            <w:r>
              <w:rPr>
                <w:rFonts w:ascii="Arial" w:cs="Arial" w:eastAsia="Arial" w:hAnsi="Arial"/>
                <w:sz w:val="13"/>
                <w:szCs w:val="13"/>
                <w:color w:val="auto"/>
              </w:rPr>
              <w:t>244,238</w:t>
            </w:r>
          </w:p>
        </w:tc>
        <w:tc>
          <w:tcPr>
            <w:tcW w:w="1040" w:type="dxa"/>
            <w:vAlign w:val="bottom"/>
          </w:tcPr>
          <w:p>
            <w:pPr>
              <w:jc w:val="right"/>
              <w:ind w:right="156"/>
              <w:spacing w:after="0"/>
              <w:rPr>
                <w:sz w:val="20"/>
                <w:szCs w:val="20"/>
                <w:color w:val="auto"/>
              </w:rPr>
            </w:pPr>
            <w:r>
              <w:rPr>
                <w:rFonts w:ascii="Arial" w:cs="Arial" w:eastAsia="Arial" w:hAnsi="Arial"/>
                <w:sz w:val="13"/>
                <w:szCs w:val="13"/>
                <w:color w:val="auto"/>
              </w:rPr>
              <w:t>111,993</w:t>
            </w:r>
          </w:p>
        </w:tc>
        <w:tc>
          <w:tcPr>
            <w:tcW w:w="1020" w:type="dxa"/>
            <w:vAlign w:val="bottom"/>
          </w:tcPr>
          <w:p>
            <w:pPr>
              <w:jc w:val="right"/>
              <w:ind w:right="156"/>
              <w:spacing w:after="0"/>
              <w:rPr>
                <w:sz w:val="20"/>
                <w:szCs w:val="20"/>
                <w:color w:val="auto"/>
              </w:rPr>
            </w:pPr>
            <w:r>
              <w:rPr>
                <w:rFonts w:ascii="Arial" w:cs="Arial" w:eastAsia="Arial" w:hAnsi="Arial"/>
                <w:sz w:val="13"/>
                <w:szCs w:val="13"/>
                <w:color w:val="auto"/>
              </w:rPr>
              <w:t>1,325</w:t>
            </w:r>
          </w:p>
        </w:tc>
        <w:tc>
          <w:tcPr>
            <w:tcW w:w="1120" w:type="dxa"/>
            <w:vAlign w:val="bottom"/>
          </w:tcPr>
          <w:p>
            <w:pPr>
              <w:jc w:val="right"/>
              <w:ind w:right="236"/>
              <w:spacing w:after="0"/>
              <w:rPr>
                <w:sz w:val="20"/>
                <w:szCs w:val="20"/>
                <w:color w:val="auto"/>
              </w:rPr>
            </w:pPr>
            <w:r>
              <w:rPr>
                <w:rFonts w:ascii="Arial" w:cs="Arial" w:eastAsia="Arial" w:hAnsi="Arial"/>
                <w:sz w:val="13"/>
                <w:szCs w:val="13"/>
                <w:color w:val="auto"/>
              </w:rPr>
              <w:t>30,609</w:t>
            </w:r>
          </w:p>
        </w:tc>
        <w:tc>
          <w:tcPr>
            <w:tcW w:w="900" w:type="dxa"/>
            <w:vAlign w:val="bottom"/>
          </w:tcPr>
          <w:p>
            <w:pPr>
              <w:jc w:val="right"/>
              <w:ind w:right="116"/>
              <w:spacing w:after="0"/>
              <w:rPr>
                <w:sz w:val="20"/>
                <w:szCs w:val="20"/>
                <w:color w:val="auto"/>
              </w:rPr>
            </w:pPr>
            <w:r>
              <w:rPr>
                <w:rFonts w:ascii="Arial" w:cs="Arial" w:eastAsia="Arial" w:hAnsi="Arial"/>
                <w:sz w:val="13"/>
                <w:szCs w:val="13"/>
                <w:color w:val="auto"/>
              </w:rPr>
              <w:t>8,982</w:t>
            </w:r>
          </w:p>
        </w:tc>
        <w:tc>
          <w:tcPr>
            <w:tcW w:w="1200" w:type="dxa"/>
            <w:vAlign w:val="bottom"/>
          </w:tcPr>
          <w:p>
            <w:pPr>
              <w:jc w:val="right"/>
              <w:ind w:right="296"/>
              <w:spacing w:after="0"/>
              <w:rPr>
                <w:sz w:val="20"/>
                <w:szCs w:val="20"/>
                <w:color w:val="auto"/>
              </w:rPr>
            </w:pPr>
            <w:r>
              <w:rPr>
                <w:rFonts w:ascii="Arial" w:cs="Arial" w:eastAsia="Arial" w:hAnsi="Arial"/>
                <w:sz w:val="13"/>
                <w:szCs w:val="13"/>
                <w:color w:val="auto"/>
              </w:rPr>
              <w:t>2,988</w:t>
            </w:r>
          </w:p>
        </w:tc>
        <w:tc>
          <w:tcPr>
            <w:tcW w:w="98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16"/>
              <w:spacing w:after="0"/>
              <w:rPr>
                <w:sz w:val="20"/>
                <w:szCs w:val="20"/>
                <w:color w:val="auto"/>
              </w:rPr>
            </w:pPr>
            <w:r>
              <w:rPr>
                <w:rFonts w:ascii="Arial" w:cs="Arial" w:eastAsia="Arial" w:hAnsi="Arial"/>
                <w:sz w:val="13"/>
                <w:szCs w:val="13"/>
                <w:color w:val="auto"/>
              </w:rPr>
              <w:t>770,269</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1,170,404</w:t>
            </w:r>
          </w:p>
        </w:tc>
      </w:tr>
      <w:tr>
        <w:trPr>
          <w:trHeight w:val="199"/>
        </w:trPr>
        <w:tc>
          <w:tcPr>
            <w:tcW w:w="2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31,315</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31,315</w:t>
            </w:r>
          </w:p>
        </w:tc>
      </w:tr>
      <w:tr>
        <w:trPr>
          <w:trHeight w:val="183"/>
        </w:trPr>
        <w:tc>
          <w:tcPr>
            <w:tcW w:w="2080" w:type="dxa"/>
            <w:vAlign w:val="bottom"/>
          </w:tcPr>
          <w:p>
            <w:pPr>
              <w:ind w:left="20"/>
              <w:spacing w:after="0"/>
              <w:rPr>
                <w:sz w:val="20"/>
                <w:szCs w:val="20"/>
                <w:color w:val="auto"/>
              </w:rPr>
            </w:pPr>
            <w:r>
              <w:rPr>
                <w:rFonts w:ascii="Arial" w:cs="Arial" w:eastAsia="Arial" w:hAnsi="Arial"/>
                <w:sz w:val="13"/>
                <w:szCs w:val="13"/>
                <w:color w:val="auto"/>
              </w:rPr>
              <w:t>Disposal</w:t>
            </w:r>
          </w:p>
        </w:tc>
        <w:tc>
          <w:tcPr>
            <w:tcW w:w="1140" w:type="dxa"/>
            <w:vAlign w:val="bottom"/>
          </w:tcPr>
          <w:p>
            <w:pPr>
              <w:jc w:val="right"/>
              <w:ind w:right="176"/>
              <w:spacing w:after="0"/>
              <w:rPr>
                <w:sz w:val="20"/>
                <w:szCs w:val="20"/>
                <w:color w:val="auto"/>
              </w:rPr>
            </w:pPr>
            <w:r>
              <w:rPr>
                <w:rFonts w:ascii="Arial" w:cs="Arial" w:eastAsia="Arial" w:hAnsi="Arial"/>
                <w:sz w:val="13"/>
                <w:szCs w:val="13"/>
                <w:color w:val="auto"/>
              </w:rPr>
              <w:t>(197)</w:t>
            </w:r>
          </w:p>
        </w:tc>
        <w:tc>
          <w:tcPr>
            <w:tcW w:w="10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(197)</w:t>
            </w:r>
          </w:p>
        </w:tc>
      </w:tr>
      <w:tr>
        <w:trPr>
          <w:trHeight w:val="199"/>
        </w:trPr>
        <w:tc>
          <w:tcPr>
            <w:tcW w:w="2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Acquisitions</w:t>
            </w:r>
          </w:p>
        </w:tc>
        <w:tc>
          <w:tcPr>
            <w:tcW w:w="1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378</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22,570</w:t>
            </w:r>
          </w:p>
        </w:tc>
        <w:tc>
          <w:tcPr>
            <w:tcW w:w="10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5,098</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2,542</w:t>
            </w:r>
          </w:p>
        </w:tc>
        <w:tc>
          <w:tcPr>
            <w:tcW w:w="9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126,932</w:t>
            </w:r>
          </w:p>
        </w:tc>
        <w:tc>
          <w:tcPr>
            <w:tcW w:w="8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157,520</w:t>
            </w:r>
          </w:p>
        </w:tc>
      </w:tr>
      <w:tr>
        <w:trPr>
          <w:trHeight w:val="183"/>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1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(103)</w:t>
            </w: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(270)</w:t>
            </w:r>
          </w:p>
        </w:tc>
        <w:tc>
          <w:tcPr>
            <w:tcW w:w="10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(271)</w:t>
            </w: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(200)</w:t>
            </w:r>
          </w:p>
        </w:tc>
        <w:tc>
          <w:tcPr>
            <w:tcW w:w="12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(25)</w:t>
            </w:r>
          </w:p>
        </w:tc>
        <w:tc>
          <w:tcPr>
            <w:tcW w:w="9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71</w:t>
            </w:r>
          </w:p>
        </w:tc>
        <w:tc>
          <w:tcPr>
            <w:tcW w:w="9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(22)</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(820)</w:t>
            </w:r>
          </w:p>
        </w:tc>
      </w:tr>
      <w:tr>
        <w:trPr>
          <w:trHeight w:val="200"/>
        </w:trPr>
        <w:tc>
          <w:tcPr>
            <w:tcW w:w="2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83"/>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2019</w:t>
            </w:r>
          </w:p>
        </w:tc>
        <w:tc>
          <w:tcPr>
            <w:tcW w:w="11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275,631</w:t>
            </w: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134,293</w:t>
            </w:r>
          </w:p>
        </w:tc>
        <w:tc>
          <w:tcPr>
            <w:tcW w:w="10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1,325</w:t>
            </w:r>
          </w:p>
        </w:tc>
        <w:tc>
          <w:tcPr>
            <w:tcW w:w="11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35,436</w:t>
            </w:r>
          </w:p>
        </w:tc>
        <w:tc>
          <w:tcPr>
            <w:tcW w:w="9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8,782</w:t>
            </w:r>
          </w:p>
        </w:tc>
        <w:tc>
          <w:tcPr>
            <w:tcW w:w="12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2,963</w:t>
            </w:r>
          </w:p>
        </w:tc>
        <w:tc>
          <w:tcPr>
            <w:tcW w:w="9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2,613</w:t>
            </w:r>
          </w:p>
        </w:tc>
        <w:tc>
          <w:tcPr>
            <w:tcW w:w="9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897,179</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1,358,222</w:t>
            </w:r>
          </w:p>
        </w:tc>
      </w:tr>
      <w:tr>
        <w:trPr>
          <w:trHeight w:val="200"/>
        </w:trPr>
        <w:tc>
          <w:tcPr>
            <w:tcW w:w="2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83"/>
        </w:trPr>
        <w:tc>
          <w:tcPr>
            <w:tcW w:w="2080" w:type="dxa"/>
            <w:vAlign w:val="bottom"/>
          </w:tcPr>
          <w:p>
            <w:pPr>
              <w:ind w:left="20"/>
              <w:spacing w:after="0"/>
              <w:rPr>
                <w:sz w:val="20"/>
                <w:szCs w:val="20"/>
                <w:color w:val="auto"/>
              </w:rPr>
            </w:pPr>
            <w:r>
              <w:rPr>
                <w:rFonts w:ascii="Arial" w:cs="Arial" w:eastAsia="Arial" w:hAnsi="Arial"/>
                <w:sz w:val="13"/>
                <w:szCs w:val="13"/>
                <w:b w:val="1"/>
                <w:bCs w:val="1"/>
                <w:color w:val="auto"/>
              </w:rPr>
              <w:t>Amortisation</w:t>
            </w: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9"/>
        </w:trPr>
        <w:tc>
          <w:tcPr>
            <w:tcW w:w="2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2019</w:t>
            </w:r>
          </w:p>
        </w:tc>
        <w:tc>
          <w:tcPr>
            <w:tcW w:w="11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189,279</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67,946</w:t>
            </w:r>
          </w:p>
        </w:tc>
        <w:tc>
          <w:tcPr>
            <w:tcW w:w="10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1,325</w:t>
            </w:r>
          </w:p>
        </w:tc>
        <w:tc>
          <w:tcPr>
            <w:tcW w:w="11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20,609</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8,982</w:t>
            </w:r>
          </w:p>
        </w:tc>
        <w:tc>
          <w:tcPr>
            <w:tcW w:w="12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2,980</w:t>
            </w:r>
          </w:p>
        </w:tc>
        <w:tc>
          <w:tcPr>
            <w:tcW w:w="9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291,121</w:t>
            </w:r>
          </w:p>
        </w:tc>
      </w:tr>
      <w:tr>
        <w:trPr>
          <w:trHeight w:val="183"/>
        </w:trPr>
        <w:tc>
          <w:tcPr>
            <w:tcW w:w="2080" w:type="dxa"/>
            <w:vAlign w:val="bottom"/>
          </w:tcPr>
          <w:p>
            <w:pPr>
              <w:ind w:left="20"/>
              <w:spacing w:after="0"/>
              <w:rPr>
                <w:sz w:val="20"/>
                <w:szCs w:val="20"/>
                <w:color w:val="auto"/>
              </w:rPr>
            </w:pPr>
            <w:r>
              <w:rPr>
                <w:rFonts w:ascii="Arial" w:cs="Arial" w:eastAsia="Arial" w:hAnsi="Arial"/>
                <w:sz w:val="13"/>
                <w:szCs w:val="13"/>
                <w:color w:val="auto"/>
              </w:rPr>
              <w:t>Amortised in the year</w:t>
            </w:r>
          </w:p>
        </w:tc>
        <w:tc>
          <w:tcPr>
            <w:tcW w:w="1140" w:type="dxa"/>
            <w:vAlign w:val="bottom"/>
          </w:tcPr>
          <w:p>
            <w:pPr>
              <w:jc w:val="right"/>
              <w:ind w:right="196"/>
              <w:spacing w:after="0"/>
              <w:rPr>
                <w:sz w:val="20"/>
                <w:szCs w:val="20"/>
                <w:color w:val="auto"/>
              </w:rPr>
            </w:pPr>
            <w:r>
              <w:rPr>
                <w:rFonts w:ascii="Arial" w:cs="Arial" w:eastAsia="Arial" w:hAnsi="Arial"/>
                <w:sz w:val="13"/>
                <w:szCs w:val="13"/>
                <w:color w:val="auto"/>
              </w:rPr>
              <w:t>26,006</w:t>
            </w:r>
          </w:p>
        </w:tc>
        <w:tc>
          <w:tcPr>
            <w:tcW w:w="1040" w:type="dxa"/>
            <w:vAlign w:val="bottom"/>
          </w:tcPr>
          <w:p>
            <w:pPr>
              <w:jc w:val="right"/>
              <w:ind w:right="156"/>
              <w:spacing w:after="0"/>
              <w:rPr>
                <w:sz w:val="20"/>
                <w:szCs w:val="20"/>
                <w:color w:val="auto"/>
              </w:rPr>
            </w:pPr>
            <w:r>
              <w:rPr>
                <w:rFonts w:ascii="Arial" w:cs="Arial" w:eastAsia="Arial" w:hAnsi="Arial"/>
                <w:sz w:val="13"/>
                <w:szCs w:val="13"/>
                <w:color w:val="auto"/>
              </w:rPr>
              <w:t>12,526</w:t>
            </w:r>
          </w:p>
        </w:tc>
        <w:tc>
          <w:tcPr>
            <w:tcW w:w="10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36"/>
              <w:spacing w:after="0"/>
              <w:rPr>
                <w:sz w:val="20"/>
                <w:szCs w:val="20"/>
                <w:color w:val="auto"/>
              </w:rPr>
            </w:pPr>
            <w:r>
              <w:rPr>
                <w:rFonts w:ascii="Arial" w:cs="Arial" w:eastAsia="Arial" w:hAnsi="Arial"/>
                <w:sz w:val="13"/>
                <w:szCs w:val="13"/>
                <w:color w:val="auto"/>
              </w:rPr>
              <w:t>3,205</w:t>
            </w:r>
          </w:p>
        </w:tc>
        <w:tc>
          <w:tcPr>
            <w:tcW w:w="90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76"/>
              <w:spacing w:after="0"/>
              <w:rPr>
                <w:sz w:val="20"/>
                <w:szCs w:val="20"/>
                <w:color w:val="auto"/>
              </w:rPr>
            </w:pPr>
            <w:r>
              <w:rPr>
                <w:rFonts w:ascii="Arial" w:cs="Arial" w:eastAsia="Arial" w:hAnsi="Arial"/>
                <w:sz w:val="13"/>
                <w:szCs w:val="13"/>
                <w:color w:val="auto"/>
              </w:rPr>
              <w:t>216</w:t>
            </w:r>
          </w:p>
        </w:tc>
        <w:tc>
          <w:tcPr>
            <w:tcW w:w="94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41,953</w:t>
            </w:r>
          </w:p>
        </w:tc>
      </w:tr>
      <w:tr>
        <w:trPr>
          <w:trHeight w:val="199"/>
        </w:trPr>
        <w:tc>
          <w:tcPr>
            <w:tcW w:w="2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Disposal</w:t>
            </w:r>
          </w:p>
        </w:tc>
        <w:tc>
          <w:tcPr>
            <w:tcW w:w="11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(130)</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(130)</w:t>
            </w:r>
          </w:p>
        </w:tc>
      </w:tr>
      <w:tr>
        <w:trPr>
          <w:trHeight w:val="183"/>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1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(354)</w:t>
            </w: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(18)</w:t>
            </w:r>
          </w:p>
        </w:tc>
        <w:tc>
          <w:tcPr>
            <w:tcW w:w="10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(43)</w:t>
            </w: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(200)</w:t>
            </w:r>
          </w:p>
        </w:tc>
        <w:tc>
          <w:tcPr>
            <w:tcW w:w="12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(25)</w:t>
            </w:r>
          </w:p>
        </w:tc>
        <w:tc>
          <w:tcPr>
            <w:tcW w:w="9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15</w:t>
            </w:r>
          </w:p>
        </w:tc>
        <w:tc>
          <w:tcPr>
            <w:tcW w:w="9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(625)</w:t>
            </w:r>
          </w:p>
        </w:tc>
      </w:tr>
      <w:tr>
        <w:trPr>
          <w:trHeight w:val="200"/>
        </w:trPr>
        <w:tc>
          <w:tcPr>
            <w:tcW w:w="2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83"/>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2019</w:t>
            </w:r>
          </w:p>
        </w:tc>
        <w:tc>
          <w:tcPr>
            <w:tcW w:w="11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214,801</w:t>
            </w: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80,454</w:t>
            </w:r>
          </w:p>
        </w:tc>
        <w:tc>
          <w:tcPr>
            <w:tcW w:w="10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1,325</w:t>
            </w:r>
          </w:p>
        </w:tc>
        <w:tc>
          <w:tcPr>
            <w:tcW w:w="11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23,771</w:t>
            </w:r>
          </w:p>
        </w:tc>
        <w:tc>
          <w:tcPr>
            <w:tcW w:w="9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8,782</w:t>
            </w:r>
          </w:p>
        </w:tc>
        <w:tc>
          <w:tcPr>
            <w:tcW w:w="12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2,955</w:t>
            </w:r>
          </w:p>
        </w:tc>
        <w:tc>
          <w:tcPr>
            <w:tcW w:w="9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231</w:t>
            </w:r>
          </w:p>
        </w:tc>
        <w:tc>
          <w:tcPr>
            <w:tcW w:w="9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332,319</w:t>
            </w:r>
          </w:p>
        </w:tc>
      </w:tr>
      <w:tr>
        <w:trPr>
          <w:trHeight w:val="200"/>
        </w:trPr>
        <w:tc>
          <w:tcPr>
            <w:tcW w:w="2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83"/>
        </w:trPr>
        <w:tc>
          <w:tcPr>
            <w:tcW w:w="2080" w:type="dxa"/>
            <w:vAlign w:val="bottom"/>
          </w:tcPr>
          <w:p>
            <w:pPr>
              <w:ind w:left="20"/>
              <w:spacing w:after="0"/>
              <w:rPr>
                <w:sz w:val="20"/>
                <w:szCs w:val="20"/>
                <w:color w:val="auto"/>
              </w:rPr>
            </w:pPr>
            <w:r>
              <w:rPr>
                <w:rFonts w:ascii="Arial" w:cs="Arial" w:eastAsia="Arial" w:hAnsi="Arial"/>
                <w:sz w:val="13"/>
                <w:szCs w:val="13"/>
                <w:b w:val="1"/>
                <w:bCs w:val="1"/>
                <w:color w:val="auto"/>
              </w:rPr>
              <w:t>Net book value</w:t>
            </w: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0"/>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2019</w:t>
            </w:r>
          </w:p>
        </w:tc>
        <w:tc>
          <w:tcPr>
            <w:tcW w:w="1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60,830</w:t>
            </w:r>
          </w:p>
        </w:tc>
        <w:tc>
          <w:tcPr>
            <w:tcW w:w="10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53,839</w:t>
            </w:r>
          </w:p>
        </w:tc>
        <w:tc>
          <w:tcPr>
            <w:tcW w:w="10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11,665</w:t>
            </w:r>
          </w:p>
        </w:tc>
        <w:tc>
          <w:tcPr>
            <w:tcW w:w="9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8</w:t>
            </w:r>
          </w:p>
        </w:tc>
        <w:tc>
          <w:tcPr>
            <w:tcW w:w="9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2,382</w:t>
            </w:r>
          </w:p>
        </w:tc>
        <w:tc>
          <w:tcPr>
            <w:tcW w:w="9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897,179</w:t>
            </w:r>
          </w:p>
        </w:tc>
        <w:tc>
          <w:tcPr>
            <w:tcW w:w="8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1,025,903</w:t>
            </w:r>
          </w:p>
        </w:tc>
      </w:tr>
      <w:tr>
        <w:trPr>
          <w:trHeight w:val="202"/>
        </w:trPr>
        <w:tc>
          <w:tcPr>
            <w:tcW w:w="2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2"/>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2018</w:t>
            </w:r>
          </w:p>
        </w:tc>
        <w:tc>
          <w:tcPr>
            <w:tcW w:w="11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54,959</w:t>
            </w:r>
          </w:p>
        </w:tc>
        <w:tc>
          <w:tcPr>
            <w:tcW w:w="10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44,047</w:t>
            </w:r>
          </w:p>
        </w:tc>
        <w:tc>
          <w:tcPr>
            <w:tcW w:w="10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10,000</w:t>
            </w:r>
          </w:p>
        </w:tc>
        <w:tc>
          <w:tcPr>
            <w:tcW w:w="9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8</w:t>
            </w:r>
          </w:p>
        </w:tc>
        <w:tc>
          <w:tcPr>
            <w:tcW w:w="9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770,269</w:t>
            </w:r>
          </w:p>
        </w:tc>
        <w:tc>
          <w:tcPr>
            <w:tcW w:w="8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879,283</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Amortisation expense of $42.0 million has been charged to ‘other operating expenses’ in the Consolidated Statement of Profit and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280"/>
          </w:cols>
          <w:pgMar w:left="300" w:top="696" w:right="31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13. Intangible assets - goodwill and other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26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Computer</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Customer</w:t>
            </w:r>
          </w:p>
        </w:tc>
        <w:tc>
          <w:tcPr>
            <w:tcW w:w="1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Technology</w:t>
            </w:r>
          </w:p>
        </w:tc>
        <w:tc>
          <w:tcPr>
            <w:tcW w:w="13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Trade Name and</w:t>
            </w:r>
          </w:p>
        </w:tc>
        <w:tc>
          <w:tcPr>
            <w:tcW w:w="10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77"/>
        </w:trPr>
        <w:tc>
          <w:tcPr>
            <w:tcW w:w="22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Software</w:t>
            </w:r>
          </w:p>
        </w:tc>
        <w:tc>
          <w:tcPr>
            <w:tcW w:w="11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Relationships</w:t>
            </w: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Volunteer List</w:t>
            </w:r>
          </w:p>
        </w:tc>
        <w:tc>
          <w:tcPr>
            <w:tcW w:w="12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Order Backlog</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Asset</w:t>
            </w:r>
          </w:p>
        </w:tc>
        <w:tc>
          <w:tcPr>
            <w:tcW w:w="13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Non-Competes</w:t>
            </w:r>
          </w:p>
        </w:tc>
        <w:tc>
          <w:tcPr>
            <w:tcW w:w="10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Goodwill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82"/>
        </w:trPr>
        <w:tc>
          <w:tcPr>
            <w:tcW w:w="2260" w:type="dxa"/>
            <w:vAlign w:val="bottom"/>
          </w:tcPr>
          <w:p>
            <w:pPr>
              <w:spacing w:after="0"/>
              <w:rPr>
                <w:sz w:val="15"/>
                <w:szCs w:val="15"/>
                <w:color w:val="auto"/>
              </w:rPr>
            </w:pPr>
          </w:p>
        </w:tc>
        <w:tc>
          <w:tcPr>
            <w:tcW w:w="136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120" w:type="dxa"/>
            <w:vAlign w:val="bottom"/>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22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300" w:type="dxa"/>
            <w:vAlign w:val="bottom"/>
          </w:tcPr>
          <w:p>
            <w:pPr>
              <w:jc w:val="right"/>
              <w:ind w:right="176"/>
              <w:spacing w:after="0"/>
              <w:rPr>
                <w:sz w:val="20"/>
                <w:szCs w:val="20"/>
                <w:color w:val="auto"/>
              </w:rPr>
            </w:pPr>
            <w:r>
              <w:rPr>
                <w:rFonts w:ascii="Arial" w:cs="Arial" w:eastAsia="Arial" w:hAnsi="Arial"/>
                <w:sz w:val="13"/>
                <w:szCs w:val="13"/>
                <w:b w:val="1"/>
                <w:bCs w:val="1"/>
                <w:color w:val="auto"/>
              </w:rPr>
              <w:t>$’000</w:t>
            </w:r>
          </w:p>
        </w:tc>
        <w:tc>
          <w:tcPr>
            <w:tcW w:w="106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99"/>
        </w:trPr>
        <w:tc>
          <w:tcPr>
            <w:tcW w:w="2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83"/>
        </w:trPr>
        <w:tc>
          <w:tcPr>
            <w:tcW w:w="2260" w:type="dxa"/>
            <w:vAlign w:val="bottom"/>
          </w:tcPr>
          <w:p>
            <w:pPr>
              <w:ind w:left="20"/>
              <w:spacing w:after="0"/>
              <w:rPr>
                <w:sz w:val="20"/>
                <w:szCs w:val="20"/>
                <w:color w:val="auto"/>
              </w:rPr>
            </w:pPr>
            <w:r>
              <w:rPr>
                <w:rFonts w:ascii="Arial" w:cs="Arial" w:eastAsia="Arial" w:hAnsi="Arial"/>
                <w:sz w:val="13"/>
                <w:szCs w:val="13"/>
                <w:color w:val="auto"/>
              </w:rPr>
              <w:t>At 1 January 2018</w:t>
            </w:r>
          </w:p>
        </w:tc>
        <w:tc>
          <w:tcPr>
            <w:tcW w:w="1360" w:type="dxa"/>
            <w:vAlign w:val="bottom"/>
          </w:tcPr>
          <w:p>
            <w:pPr>
              <w:jc w:val="right"/>
              <w:ind w:right="216"/>
              <w:spacing w:after="0"/>
              <w:rPr>
                <w:sz w:val="20"/>
                <w:szCs w:val="20"/>
                <w:color w:val="auto"/>
              </w:rPr>
            </w:pPr>
            <w:r>
              <w:rPr>
                <w:rFonts w:ascii="Arial" w:cs="Arial" w:eastAsia="Arial" w:hAnsi="Arial"/>
                <w:sz w:val="13"/>
                <w:szCs w:val="13"/>
                <w:color w:val="auto"/>
              </w:rPr>
              <w:t>217,722</w:t>
            </w:r>
          </w:p>
        </w:tc>
        <w:tc>
          <w:tcPr>
            <w:tcW w:w="1120" w:type="dxa"/>
            <w:vAlign w:val="bottom"/>
          </w:tcPr>
          <w:p>
            <w:pPr>
              <w:jc w:val="right"/>
              <w:ind w:right="216"/>
              <w:spacing w:after="0"/>
              <w:rPr>
                <w:sz w:val="20"/>
                <w:szCs w:val="20"/>
                <w:color w:val="auto"/>
              </w:rPr>
            </w:pPr>
            <w:r>
              <w:rPr>
                <w:rFonts w:ascii="Arial" w:cs="Arial" w:eastAsia="Arial" w:hAnsi="Arial"/>
                <w:sz w:val="13"/>
                <w:szCs w:val="13"/>
                <w:color w:val="auto"/>
              </w:rPr>
              <w:t>121,288</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1,325</w:t>
            </w:r>
          </w:p>
        </w:tc>
        <w:tc>
          <w:tcPr>
            <w:tcW w:w="1220" w:type="dxa"/>
            <w:vAlign w:val="bottom"/>
          </w:tcPr>
          <w:p>
            <w:pPr>
              <w:jc w:val="right"/>
              <w:ind w:right="296"/>
              <w:spacing w:after="0"/>
              <w:rPr>
                <w:sz w:val="20"/>
                <w:szCs w:val="20"/>
                <w:color w:val="auto"/>
              </w:rPr>
            </w:pPr>
            <w:r>
              <w:rPr>
                <w:rFonts w:ascii="Arial" w:cs="Arial" w:eastAsia="Arial" w:hAnsi="Arial"/>
                <w:sz w:val="13"/>
                <w:szCs w:val="13"/>
                <w:color w:val="auto"/>
              </w:rPr>
              <w:t>24,442</w:t>
            </w:r>
          </w:p>
        </w:tc>
        <w:tc>
          <w:tcPr>
            <w:tcW w:w="960" w:type="dxa"/>
            <w:vAlign w:val="bottom"/>
          </w:tcPr>
          <w:p>
            <w:pPr>
              <w:jc w:val="right"/>
              <w:ind w:right="116"/>
              <w:spacing w:after="0"/>
              <w:rPr>
                <w:sz w:val="20"/>
                <w:szCs w:val="20"/>
                <w:color w:val="auto"/>
              </w:rPr>
            </w:pPr>
            <w:r>
              <w:rPr>
                <w:rFonts w:ascii="Arial" w:cs="Arial" w:eastAsia="Arial" w:hAnsi="Arial"/>
                <w:sz w:val="13"/>
                <w:szCs w:val="13"/>
                <w:color w:val="auto"/>
              </w:rPr>
              <w:t>9,404</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3,044</w:t>
            </w:r>
          </w:p>
        </w:tc>
        <w:tc>
          <w:tcPr>
            <w:tcW w:w="1060" w:type="dxa"/>
            <w:vAlign w:val="bottom"/>
          </w:tcPr>
          <w:p>
            <w:pPr>
              <w:jc w:val="right"/>
              <w:ind w:right="276"/>
              <w:spacing w:after="0"/>
              <w:rPr>
                <w:sz w:val="20"/>
                <w:szCs w:val="20"/>
                <w:color w:val="auto"/>
              </w:rPr>
            </w:pPr>
            <w:r>
              <w:rPr>
                <w:rFonts w:ascii="Arial" w:cs="Arial" w:eastAsia="Arial" w:hAnsi="Arial"/>
                <w:sz w:val="13"/>
                <w:szCs w:val="13"/>
                <w:color w:val="auto"/>
              </w:rPr>
              <w:t>783,066</w:t>
            </w:r>
          </w:p>
        </w:tc>
        <w:tc>
          <w:tcPr>
            <w:tcW w:w="900" w:type="dxa"/>
            <w:vAlign w:val="bottom"/>
          </w:tcPr>
          <w:p>
            <w:pPr>
              <w:jc w:val="right"/>
              <w:ind w:right="76"/>
              <w:spacing w:after="0"/>
              <w:rPr>
                <w:sz w:val="20"/>
                <w:szCs w:val="20"/>
                <w:color w:val="auto"/>
              </w:rPr>
            </w:pPr>
            <w:r>
              <w:rPr>
                <w:rFonts w:ascii="Arial" w:cs="Arial" w:eastAsia="Arial" w:hAnsi="Arial"/>
                <w:sz w:val="13"/>
                <w:szCs w:val="13"/>
                <w:color w:val="auto"/>
              </w:rPr>
              <w:t>1,160,291</w:t>
            </w:r>
          </w:p>
        </w:tc>
      </w:tr>
      <w:tr>
        <w:trPr>
          <w:trHeight w:val="199"/>
        </w:trPr>
        <w:tc>
          <w:tcPr>
            <w:tcW w:w="2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27,637</w:t>
            </w:r>
          </w:p>
        </w:tc>
        <w:tc>
          <w:tcPr>
            <w:tcW w:w="11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27,637</w:t>
            </w:r>
          </w:p>
        </w:tc>
      </w:tr>
      <w:tr>
        <w:trPr>
          <w:trHeight w:val="183"/>
        </w:trPr>
        <w:tc>
          <w:tcPr>
            <w:tcW w:w="2260" w:type="dxa"/>
            <w:vAlign w:val="bottom"/>
          </w:tcPr>
          <w:p>
            <w:pPr>
              <w:ind w:left="20"/>
              <w:spacing w:after="0"/>
              <w:rPr>
                <w:sz w:val="20"/>
                <w:szCs w:val="20"/>
                <w:color w:val="auto"/>
              </w:rPr>
            </w:pPr>
            <w:r>
              <w:rPr>
                <w:rFonts w:ascii="Arial" w:cs="Arial" w:eastAsia="Arial" w:hAnsi="Arial"/>
                <w:sz w:val="13"/>
                <w:szCs w:val="13"/>
                <w:color w:val="auto"/>
              </w:rPr>
              <w:t>Disposal</w:t>
            </w:r>
          </w:p>
        </w:tc>
        <w:tc>
          <w:tcPr>
            <w:tcW w:w="1360" w:type="dxa"/>
            <w:vAlign w:val="bottom"/>
          </w:tcPr>
          <w:p>
            <w:pPr>
              <w:jc w:val="right"/>
              <w:ind w:right="196"/>
              <w:spacing w:after="0"/>
              <w:rPr>
                <w:sz w:val="20"/>
                <w:szCs w:val="20"/>
                <w:color w:val="auto"/>
              </w:rPr>
            </w:pPr>
            <w:r>
              <w:rPr>
                <w:rFonts w:ascii="Arial" w:cs="Arial" w:eastAsia="Arial" w:hAnsi="Arial"/>
                <w:sz w:val="13"/>
                <w:szCs w:val="13"/>
                <w:color w:val="auto"/>
              </w:rPr>
              <w:t>(466)</w:t>
            </w:r>
          </w:p>
        </w:tc>
        <w:tc>
          <w:tcPr>
            <w:tcW w:w="112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(466)</w:t>
            </w:r>
          </w:p>
        </w:tc>
      </w:tr>
      <w:tr>
        <w:trPr>
          <w:trHeight w:val="199"/>
        </w:trPr>
        <w:tc>
          <w:tcPr>
            <w:tcW w:w="2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Prior period acquisition</w:t>
            </w:r>
          </w:p>
        </w:tc>
        <w:tc>
          <w:tcPr>
            <w:tcW w:w="1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(7,775)</w:t>
            </w:r>
          </w:p>
        </w:tc>
        <w:tc>
          <w:tcPr>
            <w:tcW w:w="11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6,874</w:t>
            </w:r>
          </w:p>
        </w:tc>
        <w:tc>
          <w:tcPr>
            <w:tcW w:w="9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1,048</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147</w:t>
            </w:r>
          </w:p>
        </w:tc>
      </w:tr>
      <w:tr>
        <w:trPr>
          <w:trHeight w:val="183"/>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(655)</w:t>
            </w:r>
          </w:p>
        </w:tc>
        <w:tc>
          <w:tcPr>
            <w:tcW w:w="11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(1,520)</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(707)</w:t>
            </w: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(422)</w:t>
            </w:r>
          </w:p>
        </w:tc>
        <w:tc>
          <w:tcPr>
            <w:tcW w:w="13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(56)</w:t>
            </w:r>
          </w:p>
        </w:tc>
        <w:tc>
          <w:tcPr>
            <w:tcW w:w="10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(13,845)</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(17,205)</w:t>
            </w:r>
          </w:p>
        </w:tc>
      </w:tr>
      <w:tr>
        <w:trPr>
          <w:trHeight w:val="200"/>
        </w:trPr>
        <w:tc>
          <w:tcPr>
            <w:tcW w:w="2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2018</w:t>
            </w:r>
          </w:p>
        </w:tc>
        <w:tc>
          <w:tcPr>
            <w:tcW w:w="14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244,238</w:t>
            </w: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111,993</w:t>
            </w: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1,325</w:t>
            </w:r>
          </w:p>
        </w:tc>
        <w:tc>
          <w:tcPr>
            <w:tcW w:w="11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30,609</w:t>
            </w:r>
          </w:p>
        </w:tc>
        <w:tc>
          <w:tcPr>
            <w:tcW w:w="11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8,982</w:t>
            </w:r>
          </w:p>
        </w:tc>
        <w:tc>
          <w:tcPr>
            <w:tcW w:w="10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2,988</w:t>
            </w:r>
          </w:p>
        </w:tc>
        <w:tc>
          <w:tcPr>
            <w:tcW w:w="10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770,269</w:t>
            </w: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1,170,404</w:t>
            </w:r>
          </w:p>
        </w:tc>
      </w:tr>
      <w:tr>
        <w:trPr>
          <w:trHeight w:val="200"/>
        </w:trPr>
        <w:tc>
          <w:tcPr>
            <w:tcW w:w="2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3"/>
        </w:trPr>
        <w:tc>
          <w:tcPr>
            <w:tcW w:w="2280" w:type="dxa"/>
            <w:vAlign w:val="bottom"/>
          </w:tcPr>
          <w:p>
            <w:pPr>
              <w:ind w:left="20"/>
              <w:spacing w:after="0"/>
              <w:rPr>
                <w:sz w:val="20"/>
                <w:szCs w:val="20"/>
                <w:color w:val="auto"/>
              </w:rPr>
            </w:pPr>
            <w:r>
              <w:rPr>
                <w:rFonts w:ascii="Arial" w:cs="Arial" w:eastAsia="Arial" w:hAnsi="Arial"/>
                <w:sz w:val="13"/>
                <w:szCs w:val="13"/>
                <w:b w:val="1"/>
                <w:bCs w:val="1"/>
                <w:color w:val="auto"/>
              </w:rPr>
              <w:t>Amortisation</w:t>
            </w:r>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9"/>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2018</w:t>
            </w:r>
          </w:p>
        </w:tc>
        <w:tc>
          <w:tcPr>
            <w:tcW w:w="140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159,772</w:t>
            </w:r>
          </w:p>
        </w:tc>
        <w:tc>
          <w:tcPr>
            <w:tcW w:w="12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56,935</w:t>
            </w:r>
          </w:p>
        </w:tc>
        <w:tc>
          <w:tcPr>
            <w:tcW w:w="10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1,325</w:t>
            </w:r>
          </w:p>
        </w:tc>
        <w:tc>
          <w:tcPr>
            <w:tcW w:w="118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19,467</w:t>
            </w:r>
          </w:p>
        </w:tc>
        <w:tc>
          <w:tcPr>
            <w:tcW w:w="112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8,143</w:t>
            </w:r>
          </w:p>
        </w:tc>
        <w:tc>
          <w:tcPr>
            <w:tcW w:w="104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2,003</w:t>
            </w:r>
          </w:p>
        </w:tc>
        <w:tc>
          <w:tcPr>
            <w:tcW w:w="10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247,645</w:t>
            </w:r>
          </w:p>
        </w:tc>
      </w:tr>
      <w:tr>
        <w:trPr>
          <w:trHeight w:val="183"/>
        </w:trPr>
        <w:tc>
          <w:tcPr>
            <w:tcW w:w="2280" w:type="dxa"/>
            <w:vAlign w:val="bottom"/>
          </w:tcPr>
          <w:p>
            <w:pPr>
              <w:ind w:left="20"/>
              <w:spacing w:after="0"/>
              <w:rPr>
                <w:sz w:val="20"/>
                <w:szCs w:val="20"/>
                <w:color w:val="auto"/>
              </w:rPr>
            </w:pPr>
            <w:r>
              <w:rPr>
                <w:rFonts w:ascii="Arial" w:cs="Arial" w:eastAsia="Arial" w:hAnsi="Arial"/>
                <w:sz w:val="13"/>
                <w:szCs w:val="13"/>
                <w:color w:val="auto"/>
              </w:rPr>
              <w:t>Amortised in the year</w:t>
            </w:r>
          </w:p>
        </w:tc>
        <w:tc>
          <w:tcPr>
            <w:tcW w:w="1400" w:type="dxa"/>
            <w:vAlign w:val="bottom"/>
          </w:tcPr>
          <w:p>
            <w:pPr>
              <w:jc w:val="right"/>
              <w:ind w:right="276"/>
              <w:spacing w:after="0"/>
              <w:rPr>
                <w:sz w:val="20"/>
                <w:szCs w:val="20"/>
                <w:color w:val="auto"/>
              </w:rPr>
            </w:pPr>
            <w:r>
              <w:rPr>
                <w:rFonts w:ascii="Arial" w:cs="Arial" w:eastAsia="Arial" w:hAnsi="Arial"/>
                <w:sz w:val="13"/>
                <w:szCs w:val="13"/>
                <w:color w:val="auto"/>
              </w:rPr>
              <w:t>30,564</w:t>
            </w:r>
          </w:p>
        </w:tc>
        <w:tc>
          <w:tcPr>
            <w:tcW w:w="1200" w:type="dxa"/>
            <w:vAlign w:val="bottom"/>
          </w:tcPr>
          <w:p>
            <w:pPr>
              <w:jc w:val="right"/>
              <w:ind w:right="356"/>
              <w:spacing w:after="0"/>
              <w:rPr>
                <w:sz w:val="20"/>
                <w:szCs w:val="20"/>
                <w:color w:val="auto"/>
              </w:rPr>
            </w:pPr>
            <w:r>
              <w:rPr>
                <w:rFonts w:ascii="Arial" w:cs="Arial" w:eastAsia="Arial" w:hAnsi="Arial"/>
                <w:sz w:val="13"/>
                <w:szCs w:val="13"/>
                <w:color w:val="auto"/>
              </w:rPr>
              <w:t>11,738</w:t>
            </w:r>
          </w:p>
        </w:tc>
        <w:tc>
          <w:tcPr>
            <w:tcW w:w="10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56"/>
              <w:spacing w:after="0"/>
              <w:rPr>
                <w:sz w:val="20"/>
                <w:szCs w:val="20"/>
                <w:color w:val="auto"/>
              </w:rPr>
            </w:pPr>
            <w:r>
              <w:rPr>
                <w:rFonts w:ascii="Arial" w:cs="Arial" w:eastAsia="Arial" w:hAnsi="Arial"/>
                <w:sz w:val="13"/>
                <w:szCs w:val="13"/>
                <w:color w:val="auto"/>
              </w:rPr>
              <w:t>1,342</w:t>
            </w:r>
          </w:p>
        </w:tc>
        <w:tc>
          <w:tcPr>
            <w:tcW w:w="1120" w:type="dxa"/>
            <w:vAlign w:val="bottom"/>
          </w:tcPr>
          <w:p>
            <w:pPr>
              <w:jc w:val="right"/>
              <w:ind w:right="336"/>
              <w:spacing w:after="0"/>
              <w:rPr>
                <w:sz w:val="20"/>
                <w:szCs w:val="20"/>
                <w:color w:val="auto"/>
              </w:rPr>
            </w:pPr>
            <w:r>
              <w:rPr>
                <w:rFonts w:ascii="Arial" w:cs="Arial" w:eastAsia="Arial" w:hAnsi="Arial"/>
                <w:sz w:val="13"/>
                <w:szCs w:val="13"/>
                <w:color w:val="auto"/>
              </w:rPr>
              <w:t>1,243</w:t>
            </w: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1,033</w:t>
            </w:r>
          </w:p>
        </w:tc>
        <w:tc>
          <w:tcPr>
            <w:tcW w:w="102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76"/>
              <w:spacing w:after="0"/>
              <w:rPr>
                <w:sz w:val="20"/>
                <w:szCs w:val="20"/>
                <w:color w:val="auto"/>
              </w:rPr>
            </w:pPr>
            <w:r>
              <w:rPr>
                <w:rFonts w:ascii="Arial" w:cs="Arial" w:eastAsia="Arial" w:hAnsi="Arial"/>
                <w:sz w:val="13"/>
                <w:szCs w:val="13"/>
                <w:color w:val="auto"/>
              </w:rPr>
              <w:t>45,920</w:t>
            </w:r>
          </w:p>
        </w:tc>
      </w:tr>
      <w:tr>
        <w:trPr>
          <w:trHeight w:val="199"/>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Disposal</w:t>
            </w:r>
          </w:p>
        </w:tc>
        <w:tc>
          <w:tcPr>
            <w:tcW w:w="1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(466)</w:t>
            </w:r>
          </w:p>
        </w:tc>
        <w:tc>
          <w:tcPr>
            <w:tcW w:w="12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(466)</w:t>
            </w:r>
          </w:p>
        </w:tc>
      </w:tr>
      <w:tr>
        <w:trPr>
          <w:trHeight w:val="183"/>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1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(591)</w:t>
            </w:r>
          </w:p>
        </w:tc>
        <w:tc>
          <w:tcPr>
            <w:tcW w:w="12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(727)</w:t>
            </w: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(200)</w:t>
            </w:r>
          </w:p>
        </w:tc>
        <w:tc>
          <w:tcPr>
            <w:tcW w:w="11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(404)</w:t>
            </w:r>
          </w:p>
        </w:tc>
        <w:tc>
          <w:tcPr>
            <w:tcW w:w="10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(56)</w:t>
            </w:r>
          </w:p>
        </w:tc>
        <w:tc>
          <w:tcPr>
            <w:tcW w:w="10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(1,978)</w:t>
            </w:r>
          </w:p>
        </w:tc>
      </w:tr>
      <w:tr>
        <w:trPr>
          <w:trHeight w:val="200"/>
        </w:trPr>
        <w:tc>
          <w:tcPr>
            <w:tcW w:w="2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3"/>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2018</w:t>
            </w:r>
          </w:p>
        </w:tc>
        <w:tc>
          <w:tcPr>
            <w:tcW w:w="14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189,279</w:t>
            </w: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67,946</w:t>
            </w: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1,325</w:t>
            </w:r>
          </w:p>
        </w:tc>
        <w:tc>
          <w:tcPr>
            <w:tcW w:w="11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20,609</w:t>
            </w:r>
          </w:p>
        </w:tc>
        <w:tc>
          <w:tcPr>
            <w:tcW w:w="11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8,982</w:t>
            </w:r>
          </w:p>
        </w:tc>
        <w:tc>
          <w:tcPr>
            <w:tcW w:w="10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2,980</w:t>
            </w:r>
          </w:p>
        </w:tc>
        <w:tc>
          <w:tcPr>
            <w:tcW w:w="10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291,121</w:t>
            </w:r>
          </w:p>
        </w:tc>
      </w:tr>
      <w:tr>
        <w:trPr>
          <w:trHeight w:val="200"/>
        </w:trPr>
        <w:tc>
          <w:tcPr>
            <w:tcW w:w="2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3"/>
        </w:trPr>
        <w:tc>
          <w:tcPr>
            <w:tcW w:w="2280" w:type="dxa"/>
            <w:vAlign w:val="bottom"/>
          </w:tcPr>
          <w:p>
            <w:pPr>
              <w:ind w:left="20"/>
              <w:spacing w:after="0"/>
              <w:rPr>
                <w:sz w:val="20"/>
                <w:szCs w:val="20"/>
                <w:color w:val="auto"/>
              </w:rPr>
            </w:pPr>
            <w:r>
              <w:rPr>
                <w:rFonts w:ascii="Arial" w:cs="Arial" w:eastAsia="Arial" w:hAnsi="Arial"/>
                <w:sz w:val="13"/>
                <w:szCs w:val="13"/>
                <w:b w:val="1"/>
                <w:bCs w:val="1"/>
                <w:color w:val="auto"/>
              </w:rPr>
              <w:t>Net book value</w:t>
            </w:r>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0"/>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2018</w:t>
            </w:r>
          </w:p>
        </w:tc>
        <w:tc>
          <w:tcPr>
            <w:tcW w:w="14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54,959</w:t>
            </w:r>
          </w:p>
        </w:tc>
        <w:tc>
          <w:tcPr>
            <w:tcW w:w="12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44,047</w:t>
            </w:r>
          </w:p>
        </w:tc>
        <w:tc>
          <w:tcPr>
            <w:tcW w:w="10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10,000</w:t>
            </w:r>
          </w:p>
        </w:tc>
        <w:tc>
          <w:tcPr>
            <w:tcW w:w="11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8</w:t>
            </w:r>
          </w:p>
        </w:tc>
        <w:tc>
          <w:tcPr>
            <w:tcW w:w="10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770,269</w:t>
            </w:r>
          </w:p>
        </w:tc>
        <w:tc>
          <w:tcPr>
            <w:tcW w:w="9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879,283</w:t>
            </w:r>
          </w:p>
        </w:tc>
      </w:tr>
      <w:tr>
        <w:trPr>
          <w:trHeight w:val="202"/>
        </w:trPr>
        <w:tc>
          <w:tcPr>
            <w:tcW w:w="2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2"/>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2017</w:t>
            </w:r>
          </w:p>
        </w:tc>
        <w:tc>
          <w:tcPr>
            <w:tcW w:w="14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57,950</w:t>
            </w:r>
          </w:p>
        </w:tc>
        <w:tc>
          <w:tcPr>
            <w:tcW w:w="12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64,353</w:t>
            </w:r>
          </w:p>
        </w:tc>
        <w:tc>
          <w:tcPr>
            <w:tcW w:w="10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4,975</w:t>
            </w:r>
          </w:p>
        </w:tc>
        <w:tc>
          <w:tcPr>
            <w:tcW w:w="11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1,261</w:t>
            </w:r>
          </w:p>
        </w:tc>
        <w:tc>
          <w:tcPr>
            <w:tcW w:w="10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1,041</w:t>
            </w:r>
          </w:p>
        </w:tc>
        <w:tc>
          <w:tcPr>
            <w:tcW w:w="10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783,066</w:t>
            </w:r>
          </w:p>
        </w:tc>
        <w:tc>
          <w:tcPr>
            <w:tcW w:w="9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912,646</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Amortisation expense of $45.9 million has been charged to ‘other operating expenses’ in the Consolidated Statement of Profit and Loss.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280"/>
          </w:cols>
          <w:pgMar w:left="300" w:top="696" w:right="31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13. Intangible assets - goodwill and other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89" w:lineRule="exact"/>
        <w:rPr>
          <w:sz w:val="20"/>
          <w:szCs w:val="20"/>
          <w:color w:val="auto"/>
        </w:rPr>
      </w:pPr>
    </w:p>
    <w:p>
      <w:pPr>
        <w:ind w:left="40"/>
        <w:spacing w:after="0"/>
        <w:rPr>
          <w:sz w:val="20"/>
          <w:szCs w:val="20"/>
          <w:color w:val="auto"/>
        </w:rPr>
      </w:pPr>
      <w:r>
        <w:rPr>
          <w:rFonts w:ascii="Arial" w:cs="Arial" w:eastAsia="Arial" w:hAnsi="Arial"/>
          <w:sz w:val="13"/>
          <w:szCs w:val="13"/>
          <w:b w:val="1"/>
          <w:bCs w:val="1"/>
          <w:i w:val="1"/>
          <w:iCs w:val="1"/>
          <w:color w:val="auto"/>
        </w:rPr>
        <w:t>Impairment review of goodwill</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 xml:space="preserve">Goodwill acquired through business combinations has been allocated to the Group’s clinical research cash-generating unit (“CGU”). The CGU identified represents the lowest level within the Group at which goodwill is monitored and are not larger than the operating segment determined in accordance with IFRS 8 </w:t>
      </w:r>
      <w:r>
        <w:rPr>
          <w:rFonts w:ascii="Arial" w:cs="Arial" w:eastAsia="Arial" w:hAnsi="Arial"/>
          <w:sz w:val="13"/>
          <w:szCs w:val="13"/>
          <w:i w:val="1"/>
          <w:iCs w:val="1"/>
          <w:color w:val="auto"/>
        </w:rPr>
        <w:t>Operating Segments</w:t>
      </w:r>
      <w:r>
        <w:rPr>
          <w:rFonts w:ascii="Arial" w:cs="Arial" w:eastAsia="Arial" w:hAnsi="Arial"/>
          <w:sz w:val="13"/>
          <w:szCs w:val="13"/>
          <w:color w:val="auto"/>
        </w:rPr>
        <w:t>.</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The Group has identified one CGU in accordance with the provisions of IAS 36 </w:t>
      </w:r>
      <w:r>
        <w:rPr>
          <w:rFonts w:ascii="Arial" w:cs="Arial" w:eastAsia="Arial" w:hAnsi="Arial"/>
          <w:sz w:val="13"/>
          <w:szCs w:val="13"/>
          <w:i w:val="1"/>
          <w:iCs w:val="1"/>
          <w:color w:val="auto"/>
        </w:rPr>
        <w:t>Impairment of Assets</w:t>
      </w:r>
      <w:r>
        <w:rPr>
          <w:rFonts w:ascii="Arial" w:cs="Arial" w:eastAsia="Arial" w:hAnsi="Arial"/>
          <w:sz w:val="13"/>
          <w:szCs w:val="13"/>
          <w:color w:val="auto"/>
        </w:rPr>
        <w:t xml:space="preserv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12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101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68"/>
        </w:trPr>
        <w:tc>
          <w:tcPr>
            <w:tcW w:w="1012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2"/>
        </w:trPr>
        <w:tc>
          <w:tcPr>
            <w:tcW w:w="10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1"/>
                <w:szCs w:val="11"/>
                <w:color w:val="auto"/>
              </w:rPr>
            </w:pPr>
          </w:p>
        </w:tc>
        <w:tc>
          <w:tcPr>
            <w:tcW w:w="502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Goodwill</w:t>
            </w:r>
          </w:p>
        </w:tc>
        <w:tc>
          <w:tcPr>
            <w:tcW w:w="508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6"/>
        </w:trPr>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5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9"/>
        </w:trPr>
        <w:tc>
          <w:tcPr>
            <w:tcW w:w="60" w:type="dxa"/>
            <w:vAlign w:val="bottom"/>
            <w:tcBorders>
              <w:bottom w:val="single" w:sz="8" w:color="auto"/>
            </w:tcBorders>
            <w:shd w:val="clear" w:color="auto" w:fill="CCEEFF"/>
          </w:tcPr>
          <w:p>
            <w:pPr>
              <w:spacing w:after="0"/>
              <w:rPr>
                <w:sz w:val="16"/>
                <w:szCs w:val="16"/>
                <w:color w:val="auto"/>
              </w:rPr>
            </w:pPr>
          </w:p>
        </w:tc>
        <w:tc>
          <w:tcPr>
            <w:tcW w:w="50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Clinical research</w:t>
            </w:r>
          </w:p>
        </w:tc>
        <w:tc>
          <w:tcPr>
            <w:tcW w:w="50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897,179</w:t>
            </w:r>
          </w:p>
        </w:tc>
        <w:tc>
          <w:tcPr>
            <w:tcW w:w="11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770,269</w:t>
            </w:r>
          </w:p>
        </w:tc>
      </w:tr>
      <w:tr>
        <w:trPr>
          <w:trHeight w:val="189"/>
        </w:trPr>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2"/>
        </w:trPr>
        <w:tc>
          <w:tcPr>
            <w:tcW w:w="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4500" w:type="dxa"/>
            <w:vAlign w:val="bottom"/>
            <w:tcBorders>
              <w:bottom w:val="single" w:sz="8" w:color="auto"/>
            </w:tcBorders>
            <w:shd w:val="clear" w:color="auto" w:fill="CCEEFF"/>
          </w:tcPr>
          <w:p>
            <w:pPr>
              <w:spacing w:after="0"/>
              <w:rPr>
                <w:sz w:val="16"/>
                <w:szCs w:val="16"/>
                <w:color w:val="auto"/>
              </w:rPr>
            </w:pPr>
          </w:p>
        </w:tc>
        <w:tc>
          <w:tcPr>
            <w:tcW w:w="508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897,179</w:t>
            </w:r>
          </w:p>
        </w:tc>
        <w:tc>
          <w:tcPr>
            <w:tcW w:w="11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770,269</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Impairment testing methodology and results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Goodwill is subject to impairment testing on an annual basis or more frequently if facts or circumstances warrant such a review.</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recoverable amount of the CGU is determined using a value-in-use computation based upon discounted net present value cash flow projections for the CGU. The cash flow projections are for a period of five years forward together with a terminal value calculated in accordance with the Gordon growth model. In calculating the terminal value a long-term growth rate of 2% has been applied to the estimated maintainable cash flow in the terminal year.</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3"/>
          <w:szCs w:val="13"/>
          <w:color w:val="auto"/>
        </w:rPr>
        <w:t>Management’s estimates of future cash flows are based upon current budgets and strategic plans and are reflective of anticipated growth rates within the CRO industry, expected growth in the Group’s market share and reflective of past experience. Key assumptions applied in determining expected future cash flows for these plans include management’s estimate of future profitability, replacement capital expenditure requirements, trade working capital investment needs and tax considerations. The Group’s cash flow projections are adjusted each year for actual and expected changes in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assumptions were applied in determining the five year projected cash flows of the Clinical Research CGU at 31 December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40" w:type="dxa"/>
            <w:vAlign w:val="bottom"/>
            <w:shd w:val="clear" w:color="auto" w:fill="CCEEFF"/>
          </w:tcPr>
          <w:p>
            <w:pPr>
              <w:spacing w:after="0"/>
              <w:rPr>
                <w:sz w:val="13"/>
                <w:szCs w:val="13"/>
                <w:color w:val="auto"/>
              </w:rPr>
            </w:pPr>
          </w:p>
        </w:tc>
        <w:tc>
          <w:tcPr>
            <w:tcW w:w="4440" w:type="dxa"/>
            <w:vAlign w:val="bottom"/>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31 December</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5640" w:type="dxa"/>
            <w:vAlign w:val="bottom"/>
            <w:tcBorders>
              <w:bottom w:val="single" w:sz="8" w:color="auto"/>
            </w:tcBorders>
            <w:shd w:val="clear" w:color="auto" w:fill="CCEEFF"/>
          </w:tcPr>
          <w:p>
            <w:pPr>
              <w:spacing w:after="0"/>
              <w:rPr>
                <w:sz w:val="15"/>
                <w:szCs w:val="15"/>
                <w:color w:val="auto"/>
              </w:rPr>
            </w:pPr>
          </w:p>
        </w:tc>
        <w:tc>
          <w:tcPr>
            <w:tcW w:w="44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2019</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5640" w:type="dxa"/>
            <w:vAlign w:val="bottom"/>
          </w:tcPr>
          <w:p>
            <w:pPr>
              <w:ind w:left="60"/>
              <w:spacing w:after="0"/>
              <w:rPr>
                <w:sz w:val="20"/>
                <w:szCs w:val="20"/>
                <w:color w:val="auto"/>
              </w:rPr>
            </w:pPr>
            <w:r>
              <w:rPr>
                <w:rFonts w:ascii="Arial" w:cs="Arial" w:eastAsia="Arial" w:hAnsi="Arial"/>
                <w:sz w:val="13"/>
                <w:szCs w:val="13"/>
                <w:color w:val="auto"/>
              </w:rPr>
              <w:t>Expected revenue growth rate</w:t>
            </w:r>
          </w:p>
        </w:tc>
        <w:tc>
          <w:tcPr>
            <w:tcW w:w="4440" w:type="dxa"/>
            <w:vAlign w:val="bottom"/>
          </w:tcPr>
          <w:p>
            <w:pPr>
              <w:jc w:val="right"/>
              <w:ind w:right="356"/>
              <w:spacing w:after="0"/>
              <w:rPr>
                <w:sz w:val="20"/>
                <w:szCs w:val="20"/>
                <w:color w:val="auto"/>
              </w:rPr>
            </w:pPr>
            <w:r>
              <w:rPr>
                <w:rFonts w:ascii="Arial" w:cs="Arial" w:eastAsia="Arial" w:hAnsi="Arial"/>
                <w:sz w:val="13"/>
                <w:szCs w:val="13"/>
                <w:b w:val="1"/>
                <w:bCs w:val="1"/>
                <w:color w:val="auto"/>
              </w:rPr>
              <w:t>6 %</w:t>
            </w:r>
          </w:p>
        </w:tc>
        <w:tc>
          <w:tcPr>
            <w:tcW w:w="1000" w:type="dxa"/>
            <w:vAlign w:val="bottom"/>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9"/>
        </w:trPr>
        <w:tc>
          <w:tcPr>
            <w:tcW w:w="564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Expected growth rate for operating costs</w:t>
            </w:r>
          </w:p>
        </w:tc>
        <w:tc>
          <w:tcPr>
            <w:tcW w:w="444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5.5 %</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5640" w:type="dxa"/>
            <w:vAlign w:val="bottom"/>
          </w:tcPr>
          <w:p>
            <w:pPr>
              <w:ind w:left="60"/>
              <w:spacing w:after="0"/>
              <w:rPr>
                <w:sz w:val="20"/>
                <w:szCs w:val="20"/>
                <w:color w:val="auto"/>
              </w:rPr>
            </w:pPr>
            <w:r>
              <w:rPr>
                <w:rFonts w:ascii="Arial" w:cs="Arial" w:eastAsia="Arial" w:hAnsi="Arial"/>
                <w:sz w:val="13"/>
                <w:szCs w:val="13"/>
                <w:color w:val="auto"/>
              </w:rPr>
              <w:t>Expected effective tax rate</w:t>
            </w:r>
          </w:p>
        </w:tc>
        <w:tc>
          <w:tcPr>
            <w:tcW w:w="4440" w:type="dxa"/>
            <w:vAlign w:val="bottom"/>
          </w:tcPr>
          <w:p>
            <w:pPr>
              <w:jc w:val="right"/>
              <w:ind w:right="356"/>
              <w:spacing w:after="0"/>
              <w:rPr>
                <w:sz w:val="20"/>
                <w:szCs w:val="20"/>
                <w:color w:val="auto"/>
              </w:rPr>
            </w:pPr>
            <w:r>
              <w:rPr>
                <w:rFonts w:ascii="Arial" w:cs="Arial" w:eastAsia="Arial" w:hAnsi="Arial"/>
                <w:sz w:val="13"/>
                <w:szCs w:val="13"/>
                <w:b w:val="1"/>
                <w:bCs w:val="1"/>
                <w:color w:val="auto"/>
              </w:rPr>
              <w:t>14 %</w:t>
            </w:r>
          </w:p>
        </w:tc>
        <w:tc>
          <w:tcPr>
            <w:tcW w:w="1000" w:type="dxa"/>
            <w:vAlign w:val="bottom"/>
          </w:tcPr>
          <w:p>
            <w:pPr>
              <w:jc w:val="right"/>
              <w:spacing w:after="0"/>
              <w:rPr>
                <w:sz w:val="20"/>
                <w:szCs w:val="20"/>
                <w:color w:val="auto"/>
              </w:rPr>
            </w:pPr>
            <w:r>
              <w:rPr>
                <w:rFonts w:ascii="Arial" w:cs="Arial" w:eastAsia="Arial" w:hAnsi="Arial"/>
                <w:sz w:val="13"/>
                <w:szCs w:val="13"/>
                <w:color w:val="auto"/>
              </w:rPr>
              <w:t>12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9"/>
        </w:trPr>
        <w:tc>
          <w:tcPr>
            <w:tcW w:w="564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Expected movement in creditors</w:t>
            </w:r>
          </w:p>
        </w:tc>
        <w:tc>
          <w:tcPr>
            <w:tcW w:w="444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5.5 %</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5640" w:type="dxa"/>
            <w:vAlign w:val="bottom"/>
          </w:tcPr>
          <w:p>
            <w:pPr>
              <w:ind w:left="60"/>
              <w:spacing w:after="0"/>
              <w:rPr>
                <w:sz w:val="20"/>
                <w:szCs w:val="20"/>
                <w:color w:val="auto"/>
              </w:rPr>
            </w:pPr>
            <w:r>
              <w:rPr>
                <w:rFonts w:ascii="Arial" w:cs="Arial" w:eastAsia="Arial" w:hAnsi="Arial"/>
                <w:sz w:val="13"/>
                <w:szCs w:val="13"/>
                <w:color w:val="auto"/>
              </w:rPr>
              <w:t>Expected days sales outstanding</w:t>
            </w:r>
          </w:p>
        </w:tc>
        <w:tc>
          <w:tcPr>
            <w:tcW w:w="4440" w:type="dxa"/>
            <w:vAlign w:val="bottom"/>
          </w:tcPr>
          <w:p>
            <w:pPr>
              <w:jc w:val="right"/>
              <w:ind w:right="516"/>
              <w:spacing w:after="0"/>
              <w:rPr>
                <w:sz w:val="20"/>
                <w:szCs w:val="20"/>
                <w:color w:val="auto"/>
              </w:rPr>
            </w:pPr>
            <w:r>
              <w:rPr>
                <w:rFonts w:ascii="Arial" w:cs="Arial" w:eastAsia="Arial" w:hAnsi="Arial"/>
                <w:sz w:val="13"/>
                <w:szCs w:val="13"/>
                <w:b w:val="1"/>
                <w:bCs w:val="1"/>
                <w:color w:val="auto"/>
              </w:rPr>
              <w:t>72 days</w:t>
            </w:r>
          </w:p>
        </w:tc>
        <w:tc>
          <w:tcPr>
            <w:tcW w:w="1000" w:type="dxa"/>
            <w:vAlign w:val="bottom"/>
          </w:tcPr>
          <w:p>
            <w:pPr>
              <w:jc w:val="right"/>
              <w:spacing w:after="0"/>
              <w:rPr>
                <w:sz w:val="20"/>
                <w:szCs w:val="20"/>
                <w:color w:val="auto"/>
              </w:rPr>
            </w:pPr>
            <w:r>
              <w:rPr>
                <w:rFonts w:ascii="Arial" w:cs="Arial" w:eastAsia="Arial" w:hAnsi="Arial"/>
                <w:sz w:val="13"/>
                <w:szCs w:val="13"/>
                <w:color w:val="auto"/>
              </w:rPr>
              <w:t>67 days</w:t>
            </w:r>
          </w:p>
        </w:tc>
        <w:tc>
          <w:tcPr>
            <w:tcW w:w="200" w:type="dxa"/>
            <w:vAlign w:val="bottom"/>
          </w:tcPr>
          <w:p>
            <w:pPr>
              <w:spacing w:after="0"/>
              <w:rPr>
                <w:sz w:val="15"/>
                <w:szCs w:val="15"/>
                <w:color w:val="auto"/>
              </w:rPr>
            </w:pPr>
          </w:p>
        </w:tc>
      </w:tr>
      <w:tr>
        <w:trPr>
          <w:trHeight w:val="199"/>
        </w:trPr>
        <w:tc>
          <w:tcPr>
            <w:tcW w:w="5640" w:type="dxa"/>
            <w:vAlign w:val="bottom"/>
            <w:shd w:val="clear" w:color="auto" w:fill="CCEEFF"/>
          </w:tcPr>
          <w:p>
            <w:pPr>
              <w:ind w:left="60"/>
              <w:spacing w:after="0"/>
              <w:rPr>
                <w:sz w:val="20"/>
                <w:szCs w:val="20"/>
                <w:color w:val="auto"/>
              </w:rPr>
            </w:pPr>
            <w:r>
              <w:rPr>
                <w:rFonts w:ascii="Arial" w:cs="Arial" w:eastAsia="Arial" w:hAnsi="Arial"/>
                <w:sz w:val="13"/>
                <w:szCs w:val="13"/>
                <w:color w:val="auto"/>
              </w:rPr>
              <w:t>Expected capital expenditure growth rate</w:t>
            </w:r>
          </w:p>
        </w:tc>
        <w:tc>
          <w:tcPr>
            <w:tcW w:w="444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2 %</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2"/>
        </w:trPr>
        <w:tc>
          <w:tcPr>
            <w:tcW w:w="56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Discount rate</w:t>
            </w:r>
          </w:p>
        </w:tc>
        <w:tc>
          <w:tcPr>
            <w:tcW w:w="44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6.3 %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bl>
    <w:p>
      <w:pPr>
        <w:spacing w:after="0" w:line="151" w:lineRule="exact"/>
        <w:rPr>
          <w:sz w:val="20"/>
          <w:szCs w:val="20"/>
          <w:color w:val="auto"/>
        </w:rPr>
      </w:pPr>
    </w:p>
    <w:p>
      <w:pPr>
        <w:jc w:val="both"/>
        <w:spacing w:after="0" w:line="303" w:lineRule="auto"/>
        <w:rPr>
          <w:sz w:val="20"/>
          <w:szCs w:val="20"/>
          <w:color w:val="auto"/>
        </w:rPr>
      </w:pPr>
      <w:r>
        <w:rPr>
          <w:rFonts w:ascii="Arial" w:cs="Arial" w:eastAsia="Arial" w:hAnsi="Arial"/>
          <w:sz w:val="11"/>
          <w:szCs w:val="11"/>
          <w:i w:val="1"/>
          <w:iCs w:val="1"/>
          <w:color w:val="auto"/>
        </w:rPr>
        <w:t>*Days sales outstanding (DSO) is a a measure of the number of days in the period that the company takes to collect revenue. DSO is calculated based on trade debtors less unearned revenue divided by gross revenue multiplied by number of days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280"/>
          </w:cols>
          <w:pgMar w:left="300" w:top="696" w:right="31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13. Intangible assets - goodwill and other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03"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Expected revenue growth and the expected growth in operating costs are determined based upon the expected growth rates used in preparing the Group’s budgets and strategic plans. In estimating budget revenue, consideration is given to current levels of backlog (i.e. the value of new business awards not yet recognised in revenue) and the estimated timeframe over which this is expected to be recognised within revenue, together with an estimate of revenue expected to be generated from new awards not currently within backlog. In estimating revenue from new awards consideration is given to current RFP (request for proposals) volumes, expected growth rates in both the CRO industry and the Group’s market share, and of past experience. In estimating budgeted operating costs, consideration is given to required staffing levels, project related costs, facility and information technology costs and other costs. Staff costs and project related costs generally increase in line with revenue and are therefore estimated based on revenue growth expectations, while facility and information costs and other costs are relatively fixed and are therefore projected based upon a lower growth rate. An expected long term average tax rate of 12% has been applied in determining the projected after tax cash flows.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3"/>
          <w:szCs w:val="13"/>
          <w:color w:val="auto"/>
        </w:rPr>
        <w:t>Working capital investment needs are determined based upon anticipated increases in the Group’s debtors and creditors. Debtors are expected to increase in line with increases in the Group’s DSO. DSO is generally a function of both the timing of contract fee instalments over a study or trial duration and credit terms afforded to individual customers. The DSO used in conducting the impairment review is reflective of current and anticipated trends in the Group’s DSO. Expected long term DSOs for the Group are anticipated to be in the range of 65 to 75 days. Creditors are expected to increase in line with operating costs. Capital expenditure is expected to increase in line with the Group’s projected capital expenditure investment targets.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13"/>
          <w:szCs w:val="13"/>
          <w:color w:val="auto"/>
        </w:rPr>
        <w:t>A pre-tax discount rate of 6.3% (2018: 10%) has been applied to the projected cash flows of the CGU in determining its value-in-use. This rate is reflective of both the time value of money and risks specific to the CGU. The discount rate is based upon the Group’s weighted average cost of capital which has been determined by applying the Group’s long term optimal capital structure to its costs of debt and cost of equity. The Group’s cost of debt has been calculated by applying an appropriate margin over the risk free interest rate. The Group’s cost of equity has been calculated using the capital asset pricing model and includes an appropriate equity risk premium over the available risk free interest rate.</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The excess of the value-in-use of the CGU at 31 December 2019, based on the assumptions above, has been calculated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40" w:type="dxa"/>
            <w:vAlign w:val="bottom"/>
            <w:shd w:val="clear" w:color="auto" w:fill="CCEEFF"/>
          </w:tcPr>
          <w:p>
            <w:pPr>
              <w:spacing w:after="0"/>
              <w:rPr>
                <w:sz w:val="13"/>
                <w:szCs w:val="13"/>
                <w:color w:val="auto"/>
              </w:rPr>
            </w:pPr>
          </w:p>
        </w:tc>
        <w:tc>
          <w:tcPr>
            <w:tcW w:w="352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31 December</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5240" w:type="dxa"/>
            <w:vAlign w:val="bottom"/>
            <w:tcBorders>
              <w:bottom w:val="single" w:sz="8" w:color="auto"/>
            </w:tcBorders>
            <w:shd w:val="clear" w:color="auto" w:fill="CCEEFF"/>
          </w:tcPr>
          <w:p>
            <w:pPr>
              <w:spacing w:after="0"/>
              <w:rPr>
                <w:sz w:val="15"/>
                <w:szCs w:val="15"/>
                <w:color w:val="auto"/>
              </w:rPr>
            </w:pPr>
          </w:p>
        </w:tc>
        <w:tc>
          <w:tcPr>
            <w:tcW w:w="35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2019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68"/>
        </w:trPr>
        <w:tc>
          <w:tcPr>
            <w:tcW w:w="5240" w:type="dxa"/>
            <w:vAlign w:val="bottom"/>
          </w:tcPr>
          <w:p>
            <w:pPr>
              <w:spacing w:after="0"/>
              <w:rPr>
                <w:sz w:val="14"/>
                <w:szCs w:val="14"/>
                <w:color w:val="auto"/>
              </w:rPr>
            </w:pPr>
          </w:p>
        </w:tc>
        <w:tc>
          <w:tcPr>
            <w:tcW w:w="3520" w:type="dxa"/>
            <w:vAlign w:val="bottom"/>
          </w:tcPr>
          <w:p>
            <w:pPr>
              <w:jc w:val="right"/>
              <w:ind w:right="176"/>
              <w:spacing w:after="0"/>
              <w:rPr>
                <w:sz w:val="20"/>
                <w:szCs w:val="20"/>
                <w:color w:val="auto"/>
              </w:rPr>
            </w:pPr>
            <w:r>
              <w:rPr>
                <w:rFonts w:ascii="Arial" w:cs="Arial" w:eastAsia="Arial" w:hAnsi="Arial"/>
                <w:sz w:val="13"/>
                <w:szCs w:val="13"/>
                <w:b w:val="1"/>
                <w:bCs w:val="1"/>
                <w:color w:val="auto"/>
              </w:rPr>
              <w:t>$’m</w:t>
            </w:r>
          </w:p>
        </w:tc>
        <w:tc>
          <w:tcPr>
            <w:tcW w:w="1060" w:type="dxa"/>
            <w:vAlign w:val="bottom"/>
          </w:tcPr>
          <w:p>
            <w:pPr>
              <w:jc w:val="right"/>
              <w:spacing w:after="0"/>
              <w:rPr>
                <w:sz w:val="20"/>
                <w:szCs w:val="20"/>
                <w:color w:val="auto"/>
              </w:rPr>
            </w:pPr>
            <w:r>
              <w:rPr>
                <w:rFonts w:ascii="Arial" w:cs="Arial" w:eastAsia="Arial" w:hAnsi="Arial"/>
                <w:sz w:val="13"/>
                <w:szCs w:val="13"/>
                <w:color w:val="auto"/>
              </w:rPr>
              <w:t>$’m</w:t>
            </w:r>
          </w:p>
        </w:tc>
      </w:tr>
      <w:tr>
        <w:trPr>
          <w:trHeight w:val="202"/>
        </w:trPr>
        <w:tc>
          <w:tcPr>
            <w:tcW w:w="52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3"/>
        </w:trPr>
        <w:tc>
          <w:tcPr>
            <w:tcW w:w="5240" w:type="dxa"/>
            <w:vAlign w:val="bottom"/>
          </w:tcPr>
          <w:p>
            <w:pPr>
              <w:ind w:left="60"/>
              <w:spacing w:after="0"/>
              <w:rPr>
                <w:sz w:val="20"/>
                <w:szCs w:val="20"/>
                <w:color w:val="auto"/>
              </w:rPr>
            </w:pPr>
            <w:r>
              <w:rPr>
                <w:rFonts w:ascii="Arial" w:cs="Arial" w:eastAsia="Arial" w:hAnsi="Arial"/>
                <w:sz w:val="13"/>
                <w:szCs w:val="13"/>
                <w:color w:val="auto"/>
              </w:rPr>
              <w:t>Value-in use (present value of future cash flows)</w:t>
            </w:r>
          </w:p>
        </w:tc>
        <w:tc>
          <w:tcPr>
            <w:tcW w:w="3520" w:type="dxa"/>
            <w:vAlign w:val="bottom"/>
          </w:tcPr>
          <w:p>
            <w:pPr>
              <w:jc w:val="right"/>
              <w:ind w:right="316"/>
              <w:spacing w:after="0"/>
              <w:rPr>
                <w:sz w:val="20"/>
                <w:szCs w:val="20"/>
                <w:color w:val="auto"/>
              </w:rPr>
            </w:pPr>
            <w:r>
              <w:rPr>
                <w:rFonts w:ascii="Arial" w:cs="Arial" w:eastAsia="Arial" w:hAnsi="Arial"/>
                <w:sz w:val="13"/>
                <w:szCs w:val="13"/>
                <w:b w:val="1"/>
                <w:bCs w:val="1"/>
                <w:color w:val="auto"/>
              </w:rPr>
              <w:t>12,145</w:t>
            </w:r>
          </w:p>
        </w:tc>
        <w:tc>
          <w:tcPr>
            <w:tcW w:w="1060" w:type="dxa"/>
            <w:vAlign w:val="bottom"/>
          </w:tcPr>
          <w:p>
            <w:pPr>
              <w:jc w:val="right"/>
              <w:ind w:right="96"/>
              <w:spacing w:after="0"/>
              <w:rPr>
                <w:sz w:val="20"/>
                <w:szCs w:val="20"/>
                <w:color w:val="auto"/>
              </w:rPr>
            </w:pPr>
            <w:r>
              <w:rPr>
                <w:rFonts w:ascii="Arial" w:cs="Arial" w:eastAsia="Arial" w:hAnsi="Arial"/>
                <w:sz w:val="13"/>
                <w:szCs w:val="13"/>
                <w:color w:val="auto"/>
              </w:rPr>
              <w:t>5,506</w:t>
            </w:r>
          </w:p>
        </w:tc>
      </w:tr>
      <w:tr>
        <w:trPr>
          <w:trHeight w:val="191"/>
        </w:trPr>
        <w:tc>
          <w:tcPr>
            <w:tcW w:w="5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Carrying amount of the Clinical Research CGU</w:t>
            </w:r>
          </w:p>
        </w:tc>
        <w:tc>
          <w:tcPr>
            <w:tcW w:w="35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(2,038)</w:t>
            </w: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(1,736)</w:t>
            </w:r>
          </w:p>
        </w:tc>
      </w:tr>
      <w:tr>
        <w:trPr>
          <w:trHeight w:val="189"/>
        </w:trPr>
        <w:tc>
          <w:tcPr>
            <w:tcW w:w="52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Excess of value-in-use over carrying value</w:t>
            </w:r>
          </w:p>
        </w:tc>
        <w:tc>
          <w:tcPr>
            <w:tcW w:w="3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10,107</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3,770</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Sensitivity Analysis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A sensitivity analysis to determine if reasonable changes in key assumptions could lead to an impairment was conducted at 31 December 2019 using the following revised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215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21590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60"/>
        <w:spacing w:after="0"/>
        <w:rPr>
          <w:sz w:val="20"/>
          <w:szCs w:val="20"/>
          <w:color w:val="auto"/>
        </w:rPr>
      </w:pPr>
      <w:r>
        <w:rPr>
          <w:rFonts w:ascii="Arial" w:cs="Arial" w:eastAsia="Arial" w:hAnsi="Arial"/>
          <w:sz w:val="13"/>
          <w:szCs w:val="13"/>
          <w:color w:val="auto"/>
        </w:rPr>
        <w:t>Expected revenue growth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61530" cy="121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-108585</wp:posOffset>
            </wp:positionV>
            <wp:extent cx="716153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1" w:lineRule="exact"/>
        <w:rPr>
          <w:sz w:val="20"/>
          <w:szCs w:val="20"/>
          <w:color w:val="auto"/>
        </w:rPr>
      </w:pPr>
    </w:p>
    <w:p>
      <w:pPr>
        <w:ind w:left="60"/>
        <w:spacing w:after="0"/>
        <w:rPr>
          <w:sz w:val="20"/>
          <w:szCs w:val="20"/>
          <w:color w:val="auto"/>
        </w:rPr>
      </w:pPr>
      <w:r>
        <w:rPr>
          <w:rFonts w:ascii="Arial" w:cs="Arial" w:eastAsia="Arial" w:hAnsi="Arial"/>
          <w:sz w:val="12"/>
          <w:szCs w:val="12"/>
          <w:color w:val="auto"/>
        </w:rPr>
        <w:t>Expected growth rate for operating costs</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2"/>
          <w:szCs w:val="12"/>
          <w:color w:val="auto"/>
        </w:rPr>
        <w:t>Expected capital expenditure growth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13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3" w:lineRule="exact"/>
        <w:rPr>
          <w:sz w:val="20"/>
          <w:szCs w:val="20"/>
          <w:color w:val="auto"/>
        </w:rPr>
      </w:pPr>
    </w:p>
    <w:p>
      <w:pPr>
        <w:ind w:left="60"/>
        <w:spacing w:after="0"/>
        <w:rPr>
          <w:sz w:val="20"/>
          <w:szCs w:val="20"/>
          <w:color w:val="auto"/>
        </w:rPr>
      </w:pPr>
      <w:r>
        <w:rPr>
          <w:rFonts w:ascii="Arial" w:cs="Arial" w:eastAsia="Arial" w:hAnsi="Arial"/>
          <w:sz w:val="13"/>
          <w:szCs w:val="13"/>
          <w:color w:val="auto"/>
        </w:rPr>
        <w:t>Discount rate</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*All other inputs remained constant.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jc w:val="right"/>
              <w:ind w:right="276"/>
              <w:spacing w:after="0"/>
              <w:rPr>
                <w:sz w:val="20"/>
                <w:szCs w:val="20"/>
                <w:color w:val="auto"/>
              </w:rPr>
            </w:pPr>
            <w:r>
              <w:rPr>
                <w:rFonts w:ascii="Arial" w:cs="Arial" w:eastAsia="Arial" w:hAnsi="Arial"/>
                <w:sz w:val="13"/>
                <w:szCs w:val="13"/>
                <w:b w:val="1"/>
                <w:bCs w:val="1"/>
                <w:color w:val="auto"/>
                <w:w w:val="96"/>
              </w:rPr>
              <w:t>31 December</w:t>
            </w:r>
          </w:p>
        </w:tc>
        <w:tc>
          <w:tcPr>
            <w:tcW w:w="1160" w:type="dxa"/>
            <w:vAlign w:val="bottom"/>
          </w:tcPr>
          <w:p>
            <w:pPr>
              <w:jc w:val="right"/>
              <w:spacing w:after="0"/>
              <w:rPr>
                <w:sz w:val="20"/>
                <w:szCs w:val="20"/>
                <w:color w:val="auto"/>
              </w:rPr>
            </w:pPr>
            <w:r>
              <w:rPr>
                <w:rFonts w:ascii="Arial" w:cs="Arial" w:eastAsia="Arial" w:hAnsi="Arial"/>
                <w:sz w:val="13"/>
                <w:szCs w:val="13"/>
                <w:color w:val="auto"/>
              </w:rPr>
              <w:t>31 December</w:t>
            </w:r>
          </w:p>
        </w:tc>
      </w:tr>
      <w:tr>
        <w:trPr>
          <w:trHeight w:val="169"/>
        </w:trPr>
        <w:tc>
          <w:tcPr>
            <w:tcW w:w="1140" w:type="dxa"/>
            <w:vAlign w:val="bottom"/>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60" w:type="dxa"/>
            <w:vAlign w:val="bottom"/>
          </w:tcPr>
          <w:p>
            <w:pPr>
              <w:jc w:val="right"/>
              <w:spacing w:after="0"/>
              <w:rPr>
                <w:sz w:val="20"/>
                <w:szCs w:val="20"/>
                <w:color w:val="auto"/>
              </w:rPr>
            </w:pPr>
            <w:r>
              <w:rPr>
                <w:rFonts w:ascii="Arial" w:cs="Arial" w:eastAsia="Arial" w:hAnsi="Arial"/>
                <w:sz w:val="13"/>
                <w:szCs w:val="13"/>
                <w:color w:val="auto"/>
              </w:rPr>
              <w:t>2018</w:t>
            </w:r>
          </w:p>
        </w:tc>
      </w:tr>
      <w:tr>
        <w:trPr>
          <w:trHeight w:val="202"/>
        </w:trPr>
        <w:tc>
          <w:tcPr>
            <w:tcW w:w="1140" w:type="dxa"/>
            <w:vAlign w:val="bottom"/>
          </w:tcPr>
          <w:p>
            <w:pPr>
              <w:jc w:val="right"/>
              <w:ind w:right="276"/>
              <w:spacing w:after="0"/>
              <w:rPr>
                <w:sz w:val="20"/>
                <w:szCs w:val="20"/>
                <w:color w:val="auto"/>
              </w:rPr>
            </w:pPr>
            <w:r>
              <w:rPr>
                <w:rFonts w:ascii="Arial" w:cs="Arial" w:eastAsia="Arial" w:hAnsi="Arial"/>
                <w:sz w:val="13"/>
                <w:szCs w:val="13"/>
                <w:b w:val="1"/>
                <w:bCs w:val="1"/>
                <w:color w:val="auto"/>
              </w:rPr>
              <w:t>4 %</w:t>
            </w:r>
          </w:p>
        </w:tc>
        <w:tc>
          <w:tcPr>
            <w:tcW w:w="1160" w:type="dxa"/>
            <w:vAlign w:val="bottom"/>
          </w:tcPr>
          <w:p>
            <w:pPr>
              <w:jc w:val="right"/>
              <w:spacing w:after="0"/>
              <w:rPr>
                <w:sz w:val="20"/>
                <w:szCs w:val="20"/>
                <w:color w:val="auto"/>
              </w:rPr>
            </w:pPr>
            <w:r>
              <w:rPr>
                <w:rFonts w:ascii="Arial" w:cs="Arial" w:eastAsia="Arial" w:hAnsi="Arial"/>
                <w:sz w:val="13"/>
                <w:szCs w:val="13"/>
                <w:color w:val="auto"/>
              </w:rPr>
              <w:t>4 %</w:t>
            </w:r>
          </w:p>
        </w:tc>
      </w:tr>
      <w:tr>
        <w:trPr>
          <w:trHeight w:val="191"/>
        </w:trPr>
        <w:tc>
          <w:tcPr>
            <w:tcW w:w="1140" w:type="dxa"/>
            <w:vAlign w:val="bottom"/>
          </w:tcPr>
          <w:p>
            <w:pPr>
              <w:jc w:val="right"/>
              <w:ind w:right="276"/>
              <w:spacing w:after="0"/>
              <w:rPr>
                <w:sz w:val="20"/>
                <w:szCs w:val="20"/>
                <w:color w:val="auto"/>
              </w:rPr>
            </w:pPr>
            <w:r>
              <w:rPr>
                <w:rFonts w:ascii="Arial" w:cs="Arial" w:eastAsia="Arial" w:hAnsi="Arial"/>
                <w:sz w:val="13"/>
                <w:szCs w:val="13"/>
                <w:b w:val="1"/>
                <w:bCs w:val="1"/>
                <w:color w:val="auto"/>
              </w:rPr>
              <w:t>3.5 %</w:t>
            </w:r>
          </w:p>
        </w:tc>
        <w:tc>
          <w:tcPr>
            <w:tcW w:w="1160" w:type="dxa"/>
            <w:vAlign w:val="bottom"/>
          </w:tcPr>
          <w:p>
            <w:pPr>
              <w:jc w:val="right"/>
              <w:spacing w:after="0"/>
              <w:rPr>
                <w:sz w:val="20"/>
                <w:szCs w:val="20"/>
                <w:color w:val="auto"/>
              </w:rPr>
            </w:pPr>
            <w:r>
              <w:rPr>
                <w:rFonts w:ascii="Arial" w:cs="Arial" w:eastAsia="Arial" w:hAnsi="Arial"/>
                <w:sz w:val="13"/>
                <w:szCs w:val="13"/>
                <w:color w:val="auto"/>
              </w:rPr>
              <w:t>3.5 %</w:t>
            </w:r>
          </w:p>
        </w:tc>
      </w:tr>
      <w:tr>
        <w:trPr>
          <w:trHeight w:val="191"/>
        </w:trPr>
        <w:tc>
          <w:tcPr>
            <w:tcW w:w="1140" w:type="dxa"/>
            <w:vAlign w:val="bottom"/>
          </w:tcPr>
          <w:p>
            <w:pPr>
              <w:jc w:val="right"/>
              <w:ind w:right="276"/>
              <w:spacing w:after="0"/>
              <w:rPr>
                <w:sz w:val="20"/>
                <w:szCs w:val="20"/>
                <w:color w:val="auto"/>
              </w:rPr>
            </w:pPr>
            <w:r>
              <w:rPr>
                <w:rFonts w:ascii="Arial" w:cs="Arial" w:eastAsia="Arial" w:hAnsi="Arial"/>
                <w:sz w:val="13"/>
                <w:szCs w:val="13"/>
                <w:b w:val="1"/>
                <w:bCs w:val="1"/>
                <w:color w:val="auto"/>
              </w:rPr>
              <w:t>1 %</w:t>
            </w:r>
          </w:p>
        </w:tc>
        <w:tc>
          <w:tcPr>
            <w:tcW w:w="1160" w:type="dxa"/>
            <w:vAlign w:val="bottom"/>
          </w:tcPr>
          <w:p>
            <w:pPr>
              <w:jc w:val="right"/>
              <w:spacing w:after="0"/>
              <w:rPr>
                <w:sz w:val="20"/>
                <w:szCs w:val="20"/>
                <w:color w:val="auto"/>
              </w:rPr>
            </w:pPr>
            <w:r>
              <w:rPr>
                <w:rFonts w:ascii="Arial" w:cs="Arial" w:eastAsia="Arial" w:hAnsi="Arial"/>
                <w:sz w:val="13"/>
                <w:szCs w:val="13"/>
                <w:color w:val="auto"/>
              </w:rPr>
              <w:t>1 %</w:t>
            </w:r>
          </w:p>
        </w:tc>
      </w:tr>
      <w:tr>
        <w:trPr>
          <w:trHeight w:val="191"/>
        </w:trPr>
        <w:tc>
          <w:tcPr>
            <w:tcW w:w="1140" w:type="dxa"/>
            <w:vAlign w:val="bottom"/>
          </w:tcPr>
          <w:p>
            <w:pPr>
              <w:jc w:val="right"/>
              <w:ind w:right="276"/>
              <w:spacing w:after="0"/>
              <w:rPr>
                <w:sz w:val="20"/>
                <w:szCs w:val="20"/>
                <w:color w:val="auto"/>
              </w:rPr>
            </w:pPr>
            <w:r>
              <w:rPr>
                <w:rFonts w:ascii="Arial" w:cs="Arial" w:eastAsia="Arial" w:hAnsi="Arial"/>
                <w:sz w:val="13"/>
                <w:szCs w:val="13"/>
                <w:b w:val="1"/>
                <w:bCs w:val="1"/>
                <w:color w:val="auto"/>
              </w:rPr>
              <w:t>9.3 %</w:t>
            </w:r>
          </w:p>
        </w:tc>
        <w:tc>
          <w:tcPr>
            <w:tcW w:w="1160" w:type="dxa"/>
            <w:vAlign w:val="bottom"/>
          </w:tcPr>
          <w:p>
            <w:pPr>
              <w:jc w:val="right"/>
              <w:spacing w:after="0"/>
              <w:rPr>
                <w:sz w:val="20"/>
                <w:szCs w:val="20"/>
                <w:color w:val="auto"/>
              </w:rPr>
            </w:pPr>
            <w:r>
              <w:rPr>
                <w:rFonts w:ascii="Arial" w:cs="Arial" w:eastAsia="Arial" w:hAnsi="Arial"/>
                <w:sz w:val="13"/>
                <w:szCs w:val="13"/>
                <w:color w:val="auto"/>
              </w:rPr>
              <w:t>13 %</w:t>
            </w:r>
          </w:p>
        </w:tc>
      </w:tr>
    </w:tbl>
    <w:p>
      <w:pPr>
        <w:spacing w:after="0" w:line="428" w:lineRule="exact"/>
        <w:rPr>
          <w:sz w:val="20"/>
          <w:szCs w:val="20"/>
          <w:color w:val="auto"/>
        </w:rPr>
      </w:pPr>
    </w:p>
    <w:p>
      <w:pPr>
        <w:sectPr>
          <w:pgSz w:w="11900" w:h="16838" w:orient="portrait"/>
          <w:cols w:equalWidth="0" w:num="2">
            <w:col w:w="8240" w:space="720"/>
            <w:col w:w="2320"/>
          </w:cols>
          <w:pgMar w:left="300" w:top="69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280"/>
          </w:cols>
          <w:pgMar w:left="300" w:top="696" w:right="31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13. Intangible assets - goodwill and other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The revised excess of the value-in-use of the CGU at 31 December 2019, using the alternative assumptions above, has been calculated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100" w:type="dxa"/>
            <w:vAlign w:val="bottom"/>
            <w:shd w:val="clear" w:color="auto" w:fill="CCEEFF"/>
          </w:tcPr>
          <w:p>
            <w:pPr>
              <w:spacing w:after="0"/>
              <w:rPr>
                <w:sz w:val="13"/>
                <w:szCs w:val="13"/>
                <w:color w:val="auto"/>
              </w:rPr>
            </w:pPr>
          </w:p>
        </w:tc>
        <w:tc>
          <w:tcPr>
            <w:tcW w:w="402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6100" w:type="dxa"/>
            <w:vAlign w:val="bottom"/>
            <w:tcBorders>
              <w:bottom w:val="single" w:sz="8" w:color="auto"/>
            </w:tcBorders>
            <w:shd w:val="clear" w:color="auto" w:fill="CCEEFF"/>
          </w:tcPr>
          <w:p>
            <w:pPr>
              <w:spacing w:after="0"/>
              <w:rPr>
                <w:sz w:val="15"/>
                <w:szCs w:val="15"/>
                <w:color w:val="auto"/>
              </w:rPr>
            </w:pPr>
          </w:p>
        </w:tc>
        <w:tc>
          <w:tcPr>
            <w:tcW w:w="40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68"/>
        </w:trPr>
        <w:tc>
          <w:tcPr>
            <w:tcW w:w="6100" w:type="dxa"/>
            <w:vAlign w:val="bottom"/>
          </w:tcPr>
          <w:p>
            <w:pPr>
              <w:spacing w:after="0"/>
              <w:rPr>
                <w:sz w:val="14"/>
                <w:szCs w:val="14"/>
                <w:color w:val="auto"/>
              </w:rPr>
            </w:pPr>
          </w:p>
        </w:tc>
        <w:tc>
          <w:tcPr>
            <w:tcW w:w="4020" w:type="dxa"/>
            <w:vAlign w:val="bottom"/>
          </w:tcPr>
          <w:p>
            <w:pPr>
              <w:jc w:val="right"/>
              <w:ind w:right="276"/>
              <w:spacing w:after="0"/>
              <w:rPr>
                <w:sz w:val="20"/>
                <w:szCs w:val="20"/>
                <w:color w:val="auto"/>
              </w:rPr>
            </w:pPr>
            <w:r>
              <w:rPr>
                <w:rFonts w:ascii="Arial" w:cs="Arial" w:eastAsia="Arial" w:hAnsi="Arial"/>
                <w:sz w:val="13"/>
                <w:szCs w:val="13"/>
                <w:b w:val="1"/>
                <w:bCs w:val="1"/>
                <w:color w:val="auto"/>
              </w:rPr>
              <w:t>$’m</w:t>
            </w:r>
          </w:p>
        </w:tc>
        <w:tc>
          <w:tcPr>
            <w:tcW w:w="1160" w:type="dxa"/>
            <w:vAlign w:val="bottom"/>
          </w:tcPr>
          <w:p>
            <w:pPr>
              <w:jc w:val="right"/>
              <w:spacing w:after="0"/>
              <w:rPr>
                <w:sz w:val="20"/>
                <w:szCs w:val="20"/>
                <w:color w:val="auto"/>
              </w:rPr>
            </w:pPr>
            <w:r>
              <w:rPr>
                <w:rFonts w:ascii="Arial" w:cs="Arial" w:eastAsia="Arial" w:hAnsi="Arial"/>
                <w:sz w:val="13"/>
                <w:szCs w:val="13"/>
                <w:color w:val="auto"/>
              </w:rPr>
              <w:t>$’m</w:t>
            </w:r>
          </w:p>
        </w:tc>
      </w:tr>
      <w:tr>
        <w:trPr>
          <w:trHeight w:val="202"/>
        </w:trPr>
        <w:tc>
          <w:tcPr>
            <w:tcW w:w="6100" w:type="dxa"/>
            <w:vAlign w:val="bottom"/>
            <w:shd w:val="clear" w:color="auto" w:fill="CCEEFF"/>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83"/>
        </w:trPr>
        <w:tc>
          <w:tcPr>
            <w:tcW w:w="6100" w:type="dxa"/>
            <w:vAlign w:val="bottom"/>
          </w:tcPr>
          <w:p>
            <w:pPr>
              <w:ind w:left="20"/>
              <w:spacing w:after="0"/>
              <w:rPr>
                <w:sz w:val="20"/>
                <w:szCs w:val="20"/>
                <w:color w:val="auto"/>
              </w:rPr>
            </w:pPr>
            <w:r>
              <w:rPr>
                <w:rFonts w:ascii="Arial" w:cs="Arial" w:eastAsia="Arial" w:hAnsi="Arial"/>
                <w:sz w:val="13"/>
                <w:szCs w:val="13"/>
                <w:color w:val="auto"/>
              </w:rPr>
              <w:t>Revised value-in use (present value of future cash flows)</w:t>
            </w:r>
          </w:p>
        </w:tc>
        <w:tc>
          <w:tcPr>
            <w:tcW w:w="4020" w:type="dxa"/>
            <w:vAlign w:val="bottom"/>
          </w:tcPr>
          <w:p>
            <w:pPr>
              <w:jc w:val="right"/>
              <w:ind w:right="396"/>
              <w:spacing w:after="0"/>
              <w:rPr>
                <w:sz w:val="20"/>
                <w:szCs w:val="20"/>
                <w:color w:val="auto"/>
              </w:rPr>
            </w:pPr>
            <w:r>
              <w:rPr>
                <w:rFonts w:ascii="Arial" w:cs="Arial" w:eastAsia="Arial" w:hAnsi="Arial"/>
                <w:sz w:val="13"/>
                <w:szCs w:val="13"/>
                <w:b w:val="1"/>
                <w:bCs w:val="1"/>
                <w:color w:val="auto"/>
              </w:rPr>
              <w:t>6,759</w:t>
            </w:r>
          </w:p>
        </w:tc>
        <w:tc>
          <w:tcPr>
            <w:tcW w:w="1160" w:type="dxa"/>
            <w:vAlign w:val="bottom"/>
          </w:tcPr>
          <w:p>
            <w:pPr>
              <w:jc w:val="right"/>
              <w:ind w:right="76"/>
              <w:spacing w:after="0"/>
              <w:rPr>
                <w:sz w:val="20"/>
                <w:szCs w:val="20"/>
                <w:color w:val="auto"/>
              </w:rPr>
            </w:pPr>
            <w:r>
              <w:rPr>
                <w:rFonts w:ascii="Arial" w:cs="Arial" w:eastAsia="Arial" w:hAnsi="Arial"/>
                <w:sz w:val="13"/>
                <w:szCs w:val="13"/>
                <w:color w:val="auto"/>
              </w:rPr>
              <w:t>3,866</w:t>
            </w:r>
          </w:p>
        </w:tc>
      </w:tr>
      <w:tr>
        <w:trPr>
          <w:trHeight w:val="191"/>
        </w:trPr>
        <w:tc>
          <w:tcPr>
            <w:tcW w:w="61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Carrying amount of the Clinical Research CGU</w:t>
            </w:r>
          </w:p>
        </w:tc>
        <w:tc>
          <w:tcPr>
            <w:tcW w:w="40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(2,038)</w:t>
            </w:r>
          </w:p>
        </w:tc>
        <w:tc>
          <w:tcPr>
            <w:tcW w:w="11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(1,736)</w:t>
            </w:r>
          </w:p>
        </w:tc>
      </w:tr>
      <w:tr>
        <w:trPr>
          <w:trHeight w:val="189"/>
        </w:trPr>
        <w:tc>
          <w:tcPr>
            <w:tcW w:w="610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2"/>
        </w:trPr>
        <w:tc>
          <w:tcPr>
            <w:tcW w:w="61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Revised excess of value-in-use over carrying value</w:t>
            </w:r>
          </w:p>
        </w:tc>
        <w:tc>
          <w:tcPr>
            <w:tcW w:w="402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4,721</w:t>
            </w:r>
          </w:p>
        </w:tc>
        <w:tc>
          <w:tcPr>
            <w:tcW w:w="11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2,130</w:t>
            </w:r>
          </w:p>
        </w:tc>
      </w:tr>
    </w:tbl>
    <w:p>
      <w:pPr>
        <w:spacing w:after="0" w:line="25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As the excess of the recoverable amount over the carrying value of the cash generating unit was maintained despite changes in key assumptions, management have concluded that no reasonable change in key assumptions would result in an impairment of the CGU.</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280"/>
          </w:cols>
          <w:pgMar w:left="300" w:top="696" w:right="31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14. Business combinations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acquisitions below have been accounted for as business combinations in accordance with the revised 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 Acquisition of Symphony</w:t>
      </w:r>
    </w:p>
    <w:p>
      <w:pPr>
        <w:spacing w:after="0" w:line="202"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On 24 September 2019 a subsidiary of the Company, ICON Clinical Research LLC, acquired a 100% interest in Symphony. Symphony is a leading provider of at-home trial services and site support services. The acquisition of Symphony further enhances our site &amp; patient services offering. The acquisition resulted in the recognition of goodwill of $23.1 million.</w:t>
      </w:r>
    </w:p>
    <w:p>
      <w:pPr>
        <w:spacing w:after="0" w:line="172"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rPr>
        <w:t>The acquisition of Symphony has been accounted for as a business combination in accordance with 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 The Company has made a provisional assessment of the fair value of assets acquired and liabilities assumed as at that date.</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5920" w:type="dxa"/>
            <w:vAlign w:val="bottom"/>
            <w:shd w:val="clear" w:color="auto" w:fill="CCEEFF"/>
          </w:tcPr>
          <w:p>
            <w:pPr>
              <w:spacing w:after="0"/>
              <w:rPr>
                <w:sz w:val="16"/>
                <w:szCs w:val="16"/>
                <w:color w:val="auto"/>
              </w:rPr>
            </w:pPr>
          </w:p>
        </w:tc>
        <w:tc>
          <w:tcPr>
            <w:tcW w:w="4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 September</w:t>
            </w:r>
          </w:p>
        </w:tc>
      </w:tr>
      <w:tr>
        <w:trPr>
          <w:trHeight w:val="183"/>
        </w:trPr>
        <w:tc>
          <w:tcPr>
            <w:tcW w:w="592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r>
      <w:tr>
        <w:trPr>
          <w:trHeight w:val="189"/>
        </w:trPr>
        <w:tc>
          <w:tcPr>
            <w:tcW w:w="5920" w:type="dxa"/>
            <w:vAlign w:val="bottom"/>
            <w:shd w:val="clear" w:color="auto" w:fill="CCEEFF"/>
          </w:tcPr>
          <w:p>
            <w:pPr>
              <w:spacing w:after="0"/>
              <w:rPr>
                <w:sz w:val="16"/>
                <w:szCs w:val="16"/>
                <w:color w:val="auto"/>
              </w:rPr>
            </w:pPr>
          </w:p>
        </w:tc>
        <w:tc>
          <w:tcPr>
            <w:tcW w:w="4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(in thousands)</w:t>
            </w:r>
          </w:p>
        </w:tc>
      </w:tr>
      <w:tr>
        <w:trPr>
          <w:trHeight w:val="183"/>
        </w:trPr>
        <w:tc>
          <w:tcPr>
            <w:tcW w:w="5920" w:type="dxa"/>
            <w:vAlign w:val="bottom"/>
          </w:tcPr>
          <w:p>
            <w:pPr>
              <w:spacing w:after="0"/>
              <w:rPr>
                <w:sz w:val="20"/>
                <w:szCs w:val="20"/>
                <w:color w:val="auto"/>
              </w:rPr>
            </w:pPr>
            <w:r>
              <w:rPr>
                <w:rFonts w:ascii="Arial" w:cs="Arial" w:eastAsia="Arial" w:hAnsi="Arial"/>
                <w:sz w:val="13"/>
                <w:szCs w:val="13"/>
                <w:color w:val="auto"/>
              </w:rPr>
              <w:t>Cash &amp; cash equivalents</w:t>
            </w:r>
          </w:p>
        </w:tc>
        <w:tc>
          <w:tcPr>
            <w:tcW w:w="414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76"/>
              <w:spacing w:after="0"/>
              <w:rPr>
                <w:sz w:val="20"/>
                <w:szCs w:val="20"/>
                <w:color w:val="auto"/>
              </w:rPr>
            </w:pPr>
            <w:r>
              <w:rPr>
                <w:rFonts w:ascii="Arial" w:cs="Arial" w:eastAsia="Arial" w:hAnsi="Arial"/>
                <w:sz w:val="13"/>
                <w:szCs w:val="13"/>
                <w:color w:val="auto"/>
              </w:rPr>
              <w:t>3,292</w:t>
            </w:r>
          </w:p>
        </w:tc>
      </w:tr>
      <w:tr>
        <w:trPr>
          <w:trHeight w:val="199"/>
        </w:trPr>
        <w:tc>
          <w:tcPr>
            <w:tcW w:w="592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w:t>
            </w:r>
          </w:p>
        </w:tc>
        <w:tc>
          <w:tcPr>
            <w:tcW w:w="4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257</w:t>
            </w:r>
          </w:p>
        </w:tc>
      </w:tr>
      <w:tr>
        <w:trPr>
          <w:trHeight w:val="183"/>
        </w:trPr>
        <w:tc>
          <w:tcPr>
            <w:tcW w:w="5920" w:type="dxa"/>
            <w:vAlign w:val="bottom"/>
          </w:tcPr>
          <w:p>
            <w:pPr>
              <w:spacing w:after="0"/>
              <w:rPr>
                <w:sz w:val="20"/>
                <w:szCs w:val="20"/>
                <w:color w:val="auto"/>
              </w:rPr>
            </w:pPr>
            <w:r>
              <w:rPr>
                <w:rFonts w:ascii="Arial" w:cs="Arial" w:eastAsia="Arial" w:hAnsi="Arial"/>
                <w:sz w:val="13"/>
                <w:szCs w:val="13"/>
                <w:color w:val="auto"/>
              </w:rPr>
              <w:t>Operating right of use assets</w:t>
            </w:r>
          </w:p>
        </w:tc>
        <w:tc>
          <w:tcPr>
            <w:tcW w:w="4140" w:type="dxa"/>
            <w:vAlign w:val="bottom"/>
          </w:tcPr>
          <w:p>
            <w:pPr>
              <w:spacing w:after="0"/>
              <w:rPr>
                <w:sz w:val="15"/>
                <w:szCs w:val="15"/>
                <w:color w:val="auto"/>
              </w:rPr>
            </w:pPr>
          </w:p>
        </w:tc>
        <w:tc>
          <w:tcPr>
            <w:tcW w:w="1200" w:type="dxa"/>
            <w:vAlign w:val="bottom"/>
          </w:tcPr>
          <w:p>
            <w:pPr>
              <w:jc w:val="right"/>
              <w:ind w:right="76"/>
              <w:spacing w:after="0"/>
              <w:rPr>
                <w:sz w:val="20"/>
                <w:szCs w:val="20"/>
                <w:color w:val="auto"/>
              </w:rPr>
            </w:pPr>
            <w:r>
              <w:rPr>
                <w:rFonts w:ascii="Arial" w:cs="Arial" w:eastAsia="Arial" w:hAnsi="Arial"/>
                <w:sz w:val="13"/>
                <w:szCs w:val="13"/>
                <w:color w:val="auto"/>
              </w:rPr>
              <w:t>820</w:t>
            </w:r>
          </w:p>
        </w:tc>
      </w:tr>
      <w:tr>
        <w:trPr>
          <w:trHeight w:val="199"/>
        </w:trPr>
        <w:tc>
          <w:tcPr>
            <w:tcW w:w="5920" w:type="dxa"/>
            <w:vAlign w:val="bottom"/>
            <w:shd w:val="clear" w:color="auto" w:fill="CCEEFF"/>
          </w:tcPr>
          <w:p>
            <w:pPr>
              <w:spacing w:after="0"/>
              <w:rPr>
                <w:sz w:val="20"/>
                <w:szCs w:val="20"/>
                <w:color w:val="auto"/>
              </w:rPr>
            </w:pPr>
            <w:r>
              <w:rPr>
                <w:rFonts w:ascii="Arial" w:cs="Arial" w:eastAsia="Arial" w:hAnsi="Arial"/>
                <w:sz w:val="13"/>
                <w:szCs w:val="13"/>
                <w:color w:val="auto"/>
              </w:rPr>
              <w:t>Goodwill *</w:t>
            </w:r>
          </w:p>
        </w:tc>
        <w:tc>
          <w:tcPr>
            <w:tcW w:w="4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23,072</w:t>
            </w:r>
          </w:p>
        </w:tc>
      </w:tr>
      <w:tr>
        <w:trPr>
          <w:trHeight w:val="183"/>
        </w:trPr>
        <w:tc>
          <w:tcPr>
            <w:tcW w:w="5920" w:type="dxa"/>
            <w:vAlign w:val="bottom"/>
          </w:tcPr>
          <w:p>
            <w:pPr>
              <w:spacing w:after="0"/>
              <w:rPr>
                <w:sz w:val="20"/>
                <w:szCs w:val="20"/>
                <w:color w:val="auto"/>
              </w:rPr>
            </w:pPr>
            <w:r>
              <w:rPr>
                <w:rFonts w:ascii="Arial" w:cs="Arial" w:eastAsia="Arial" w:hAnsi="Arial"/>
                <w:sz w:val="13"/>
                <w:szCs w:val="13"/>
                <w:color w:val="auto"/>
              </w:rPr>
              <w:t>Customer relationships **</w:t>
            </w:r>
          </w:p>
        </w:tc>
        <w:tc>
          <w:tcPr>
            <w:tcW w:w="4140" w:type="dxa"/>
            <w:vAlign w:val="bottom"/>
          </w:tcPr>
          <w:p>
            <w:pPr>
              <w:spacing w:after="0"/>
              <w:rPr>
                <w:sz w:val="15"/>
                <w:szCs w:val="15"/>
                <w:color w:val="auto"/>
              </w:rPr>
            </w:pPr>
          </w:p>
        </w:tc>
        <w:tc>
          <w:tcPr>
            <w:tcW w:w="1200" w:type="dxa"/>
            <w:vAlign w:val="bottom"/>
          </w:tcPr>
          <w:p>
            <w:pPr>
              <w:jc w:val="right"/>
              <w:ind w:right="76"/>
              <w:spacing w:after="0"/>
              <w:rPr>
                <w:sz w:val="20"/>
                <w:szCs w:val="20"/>
                <w:color w:val="auto"/>
              </w:rPr>
            </w:pPr>
            <w:r>
              <w:rPr>
                <w:rFonts w:ascii="Arial" w:cs="Arial" w:eastAsia="Arial" w:hAnsi="Arial"/>
                <w:sz w:val="13"/>
                <w:szCs w:val="13"/>
                <w:color w:val="auto"/>
              </w:rPr>
              <w:t>7,975</w:t>
            </w:r>
          </w:p>
        </w:tc>
      </w:tr>
      <w:tr>
        <w:trPr>
          <w:trHeight w:val="199"/>
        </w:trPr>
        <w:tc>
          <w:tcPr>
            <w:tcW w:w="5920" w:type="dxa"/>
            <w:vAlign w:val="bottom"/>
            <w:shd w:val="clear" w:color="auto" w:fill="CCEEFF"/>
          </w:tcPr>
          <w:p>
            <w:pPr>
              <w:spacing w:after="0"/>
              <w:rPr>
                <w:sz w:val="20"/>
                <w:szCs w:val="20"/>
                <w:color w:val="auto"/>
              </w:rPr>
            </w:pPr>
            <w:r>
              <w:rPr>
                <w:rFonts w:ascii="Arial" w:cs="Arial" w:eastAsia="Arial" w:hAnsi="Arial"/>
                <w:sz w:val="13"/>
                <w:szCs w:val="13"/>
                <w:color w:val="auto"/>
              </w:rPr>
              <w:t>Order backlog **</w:t>
            </w:r>
          </w:p>
        </w:tc>
        <w:tc>
          <w:tcPr>
            <w:tcW w:w="4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2,140</w:t>
            </w:r>
          </w:p>
        </w:tc>
      </w:tr>
      <w:tr>
        <w:trPr>
          <w:trHeight w:val="183"/>
        </w:trPr>
        <w:tc>
          <w:tcPr>
            <w:tcW w:w="5920" w:type="dxa"/>
            <w:vAlign w:val="bottom"/>
          </w:tcPr>
          <w:p>
            <w:pPr>
              <w:spacing w:after="0"/>
              <w:rPr>
                <w:sz w:val="20"/>
                <w:szCs w:val="20"/>
                <w:color w:val="auto"/>
              </w:rPr>
            </w:pPr>
            <w:r>
              <w:rPr>
                <w:rFonts w:ascii="Arial" w:cs="Arial" w:eastAsia="Arial" w:hAnsi="Arial"/>
                <w:sz w:val="13"/>
                <w:szCs w:val="13"/>
                <w:color w:val="auto"/>
              </w:rPr>
              <w:t>Computer Software</w:t>
            </w:r>
          </w:p>
        </w:tc>
        <w:tc>
          <w:tcPr>
            <w:tcW w:w="4140" w:type="dxa"/>
            <w:vAlign w:val="bottom"/>
          </w:tcPr>
          <w:p>
            <w:pPr>
              <w:spacing w:after="0"/>
              <w:rPr>
                <w:sz w:val="15"/>
                <w:szCs w:val="15"/>
                <w:color w:val="auto"/>
              </w:rPr>
            </w:pPr>
          </w:p>
        </w:tc>
        <w:tc>
          <w:tcPr>
            <w:tcW w:w="1200" w:type="dxa"/>
            <w:vAlign w:val="bottom"/>
          </w:tcPr>
          <w:p>
            <w:pPr>
              <w:jc w:val="right"/>
              <w:ind w:right="76"/>
              <w:spacing w:after="0"/>
              <w:rPr>
                <w:sz w:val="20"/>
                <w:szCs w:val="20"/>
                <w:color w:val="auto"/>
              </w:rPr>
            </w:pPr>
            <w:r>
              <w:rPr>
                <w:rFonts w:ascii="Arial" w:cs="Arial" w:eastAsia="Arial" w:hAnsi="Arial"/>
                <w:sz w:val="13"/>
                <w:szCs w:val="13"/>
                <w:color w:val="auto"/>
              </w:rPr>
              <w:t>307</w:t>
            </w:r>
          </w:p>
        </w:tc>
      </w:tr>
      <w:tr>
        <w:trPr>
          <w:trHeight w:val="199"/>
        </w:trPr>
        <w:tc>
          <w:tcPr>
            <w:tcW w:w="5920" w:type="dxa"/>
            <w:vAlign w:val="bottom"/>
            <w:shd w:val="clear" w:color="auto" w:fill="CCEEFF"/>
          </w:tcPr>
          <w:p>
            <w:pPr>
              <w:spacing w:after="0"/>
              <w:rPr>
                <w:sz w:val="20"/>
                <w:szCs w:val="20"/>
                <w:color w:val="auto"/>
              </w:rPr>
            </w:pPr>
            <w:r>
              <w:rPr>
                <w:rFonts w:ascii="Arial" w:cs="Arial" w:eastAsia="Arial" w:hAnsi="Arial"/>
                <w:sz w:val="13"/>
                <w:szCs w:val="13"/>
                <w:color w:val="auto"/>
              </w:rPr>
              <w:t>Accounts receivable</w:t>
            </w:r>
          </w:p>
        </w:tc>
        <w:tc>
          <w:tcPr>
            <w:tcW w:w="4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3,579</w:t>
            </w:r>
          </w:p>
        </w:tc>
      </w:tr>
      <w:tr>
        <w:trPr>
          <w:trHeight w:val="183"/>
        </w:trPr>
        <w:tc>
          <w:tcPr>
            <w:tcW w:w="5920" w:type="dxa"/>
            <w:vAlign w:val="bottom"/>
          </w:tcPr>
          <w:p>
            <w:pPr>
              <w:spacing w:after="0"/>
              <w:rPr>
                <w:sz w:val="20"/>
                <w:szCs w:val="20"/>
                <w:color w:val="auto"/>
              </w:rPr>
            </w:pPr>
            <w:r>
              <w:rPr>
                <w:rFonts w:ascii="Arial" w:cs="Arial" w:eastAsia="Arial" w:hAnsi="Arial"/>
                <w:sz w:val="13"/>
                <w:szCs w:val="13"/>
                <w:color w:val="auto"/>
              </w:rPr>
              <w:t>Unbilled revenue</w:t>
            </w:r>
          </w:p>
        </w:tc>
        <w:tc>
          <w:tcPr>
            <w:tcW w:w="4140" w:type="dxa"/>
            <w:vAlign w:val="bottom"/>
          </w:tcPr>
          <w:p>
            <w:pPr>
              <w:spacing w:after="0"/>
              <w:rPr>
                <w:sz w:val="15"/>
                <w:szCs w:val="15"/>
                <w:color w:val="auto"/>
              </w:rPr>
            </w:pPr>
          </w:p>
        </w:tc>
        <w:tc>
          <w:tcPr>
            <w:tcW w:w="1200" w:type="dxa"/>
            <w:vAlign w:val="bottom"/>
          </w:tcPr>
          <w:p>
            <w:pPr>
              <w:jc w:val="right"/>
              <w:ind w:right="76"/>
              <w:spacing w:after="0"/>
              <w:rPr>
                <w:sz w:val="20"/>
                <w:szCs w:val="20"/>
                <w:color w:val="auto"/>
              </w:rPr>
            </w:pPr>
            <w:r>
              <w:rPr>
                <w:rFonts w:ascii="Arial" w:cs="Arial" w:eastAsia="Arial" w:hAnsi="Arial"/>
                <w:sz w:val="13"/>
                <w:szCs w:val="13"/>
                <w:color w:val="auto"/>
              </w:rPr>
              <w:t>186</w:t>
            </w:r>
          </w:p>
        </w:tc>
      </w:tr>
      <w:tr>
        <w:trPr>
          <w:trHeight w:val="199"/>
        </w:trPr>
        <w:tc>
          <w:tcPr>
            <w:tcW w:w="5920" w:type="dxa"/>
            <w:vAlign w:val="bottom"/>
            <w:shd w:val="clear" w:color="auto" w:fill="CCEEFF"/>
          </w:tcPr>
          <w:p>
            <w:pPr>
              <w:spacing w:after="0"/>
              <w:rPr>
                <w:sz w:val="20"/>
                <w:szCs w:val="20"/>
                <w:color w:val="auto"/>
              </w:rPr>
            </w:pPr>
            <w:r>
              <w:rPr>
                <w:rFonts w:ascii="Arial" w:cs="Arial" w:eastAsia="Arial" w:hAnsi="Arial"/>
                <w:sz w:val="13"/>
                <w:szCs w:val="13"/>
                <w:color w:val="auto"/>
              </w:rPr>
              <w:t>Prepayments and other current assets</w:t>
            </w:r>
          </w:p>
        </w:tc>
        <w:tc>
          <w:tcPr>
            <w:tcW w:w="4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181</w:t>
            </w:r>
          </w:p>
        </w:tc>
      </w:tr>
      <w:tr>
        <w:trPr>
          <w:trHeight w:val="183"/>
        </w:trPr>
        <w:tc>
          <w:tcPr>
            <w:tcW w:w="5920" w:type="dxa"/>
            <w:vAlign w:val="bottom"/>
          </w:tcPr>
          <w:p>
            <w:pPr>
              <w:spacing w:after="0"/>
              <w:rPr>
                <w:sz w:val="20"/>
                <w:szCs w:val="20"/>
                <w:color w:val="auto"/>
              </w:rPr>
            </w:pPr>
            <w:r>
              <w:rPr>
                <w:rFonts w:ascii="Arial" w:cs="Arial" w:eastAsia="Arial" w:hAnsi="Arial"/>
                <w:sz w:val="13"/>
                <w:szCs w:val="13"/>
                <w:color w:val="auto"/>
              </w:rPr>
              <w:t>Other receivables</w:t>
            </w:r>
          </w:p>
        </w:tc>
        <w:tc>
          <w:tcPr>
            <w:tcW w:w="4140" w:type="dxa"/>
            <w:vAlign w:val="bottom"/>
          </w:tcPr>
          <w:p>
            <w:pPr>
              <w:spacing w:after="0"/>
              <w:rPr>
                <w:sz w:val="15"/>
                <w:szCs w:val="15"/>
                <w:color w:val="auto"/>
              </w:rPr>
            </w:pPr>
          </w:p>
        </w:tc>
        <w:tc>
          <w:tcPr>
            <w:tcW w:w="1200" w:type="dxa"/>
            <w:vAlign w:val="bottom"/>
          </w:tcPr>
          <w:p>
            <w:pPr>
              <w:jc w:val="right"/>
              <w:ind w:right="76"/>
              <w:spacing w:after="0"/>
              <w:rPr>
                <w:sz w:val="20"/>
                <w:szCs w:val="20"/>
                <w:color w:val="auto"/>
              </w:rPr>
            </w:pPr>
            <w:r>
              <w:rPr>
                <w:rFonts w:ascii="Arial" w:cs="Arial" w:eastAsia="Arial" w:hAnsi="Arial"/>
                <w:sz w:val="13"/>
                <w:szCs w:val="13"/>
                <w:color w:val="auto"/>
              </w:rPr>
              <w:t>6</w:t>
            </w:r>
          </w:p>
        </w:tc>
      </w:tr>
      <w:tr>
        <w:trPr>
          <w:trHeight w:val="199"/>
        </w:trPr>
        <w:tc>
          <w:tcPr>
            <w:tcW w:w="5920" w:type="dxa"/>
            <w:vAlign w:val="bottom"/>
            <w:shd w:val="clear" w:color="auto" w:fill="CCEEFF"/>
          </w:tcPr>
          <w:p>
            <w:pPr>
              <w:spacing w:after="0"/>
              <w:rPr>
                <w:sz w:val="20"/>
                <w:szCs w:val="20"/>
                <w:color w:val="auto"/>
              </w:rPr>
            </w:pPr>
            <w:r>
              <w:rPr>
                <w:rFonts w:ascii="Arial" w:cs="Arial" w:eastAsia="Arial" w:hAnsi="Arial"/>
                <w:sz w:val="13"/>
                <w:szCs w:val="13"/>
                <w:color w:val="auto"/>
              </w:rPr>
              <w:t>Accounts payable</w:t>
            </w:r>
          </w:p>
        </w:tc>
        <w:tc>
          <w:tcPr>
            <w:tcW w:w="4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(799)</w:t>
            </w:r>
          </w:p>
        </w:tc>
      </w:tr>
      <w:tr>
        <w:trPr>
          <w:trHeight w:val="183"/>
        </w:trPr>
        <w:tc>
          <w:tcPr>
            <w:tcW w:w="5920" w:type="dxa"/>
            <w:vAlign w:val="bottom"/>
          </w:tcPr>
          <w:p>
            <w:pPr>
              <w:spacing w:after="0"/>
              <w:rPr>
                <w:sz w:val="20"/>
                <w:szCs w:val="20"/>
                <w:color w:val="auto"/>
              </w:rPr>
            </w:pPr>
            <w:r>
              <w:rPr>
                <w:rFonts w:ascii="Arial" w:cs="Arial" w:eastAsia="Arial" w:hAnsi="Arial"/>
                <w:sz w:val="13"/>
                <w:szCs w:val="13"/>
                <w:color w:val="auto"/>
              </w:rPr>
              <w:t>Unearned revenue</w:t>
            </w:r>
          </w:p>
        </w:tc>
        <w:tc>
          <w:tcPr>
            <w:tcW w:w="4140" w:type="dxa"/>
            <w:vAlign w:val="bottom"/>
          </w:tcPr>
          <w:p>
            <w:pPr>
              <w:spacing w:after="0"/>
              <w:rPr>
                <w:sz w:val="15"/>
                <w:szCs w:val="15"/>
                <w:color w:val="auto"/>
              </w:rPr>
            </w:pPr>
          </w:p>
        </w:tc>
        <w:tc>
          <w:tcPr>
            <w:tcW w:w="1200" w:type="dxa"/>
            <w:vAlign w:val="bottom"/>
          </w:tcPr>
          <w:p>
            <w:pPr>
              <w:jc w:val="right"/>
              <w:ind w:right="56"/>
              <w:spacing w:after="0"/>
              <w:rPr>
                <w:sz w:val="20"/>
                <w:szCs w:val="20"/>
                <w:color w:val="auto"/>
              </w:rPr>
            </w:pPr>
            <w:r>
              <w:rPr>
                <w:rFonts w:ascii="Arial" w:cs="Arial" w:eastAsia="Arial" w:hAnsi="Arial"/>
                <w:sz w:val="13"/>
                <w:szCs w:val="13"/>
                <w:color w:val="auto"/>
              </w:rPr>
              <w:t>(1,446)</w:t>
            </w:r>
          </w:p>
        </w:tc>
      </w:tr>
      <w:tr>
        <w:trPr>
          <w:trHeight w:val="199"/>
        </w:trPr>
        <w:tc>
          <w:tcPr>
            <w:tcW w:w="592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4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(933)</w:t>
            </w:r>
          </w:p>
        </w:tc>
      </w:tr>
      <w:tr>
        <w:trPr>
          <w:trHeight w:val="183"/>
        </w:trPr>
        <w:tc>
          <w:tcPr>
            <w:tcW w:w="5920" w:type="dxa"/>
            <w:vAlign w:val="bottom"/>
          </w:tcPr>
          <w:p>
            <w:pPr>
              <w:spacing w:after="0"/>
              <w:rPr>
                <w:sz w:val="20"/>
                <w:szCs w:val="20"/>
                <w:color w:val="auto"/>
              </w:rPr>
            </w:pPr>
            <w:r>
              <w:rPr>
                <w:rFonts w:ascii="Arial" w:cs="Arial" w:eastAsia="Arial" w:hAnsi="Arial"/>
                <w:sz w:val="13"/>
                <w:szCs w:val="13"/>
                <w:color w:val="auto"/>
              </w:rPr>
              <w:t>Current lease liabilities</w:t>
            </w:r>
          </w:p>
        </w:tc>
        <w:tc>
          <w:tcPr>
            <w:tcW w:w="4140" w:type="dxa"/>
            <w:vAlign w:val="bottom"/>
          </w:tcPr>
          <w:p>
            <w:pPr>
              <w:spacing w:after="0"/>
              <w:rPr>
                <w:sz w:val="15"/>
                <w:szCs w:val="15"/>
                <w:color w:val="auto"/>
              </w:rPr>
            </w:pPr>
          </w:p>
        </w:tc>
        <w:tc>
          <w:tcPr>
            <w:tcW w:w="1200" w:type="dxa"/>
            <w:vAlign w:val="bottom"/>
          </w:tcPr>
          <w:p>
            <w:pPr>
              <w:jc w:val="right"/>
              <w:ind w:right="56"/>
              <w:spacing w:after="0"/>
              <w:rPr>
                <w:sz w:val="20"/>
                <w:szCs w:val="20"/>
                <w:color w:val="auto"/>
              </w:rPr>
            </w:pPr>
            <w:r>
              <w:rPr>
                <w:rFonts w:ascii="Arial" w:cs="Arial" w:eastAsia="Arial" w:hAnsi="Arial"/>
                <w:sz w:val="13"/>
                <w:szCs w:val="13"/>
                <w:color w:val="auto"/>
              </w:rPr>
              <w:t>(289)</w:t>
            </w:r>
          </w:p>
        </w:tc>
      </w:tr>
      <w:tr>
        <w:trPr>
          <w:trHeight w:val="200"/>
        </w:trPr>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Non-current lease liabilities</w:t>
            </w:r>
          </w:p>
        </w:tc>
        <w:tc>
          <w:tcPr>
            <w:tcW w:w="4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(531)</w:t>
            </w:r>
          </w:p>
        </w:tc>
      </w:tr>
      <w:tr>
        <w:trPr>
          <w:trHeight w:val="191"/>
        </w:trPr>
        <w:tc>
          <w:tcPr>
            <w:tcW w:w="59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2"/>
        </w:trPr>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Net assets acquired</w:t>
            </w:r>
          </w:p>
        </w:tc>
        <w:tc>
          <w:tcPr>
            <w:tcW w:w="41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37,817</w:t>
            </w:r>
          </w:p>
        </w:tc>
      </w:tr>
      <w:tr>
        <w:trPr>
          <w:trHeight w:val="191"/>
        </w:trPr>
        <w:tc>
          <w:tcPr>
            <w:tcW w:w="59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5920" w:type="dxa"/>
            <w:vAlign w:val="bottom"/>
            <w:shd w:val="clear" w:color="auto" w:fill="CCEEFF"/>
          </w:tcPr>
          <w:p>
            <w:pPr>
              <w:spacing w:after="0"/>
              <w:rPr>
                <w:sz w:val="20"/>
                <w:szCs w:val="20"/>
                <w:color w:val="auto"/>
              </w:rPr>
            </w:pPr>
            <w:r>
              <w:rPr>
                <w:rFonts w:ascii="Arial" w:cs="Arial" w:eastAsia="Arial" w:hAnsi="Arial"/>
                <w:sz w:val="13"/>
                <w:szCs w:val="13"/>
                <w:color w:val="auto"/>
              </w:rPr>
              <w:t>Cash outflows</w:t>
            </w:r>
          </w:p>
        </w:tc>
        <w:tc>
          <w:tcPr>
            <w:tcW w:w="41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34,976</w:t>
            </w:r>
          </w:p>
        </w:tc>
      </w:tr>
      <w:tr>
        <w:trPr>
          <w:trHeight w:val="183"/>
        </w:trPr>
        <w:tc>
          <w:tcPr>
            <w:tcW w:w="5920" w:type="dxa"/>
            <w:vAlign w:val="bottom"/>
          </w:tcPr>
          <w:p>
            <w:pPr>
              <w:spacing w:after="0"/>
              <w:rPr>
                <w:sz w:val="20"/>
                <w:szCs w:val="20"/>
                <w:color w:val="auto"/>
              </w:rPr>
            </w:pPr>
            <w:r>
              <w:rPr>
                <w:rFonts w:ascii="Arial" w:cs="Arial" w:eastAsia="Arial" w:hAnsi="Arial"/>
                <w:sz w:val="13"/>
                <w:szCs w:val="13"/>
                <w:color w:val="auto"/>
              </w:rPr>
              <w:t>Contingent consideration payable</w:t>
            </w:r>
          </w:p>
        </w:tc>
        <w:tc>
          <w:tcPr>
            <w:tcW w:w="4140" w:type="dxa"/>
            <w:vAlign w:val="bottom"/>
          </w:tcPr>
          <w:p>
            <w:pPr>
              <w:spacing w:after="0"/>
              <w:rPr>
                <w:sz w:val="15"/>
                <w:szCs w:val="15"/>
                <w:color w:val="auto"/>
              </w:rPr>
            </w:pPr>
          </w:p>
        </w:tc>
        <w:tc>
          <w:tcPr>
            <w:tcW w:w="1200" w:type="dxa"/>
            <w:vAlign w:val="bottom"/>
          </w:tcPr>
          <w:p>
            <w:pPr>
              <w:jc w:val="right"/>
              <w:ind w:right="76"/>
              <w:spacing w:after="0"/>
              <w:rPr>
                <w:sz w:val="20"/>
                <w:szCs w:val="20"/>
                <w:color w:val="auto"/>
              </w:rPr>
            </w:pPr>
            <w:r>
              <w:rPr>
                <w:rFonts w:ascii="Arial" w:cs="Arial" w:eastAsia="Arial" w:hAnsi="Arial"/>
                <w:sz w:val="13"/>
                <w:szCs w:val="13"/>
                <w:color w:val="auto"/>
              </w:rPr>
              <w:t>2,500</w:t>
            </w:r>
          </w:p>
        </w:tc>
      </w:tr>
      <w:tr>
        <w:trPr>
          <w:trHeight w:val="200"/>
        </w:trPr>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Working capital adjustment payable</w:t>
            </w:r>
          </w:p>
        </w:tc>
        <w:tc>
          <w:tcPr>
            <w:tcW w:w="4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341</w:t>
            </w:r>
          </w:p>
        </w:tc>
      </w:tr>
      <w:tr>
        <w:trPr>
          <w:trHeight w:val="159"/>
        </w:trPr>
        <w:tc>
          <w:tcPr>
            <w:tcW w:w="59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92"/>
        </w:trPr>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 consideration</w:t>
            </w:r>
          </w:p>
        </w:tc>
        <w:tc>
          <w:tcPr>
            <w:tcW w:w="41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37,817</w:t>
            </w:r>
          </w:p>
        </w:tc>
      </w:tr>
    </w:tbl>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*Goodwill represents the acquisition of an established workforce and the capability to provide at-home trial services and site support solutions. The full amount of the goodwill recognised is expected to be deductible for income tax purposes.</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has made an estimate of separate intangible assets acquired, being customer relationships and order book assets. The fair value of Symphony’s intangible assets has been measured provisionally, pending receipt of a final independent valuation. This assessment will be finalised within 12 months of the date of acquisition.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280"/>
          </w:cols>
          <w:pgMar w:left="300" w:top="696" w:right="31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14. Business combinations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contingent consideration is based on revenue targets set for the Company to the period ending 31 March 2020. The fair value of the contingent consideration on acquisition was $2.5 million based on an income approach. The payment of contingent consideration will be in the range of zero to a maximum of $2.5 million. Due to the short term nature of the contingent consideration, no discounting has been applied. There has been no movement in the value of the contingent consideration from the date of acquisition to the year ended 31 December 2019. As the fair value measure is based on significant inputs that are not observable in the market, the contingent consideration meets the definition of a level 3 financial instrument under IFRS 13. The inputs that are not observable in the market are the expected revenue of the Company to the period ending 31 March 2020 and the probability of achievement of this revenue target by the Company. A positive or negative movement of these inputs by 10% would not result in a material change to the contingent consideration balance at 31 December 2019.</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If new information obtained within one year of the date of acquisition about facts and circumstances that existed at the date of acquisition identifies adjustments to the above amounts, or any additional amounts that existed at the date of acquisition, then the accounting for the acquisition will be revised.</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carrying values of accounts receivable, prepayments and other current assets above are carried at amortised cost and assumed to be approximate to their fair values due to the short term nature of these balances. There is no evidence that the Group will not be able to collect all amounts due.</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Since 24 September 2019, Symphony has earned revenue of $4.5 million and profit of $1.0 million in the year ended 31 December 2019. The proforma effect of the Symphony acquisition if completed on 1 January 2018 would have resulted in revenue and profit for the fiscal years ending 31 December 2019 and 31 December 2018 as follows:</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4540" w:type="dxa"/>
            <w:vAlign w:val="bottom"/>
            <w:shd w:val="clear" w:color="auto" w:fill="CCEEFF"/>
          </w:tcPr>
          <w:p>
            <w:pPr>
              <w:spacing w:after="0"/>
              <w:rPr>
                <w:sz w:val="16"/>
                <w:szCs w:val="16"/>
                <w:color w:val="auto"/>
              </w:rPr>
            </w:pPr>
          </w:p>
        </w:tc>
        <w:tc>
          <w:tcPr>
            <w:tcW w:w="40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Year Ended</w:t>
            </w:r>
          </w:p>
        </w:tc>
        <w:tc>
          <w:tcPr>
            <w:tcW w:w="940" w:type="dxa"/>
            <w:vAlign w:val="bottom"/>
            <w:shd w:val="clear" w:color="auto" w:fill="CCEEFF"/>
          </w:tcPr>
          <w:p>
            <w:pPr>
              <w:spacing w:after="0"/>
              <w:rPr>
                <w:sz w:val="16"/>
                <w:szCs w:val="16"/>
                <w:color w:val="auto"/>
              </w:rPr>
            </w:pPr>
          </w:p>
        </w:tc>
      </w:tr>
      <w:tr>
        <w:trPr>
          <w:trHeight w:val="183"/>
        </w:trPr>
        <w:tc>
          <w:tcPr>
            <w:tcW w:w="454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r>
      <w:tr>
        <w:trPr>
          <w:trHeight w:val="189"/>
        </w:trPr>
        <w:tc>
          <w:tcPr>
            <w:tcW w:w="4540" w:type="dxa"/>
            <w:vAlign w:val="bottom"/>
            <w:shd w:val="clear" w:color="auto" w:fill="CCEEFF"/>
          </w:tcPr>
          <w:p>
            <w:pPr>
              <w:spacing w:after="0"/>
              <w:rPr>
                <w:sz w:val="16"/>
                <w:szCs w:val="16"/>
                <w:color w:val="auto"/>
              </w:rPr>
            </w:pPr>
          </w:p>
        </w:tc>
        <w:tc>
          <w:tcPr>
            <w:tcW w:w="40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(in thousands)</w:t>
            </w:r>
          </w:p>
        </w:tc>
        <w:tc>
          <w:tcPr>
            <w:tcW w:w="940" w:type="dxa"/>
            <w:vAlign w:val="bottom"/>
            <w:shd w:val="clear" w:color="auto" w:fill="CCEEFF"/>
          </w:tcPr>
          <w:p>
            <w:pPr>
              <w:spacing w:after="0"/>
              <w:rPr>
                <w:sz w:val="16"/>
                <w:szCs w:val="16"/>
                <w:color w:val="auto"/>
              </w:rPr>
            </w:pPr>
          </w:p>
        </w:tc>
      </w:tr>
      <w:tr>
        <w:trPr>
          <w:trHeight w:val="170"/>
        </w:trPr>
        <w:tc>
          <w:tcPr>
            <w:tcW w:w="45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2"/>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Revenue</w:t>
            </w:r>
          </w:p>
        </w:tc>
        <w:tc>
          <w:tcPr>
            <w:tcW w:w="40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2,818,280</w:t>
            </w: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2,609,233</w:t>
            </w:r>
          </w:p>
        </w:tc>
      </w:tr>
      <w:tr>
        <w:trPr>
          <w:trHeight w:val="159"/>
        </w:trPr>
        <w:tc>
          <w:tcPr>
            <w:tcW w:w="45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92"/>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Profit for the year</w:t>
            </w:r>
          </w:p>
        </w:tc>
        <w:tc>
          <w:tcPr>
            <w:tcW w:w="40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363,683</w:t>
            </w: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324,832</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 Acquisition of MeDiNova</w:t>
      </w:r>
    </w:p>
    <w:p>
      <w:pPr>
        <w:spacing w:after="0" w:line="138"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23 May 2019 a subsidiary of the Company, ICON Clinical Research (U.K.) Limited acquired a 60% majority shareholding in MeDiNova, a site network with research sites in key markets in Europe and Africa. ICON has the right to acquire the remaining shares in the company during 2020. The vendors also have a right to sell the remaining shares to ICON during 2020. The acquisition further enhances ICON's patient recruitment capabilities in EMEA and complements ICON's existing site network in the US, PMG Research. The acquisition resulted in the recognition of goodwill of $81.4 million.</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The acquisition of MeDiNova has been accounted for as a business combination in accordance with 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 The Company has made a provisional assessment of the fair value of assets acquired and liabilities assumed as at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280"/>
          </w:cols>
          <w:pgMar w:left="300" w:top="696" w:right="31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14. Business combinations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4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23 May</w:t>
            </w:r>
          </w:p>
        </w:tc>
      </w:tr>
      <w:tr>
        <w:trPr>
          <w:trHeight w:val="183"/>
        </w:trPr>
        <w:tc>
          <w:tcPr>
            <w:tcW w:w="634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r>
      <w:tr>
        <w:trPr>
          <w:trHeight w:val="189"/>
        </w:trPr>
        <w:tc>
          <w:tcPr>
            <w:tcW w:w="634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(in thousands)</w:t>
            </w:r>
          </w:p>
        </w:tc>
      </w:tr>
      <w:tr>
        <w:trPr>
          <w:trHeight w:val="183"/>
        </w:trPr>
        <w:tc>
          <w:tcPr>
            <w:tcW w:w="6340" w:type="dxa"/>
            <w:vAlign w:val="bottom"/>
          </w:tcPr>
          <w:p>
            <w:pPr>
              <w:ind w:left="20"/>
              <w:spacing w:after="0"/>
              <w:rPr>
                <w:sz w:val="20"/>
                <w:szCs w:val="20"/>
                <w:color w:val="auto"/>
              </w:rPr>
            </w:pPr>
            <w:r>
              <w:rPr>
                <w:rFonts w:ascii="Arial" w:cs="Arial" w:eastAsia="Arial" w:hAnsi="Arial"/>
                <w:sz w:val="13"/>
                <w:szCs w:val="13"/>
                <w:color w:val="auto"/>
              </w:rPr>
              <w:t>Cash &amp; cash equivalents</w:t>
            </w:r>
          </w:p>
        </w:tc>
        <w:tc>
          <w:tcPr>
            <w:tcW w:w="36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76"/>
              <w:spacing w:after="0"/>
              <w:rPr>
                <w:sz w:val="20"/>
                <w:szCs w:val="20"/>
                <w:color w:val="auto"/>
              </w:rPr>
            </w:pPr>
            <w:r>
              <w:rPr>
                <w:rFonts w:ascii="Arial" w:cs="Arial" w:eastAsia="Arial" w:hAnsi="Arial"/>
                <w:sz w:val="13"/>
                <w:szCs w:val="13"/>
                <w:color w:val="auto"/>
              </w:rPr>
              <w:t>7,719</w:t>
            </w: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36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670</w:t>
            </w:r>
          </w:p>
        </w:tc>
      </w:tr>
      <w:tr>
        <w:trPr>
          <w:trHeight w:val="183"/>
        </w:trPr>
        <w:tc>
          <w:tcPr>
            <w:tcW w:w="6340" w:type="dxa"/>
            <w:vAlign w:val="bottom"/>
          </w:tcPr>
          <w:p>
            <w:pPr>
              <w:ind w:left="20"/>
              <w:spacing w:after="0"/>
              <w:rPr>
                <w:sz w:val="20"/>
                <w:szCs w:val="20"/>
                <w:color w:val="auto"/>
              </w:rPr>
            </w:pPr>
            <w:r>
              <w:rPr>
                <w:rFonts w:ascii="Arial" w:cs="Arial" w:eastAsia="Arial" w:hAnsi="Arial"/>
                <w:sz w:val="13"/>
                <w:szCs w:val="13"/>
                <w:color w:val="auto"/>
              </w:rPr>
              <w:t>Operating right of use assets</w:t>
            </w:r>
          </w:p>
        </w:tc>
        <w:tc>
          <w:tcPr>
            <w:tcW w:w="3680" w:type="dxa"/>
            <w:vAlign w:val="bottom"/>
          </w:tcPr>
          <w:p>
            <w:pPr>
              <w:spacing w:after="0"/>
              <w:rPr>
                <w:sz w:val="15"/>
                <w:szCs w:val="15"/>
                <w:color w:val="auto"/>
              </w:rPr>
            </w:pPr>
          </w:p>
        </w:tc>
        <w:tc>
          <w:tcPr>
            <w:tcW w:w="1240" w:type="dxa"/>
            <w:vAlign w:val="bottom"/>
          </w:tcPr>
          <w:p>
            <w:pPr>
              <w:jc w:val="right"/>
              <w:ind w:right="76"/>
              <w:spacing w:after="0"/>
              <w:rPr>
                <w:sz w:val="20"/>
                <w:szCs w:val="20"/>
                <w:color w:val="auto"/>
              </w:rPr>
            </w:pPr>
            <w:r>
              <w:rPr>
                <w:rFonts w:ascii="Arial" w:cs="Arial" w:eastAsia="Arial" w:hAnsi="Arial"/>
                <w:sz w:val="13"/>
                <w:szCs w:val="13"/>
                <w:color w:val="auto"/>
              </w:rPr>
              <w:t>1,558</w:t>
            </w: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w:t>
            </w:r>
          </w:p>
        </w:tc>
        <w:tc>
          <w:tcPr>
            <w:tcW w:w="36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81,430</w:t>
            </w:r>
          </w:p>
        </w:tc>
      </w:tr>
      <w:tr>
        <w:trPr>
          <w:trHeight w:val="183"/>
        </w:trPr>
        <w:tc>
          <w:tcPr>
            <w:tcW w:w="6340" w:type="dxa"/>
            <w:vAlign w:val="bottom"/>
          </w:tcPr>
          <w:p>
            <w:pPr>
              <w:ind w:left="20"/>
              <w:spacing w:after="0"/>
              <w:rPr>
                <w:sz w:val="20"/>
                <w:szCs w:val="20"/>
                <w:color w:val="auto"/>
              </w:rPr>
            </w:pPr>
            <w:r>
              <w:rPr>
                <w:rFonts w:ascii="Arial" w:cs="Arial" w:eastAsia="Arial" w:hAnsi="Arial"/>
                <w:sz w:val="13"/>
                <w:szCs w:val="13"/>
                <w:color w:val="auto"/>
              </w:rPr>
              <w:t>Customer relationships **</w:t>
            </w:r>
          </w:p>
        </w:tc>
        <w:tc>
          <w:tcPr>
            <w:tcW w:w="3680" w:type="dxa"/>
            <w:vAlign w:val="bottom"/>
          </w:tcPr>
          <w:p>
            <w:pPr>
              <w:spacing w:after="0"/>
              <w:rPr>
                <w:sz w:val="15"/>
                <w:szCs w:val="15"/>
                <w:color w:val="auto"/>
              </w:rPr>
            </w:pPr>
          </w:p>
        </w:tc>
        <w:tc>
          <w:tcPr>
            <w:tcW w:w="1240" w:type="dxa"/>
            <w:vAlign w:val="bottom"/>
          </w:tcPr>
          <w:p>
            <w:pPr>
              <w:jc w:val="right"/>
              <w:ind w:right="76"/>
              <w:spacing w:after="0"/>
              <w:rPr>
                <w:sz w:val="20"/>
                <w:szCs w:val="20"/>
                <w:color w:val="auto"/>
              </w:rPr>
            </w:pPr>
            <w:r>
              <w:rPr>
                <w:rFonts w:ascii="Arial" w:cs="Arial" w:eastAsia="Arial" w:hAnsi="Arial"/>
                <w:sz w:val="13"/>
                <w:szCs w:val="13"/>
                <w:color w:val="auto"/>
              </w:rPr>
              <w:t>3,887</w:t>
            </w: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Order backlog **</w:t>
            </w:r>
          </w:p>
        </w:tc>
        <w:tc>
          <w:tcPr>
            <w:tcW w:w="36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171</w:t>
            </w:r>
          </w:p>
        </w:tc>
      </w:tr>
      <w:tr>
        <w:trPr>
          <w:trHeight w:val="183"/>
        </w:trPr>
        <w:tc>
          <w:tcPr>
            <w:tcW w:w="6340" w:type="dxa"/>
            <w:vAlign w:val="bottom"/>
          </w:tcPr>
          <w:p>
            <w:pPr>
              <w:ind w:left="20"/>
              <w:spacing w:after="0"/>
              <w:rPr>
                <w:sz w:val="20"/>
                <w:szCs w:val="20"/>
                <w:color w:val="auto"/>
              </w:rPr>
            </w:pPr>
            <w:r>
              <w:rPr>
                <w:rFonts w:ascii="Arial" w:cs="Arial" w:eastAsia="Arial" w:hAnsi="Arial"/>
                <w:sz w:val="13"/>
                <w:szCs w:val="13"/>
                <w:color w:val="auto"/>
              </w:rPr>
              <w:t>Patient database **</w:t>
            </w:r>
          </w:p>
        </w:tc>
        <w:tc>
          <w:tcPr>
            <w:tcW w:w="3680" w:type="dxa"/>
            <w:vAlign w:val="bottom"/>
          </w:tcPr>
          <w:p>
            <w:pPr>
              <w:spacing w:after="0"/>
              <w:rPr>
                <w:sz w:val="15"/>
                <w:szCs w:val="15"/>
                <w:color w:val="auto"/>
              </w:rPr>
            </w:pPr>
          </w:p>
        </w:tc>
        <w:tc>
          <w:tcPr>
            <w:tcW w:w="1240" w:type="dxa"/>
            <w:vAlign w:val="bottom"/>
          </w:tcPr>
          <w:p>
            <w:pPr>
              <w:jc w:val="right"/>
              <w:ind w:right="76"/>
              <w:spacing w:after="0"/>
              <w:rPr>
                <w:sz w:val="20"/>
                <w:szCs w:val="20"/>
                <w:color w:val="auto"/>
              </w:rPr>
            </w:pPr>
            <w:r>
              <w:rPr>
                <w:rFonts w:ascii="Arial" w:cs="Arial" w:eastAsia="Arial" w:hAnsi="Arial"/>
                <w:sz w:val="13"/>
                <w:szCs w:val="13"/>
                <w:color w:val="auto"/>
              </w:rPr>
              <w:t>2,542</w:t>
            </w: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w:t>
            </w:r>
          </w:p>
        </w:tc>
        <w:tc>
          <w:tcPr>
            <w:tcW w:w="36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3,488</w:t>
            </w:r>
          </w:p>
        </w:tc>
      </w:tr>
      <w:tr>
        <w:trPr>
          <w:trHeight w:val="183"/>
        </w:trPr>
        <w:tc>
          <w:tcPr>
            <w:tcW w:w="6340" w:type="dxa"/>
            <w:vAlign w:val="bottom"/>
          </w:tcPr>
          <w:p>
            <w:pPr>
              <w:ind w:left="20"/>
              <w:spacing w:after="0"/>
              <w:rPr>
                <w:sz w:val="20"/>
                <w:szCs w:val="20"/>
                <w:color w:val="auto"/>
              </w:rPr>
            </w:pPr>
            <w:r>
              <w:rPr>
                <w:rFonts w:ascii="Arial" w:cs="Arial" w:eastAsia="Arial" w:hAnsi="Arial"/>
                <w:sz w:val="13"/>
                <w:szCs w:val="13"/>
                <w:color w:val="auto"/>
              </w:rPr>
              <w:t>Unbilled revenue</w:t>
            </w:r>
          </w:p>
        </w:tc>
        <w:tc>
          <w:tcPr>
            <w:tcW w:w="3680" w:type="dxa"/>
            <w:vAlign w:val="bottom"/>
          </w:tcPr>
          <w:p>
            <w:pPr>
              <w:spacing w:after="0"/>
              <w:rPr>
                <w:sz w:val="15"/>
                <w:szCs w:val="15"/>
                <w:color w:val="auto"/>
              </w:rPr>
            </w:pPr>
          </w:p>
        </w:tc>
        <w:tc>
          <w:tcPr>
            <w:tcW w:w="1240" w:type="dxa"/>
            <w:vAlign w:val="bottom"/>
          </w:tcPr>
          <w:p>
            <w:pPr>
              <w:jc w:val="right"/>
              <w:ind w:right="76"/>
              <w:spacing w:after="0"/>
              <w:rPr>
                <w:sz w:val="20"/>
                <w:szCs w:val="20"/>
                <w:color w:val="auto"/>
              </w:rPr>
            </w:pPr>
            <w:r>
              <w:rPr>
                <w:rFonts w:ascii="Arial" w:cs="Arial" w:eastAsia="Arial" w:hAnsi="Arial"/>
                <w:sz w:val="13"/>
                <w:szCs w:val="13"/>
                <w:color w:val="auto"/>
              </w:rPr>
              <w:t>4,272</w:t>
            </w: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receivables</w:t>
            </w:r>
          </w:p>
        </w:tc>
        <w:tc>
          <w:tcPr>
            <w:tcW w:w="36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819</w:t>
            </w:r>
          </w:p>
        </w:tc>
      </w:tr>
      <w:tr>
        <w:trPr>
          <w:trHeight w:val="183"/>
        </w:trPr>
        <w:tc>
          <w:tcPr>
            <w:tcW w:w="6340" w:type="dxa"/>
            <w:vAlign w:val="bottom"/>
          </w:tcPr>
          <w:p>
            <w:pPr>
              <w:ind w:left="20"/>
              <w:spacing w:after="0"/>
              <w:rPr>
                <w:sz w:val="20"/>
                <w:szCs w:val="20"/>
                <w:color w:val="auto"/>
              </w:rPr>
            </w:pPr>
            <w:r>
              <w:rPr>
                <w:rFonts w:ascii="Arial" w:cs="Arial" w:eastAsia="Arial" w:hAnsi="Arial"/>
                <w:sz w:val="13"/>
                <w:szCs w:val="13"/>
                <w:color w:val="auto"/>
              </w:rPr>
              <w:t>Prepayments and other current assets</w:t>
            </w:r>
          </w:p>
        </w:tc>
        <w:tc>
          <w:tcPr>
            <w:tcW w:w="3680" w:type="dxa"/>
            <w:vAlign w:val="bottom"/>
          </w:tcPr>
          <w:p>
            <w:pPr>
              <w:spacing w:after="0"/>
              <w:rPr>
                <w:sz w:val="15"/>
                <w:szCs w:val="15"/>
                <w:color w:val="auto"/>
              </w:rPr>
            </w:pPr>
          </w:p>
        </w:tc>
        <w:tc>
          <w:tcPr>
            <w:tcW w:w="1240" w:type="dxa"/>
            <w:vAlign w:val="bottom"/>
          </w:tcPr>
          <w:p>
            <w:pPr>
              <w:jc w:val="right"/>
              <w:ind w:right="76"/>
              <w:spacing w:after="0"/>
              <w:rPr>
                <w:sz w:val="20"/>
                <w:szCs w:val="20"/>
                <w:color w:val="auto"/>
              </w:rPr>
            </w:pPr>
            <w:r>
              <w:rPr>
                <w:rFonts w:ascii="Arial" w:cs="Arial" w:eastAsia="Arial" w:hAnsi="Arial"/>
                <w:sz w:val="13"/>
                <w:szCs w:val="13"/>
                <w:color w:val="auto"/>
              </w:rPr>
              <w:t>406</w:t>
            </w: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36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(5,484)</w:t>
            </w:r>
          </w:p>
        </w:tc>
      </w:tr>
      <w:tr>
        <w:trPr>
          <w:trHeight w:val="183"/>
        </w:trPr>
        <w:tc>
          <w:tcPr>
            <w:tcW w:w="6340" w:type="dxa"/>
            <w:vAlign w:val="bottom"/>
          </w:tcPr>
          <w:p>
            <w:pPr>
              <w:ind w:left="20"/>
              <w:spacing w:after="0"/>
              <w:rPr>
                <w:sz w:val="20"/>
                <w:szCs w:val="20"/>
                <w:color w:val="auto"/>
              </w:rPr>
            </w:pPr>
            <w:r>
              <w:rPr>
                <w:rFonts w:ascii="Arial" w:cs="Arial" w:eastAsia="Arial" w:hAnsi="Arial"/>
                <w:sz w:val="13"/>
                <w:szCs w:val="13"/>
                <w:color w:val="auto"/>
              </w:rPr>
              <w:t>Unearned revenue</w:t>
            </w:r>
          </w:p>
        </w:tc>
        <w:tc>
          <w:tcPr>
            <w:tcW w:w="3680" w:type="dxa"/>
            <w:vAlign w:val="bottom"/>
          </w:tcPr>
          <w:p>
            <w:pPr>
              <w:spacing w:after="0"/>
              <w:rPr>
                <w:sz w:val="15"/>
                <w:szCs w:val="15"/>
                <w:color w:val="auto"/>
              </w:rPr>
            </w:pPr>
          </w:p>
        </w:tc>
        <w:tc>
          <w:tcPr>
            <w:tcW w:w="1240" w:type="dxa"/>
            <w:vAlign w:val="bottom"/>
          </w:tcPr>
          <w:p>
            <w:pPr>
              <w:jc w:val="right"/>
              <w:ind w:right="36"/>
              <w:spacing w:after="0"/>
              <w:rPr>
                <w:sz w:val="20"/>
                <w:szCs w:val="20"/>
                <w:color w:val="auto"/>
              </w:rPr>
            </w:pPr>
            <w:r>
              <w:rPr>
                <w:rFonts w:ascii="Arial" w:cs="Arial" w:eastAsia="Arial" w:hAnsi="Arial"/>
                <w:sz w:val="13"/>
                <w:szCs w:val="13"/>
                <w:color w:val="auto"/>
              </w:rPr>
              <w:t>(5,796)</w:t>
            </w: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36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(6,622)</w:t>
            </w:r>
          </w:p>
        </w:tc>
      </w:tr>
      <w:tr>
        <w:trPr>
          <w:trHeight w:val="183"/>
        </w:trPr>
        <w:tc>
          <w:tcPr>
            <w:tcW w:w="6340" w:type="dxa"/>
            <w:vAlign w:val="bottom"/>
          </w:tcPr>
          <w:p>
            <w:pPr>
              <w:ind w:left="20"/>
              <w:spacing w:after="0"/>
              <w:rPr>
                <w:sz w:val="20"/>
                <w:szCs w:val="20"/>
                <w:color w:val="auto"/>
              </w:rPr>
            </w:pPr>
            <w:r>
              <w:rPr>
                <w:rFonts w:ascii="Arial" w:cs="Arial" w:eastAsia="Arial" w:hAnsi="Arial"/>
                <w:sz w:val="13"/>
                <w:szCs w:val="13"/>
                <w:color w:val="auto"/>
              </w:rPr>
              <w:t>Current lease liabilities</w:t>
            </w:r>
          </w:p>
        </w:tc>
        <w:tc>
          <w:tcPr>
            <w:tcW w:w="3680" w:type="dxa"/>
            <w:vAlign w:val="bottom"/>
          </w:tcPr>
          <w:p>
            <w:pPr>
              <w:spacing w:after="0"/>
              <w:rPr>
                <w:sz w:val="15"/>
                <w:szCs w:val="15"/>
                <w:color w:val="auto"/>
              </w:rPr>
            </w:pPr>
          </w:p>
        </w:tc>
        <w:tc>
          <w:tcPr>
            <w:tcW w:w="1240" w:type="dxa"/>
            <w:vAlign w:val="bottom"/>
          </w:tcPr>
          <w:p>
            <w:pPr>
              <w:jc w:val="right"/>
              <w:ind w:right="36"/>
              <w:spacing w:after="0"/>
              <w:rPr>
                <w:sz w:val="20"/>
                <w:szCs w:val="20"/>
                <w:color w:val="auto"/>
              </w:rPr>
            </w:pPr>
            <w:r>
              <w:rPr>
                <w:rFonts w:ascii="Arial" w:cs="Arial" w:eastAsia="Arial" w:hAnsi="Arial"/>
                <w:sz w:val="13"/>
                <w:szCs w:val="13"/>
                <w:color w:val="auto"/>
              </w:rPr>
              <w:t>(430)</w:t>
            </w: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lease liabilities</w:t>
            </w:r>
          </w:p>
        </w:tc>
        <w:tc>
          <w:tcPr>
            <w:tcW w:w="36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(1,128)</w:t>
            </w:r>
          </w:p>
        </w:tc>
      </w:tr>
      <w:tr>
        <w:trPr>
          <w:trHeight w:val="192"/>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Non-current deferred tax liability</w:t>
            </w:r>
          </w:p>
        </w:tc>
        <w:tc>
          <w:tcPr>
            <w:tcW w:w="36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(1,226)</w:t>
            </w:r>
          </w:p>
        </w:tc>
      </w:tr>
      <w:tr>
        <w:trPr>
          <w:trHeight w:val="149"/>
        </w:trPr>
        <w:tc>
          <w:tcPr>
            <w:tcW w:w="634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92"/>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assets acquired</w:t>
            </w:r>
          </w:p>
        </w:tc>
        <w:tc>
          <w:tcPr>
            <w:tcW w:w="36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86,276</w:t>
            </w:r>
          </w:p>
        </w:tc>
      </w:tr>
      <w:tr>
        <w:trPr>
          <w:trHeight w:val="149"/>
        </w:trPr>
        <w:tc>
          <w:tcPr>
            <w:tcW w:w="634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83"/>
        </w:trPr>
        <w:tc>
          <w:tcPr>
            <w:tcW w:w="6340" w:type="dxa"/>
            <w:vAlign w:val="bottom"/>
          </w:tcPr>
          <w:p>
            <w:pPr>
              <w:ind w:left="20"/>
              <w:spacing w:after="0"/>
              <w:rPr>
                <w:sz w:val="20"/>
                <w:szCs w:val="20"/>
                <w:color w:val="auto"/>
              </w:rPr>
            </w:pPr>
            <w:r>
              <w:rPr>
                <w:rFonts w:ascii="Arial" w:cs="Arial" w:eastAsia="Arial" w:hAnsi="Arial"/>
                <w:sz w:val="13"/>
                <w:szCs w:val="13"/>
                <w:color w:val="auto"/>
              </w:rPr>
              <w:t>Cash outflows</w:t>
            </w:r>
          </w:p>
        </w:tc>
        <w:tc>
          <w:tcPr>
            <w:tcW w:w="36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76"/>
              <w:spacing w:after="0"/>
              <w:rPr>
                <w:sz w:val="20"/>
                <w:szCs w:val="20"/>
                <w:color w:val="auto"/>
              </w:rPr>
            </w:pPr>
            <w:r>
              <w:rPr>
                <w:rFonts w:ascii="Arial" w:cs="Arial" w:eastAsia="Arial" w:hAnsi="Arial"/>
                <w:sz w:val="13"/>
                <w:szCs w:val="13"/>
                <w:color w:val="auto"/>
              </w:rPr>
              <w:t>54,123</w:t>
            </w: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Working capital adjustment receivable</w:t>
            </w:r>
          </w:p>
        </w:tc>
        <w:tc>
          <w:tcPr>
            <w:tcW w:w="36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(439)</w:t>
            </w:r>
          </w:p>
        </w:tc>
      </w:tr>
      <w:tr>
        <w:trPr>
          <w:trHeight w:val="192"/>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Noncontrolling interest ***</w:t>
            </w:r>
          </w:p>
        </w:tc>
        <w:tc>
          <w:tcPr>
            <w:tcW w:w="36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32,592</w:t>
            </w:r>
          </w:p>
        </w:tc>
      </w:tr>
      <w:tr>
        <w:trPr>
          <w:trHeight w:val="191"/>
        </w:trPr>
        <w:tc>
          <w:tcPr>
            <w:tcW w:w="634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2"/>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consideration (including noncontrolling interest)</w:t>
            </w:r>
          </w:p>
        </w:tc>
        <w:tc>
          <w:tcPr>
            <w:tcW w:w="36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86,276</w:t>
            </w:r>
          </w:p>
        </w:tc>
      </w:tr>
    </w:tbl>
    <w:p>
      <w:pPr>
        <w:spacing w:after="0" w:line="12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*Goodwill represents the acquisition of an established workforce and access to a broad site network in Europe and Africa. None of the goodwill recognised is expected to be deductible for income tax purposes.</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has made an estimate of separate intangible assets acquired, being customer relationships, order book assets and patient database. This assessment will be finalised within 12 months of the date of acquisition. The fair value of MeDiNova’s intangible assets has been measured provisionally, pending receipt of a final independent valuation.</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fair value of the noncontrolling interest on 23 May 2019 was $32.6 million which was estimated by applying an income based approach. The valuation approach used was based on the future earnings of the Company times an appropriate earnings multiple. Redemption of the noncontrolling interest will be based on the Company's earnings to 31 March 2020.</w:t>
      </w:r>
    </w:p>
    <w:p>
      <w:pPr>
        <w:spacing w:after="0" w:line="120" w:lineRule="exact"/>
        <w:rPr>
          <w:sz w:val="20"/>
          <w:szCs w:val="20"/>
          <w:color w:val="auto"/>
        </w:rPr>
      </w:pPr>
    </w:p>
    <w:p>
      <w:pPr>
        <w:ind w:right="60"/>
        <w:spacing w:after="0" w:line="244" w:lineRule="auto"/>
        <w:rPr>
          <w:sz w:val="20"/>
          <w:szCs w:val="20"/>
          <w:color w:val="auto"/>
        </w:rPr>
      </w:pPr>
      <w:r>
        <w:rPr>
          <w:rFonts w:ascii="Arial" w:cs="Arial" w:eastAsia="Arial" w:hAnsi="Arial"/>
          <w:sz w:val="13"/>
          <w:szCs w:val="13"/>
          <w:color w:val="auto"/>
        </w:rPr>
        <w:t>If new information obtained within one year of the date of acquisition about facts and circumstances that existed at the date of acquisition identifies adjustments to the above amounts, or any additional amounts that existed at the date of acquisition, then the accounting for the acquisition will be revised.</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carrying values of accounts receivable, prepayments and other current assets above are carried at amortised cost and assumed to be approximate to their fair values due to the short term nature of these balances. There is no evidence that the Group will not be able to collect all amounts due.</w:t>
      </w:r>
    </w:p>
    <w:p>
      <w:pPr>
        <w:spacing w:after="0" w:line="23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Since 23 May 2019, MeDiNova has earned revenue of $6.5 million (after elimination of intercompany revenue from ICON) and net income of $4.7 million in the year ended 31 December 2019. The proforma effect of the MeDiNova acquisition if completed on 1 January 2018 would have resulted in revenue and profit for the fiscal years ending 31 December, 2019 and 31 December 2018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60" w:type="dxa"/>
            <w:vAlign w:val="bottom"/>
            <w:shd w:val="clear" w:color="auto" w:fill="CCEEFF"/>
          </w:tcPr>
          <w:p>
            <w:pPr>
              <w:spacing w:after="0"/>
              <w:rPr>
                <w:sz w:val="16"/>
                <w:szCs w:val="16"/>
                <w:color w:val="auto"/>
              </w:rPr>
            </w:pPr>
          </w:p>
        </w:tc>
        <w:tc>
          <w:tcPr>
            <w:tcW w:w="4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Year Ended</w:t>
            </w:r>
          </w:p>
        </w:tc>
        <w:tc>
          <w:tcPr>
            <w:tcW w:w="780" w:type="dxa"/>
            <w:vAlign w:val="bottom"/>
            <w:shd w:val="clear" w:color="auto" w:fill="CCEEFF"/>
          </w:tcPr>
          <w:p>
            <w:pPr>
              <w:spacing w:after="0"/>
              <w:rPr>
                <w:sz w:val="16"/>
                <w:szCs w:val="16"/>
                <w:color w:val="auto"/>
              </w:rPr>
            </w:pPr>
          </w:p>
        </w:tc>
      </w:tr>
      <w:tr>
        <w:trPr>
          <w:trHeight w:val="183"/>
        </w:trPr>
        <w:tc>
          <w:tcPr>
            <w:tcW w:w="486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r>
      <w:tr>
        <w:trPr>
          <w:trHeight w:val="189"/>
        </w:trPr>
        <w:tc>
          <w:tcPr>
            <w:tcW w:w="4860" w:type="dxa"/>
            <w:vAlign w:val="bottom"/>
            <w:shd w:val="clear" w:color="auto" w:fill="CCEEFF"/>
          </w:tcPr>
          <w:p>
            <w:pPr>
              <w:spacing w:after="0"/>
              <w:rPr>
                <w:sz w:val="16"/>
                <w:szCs w:val="16"/>
                <w:color w:val="auto"/>
              </w:rPr>
            </w:pPr>
          </w:p>
        </w:tc>
        <w:tc>
          <w:tcPr>
            <w:tcW w:w="4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(in thousands)</w:t>
            </w:r>
          </w:p>
        </w:tc>
        <w:tc>
          <w:tcPr>
            <w:tcW w:w="780" w:type="dxa"/>
            <w:vAlign w:val="bottom"/>
            <w:shd w:val="clear" w:color="auto" w:fill="CCEEFF"/>
          </w:tcPr>
          <w:p>
            <w:pPr>
              <w:spacing w:after="0"/>
              <w:rPr>
                <w:sz w:val="16"/>
                <w:szCs w:val="16"/>
                <w:color w:val="auto"/>
              </w:rPr>
            </w:pPr>
          </w:p>
        </w:tc>
      </w:tr>
      <w:tr>
        <w:trPr>
          <w:trHeight w:val="170"/>
        </w:trPr>
        <w:tc>
          <w:tcPr>
            <w:tcW w:w="48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92"/>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42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2,807,788</w:t>
            </w: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2,599,091</w:t>
            </w:r>
          </w:p>
        </w:tc>
      </w:tr>
      <w:tr>
        <w:trPr>
          <w:trHeight w:val="159"/>
        </w:trPr>
        <w:tc>
          <w:tcPr>
            <w:tcW w:w="486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92"/>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Profit for the year</w:t>
            </w:r>
          </w:p>
        </w:tc>
        <w:tc>
          <w:tcPr>
            <w:tcW w:w="42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363,026</w:t>
            </w: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323,920</w:t>
            </w: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280"/>
          </w:cols>
          <w:pgMar w:left="300" w:top="696" w:right="31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14. Business combinations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 Acquisition of MMD</w:t>
      </w:r>
    </w:p>
    <w:p>
      <w:pPr>
        <w:spacing w:after="0" w:line="3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25 January 2019 a subsidiary of the Company, ICON Laboratory Services, Inc. acquired 100% of the share capital of MMD. MMD is a molecular diagnostic specialty laboratory that enables the development and commercialisation of precision medicines in oncology. The acquisition resulted in the recognition of goodwill of $22.4 million.</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The acquisition of MMD has been accounted for as a business combination in accordance with 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 The Company made an assessment of the fair value of assets acquired and liabilities assumed as at that date. The following table summarises the Company’s fair values of the assets acquired and liabilities assumed: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40" w:type="dxa"/>
            <w:vAlign w:val="bottom"/>
            <w:shd w:val="clear" w:color="auto" w:fill="CCEEFF"/>
          </w:tcPr>
          <w:p>
            <w:pPr>
              <w:spacing w:after="0"/>
              <w:rPr>
                <w:sz w:val="16"/>
                <w:szCs w:val="16"/>
                <w:color w:val="auto"/>
              </w:rPr>
            </w:pPr>
          </w:p>
        </w:tc>
        <w:tc>
          <w:tcPr>
            <w:tcW w:w="39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 January</w:t>
            </w:r>
          </w:p>
        </w:tc>
      </w:tr>
      <w:tr>
        <w:trPr>
          <w:trHeight w:val="183"/>
        </w:trPr>
        <w:tc>
          <w:tcPr>
            <w:tcW w:w="594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r>
      <w:tr>
        <w:trPr>
          <w:trHeight w:val="189"/>
        </w:trPr>
        <w:tc>
          <w:tcPr>
            <w:tcW w:w="5940" w:type="dxa"/>
            <w:vAlign w:val="bottom"/>
            <w:shd w:val="clear" w:color="auto" w:fill="CCEEFF"/>
          </w:tcPr>
          <w:p>
            <w:pPr>
              <w:spacing w:after="0"/>
              <w:rPr>
                <w:sz w:val="16"/>
                <w:szCs w:val="16"/>
                <w:color w:val="auto"/>
              </w:rPr>
            </w:pPr>
          </w:p>
        </w:tc>
        <w:tc>
          <w:tcPr>
            <w:tcW w:w="39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(in thousands)</w:t>
            </w:r>
          </w:p>
        </w:tc>
      </w:tr>
      <w:tr>
        <w:trPr>
          <w:trHeight w:val="183"/>
        </w:trPr>
        <w:tc>
          <w:tcPr>
            <w:tcW w:w="5940" w:type="dxa"/>
            <w:vAlign w:val="bottom"/>
          </w:tcPr>
          <w:p>
            <w:pPr>
              <w:ind w:left="20"/>
              <w:spacing w:after="0"/>
              <w:rPr>
                <w:sz w:val="20"/>
                <w:szCs w:val="20"/>
                <w:color w:val="auto"/>
              </w:rPr>
            </w:pPr>
            <w:r>
              <w:rPr>
                <w:rFonts w:ascii="Arial" w:cs="Arial" w:eastAsia="Arial" w:hAnsi="Arial"/>
                <w:sz w:val="13"/>
                <w:szCs w:val="13"/>
                <w:color w:val="auto"/>
              </w:rPr>
              <w:t>Cash &amp; cash equivalent</w:t>
            </w:r>
          </w:p>
        </w:tc>
        <w:tc>
          <w:tcPr>
            <w:tcW w:w="39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76"/>
              <w:spacing w:after="0"/>
              <w:rPr>
                <w:sz w:val="20"/>
                <w:szCs w:val="20"/>
                <w:color w:val="auto"/>
              </w:rPr>
            </w:pPr>
            <w:r>
              <w:rPr>
                <w:rFonts w:ascii="Arial" w:cs="Arial" w:eastAsia="Arial" w:hAnsi="Arial"/>
                <w:sz w:val="13"/>
                <w:szCs w:val="13"/>
                <w:color w:val="auto"/>
              </w:rPr>
              <w:t>686</w:t>
            </w:r>
          </w:p>
        </w:tc>
      </w:tr>
      <w:tr>
        <w:trPr>
          <w:trHeight w:val="199"/>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39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1,626</w:t>
            </w:r>
          </w:p>
        </w:tc>
      </w:tr>
      <w:tr>
        <w:trPr>
          <w:trHeight w:val="183"/>
        </w:trPr>
        <w:tc>
          <w:tcPr>
            <w:tcW w:w="5940" w:type="dxa"/>
            <w:vAlign w:val="bottom"/>
          </w:tcPr>
          <w:p>
            <w:pPr>
              <w:ind w:left="20"/>
              <w:spacing w:after="0"/>
              <w:rPr>
                <w:sz w:val="20"/>
                <w:szCs w:val="20"/>
                <w:color w:val="auto"/>
              </w:rPr>
            </w:pPr>
            <w:r>
              <w:rPr>
                <w:rFonts w:ascii="Arial" w:cs="Arial" w:eastAsia="Arial" w:hAnsi="Arial"/>
                <w:sz w:val="13"/>
                <w:szCs w:val="13"/>
                <w:color w:val="auto"/>
              </w:rPr>
              <w:t>Operating right of use assets</w:t>
            </w:r>
          </w:p>
        </w:tc>
        <w:tc>
          <w:tcPr>
            <w:tcW w:w="3960" w:type="dxa"/>
            <w:vAlign w:val="bottom"/>
          </w:tcPr>
          <w:p>
            <w:pPr>
              <w:spacing w:after="0"/>
              <w:rPr>
                <w:sz w:val="15"/>
                <w:szCs w:val="15"/>
                <w:color w:val="auto"/>
              </w:rPr>
            </w:pPr>
          </w:p>
        </w:tc>
        <w:tc>
          <w:tcPr>
            <w:tcW w:w="1360" w:type="dxa"/>
            <w:vAlign w:val="bottom"/>
          </w:tcPr>
          <w:p>
            <w:pPr>
              <w:jc w:val="right"/>
              <w:ind w:right="76"/>
              <w:spacing w:after="0"/>
              <w:rPr>
                <w:sz w:val="20"/>
                <w:szCs w:val="20"/>
                <w:color w:val="auto"/>
              </w:rPr>
            </w:pPr>
            <w:r>
              <w:rPr>
                <w:rFonts w:ascii="Arial" w:cs="Arial" w:eastAsia="Arial" w:hAnsi="Arial"/>
                <w:sz w:val="13"/>
                <w:szCs w:val="13"/>
                <w:color w:val="auto"/>
              </w:rPr>
              <w:t>2,866</w:t>
            </w:r>
          </w:p>
        </w:tc>
      </w:tr>
      <w:tr>
        <w:trPr>
          <w:trHeight w:val="199"/>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w:t>
            </w:r>
          </w:p>
        </w:tc>
        <w:tc>
          <w:tcPr>
            <w:tcW w:w="39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22,430</w:t>
            </w:r>
          </w:p>
        </w:tc>
      </w:tr>
      <w:tr>
        <w:trPr>
          <w:trHeight w:val="183"/>
        </w:trPr>
        <w:tc>
          <w:tcPr>
            <w:tcW w:w="5940" w:type="dxa"/>
            <w:vAlign w:val="bottom"/>
          </w:tcPr>
          <w:p>
            <w:pPr>
              <w:ind w:left="20"/>
              <w:spacing w:after="0"/>
              <w:rPr>
                <w:sz w:val="20"/>
                <w:szCs w:val="20"/>
                <w:color w:val="auto"/>
              </w:rPr>
            </w:pPr>
            <w:r>
              <w:rPr>
                <w:rFonts w:ascii="Arial" w:cs="Arial" w:eastAsia="Arial" w:hAnsi="Arial"/>
                <w:sz w:val="13"/>
                <w:szCs w:val="13"/>
                <w:color w:val="auto"/>
              </w:rPr>
              <w:t>Customer relationships *</w:t>
            </w:r>
          </w:p>
        </w:tc>
        <w:tc>
          <w:tcPr>
            <w:tcW w:w="3960" w:type="dxa"/>
            <w:vAlign w:val="bottom"/>
          </w:tcPr>
          <w:p>
            <w:pPr>
              <w:spacing w:after="0"/>
              <w:rPr>
                <w:sz w:val="15"/>
                <w:szCs w:val="15"/>
                <w:color w:val="auto"/>
              </w:rPr>
            </w:pPr>
          </w:p>
        </w:tc>
        <w:tc>
          <w:tcPr>
            <w:tcW w:w="1360" w:type="dxa"/>
            <w:vAlign w:val="bottom"/>
          </w:tcPr>
          <w:p>
            <w:pPr>
              <w:jc w:val="right"/>
              <w:ind w:right="76"/>
              <w:spacing w:after="0"/>
              <w:rPr>
                <w:sz w:val="20"/>
                <w:szCs w:val="20"/>
                <w:color w:val="auto"/>
              </w:rPr>
            </w:pPr>
            <w:r>
              <w:rPr>
                <w:rFonts w:ascii="Arial" w:cs="Arial" w:eastAsia="Arial" w:hAnsi="Arial"/>
                <w:sz w:val="13"/>
                <w:szCs w:val="13"/>
                <w:color w:val="auto"/>
              </w:rPr>
              <w:t>10,708</w:t>
            </w:r>
          </w:p>
        </w:tc>
      </w:tr>
      <w:tr>
        <w:trPr>
          <w:trHeight w:val="199"/>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Order backlog *</w:t>
            </w:r>
          </w:p>
        </w:tc>
        <w:tc>
          <w:tcPr>
            <w:tcW w:w="39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2,787</w:t>
            </w:r>
          </w:p>
        </w:tc>
      </w:tr>
      <w:tr>
        <w:trPr>
          <w:trHeight w:val="183"/>
        </w:trPr>
        <w:tc>
          <w:tcPr>
            <w:tcW w:w="5940" w:type="dxa"/>
            <w:vAlign w:val="bottom"/>
          </w:tcPr>
          <w:p>
            <w:pPr>
              <w:ind w:left="20"/>
              <w:spacing w:after="0"/>
              <w:rPr>
                <w:sz w:val="20"/>
                <w:szCs w:val="20"/>
                <w:color w:val="auto"/>
              </w:rPr>
            </w:pPr>
            <w:r>
              <w:rPr>
                <w:rFonts w:ascii="Arial" w:cs="Arial" w:eastAsia="Arial" w:hAnsi="Arial"/>
                <w:sz w:val="13"/>
                <w:szCs w:val="13"/>
                <w:color w:val="auto"/>
              </w:rPr>
              <w:t>Computer Software</w:t>
            </w:r>
          </w:p>
        </w:tc>
        <w:tc>
          <w:tcPr>
            <w:tcW w:w="3960" w:type="dxa"/>
            <w:vAlign w:val="bottom"/>
          </w:tcPr>
          <w:p>
            <w:pPr>
              <w:spacing w:after="0"/>
              <w:rPr>
                <w:sz w:val="15"/>
                <w:szCs w:val="15"/>
                <w:color w:val="auto"/>
              </w:rPr>
            </w:pPr>
          </w:p>
        </w:tc>
        <w:tc>
          <w:tcPr>
            <w:tcW w:w="1360" w:type="dxa"/>
            <w:vAlign w:val="bottom"/>
          </w:tcPr>
          <w:p>
            <w:pPr>
              <w:jc w:val="right"/>
              <w:ind w:right="76"/>
              <w:spacing w:after="0"/>
              <w:rPr>
                <w:sz w:val="20"/>
                <w:szCs w:val="20"/>
                <w:color w:val="auto"/>
              </w:rPr>
            </w:pPr>
            <w:r>
              <w:rPr>
                <w:rFonts w:ascii="Arial" w:cs="Arial" w:eastAsia="Arial" w:hAnsi="Arial"/>
                <w:sz w:val="13"/>
                <w:szCs w:val="13"/>
                <w:color w:val="auto"/>
              </w:rPr>
              <w:t>71</w:t>
            </w:r>
          </w:p>
        </w:tc>
      </w:tr>
      <w:tr>
        <w:trPr>
          <w:trHeight w:val="199"/>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w:t>
            </w:r>
          </w:p>
        </w:tc>
        <w:tc>
          <w:tcPr>
            <w:tcW w:w="39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3,100</w:t>
            </w:r>
          </w:p>
        </w:tc>
      </w:tr>
      <w:tr>
        <w:trPr>
          <w:trHeight w:val="183"/>
        </w:trPr>
        <w:tc>
          <w:tcPr>
            <w:tcW w:w="5940" w:type="dxa"/>
            <w:vAlign w:val="bottom"/>
          </w:tcPr>
          <w:p>
            <w:pPr>
              <w:ind w:left="20"/>
              <w:spacing w:after="0"/>
              <w:rPr>
                <w:sz w:val="20"/>
                <w:szCs w:val="20"/>
                <w:color w:val="auto"/>
              </w:rPr>
            </w:pPr>
            <w:r>
              <w:rPr>
                <w:rFonts w:ascii="Arial" w:cs="Arial" w:eastAsia="Arial" w:hAnsi="Arial"/>
                <w:sz w:val="13"/>
                <w:szCs w:val="13"/>
                <w:color w:val="auto"/>
              </w:rPr>
              <w:t>Unbilled revenue</w:t>
            </w:r>
          </w:p>
        </w:tc>
        <w:tc>
          <w:tcPr>
            <w:tcW w:w="3960" w:type="dxa"/>
            <w:vAlign w:val="bottom"/>
          </w:tcPr>
          <w:p>
            <w:pPr>
              <w:spacing w:after="0"/>
              <w:rPr>
                <w:sz w:val="15"/>
                <w:szCs w:val="15"/>
                <w:color w:val="auto"/>
              </w:rPr>
            </w:pPr>
          </w:p>
        </w:tc>
        <w:tc>
          <w:tcPr>
            <w:tcW w:w="1360" w:type="dxa"/>
            <w:vAlign w:val="bottom"/>
          </w:tcPr>
          <w:p>
            <w:pPr>
              <w:jc w:val="right"/>
              <w:ind w:right="76"/>
              <w:spacing w:after="0"/>
              <w:rPr>
                <w:sz w:val="20"/>
                <w:szCs w:val="20"/>
                <w:color w:val="auto"/>
              </w:rPr>
            </w:pPr>
            <w:r>
              <w:rPr>
                <w:rFonts w:ascii="Arial" w:cs="Arial" w:eastAsia="Arial" w:hAnsi="Arial"/>
                <w:sz w:val="13"/>
                <w:szCs w:val="13"/>
                <w:color w:val="auto"/>
              </w:rPr>
              <w:t>2,421</w:t>
            </w:r>
          </w:p>
        </w:tc>
      </w:tr>
      <w:tr>
        <w:trPr>
          <w:trHeight w:val="199"/>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receivables</w:t>
            </w:r>
          </w:p>
        </w:tc>
        <w:tc>
          <w:tcPr>
            <w:tcW w:w="39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43</w:t>
            </w:r>
          </w:p>
        </w:tc>
      </w:tr>
      <w:tr>
        <w:trPr>
          <w:trHeight w:val="183"/>
        </w:trPr>
        <w:tc>
          <w:tcPr>
            <w:tcW w:w="5940" w:type="dxa"/>
            <w:vAlign w:val="bottom"/>
          </w:tcPr>
          <w:p>
            <w:pPr>
              <w:ind w:left="20"/>
              <w:spacing w:after="0"/>
              <w:rPr>
                <w:sz w:val="20"/>
                <w:szCs w:val="20"/>
                <w:color w:val="auto"/>
              </w:rPr>
            </w:pPr>
            <w:r>
              <w:rPr>
                <w:rFonts w:ascii="Arial" w:cs="Arial" w:eastAsia="Arial" w:hAnsi="Arial"/>
                <w:sz w:val="13"/>
                <w:szCs w:val="13"/>
                <w:color w:val="auto"/>
              </w:rPr>
              <w:t>Prepayments and other current assets</w:t>
            </w:r>
          </w:p>
        </w:tc>
        <w:tc>
          <w:tcPr>
            <w:tcW w:w="3960" w:type="dxa"/>
            <w:vAlign w:val="bottom"/>
          </w:tcPr>
          <w:p>
            <w:pPr>
              <w:spacing w:after="0"/>
              <w:rPr>
                <w:sz w:val="15"/>
                <w:szCs w:val="15"/>
                <w:color w:val="auto"/>
              </w:rPr>
            </w:pPr>
          </w:p>
        </w:tc>
        <w:tc>
          <w:tcPr>
            <w:tcW w:w="1360" w:type="dxa"/>
            <w:vAlign w:val="bottom"/>
          </w:tcPr>
          <w:p>
            <w:pPr>
              <w:jc w:val="right"/>
              <w:ind w:right="76"/>
              <w:spacing w:after="0"/>
              <w:rPr>
                <w:sz w:val="20"/>
                <w:szCs w:val="20"/>
                <w:color w:val="auto"/>
              </w:rPr>
            </w:pPr>
            <w:r>
              <w:rPr>
                <w:rFonts w:ascii="Arial" w:cs="Arial" w:eastAsia="Arial" w:hAnsi="Arial"/>
                <w:sz w:val="13"/>
                <w:szCs w:val="13"/>
                <w:color w:val="auto"/>
              </w:rPr>
              <w:t>908</w:t>
            </w:r>
          </w:p>
        </w:tc>
      </w:tr>
      <w:tr>
        <w:trPr>
          <w:trHeight w:val="199"/>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asset</w:t>
            </w:r>
          </w:p>
        </w:tc>
        <w:tc>
          <w:tcPr>
            <w:tcW w:w="39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1,568</w:t>
            </w:r>
          </w:p>
        </w:tc>
      </w:tr>
      <w:tr>
        <w:trPr>
          <w:trHeight w:val="183"/>
        </w:trPr>
        <w:tc>
          <w:tcPr>
            <w:tcW w:w="594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3960" w:type="dxa"/>
            <w:vAlign w:val="bottom"/>
          </w:tcPr>
          <w:p>
            <w:pPr>
              <w:spacing w:after="0"/>
              <w:rPr>
                <w:sz w:val="15"/>
                <w:szCs w:val="15"/>
                <w:color w:val="auto"/>
              </w:rPr>
            </w:pPr>
          </w:p>
        </w:tc>
        <w:tc>
          <w:tcPr>
            <w:tcW w:w="1360" w:type="dxa"/>
            <w:vAlign w:val="bottom"/>
          </w:tcPr>
          <w:p>
            <w:pPr>
              <w:jc w:val="right"/>
              <w:ind w:right="36"/>
              <w:spacing w:after="0"/>
              <w:rPr>
                <w:sz w:val="20"/>
                <w:szCs w:val="20"/>
                <w:color w:val="auto"/>
              </w:rPr>
            </w:pPr>
            <w:r>
              <w:rPr>
                <w:rFonts w:ascii="Arial" w:cs="Arial" w:eastAsia="Arial" w:hAnsi="Arial"/>
                <w:sz w:val="13"/>
                <w:szCs w:val="13"/>
                <w:color w:val="auto"/>
              </w:rPr>
              <w:t>(1,280)</w:t>
            </w:r>
          </w:p>
        </w:tc>
      </w:tr>
      <w:tr>
        <w:trPr>
          <w:trHeight w:val="199"/>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Unearned revenue</w:t>
            </w:r>
          </w:p>
        </w:tc>
        <w:tc>
          <w:tcPr>
            <w:tcW w:w="39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(540)</w:t>
            </w:r>
          </w:p>
        </w:tc>
      </w:tr>
      <w:tr>
        <w:trPr>
          <w:trHeight w:val="183"/>
        </w:trPr>
        <w:tc>
          <w:tcPr>
            <w:tcW w:w="5940" w:type="dxa"/>
            <w:vAlign w:val="bottom"/>
          </w:tcPr>
          <w:p>
            <w:pPr>
              <w:ind w:left="20"/>
              <w:spacing w:after="0"/>
              <w:rPr>
                <w:sz w:val="20"/>
                <w:szCs w:val="20"/>
                <w:color w:val="auto"/>
              </w:rPr>
            </w:pPr>
            <w:r>
              <w:rPr>
                <w:rFonts w:ascii="Arial" w:cs="Arial" w:eastAsia="Arial" w:hAnsi="Arial"/>
                <w:sz w:val="13"/>
                <w:szCs w:val="13"/>
                <w:color w:val="auto"/>
              </w:rPr>
              <w:t>Other liabilities</w:t>
            </w:r>
          </w:p>
        </w:tc>
        <w:tc>
          <w:tcPr>
            <w:tcW w:w="3960" w:type="dxa"/>
            <w:vAlign w:val="bottom"/>
          </w:tcPr>
          <w:p>
            <w:pPr>
              <w:spacing w:after="0"/>
              <w:rPr>
                <w:sz w:val="15"/>
                <w:szCs w:val="15"/>
                <w:color w:val="auto"/>
              </w:rPr>
            </w:pPr>
          </w:p>
        </w:tc>
        <w:tc>
          <w:tcPr>
            <w:tcW w:w="1360" w:type="dxa"/>
            <w:vAlign w:val="bottom"/>
          </w:tcPr>
          <w:p>
            <w:pPr>
              <w:jc w:val="right"/>
              <w:ind w:right="36"/>
              <w:spacing w:after="0"/>
              <w:rPr>
                <w:sz w:val="20"/>
                <w:szCs w:val="20"/>
                <w:color w:val="auto"/>
              </w:rPr>
            </w:pPr>
            <w:r>
              <w:rPr>
                <w:rFonts w:ascii="Arial" w:cs="Arial" w:eastAsia="Arial" w:hAnsi="Arial"/>
                <w:sz w:val="13"/>
                <w:szCs w:val="13"/>
                <w:color w:val="auto"/>
              </w:rPr>
              <w:t>(1,232)</w:t>
            </w:r>
          </w:p>
        </w:tc>
      </w:tr>
      <w:tr>
        <w:trPr>
          <w:trHeight w:val="199"/>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lease liabilities</w:t>
            </w:r>
          </w:p>
        </w:tc>
        <w:tc>
          <w:tcPr>
            <w:tcW w:w="39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(699)</w:t>
            </w:r>
          </w:p>
        </w:tc>
      </w:tr>
      <w:tr>
        <w:trPr>
          <w:trHeight w:val="183"/>
        </w:trPr>
        <w:tc>
          <w:tcPr>
            <w:tcW w:w="5940" w:type="dxa"/>
            <w:vAlign w:val="bottom"/>
          </w:tcPr>
          <w:p>
            <w:pPr>
              <w:ind w:left="20"/>
              <w:spacing w:after="0"/>
              <w:rPr>
                <w:sz w:val="20"/>
                <w:szCs w:val="20"/>
                <w:color w:val="auto"/>
              </w:rPr>
            </w:pPr>
            <w:r>
              <w:rPr>
                <w:rFonts w:ascii="Arial" w:cs="Arial" w:eastAsia="Arial" w:hAnsi="Arial"/>
                <w:sz w:val="13"/>
                <w:szCs w:val="13"/>
                <w:color w:val="auto"/>
              </w:rPr>
              <w:t>Non-current lease liabilities</w:t>
            </w:r>
          </w:p>
        </w:tc>
        <w:tc>
          <w:tcPr>
            <w:tcW w:w="3960" w:type="dxa"/>
            <w:vAlign w:val="bottom"/>
          </w:tcPr>
          <w:p>
            <w:pPr>
              <w:spacing w:after="0"/>
              <w:rPr>
                <w:sz w:val="15"/>
                <w:szCs w:val="15"/>
                <w:color w:val="auto"/>
              </w:rPr>
            </w:pPr>
          </w:p>
        </w:tc>
        <w:tc>
          <w:tcPr>
            <w:tcW w:w="1360" w:type="dxa"/>
            <w:vAlign w:val="bottom"/>
          </w:tcPr>
          <w:p>
            <w:pPr>
              <w:jc w:val="right"/>
              <w:ind w:right="36"/>
              <w:spacing w:after="0"/>
              <w:rPr>
                <w:sz w:val="20"/>
                <w:szCs w:val="20"/>
                <w:color w:val="auto"/>
              </w:rPr>
            </w:pPr>
            <w:r>
              <w:rPr>
                <w:rFonts w:ascii="Arial" w:cs="Arial" w:eastAsia="Arial" w:hAnsi="Arial"/>
                <w:sz w:val="13"/>
                <w:szCs w:val="13"/>
                <w:color w:val="auto"/>
              </w:rPr>
              <w:t>(2,167)</w:t>
            </w:r>
          </w:p>
        </w:tc>
      </w:tr>
      <w:tr>
        <w:trPr>
          <w:trHeight w:val="200"/>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Non-current other liabilities</w:t>
            </w:r>
          </w:p>
        </w:tc>
        <w:tc>
          <w:tcPr>
            <w:tcW w:w="39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(1,123)</w:t>
            </w:r>
          </w:p>
        </w:tc>
      </w:tr>
      <w:tr>
        <w:trPr>
          <w:trHeight w:val="191"/>
        </w:trPr>
        <w:tc>
          <w:tcPr>
            <w:tcW w:w="59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2"/>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assets acquired</w:t>
            </w:r>
          </w:p>
        </w:tc>
        <w:tc>
          <w:tcPr>
            <w:tcW w:w="39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42,173</w:t>
            </w:r>
          </w:p>
        </w:tc>
      </w:tr>
      <w:tr>
        <w:trPr>
          <w:trHeight w:val="159"/>
        </w:trPr>
        <w:tc>
          <w:tcPr>
            <w:tcW w:w="59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1"/>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outflows</w:t>
            </w:r>
          </w:p>
        </w:tc>
        <w:tc>
          <w:tcPr>
            <w:tcW w:w="39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42,349</w:t>
            </w:r>
          </w:p>
        </w:tc>
      </w:tr>
      <w:tr>
        <w:trPr>
          <w:trHeight w:val="192"/>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Working capital adjustment</w:t>
            </w:r>
          </w:p>
        </w:tc>
        <w:tc>
          <w:tcPr>
            <w:tcW w:w="3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(176)</w:t>
            </w:r>
          </w:p>
        </w:tc>
      </w:tr>
      <w:tr>
        <w:trPr>
          <w:trHeight w:val="159"/>
        </w:trPr>
        <w:tc>
          <w:tcPr>
            <w:tcW w:w="5940" w:type="dxa"/>
            <w:vAlign w:val="bottom"/>
            <w:shd w:val="clear" w:color="auto" w:fill="CCEEFF"/>
          </w:tcPr>
          <w:p>
            <w:pPr>
              <w:spacing w:after="0"/>
              <w:rPr>
                <w:sz w:val="13"/>
                <w:szCs w:val="13"/>
                <w:color w:val="auto"/>
              </w:rPr>
            </w:pPr>
          </w:p>
        </w:tc>
        <w:tc>
          <w:tcPr>
            <w:tcW w:w="39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192"/>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consideration</w:t>
            </w:r>
          </w:p>
        </w:tc>
        <w:tc>
          <w:tcPr>
            <w:tcW w:w="39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42,173</w:t>
            </w:r>
          </w:p>
        </w:tc>
      </w:tr>
    </w:tbl>
    <w:p>
      <w:pPr>
        <w:spacing w:after="0" w:line="203" w:lineRule="exact"/>
        <w:rPr>
          <w:sz w:val="20"/>
          <w:szCs w:val="20"/>
          <w:color w:val="auto"/>
        </w:rPr>
      </w:pPr>
    </w:p>
    <w:p>
      <w:pPr>
        <w:jc w:val="both"/>
        <w:ind w:firstLine="39"/>
        <w:spacing w:after="0"/>
        <w:rPr>
          <w:sz w:val="20"/>
          <w:szCs w:val="20"/>
          <w:color w:val="auto"/>
        </w:rPr>
      </w:pPr>
      <w:r>
        <w:rPr>
          <w:rFonts w:ascii="Arial" w:cs="Arial" w:eastAsia="Arial" w:hAnsi="Arial"/>
          <w:sz w:val="13"/>
          <w:szCs w:val="13"/>
          <w:color w:val="auto"/>
        </w:rPr>
        <w:t>*Goodwill represents the acquisition of an established workforce with experience in molecular diagnostic speciality laboratory services and commercialisation of precision medicines in oncology. None of the goodwill recognised is expected to be deductible for income tax purposes. In finalising the goodwill on acquisition of MMD in the twelve month period from acquisition, fair value adjustments were made which resulted in increases in unbilled revenue ($2.1 million), deferred tax asset ($3.7 million), accounts payable ($0.6 million) and other liabilities ($0.1 million) and decreases in property, plant and equipment ($0.1 million) and unearned revenue ($0.9 million). Customer relationship and order backlog assets were also finalised.</w:t>
      </w:r>
    </w:p>
    <w:p>
      <w:pPr>
        <w:spacing w:after="0" w:line="8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carrying values of accounts receivable, prepayments and other current assets above are carried at amortised cost and assumed to be approximate to their fair values due to the short term nature of these balances. There is no evidence that the Group will not be able to collect all amounts due.</w:t>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Since 25 January 2019, MMD has earned revenue of $17.9 million and net income of $1.1 million in the year ended 31 December 2019. The proforma effect of the MMD acquisition if completed on 1</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January 2018 would have resulted in revenue and profit for the fiscal years ending 31 December 2019 and 31 December 2018 as follows: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280"/>
          </w:cols>
          <w:pgMar w:left="300" w:top="696" w:right="31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14. Business combinations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4540" w:type="dxa"/>
            <w:vAlign w:val="bottom"/>
            <w:shd w:val="clear" w:color="auto" w:fill="CCEEFF"/>
          </w:tcPr>
          <w:p>
            <w:pPr>
              <w:spacing w:after="0"/>
              <w:rPr>
                <w:sz w:val="16"/>
                <w:szCs w:val="16"/>
                <w:color w:val="auto"/>
              </w:rPr>
            </w:pPr>
          </w:p>
        </w:tc>
        <w:tc>
          <w:tcPr>
            <w:tcW w:w="40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Year Ended</w:t>
            </w:r>
          </w:p>
        </w:tc>
        <w:tc>
          <w:tcPr>
            <w:tcW w:w="940" w:type="dxa"/>
            <w:vAlign w:val="bottom"/>
            <w:shd w:val="clear" w:color="auto" w:fill="CCEEFF"/>
          </w:tcPr>
          <w:p>
            <w:pPr>
              <w:spacing w:after="0"/>
              <w:rPr>
                <w:sz w:val="16"/>
                <w:szCs w:val="16"/>
                <w:color w:val="auto"/>
              </w:rPr>
            </w:pPr>
          </w:p>
        </w:tc>
      </w:tr>
      <w:tr>
        <w:trPr>
          <w:trHeight w:val="183"/>
        </w:trPr>
        <w:tc>
          <w:tcPr>
            <w:tcW w:w="454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r>
      <w:tr>
        <w:trPr>
          <w:trHeight w:val="189"/>
        </w:trPr>
        <w:tc>
          <w:tcPr>
            <w:tcW w:w="4540" w:type="dxa"/>
            <w:vAlign w:val="bottom"/>
            <w:shd w:val="clear" w:color="auto" w:fill="CCEEFF"/>
          </w:tcPr>
          <w:p>
            <w:pPr>
              <w:spacing w:after="0"/>
              <w:rPr>
                <w:sz w:val="16"/>
                <w:szCs w:val="16"/>
                <w:color w:val="auto"/>
              </w:rPr>
            </w:pPr>
          </w:p>
        </w:tc>
        <w:tc>
          <w:tcPr>
            <w:tcW w:w="40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(in thousands)</w:t>
            </w:r>
          </w:p>
        </w:tc>
        <w:tc>
          <w:tcPr>
            <w:tcW w:w="940" w:type="dxa"/>
            <w:vAlign w:val="bottom"/>
            <w:shd w:val="clear" w:color="auto" w:fill="CCEEFF"/>
          </w:tcPr>
          <w:p>
            <w:pPr>
              <w:spacing w:after="0"/>
              <w:rPr>
                <w:sz w:val="16"/>
                <w:szCs w:val="16"/>
                <w:color w:val="auto"/>
              </w:rPr>
            </w:pPr>
          </w:p>
        </w:tc>
      </w:tr>
      <w:tr>
        <w:trPr>
          <w:trHeight w:val="159"/>
        </w:trPr>
        <w:tc>
          <w:tcPr>
            <w:tcW w:w="45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92"/>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Revenue</w:t>
            </w:r>
          </w:p>
        </w:tc>
        <w:tc>
          <w:tcPr>
            <w:tcW w:w="40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2,806,908</w:t>
            </w: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2,612,346</w:t>
            </w:r>
          </w:p>
        </w:tc>
      </w:tr>
      <w:tr>
        <w:trPr>
          <w:trHeight w:val="191"/>
        </w:trPr>
        <w:tc>
          <w:tcPr>
            <w:tcW w:w="45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2"/>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Profit for the year</w:t>
            </w:r>
          </w:p>
        </w:tc>
        <w:tc>
          <w:tcPr>
            <w:tcW w:w="40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360,977</w:t>
            </w: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321,859</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 Acquisition of Mapi Group</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27 July 2017, a subsidiary of the Company, ICON Clinical Research Limited, acquired Mapi Group. Mapi Group is a leading patient-centred health outcomes research and commercialisation company. Cash outflows on acquisition were $145.8 million. The acquisition resulted in the recognition of goodwill of $130.3 million.</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 xml:space="preserve">The acquisition of Mapi has been accounted for as a business combination in accordance with 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 The following table summarises the provisional estimates of the fair values of the assets acquired and liabilities assumed: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20" w:type="dxa"/>
            <w:vAlign w:val="bottom"/>
            <w:shd w:val="clear" w:color="auto" w:fill="CCEEFF"/>
          </w:tcPr>
          <w:p>
            <w:pPr>
              <w:spacing w:after="0"/>
              <w:rPr>
                <w:sz w:val="13"/>
                <w:szCs w:val="13"/>
                <w:color w:val="auto"/>
              </w:rPr>
            </w:pPr>
          </w:p>
        </w:tc>
        <w:tc>
          <w:tcPr>
            <w:tcW w:w="4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27 July</w:t>
            </w:r>
          </w:p>
        </w:tc>
      </w:tr>
      <w:tr>
        <w:trPr>
          <w:trHeight w:val="184"/>
        </w:trPr>
        <w:tc>
          <w:tcPr>
            <w:tcW w:w="6420" w:type="dxa"/>
            <w:vAlign w:val="bottom"/>
            <w:shd w:val="clear" w:color="auto" w:fill="CCEEFF"/>
          </w:tcPr>
          <w:p>
            <w:pPr>
              <w:spacing w:after="0"/>
              <w:rPr>
                <w:sz w:val="16"/>
                <w:szCs w:val="16"/>
                <w:color w:val="auto"/>
              </w:rPr>
            </w:pPr>
          </w:p>
        </w:tc>
        <w:tc>
          <w:tcPr>
            <w:tcW w:w="4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2017</w:t>
            </w:r>
          </w:p>
        </w:tc>
      </w:tr>
      <w:tr>
        <w:trPr>
          <w:trHeight w:val="183"/>
        </w:trPr>
        <w:tc>
          <w:tcPr>
            <w:tcW w:w="6420" w:type="dxa"/>
            <w:vAlign w:val="bottom"/>
            <w:tcBorders>
              <w:bottom w:val="single" w:sz="8" w:color="auto"/>
            </w:tcBorders>
          </w:tcPr>
          <w:p>
            <w:pPr>
              <w:spacing w:after="0"/>
              <w:rPr>
                <w:sz w:val="15"/>
                <w:szCs w:val="15"/>
                <w:color w:val="auto"/>
              </w:rPr>
            </w:pPr>
          </w:p>
        </w:tc>
        <w:tc>
          <w:tcPr>
            <w:tcW w:w="4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r>
      <w:tr>
        <w:trPr>
          <w:trHeight w:val="189"/>
        </w:trPr>
        <w:tc>
          <w:tcPr>
            <w:tcW w:w="6420" w:type="dxa"/>
            <w:vAlign w:val="bottom"/>
            <w:shd w:val="clear" w:color="auto" w:fill="CCEEFF"/>
          </w:tcPr>
          <w:p>
            <w:pPr>
              <w:spacing w:after="0"/>
              <w:rPr>
                <w:sz w:val="16"/>
                <w:szCs w:val="16"/>
                <w:color w:val="auto"/>
              </w:rPr>
            </w:pPr>
          </w:p>
        </w:tc>
        <w:tc>
          <w:tcPr>
            <w:tcW w:w="4860" w:type="dxa"/>
            <w:vAlign w:val="bottom"/>
            <w:shd w:val="clear" w:color="auto" w:fill="CCEEFF"/>
          </w:tcPr>
          <w:p>
            <w:pPr>
              <w:spacing w:after="0"/>
              <w:rPr>
                <w:sz w:val="16"/>
                <w:szCs w:val="16"/>
                <w:color w:val="auto"/>
              </w:rPr>
            </w:pPr>
          </w:p>
        </w:tc>
      </w:tr>
      <w:tr>
        <w:trPr>
          <w:trHeight w:val="183"/>
        </w:trPr>
        <w:tc>
          <w:tcPr>
            <w:tcW w:w="6420" w:type="dxa"/>
            <w:vAlign w:val="bottom"/>
          </w:tcPr>
          <w:p>
            <w:pPr>
              <w:ind w:left="20"/>
              <w:spacing w:after="0"/>
              <w:rPr>
                <w:sz w:val="20"/>
                <w:szCs w:val="20"/>
                <w:color w:val="auto"/>
              </w:rPr>
            </w:pPr>
            <w:r>
              <w:rPr>
                <w:rFonts w:ascii="Arial" w:cs="Arial" w:eastAsia="Arial" w:hAnsi="Arial"/>
                <w:sz w:val="13"/>
                <w:szCs w:val="13"/>
                <w:color w:val="auto"/>
              </w:rPr>
              <w:t>Cash</w:t>
            </w:r>
          </w:p>
        </w:tc>
        <w:tc>
          <w:tcPr>
            <w:tcW w:w="4860" w:type="dxa"/>
            <w:vAlign w:val="bottom"/>
          </w:tcPr>
          <w:p>
            <w:pPr>
              <w:jc w:val="right"/>
              <w:ind w:right="76"/>
              <w:spacing w:after="0"/>
              <w:rPr>
                <w:sz w:val="20"/>
                <w:szCs w:val="20"/>
                <w:color w:val="auto"/>
              </w:rPr>
            </w:pPr>
            <w:r>
              <w:rPr>
                <w:rFonts w:ascii="Arial" w:cs="Arial" w:eastAsia="Arial" w:hAnsi="Arial"/>
                <w:sz w:val="13"/>
                <w:szCs w:val="13"/>
                <w:color w:val="auto"/>
              </w:rPr>
              <w:t>19,649</w:t>
            </w:r>
          </w:p>
        </w:tc>
      </w:tr>
      <w:tr>
        <w:trPr>
          <w:trHeight w:val="199"/>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48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4,872</w:t>
            </w:r>
          </w:p>
        </w:tc>
      </w:tr>
      <w:tr>
        <w:trPr>
          <w:trHeight w:val="183"/>
        </w:trPr>
        <w:tc>
          <w:tcPr>
            <w:tcW w:w="6420" w:type="dxa"/>
            <w:vAlign w:val="bottom"/>
          </w:tcPr>
          <w:p>
            <w:pPr>
              <w:ind w:left="20"/>
              <w:spacing w:after="0"/>
              <w:rPr>
                <w:sz w:val="20"/>
                <w:szCs w:val="20"/>
                <w:color w:val="auto"/>
              </w:rPr>
            </w:pPr>
            <w:r>
              <w:rPr>
                <w:rFonts w:ascii="Arial" w:cs="Arial" w:eastAsia="Arial" w:hAnsi="Arial"/>
                <w:sz w:val="13"/>
                <w:szCs w:val="13"/>
                <w:color w:val="auto"/>
              </w:rPr>
              <w:t>Goodwill*</w:t>
            </w:r>
          </w:p>
        </w:tc>
        <w:tc>
          <w:tcPr>
            <w:tcW w:w="4860" w:type="dxa"/>
            <w:vAlign w:val="bottom"/>
          </w:tcPr>
          <w:p>
            <w:pPr>
              <w:jc w:val="right"/>
              <w:ind w:right="76"/>
              <w:spacing w:after="0"/>
              <w:rPr>
                <w:sz w:val="20"/>
                <w:szCs w:val="20"/>
                <w:color w:val="auto"/>
              </w:rPr>
            </w:pPr>
            <w:r>
              <w:rPr>
                <w:rFonts w:ascii="Arial" w:cs="Arial" w:eastAsia="Arial" w:hAnsi="Arial"/>
                <w:sz w:val="13"/>
                <w:szCs w:val="13"/>
                <w:color w:val="auto"/>
              </w:rPr>
              <w:t>130,270</w:t>
            </w:r>
          </w:p>
        </w:tc>
      </w:tr>
      <w:tr>
        <w:trPr>
          <w:trHeight w:val="199"/>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Order backlog</w:t>
            </w:r>
          </w:p>
        </w:tc>
        <w:tc>
          <w:tcPr>
            <w:tcW w:w="48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13,012</w:t>
            </w:r>
          </w:p>
        </w:tc>
      </w:tr>
      <w:tr>
        <w:trPr>
          <w:trHeight w:val="183"/>
        </w:trPr>
        <w:tc>
          <w:tcPr>
            <w:tcW w:w="6420" w:type="dxa"/>
            <w:vAlign w:val="bottom"/>
          </w:tcPr>
          <w:p>
            <w:pPr>
              <w:ind w:left="20"/>
              <w:spacing w:after="0"/>
              <w:rPr>
                <w:sz w:val="20"/>
                <w:szCs w:val="20"/>
                <w:color w:val="auto"/>
              </w:rPr>
            </w:pPr>
            <w:r>
              <w:rPr>
                <w:rFonts w:ascii="Arial" w:cs="Arial" w:eastAsia="Arial" w:hAnsi="Arial"/>
                <w:sz w:val="13"/>
                <w:szCs w:val="13"/>
                <w:color w:val="auto"/>
              </w:rPr>
              <w:t>Customer relationships</w:t>
            </w:r>
          </w:p>
        </w:tc>
        <w:tc>
          <w:tcPr>
            <w:tcW w:w="4860" w:type="dxa"/>
            <w:vAlign w:val="bottom"/>
          </w:tcPr>
          <w:p>
            <w:pPr>
              <w:jc w:val="right"/>
              <w:ind w:right="76"/>
              <w:spacing w:after="0"/>
              <w:rPr>
                <w:sz w:val="20"/>
                <w:szCs w:val="20"/>
                <w:color w:val="auto"/>
              </w:rPr>
            </w:pPr>
            <w:r>
              <w:rPr>
                <w:rFonts w:ascii="Arial" w:cs="Arial" w:eastAsia="Arial" w:hAnsi="Arial"/>
                <w:sz w:val="13"/>
                <w:szCs w:val="13"/>
                <w:color w:val="auto"/>
              </w:rPr>
              <w:t>18,392</w:t>
            </w:r>
          </w:p>
        </w:tc>
      </w:tr>
      <w:tr>
        <w:trPr>
          <w:trHeight w:val="199"/>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w:t>
            </w:r>
          </w:p>
        </w:tc>
        <w:tc>
          <w:tcPr>
            <w:tcW w:w="48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15,874</w:t>
            </w:r>
          </w:p>
        </w:tc>
      </w:tr>
      <w:tr>
        <w:trPr>
          <w:trHeight w:val="183"/>
        </w:trPr>
        <w:tc>
          <w:tcPr>
            <w:tcW w:w="6420" w:type="dxa"/>
            <w:vAlign w:val="bottom"/>
          </w:tcPr>
          <w:p>
            <w:pPr>
              <w:ind w:left="20"/>
              <w:spacing w:after="0"/>
              <w:rPr>
                <w:sz w:val="20"/>
                <w:szCs w:val="20"/>
                <w:color w:val="auto"/>
              </w:rPr>
            </w:pPr>
            <w:r>
              <w:rPr>
                <w:rFonts w:ascii="Arial" w:cs="Arial" w:eastAsia="Arial" w:hAnsi="Arial"/>
                <w:sz w:val="13"/>
                <w:szCs w:val="13"/>
                <w:color w:val="auto"/>
              </w:rPr>
              <w:t>Unbilled revenue</w:t>
            </w:r>
          </w:p>
        </w:tc>
        <w:tc>
          <w:tcPr>
            <w:tcW w:w="4860" w:type="dxa"/>
            <w:vAlign w:val="bottom"/>
          </w:tcPr>
          <w:p>
            <w:pPr>
              <w:jc w:val="right"/>
              <w:ind w:right="76"/>
              <w:spacing w:after="0"/>
              <w:rPr>
                <w:sz w:val="20"/>
                <w:szCs w:val="20"/>
                <w:color w:val="auto"/>
              </w:rPr>
            </w:pPr>
            <w:r>
              <w:rPr>
                <w:rFonts w:ascii="Arial" w:cs="Arial" w:eastAsia="Arial" w:hAnsi="Arial"/>
                <w:sz w:val="13"/>
                <w:szCs w:val="13"/>
                <w:color w:val="auto"/>
              </w:rPr>
              <w:t>6,984</w:t>
            </w:r>
          </w:p>
        </w:tc>
      </w:tr>
      <w:tr>
        <w:trPr>
          <w:trHeight w:val="199"/>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Prepayments and other current assets</w:t>
            </w:r>
          </w:p>
        </w:tc>
        <w:tc>
          <w:tcPr>
            <w:tcW w:w="48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2,587</w:t>
            </w:r>
          </w:p>
        </w:tc>
      </w:tr>
      <w:tr>
        <w:trPr>
          <w:trHeight w:val="183"/>
        </w:trPr>
        <w:tc>
          <w:tcPr>
            <w:tcW w:w="6420" w:type="dxa"/>
            <w:vAlign w:val="bottom"/>
          </w:tcPr>
          <w:p>
            <w:pPr>
              <w:ind w:left="20"/>
              <w:spacing w:after="0"/>
              <w:rPr>
                <w:sz w:val="20"/>
                <w:szCs w:val="20"/>
                <w:color w:val="auto"/>
              </w:rPr>
            </w:pPr>
            <w:r>
              <w:rPr>
                <w:rFonts w:ascii="Arial" w:cs="Arial" w:eastAsia="Arial" w:hAnsi="Arial"/>
                <w:sz w:val="13"/>
                <w:szCs w:val="13"/>
                <w:color w:val="auto"/>
              </w:rPr>
              <w:t>Other receivables</w:t>
            </w:r>
          </w:p>
        </w:tc>
        <w:tc>
          <w:tcPr>
            <w:tcW w:w="4860" w:type="dxa"/>
            <w:vAlign w:val="bottom"/>
          </w:tcPr>
          <w:p>
            <w:pPr>
              <w:jc w:val="right"/>
              <w:ind w:right="76"/>
              <w:spacing w:after="0"/>
              <w:rPr>
                <w:sz w:val="20"/>
                <w:szCs w:val="20"/>
                <w:color w:val="auto"/>
              </w:rPr>
            </w:pPr>
            <w:r>
              <w:rPr>
                <w:rFonts w:ascii="Arial" w:cs="Arial" w:eastAsia="Arial" w:hAnsi="Arial"/>
                <w:sz w:val="13"/>
                <w:szCs w:val="13"/>
                <w:color w:val="auto"/>
              </w:rPr>
              <w:t>1,430</w:t>
            </w:r>
          </w:p>
        </w:tc>
      </w:tr>
      <w:tr>
        <w:trPr>
          <w:trHeight w:val="199"/>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taxes receivable</w:t>
            </w:r>
          </w:p>
        </w:tc>
        <w:tc>
          <w:tcPr>
            <w:tcW w:w="48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4,262</w:t>
            </w:r>
          </w:p>
        </w:tc>
      </w:tr>
      <w:tr>
        <w:trPr>
          <w:trHeight w:val="183"/>
        </w:trPr>
        <w:tc>
          <w:tcPr>
            <w:tcW w:w="642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4860" w:type="dxa"/>
            <w:vAlign w:val="bottom"/>
          </w:tcPr>
          <w:p>
            <w:pPr>
              <w:jc w:val="right"/>
              <w:ind w:right="36"/>
              <w:spacing w:after="0"/>
              <w:rPr>
                <w:sz w:val="20"/>
                <w:szCs w:val="20"/>
                <w:color w:val="auto"/>
              </w:rPr>
            </w:pPr>
            <w:r>
              <w:rPr>
                <w:rFonts w:ascii="Arial" w:cs="Arial" w:eastAsia="Arial" w:hAnsi="Arial"/>
                <w:sz w:val="13"/>
                <w:szCs w:val="13"/>
                <w:color w:val="auto"/>
              </w:rPr>
              <w:t>(2,994)</w:t>
            </w:r>
          </w:p>
        </w:tc>
      </w:tr>
      <w:tr>
        <w:trPr>
          <w:trHeight w:val="199"/>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Unearned revenue</w:t>
            </w:r>
          </w:p>
        </w:tc>
        <w:tc>
          <w:tcPr>
            <w:tcW w:w="4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(31,445)</w:t>
            </w:r>
          </w:p>
        </w:tc>
      </w:tr>
      <w:tr>
        <w:trPr>
          <w:trHeight w:val="183"/>
        </w:trPr>
        <w:tc>
          <w:tcPr>
            <w:tcW w:w="6420" w:type="dxa"/>
            <w:vAlign w:val="bottom"/>
          </w:tcPr>
          <w:p>
            <w:pPr>
              <w:ind w:left="20"/>
              <w:spacing w:after="0"/>
              <w:rPr>
                <w:sz w:val="20"/>
                <w:szCs w:val="20"/>
                <w:color w:val="auto"/>
              </w:rPr>
            </w:pPr>
            <w:r>
              <w:rPr>
                <w:rFonts w:ascii="Arial" w:cs="Arial" w:eastAsia="Arial" w:hAnsi="Arial"/>
                <w:sz w:val="13"/>
                <w:szCs w:val="13"/>
                <w:color w:val="auto"/>
              </w:rPr>
              <w:t>Other liabilities</w:t>
            </w:r>
          </w:p>
        </w:tc>
        <w:tc>
          <w:tcPr>
            <w:tcW w:w="4860" w:type="dxa"/>
            <w:vAlign w:val="bottom"/>
          </w:tcPr>
          <w:p>
            <w:pPr>
              <w:jc w:val="right"/>
              <w:ind w:right="36"/>
              <w:spacing w:after="0"/>
              <w:rPr>
                <w:sz w:val="20"/>
                <w:szCs w:val="20"/>
                <w:color w:val="auto"/>
              </w:rPr>
            </w:pPr>
            <w:r>
              <w:rPr>
                <w:rFonts w:ascii="Arial" w:cs="Arial" w:eastAsia="Arial" w:hAnsi="Arial"/>
                <w:sz w:val="13"/>
                <w:szCs w:val="13"/>
                <w:color w:val="auto"/>
              </w:rPr>
              <w:t>(24,952)</w:t>
            </w:r>
          </w:p>
        </w:tc>
      </w:tr>
      <w:tr>
        <w:trPr>
          <w:trHeight w:val="199"/>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other liabilities</w:t>
            </w:r>
          </w:p>
        </w:tc>
        <w:tc>
          <w:tcPr>
            <w:tcW w:w="4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(1,061)</w:t>
            </w:r>
          </w:p>
        </w:tc>
      </w:tr>
      <w:tr>
        <w:trPr>
          <w:trHeight w:val="192"/>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Non-current deferred tax liability</w:t>
            </w:r>
          </w:p>
        </w:tc>
        <w:tc>
          <w:tcPr>
            <w:tcW w:w="4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(11,104)</w:t>
            </w:r>
          </w:p>
        </w:tc>
      </w:tr>
      <w:tr>
        <w:trPr>
          <w:trHeight w:val="191"/>
        </w:trPr>
        <w:tc>
          <w:tcPr>
            <w:tcW w:w="6420" w:type="dxa"/>
            <w:vAlign w:val="bottom"/>
            <w:shd w:val="clear" w:color="auto" w:fill="CCEEFF"/>
          </w:tcPr>
          <w:p>
            <w:pPr>
              <w:spacing w:after="0"/>
              <w:rPr>
                <w:sz w:val="16"/>
                <w:szCs w:val="16"/>
                <w:color w:val="auto"/>
              </w:rPr>
            </w:pPr>
          </w:p>
        </w:tc>
        <w:tc>
          <w:tcPr>
            <w:tcW w:w="4860" w:type="dxa"/>
            <w:vAlign w:val="bottom"/>
            <w:shd w:val="clear" w:color="auto" w:fill="CCEEFF"/>
          </w:tcPr>
          <w:p>
            <w:pPr>
              <w:spacing w:after="0"/>
              <w:rPr>
                <w:sz w:val="16"/>
                <w:szCs w:val="16"/>
                <w:color w:val="auto"/>
              </w:rPr>
            </w:pPr>
          </w:p>
        </w:tc>
      </w:tr>
      <w:tr>
        <w:trPr>
          <w:trHeight w:val="192"/>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assets acquired</w:t>
            </w:r>
          </w:p>
        </w:tc>
        <w:tc>
          <w:tcPr>
            <w:tcW w:w="48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145,776</w:t>
            </w:r>
          </w:p>
        </w:tc>
      </w:tr>
      <w:tr>
        <w:trPr>
          <w:trHeight w:val="191"/>
        </w:trPr>
        <w:tc>
          <w:tcPr>
            <w:tcW w:w="6420" w:type="dxa"/>
            <w:vAlign w:val="bottom"/>
            <w:shd w:val="clear" w:color="auto" w:fill="CCEEFF"/>
          </w:tcPr>
          <w:p>
            <w:pPr>
              <w:spacing w:after="0"/>
              <w:rPr>
                <w:sz w:val="16"/>
                <w:szCs w:val="16"/>
                <w:color w:val="auto"/>
              </w:rPr>
            </w:pPr>
          </w:p>
        </w:tc>
        <w:tc>
          <w:tcPr>
            <w:tcW w:w="4860" w:type="dxa"/>
            <w:vAlign w:val="bottom"/>
            <w:shd w:val="clear" w:color="auto" w:fill="CCEEFF"/>
          </w:tcPr>
          <w:p>
            <w:pPr>
              <w:spacing w:after="0"/>
              <w:rPr>
                <w:sz w:val="16"/>
                <w:szCs w:val="16"/>
                <w:color w:val="auto"/>
              </w:rPr>
            </w:pPr>
          </w:p>
        </w:tc>
      </w:tr>
      <w:tr>
        <w:trPr>
          <w:trHeight w:val="194"/>
        </w:trPr>
        <w:tc>
          <w:tcPr>
            <w:tcW w:w="6420" w:type="dxa"/>
            <w:vAlign w:val="bottom"/>
          </w:tcPr>
          <w:p>
            <w:pPr>
              <w:ind w:left="20"/>
              <w:spacing w:after="0"/>
              <w:rPr>
                <w:sz w:val="20"/>
                <w:szCs w:val="20"/>
                <w:color w:val="auto"/>
              </w:rPr>
            </w:pPr>
            <w:r>
              <w:rPr>
                <w:rFonts w:ascii="Arial" w:cs="Arial" w:eastAsia="Arial" w:hAnsi="Arial"/>
                <w:sz w:val="13"/>
                <w:szCs w:val="13"/>
                <w:color w:val="auto"/>
              </w:rPr>
              <w:t>Cash consideration</w:t>
            </w:r>
          </w:p>
        </w:tc>
        <w:tc>
          <w:tcPr>
            <w:tcW w:w="4860" w:type="dxa"/>
            <w:vAlign w:val="bottom"/>
          </w:tcPr>
          <w:p>
            <w:pPr>
              <w:jc w:val="right"/>
              <w:ind w:right="76"/>
              <w:spacing w:after="0"/>
              <w:rPr>
                <w:sz w:val="20"/>
                <w:szCs w:val="20"/>
                <w:color w:val="auto"/>
              </w:rPr>
            </w:pPr>
            <w:r>
              <w:rPr>
                <w:rFonts w:ascii="Arial" w:cs="Arial" w:eastAsia="Arial" w:hAnsi="Arial"/>
                <w:sz w:val="13"/>
                <w:szCs w:val="13"/>
                <w:color w:val="auto"/>
              </w:rPr>
              <w:t>144,131</w:t>
            </w:r>
          </w:p>
        </w:tc>
      </w:tr>
      <w:tr>
        <w:trPr>
          <w:trHeight w:val="200"/>
        </w:trPr>
        <w:tc>
          <w:tcPr>
            <w:tcW w:w="6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Working capital adjustment</w:t>
            </w:r>
          </w:p>
        </w:tc>
        <w:tc>
          <w:tcPr>
            <w:tcW w:w="48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1,645</w:t>
            </w:r>
          </w:p>
        </w:tc>
      </w:tr>
      <w:tr>
        <w:trPr>
          <w:trHeight w:val="192"/>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consideration</w:t>
            </w:r>
          </w:p>
        </w:tc>
        <w:tc>
          <w:tcPr>
            <w:tcW w:w="48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145,776</w:t>
            </w:r>
          </w:p>
        </w:tc>
      </w:tr>
    </w:tbl>
    <w:p>
      <w:pPr>
        <w:spacing w:after="0" w:line="25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*Goodwill represents the acquisition of an established workforce with experience in late phase commercialisation, analytics, real world evidence generation and strategic regulatory services in clinical trial services for biologics, drugs and devices. Goodwill related to the business acquired is not tax deductible. In finalising the goodwill on acquisition of Mapi in the twelve month period from acquisition, fair value adjustments were made which resulted in increases in other liabilities ($3.9 million), plant and equipment ($1.7 million), accounts receivable ($1.7 million) and income taxes receivable ($1.5 million) and decreases in unbilled revenue ($4.8 million), prepayments and other current assets ($1.9 million), other receivables ($1.0 million), payments on account ($2.6 million) and non-current deferred tax liability ($9.1 million). Customer relationships and order backlog assets were also finalised.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280"/>
          </w:cols>
          <w:pgMar w:left="300" w:top="696" w:right="31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14. Business combinations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carrying values of accounts receivable, prepayments and other current assets above are carried at amortised cost and assumed to be approximate to their fair values due to the short term nature of these balances. There is no evidence that the Group will not be able to collect all amounts due.</w:t>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The proforma effect of the Mapi acquisition if completed on 1 January 2016 would have resulted in revenue and profit for the fiscal years ending 31 December 2017 and 31 December 2016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60" w:type="dxa"/>
            <w:vAlign w:val="bottom"/>
            <w:shd w:val="clear" w:color="auto" w:fill="CCEEFF"/>
          </w:tcPr>
          <w:p>
            <w:pPr>
              <w:spacing w:after="0"/>
              <w:rPr>
                <w:sz w:val="13"/>
                <w:szCs w:val="13"/>
                <w:color w:val="auto"/>
              </w:rPr>
            </w:pPr>
          </w:p>
        </w:tc>
        <w:tc>
          <w:tcPr>
            <w:tcW w:w="62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c>
          <w:tcPr>
            <w:tcW w:w="20" w:type="dxa"/>
            <w:vAlign w:val="bottom"/>
          </w:tcPr>
          <w:p>
            <w:pPr>
              <w:spacing w:after="0"/>
              <w:rPr>
                <w:sz w:val="13"/>
                <w:szCs w:val="13"/>
                <w:color w:val="auto"/>
              </w:rPr>
            </w:pPr>
          </w:p>
        </w:tc>
      </w:tr>
      <w:tr>
        <w:trPr>
          <w:trHeight w:val="177"/>
        </w:trPr>
        <w:tc>
          <w:tcPr>
            <w:tcW w:w="5060" w:type="dxa"/>
            <w:vAlign w:val="bottom"/>
            <w:tcBorders>
              <w:bottom w:val="single" w:sz="8" w:color="auto"/>
            </w:tcBorders>
            <w:shd w:val="clear" w:color="auto" w:fill="CCEEFF"/>
          </w:tcPr>
          <w:p>
            <w:pPr>
              <w:spacing w:after="0"/>
              <w:rPr>
                <w:sz w:val="15"/>
                <w:szCs w:val="15"/>
                <w:color w:val="auto"/>
              </w:rPr>
            </w:pPr>
          </w:p>
        </w:tc>
        <w:tc>
          <w:tcPr>
            <w:tcW w:w="50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December 2017</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2016</w:t>
            </w:r>
          </w:p>
        </w:tc>
        <w:tc>
          <w:tcPr>
            <w:tcW w:w="20" w:type="dxa"/>
            <w:vAlign w:val="bottom"/>
          </w:tcPr>
          <w:p>
            <w:pPr>
              <w:spacing w:after="0"/>
              <w:rPr>
                <w:sz w:val="15"/>
                <w:szCs w:val="15"/>
                <w:color w:val="auto"/>
              </w:rPr>
            </w:pPr>
          </w:p>
        </w:tc>
      </w:tr>
      <w:tr>
        <w:trPr>
          <w:trHeight w:val="182"/>
        </w:trPr>
        <w:tc>
          <w:tcPr>
            <w:tcW w:w="5060" w:type="dxa"/>
            <w:vAlign w:val="bottom"/>
          </w:tcPr>
          <w:p>
            <w:pPr>
              <w:spacing w:after="0"/>
              <w:rPr>
                <w:sz w:val="15"/>
                <w:szCs w:val="15"/>
                <w:color w:val="auto"/>
              </w:rPr>
            </w:pPr>
          </w:p>
        </w:tc>
        <w:tc>
          <w:tcPr>
            <w:tcW w:w="508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$’000</w:t>
            </w:r>
          </w:p>
        </w:tc>
      </w:tr>
      <w:tr>
        <w:trPr>
          <w:trHeight w:val="167"/>
        </w:trPr>
        <w:tc>
          <w:tcPr>
            <w:tcW w:w="5060" w:type="dxa"/>
            <w:vAlign w:val="bottom"/>
            <w:shd w:val="clear" w:color="auto" w:fill="CCEEFF"/>
          </w:tcPr>
          <w:p>
            <w:pPr>
              <w:spacing w:after="0"/>
              <w:rPr>
                <w:sz w:val="14"/>
                <w:szCs w:val="14"/>
                <w:color w:val="auto"/>
              </w:rPr>
            </w:pPr>
          </w:p>
        </w:tc>
        <w:tc>
          <w:tcPr>
            <w:tcW w:w="50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92"/>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Revenue</w:t>
            </w:r>
          </w:p>
        </w:tc>
        <w:tc>
          <w:tcPr>
            <w:tcW w:w="50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1,811,018</w:t>
            </w: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1,750,643</w:t>
            </w:r>
          </w:p>
        </w:tc>
        <w:tc>
          <w:tcPr>
            <w:tcW w:w="20" w:type="dxa"/>
            <w:vAlign w:val="bottom"/>
          </w:tcPr>
          <w:p>
            <w:pPr>
              <w:spacing w:after="0"/>
              <w:rPr>
                <w:sz w:val="16"/>
                <w:szCs w:val="16"/>
                <w:color w:val="auto"/>
              </w:rPr>
            </w:pPr>
          </w:p>
        </w:tc>
      </w:tr>
      <w:tr>
        <w:trPr>
          <w:trHeight w:val="202"/>
        </w:trPr>
        <w:tc>
          <w:tcPr>
            <w:tcW w:w="5060" w:type="dxa"/>
            <w:vAlign w:val="bottom"/>
            <w:shd w:val="clear" w:color="auto" w:fill="CCEEFF"/>
          </w:tcPr>
          <w:p>
            <w:pPr>
              <w:spacing w:after="0"/>
              <w:rPr>
                <w:sz w:val="17"/>
                <w:szCs w:val="17"/>
                <w:color w:val="auto"/>
              </w:rPr>
            </w:pPr>
          </w:p>
        </w:tc>
        <w:tc>
          <w:tcPr>
            <w:tcW w:w="50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2"/>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Profit for the year</w:t>
            </w:r>
          </w:p>
        </w:tc>
        <w:tc>
          <w:tcPr>
            <w:tcW w:w="50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276,359</w:t>
            </w: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268,882</w:t>
            </w:r>
          </w:p>
        </w:tc>
        <w:tc>
          <w:tcPr>
            <w:tcW w:w="20" w:type="dxa"/>
            <w:vAlign w:val="bottom"/>
          </w:tcPr>
          <w:p>
            <w:pPr>
              <w:spacing w:after="0"/>
              <w:rPr>
                <w:sz w:val="16"/>
                <w:szCs w:val="16"/>
                <w:color w:val="auto"/>
              </w:rPr>
            </w:pPr>
          </w:p>
        </w:tc>
      </w:tr>
      <w:tr>
        <w:trPr>
          <w:trHeight w:val="590"/>
        </w:trPr>
        <w:tc>
          <w:tcPr>
            <w:tcW w:w="5060" w:type="dxa"/>
            <w:vAlign w:val="bottom"/>
          </w:tcPr>
          <w:p>
            <w:pPr>
              <w:spacing w:after="0"/>
              <w:rPr>
                <w:sz w:val="20"/>
                <w:szCs w:val="20"/>
                <w:color w:val="auto"/>
              </w:rPr>
            </w:pPr>
            <w:r>
              <w:rPr>
                <w:rFonts w:ascii="Arial" w:cs="Arial" w:eastAsia="Arial" w:hAnsi="Arial"/>
                <w:sz w:val="13"/>
                <w:szCs w:val="13"/>
                <w:b w:val="1"/>
                <w:bCs w:val="1"/>
                <w:color w:val="auto"/>
              </w:rPr>
              <w:t>15. Inventories</w:t>
            </w:r>
          </w:p>
        </w:tc>
        <w:tc>
          <w:tcPr>
            <w:tcW w:w="5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9"/>
        </w:trPr>
        <w:tc>
          <w:tcPr>
            <w:tcW w:w="5060" w:type="dxa"/>
            <w:vAlign w:val="bottom"/>
          </w:tcPr>
          <w:p>
            <w:pPr>
              <w:spacing w:after="0"/>
              <w:rPr>
                <w:sz w:val="7"/>
                <w:szCs w:val="7"/>
                <w:color w:val="auto"/>
              </w:rPr>
            </w:pPr>
          </w:p>
        </w:tc>
        <w:tc>
          <w:tcPr>
            <w:tcW w:w="5080" w:type="dxa"/>
            <w:vAlign w:val="bottom"/>
          </w:tcPr>
          <w:p>
            <w:pPr>
              <w:spacing w:after="0"/>
              <w:rPr>
                <w:sz w:val="7"/>
                <w:szCs w:val="7"/>
                <w:color w:val="auto"/>
              </w:rPr>
            </w:pPr>
          </w:p>
        </w:tc>
        <w:tc>
          <w:tcPr>
            <w:tcW w:w="1140" w:type="dxa"/>
            <w:vAlign w:val="bottom"/>
            <w:gridSpan w:val="2"/>
          </w:tcPr>
          <w:p>
            <w:pPr>
              <w:spacing w:after="0"/>
              <w:rPr>
                <w:sz w:val="7"/>
                <w:szCs w:val="7"/>
                <w:color w:val="auto"/>
              </w:rPr>
            </w:pPr>
          </w:p>
        </w:tc>
      </w:tr>
      <w:tr>
        <w:trPr>
          <w:trHeight w:val="155"/>
        </w:trPr>
        <w:tc>
          <w:tcPr>
            <w:tcW w:w="5060" w:type="dxa"/>
            <w:vAlign w:val="bottom"/>
            <w:shd w:val="clear" w:color="auto" w:fill="CCEEFF"/>
          </w:tcPr>
          <w:p>
            <w:pPr>
              <w:spacing w:after="0"/>
              <w:rPr>
                <w:sz w:val="13"/>
                <w:szCs w:val="13"/>
                <w:color w:val="auto"/>
              </w:rPr>
            </w:pPr>
          </w:p>
        </w:tc>
        <w:tc>
          <w:tcPr>
            <w:tcW w:w="508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 December</w:t>
            </w:r>
          </w:p>
        </w:tc>
      </w:tr>
      <w:tr>
        <w:trPr>
          <w:trHeight w:val="177"/>
        </w:trPr>
        <w:tc>
          <w:tcPr>
            <w:tcW w:w="5060" w:type="dxa"/>
            <w:vAlign w:val="bottom"/>
            <w:tcBorders>
              <w:bottom w:val="single" w:sz="8" w:color="auto"/>
            </w:tcBorders>
            <w:shd w:val="clear" w:color="auto" w:fill="CCEEFF"/>
          </w:tcPr>
          <w:p>
            <w:pPr>
              <w:spacing w:after="0"/>
              <w:rPr>
                <w:sz w:val="15"/>
                <w:szCs w:val="15"/>
                <w:color w:val="auto"/>
              </w:rPr>
            </w:pPr>
          </w:p>
        </w:tc>
        <w:tc>
          <w:tcPr>
            <w:tcW w:w="50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2018</w:t>
            </w:r>
          </w:p>
        </w:tc>
      </w:tr>
      <w:tr>
        <w:trPr>
          <w:trHeight w:val="182"/>
        </w:trPr>
        <w:tc>
          <w:tcPr>
            <w:tcW w:w="5060" w:type="dxa"/>
            <w:vAlign w:val="bottom"/>
          </w:tcPr>
          <w:p>
            <w:pPr>
              <w:spacing w:after="0"/>
              <w:rPr>
                <w:sz w:val="15"/>
                <w:szCs w:val="15"/>
                <w:color w:val="auto"/>
              </w:rPr>
            </w:pPr>
          </w:p>
        </w:tc>
        <w:tc>
          <w:tcPr>
            <w:tcW w:w="508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209"/>
        </w:trPr>
        <w:tc>
          <w:tcPr>
            <w:tcW w:w="506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2"/>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Laboratory inventories</w:t>
            </w:r>
          </w:p>
        </w:tc>
        <w:tc>
          <w:tcPr>
            <w:tcW w:w="50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3,181</w:t>
            </w: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2,274</w:t>
            </w:r>
          </w:p>
        </w:tc>
        <w:tc>
          <w:tcPr>
            <w:tcW w:w="20" w:type="dxa"/>
            <w:vAlign w:val="bottom"/>
            <w:tcBorders>
              <w:bottom w:val="single" w:sz="8" w:color="auto"/>
            </w:tcBorders>
          </w:tcPr>
          <w:p>
            <w:pPr>
              <w:spacing w:after="0"/>
              <w:rPr>
                <w:sz w:val="16"/>
                <w:szCs w:val="16"/>
                <w:color w:val="auto"/>
              </w:rPr>
            </w:pPr>
          </w:p>
        </w:tc>
      </w:tr>
    </w:tbl>
    <w:p>
      <w:pPr>
        <w:spacing w:after="0" w:line="25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cost of inventories is recognised as an expense and included in direct costs in the Consolidated Statement of Profit and Loss. $34.3 million (2018: $33.8 million) was charged to the Consolidated Statement of Profit and Loss for the year ended 31 December 2019.</w:t>
      </w: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 Accounts receivable, unbilled services (contract assets) and unearned revenue (contract liabilities)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360" w:type="dxa"/>
            <w:vAlign w:val="bottom"/>
            <w:shd w:val="clear" w:color="auto" w:fill="CCEEFF"/>
          </w:tcPr>
          <w:p>
            <w:pPr>
              <w:spacing w:after="0"/>
              <w:rPr>
                <w:sz w:val="13"/>
                <w:szCs w:val="13"/>
                <w:color w:val="auto"/>
              </w:rPr>
            </w:pPr>
          </w:p>
        </w:tc>
        <w:tc>
          <w:tcPr>
            <w:tcW w:w="47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5360" w:type="dxa"/>
            <w:vAlign w:val="bottom"/>
            <w:tcBorders>
              <w:bottom w:val="single" w:sz="8" w:color="auto"/>
            </w:tcBorders>
            <w:shd w:val="clear" w:color="auto" w:fill="CCEEFF"/>
          </w:tcPr>
          <w:p>
            <w:pPr>
              <w:spacing w:after="0"/>
              <w:rPr>
                <w:sz w:val="15"/>
                <w:szCs w:val="15"/>
                <w:color w:val="auto"/>
              </w:rPr>
            </w:pPr>
          </w:p>
        </w:tc>
        <w:tc>
          <w:tcPr>
            <w:tcW w:w="47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2019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5360" w:type="dxa"/>
            <w:vAlign w:val="bottom"/>
          </w:tcPr>
          <w:p>
            <w:pPr>
              <w:spacing w:after="0"/>
              <w:rPr>
                <w:sz w:val="15"/>
                <w:szCs w:val="15"/>
                <w:color w:val="auto"/>
              </w:rPr>
            </w:pPr>
          </w:p>
        </w:tc>
        <w:tc>
          <w:tcPr>
            <w:tcW w:w="4720" w:type="dxa"/>
            <w:vAlign w:val="bottom"/>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1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9"/>
        </w:trPr>
        <w:tc>
          <w:tcPr>
            <w:tcW w:w="536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83"/>
        </w:trPr>
        <w:tc>
          <w:tcPr>
            <w:tcW w:w="5360" w:type="dxa"/>
            <w:vAlign w:val="bottom"/>
          </w:tcPr>
          <w:p>
            <w:pPr>
              <w:ind w:left="20"/>
              <w:spacing w:after="0"/>
              <w:rPr>
                <w:sz w:val="20"/>
                <w:szCs w:val="20"/>
                <w:color w:val="auto"/>
              </w:rPr>
            </w:pPr>
            <w:r>
              <w:rPr>
                <w:rFonts w:ascii="Arial" w:cs="Arial" w:eastAsia="Arial" w:hAnsi="Arial"/>
                <w:sz w:val="13"/>
                <w:szCs w:val="13"/>
                <w:color w:val="auto"/>
              </w:rPr>
              <w:t>Accounts receivable</w:t>
            </w:r>
          </w:p>
        </w:tc>
        <w:tc>
          <w:tcPr>
            <w:tcW w:w="4720" w:type="dxa"/>
            <w:vAlign w:val="bottom"/>
          </w:tcPr>
          <w:p>
            <w:pPr>
              <w:jc w:val="right"/>
              <w:ind w:right="336"/>
              <w:spacing w:after="0"/>
              <w:rPr>
                <w:sz w:val="20"/>
                <w:szCs w:val="20"/>
                <w:color w:val="auto"/>
              </w:rPr>
            </w:pPr>
            <w:r>
              <w:rPr>
                <w:rFonts w:ascii="Arial" w:cs="Arial" w:eastAsia="Arial" w:hAnsi="Arial"/>
                <w:sz w:val="13"/>
                <w:szCs w:val="13"/>
                <w:b w:val="1"/>
                <w:bCs w:val="1"/>
                <w:color w:val="auto"/>
              </w:rPr>
              <w:t>535,088</w:t>
            </w:r>
          </w:p>
        </w:tc>
        <w:tc>
          <w:tcPr>
            <w:tcW w:w="1180" w:type="dxa"/>
            <w:vAlign w:val="bottom"/>
          </w:tcPr>
          <w:p>
            <w:pPr>
              <w:jc w:val="right"/>
              <w:spacing w:after="0"/>
              <w:rPr>
                <w:sz w:val="20"/>
                <w:szCs w:val="20"/>
                <w:color w:val="auto"/>
              </w:rPr>
            </w:pPr>
            <w:r>
              <w:rPr>
                <w:rFonts w:ascii="Arial" w:cs="Arial" w:eastAsia="Arial" w:hAnsi="Arial"/>
                <w:sz w:val="13"/>
                <w:szCs w:val="13"/>
                <w:color w:val="auto"/>
              </w:rPr>
              <w:t>423,680</w:t>
            </w:r>
          </w:p>
        </w:tc>
      </w:tr>
      <w:tr>
        <w:trPr>
          <w:trHeight w:val="191"/>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Less allowance for credit losses</w:t>
            </w:r>
          </w:p>
        </w:tc>
        <w:tc>
          <w:tcPr>
            <w:tcW w:w="47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(7,380)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(8,889)</w:t>
            </w:r>
          </w:p>
        </w:tc>
      </w:tr>
      <w:tr>
        <w:trPr>
          <w:trHeight w:val="189"/>
        </w:trPr>
        <w:tc>
          <w:tcPr>
            <w:tcW w:w="536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2"/>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Accounts receivable, net</w:t>
            </w:r>
          </w:p>
        </w:tc>
        <w:tc>
          <w:tcPr>
            <w:tcW w:w="47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527,708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414,791</w:t>
            </w:r>
          </w:p>
        </w:tc>
      </w:tr>
    </w:tbl>
    <w:p>
      <w:pPr>
        <w:spacing w:after="0" w:line="26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Accounts receivables are amounts due from customers for services performed in the ordinary course of business. They are generally due for settlement within 30-90 days and therefore are all classified as current. Accounts receivable are recognised initially at the amount of consideration that is unconditional. Accounts receivable balances do not contain significant financing components. The Group holds the accounts receivable with the objective to collect the contractual cash flows and therefore measures them subsequently at amortised cost.</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Due to the short-term nature of the current receivables, their carrying amount is considered to be the same as their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280"/>
          </w:cols>
          <w:pgMar w:left="300" w:top="696" w:right="31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 Accounts receivable, unbilled services (contract assets) and unearned revenue (contract liabilities)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Impairment of financial assets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closing loss allowance for trade receivables and contract assets as at 31 December 2019 reconcile to the opening loss allowances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40" w:type="dxa"/>
            <w:vAlign w:val="bottom"/>
            <w:shd w:val="clear" w:color="auto" w:fill="CCEEFF"/>
          </w:tcPr>
          <w:p>
            <w:pPr>
              <w:spacing w:after="0"/>
              <w:rPr>
                <w:sz w:val="13"/>
                <w:szCs w:val="13"/>
                <w:color w:val="auto"/>
              </w:rPr>
            </w:pPr>
          </w:p>
        </w:tc>
        <w:tc>
          <w:tcPr>
            <w:tcW w:w="34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6640" w:type="dxa"/>
            <w:vAlign w:val="bottom"/>
            <w:tcBorders>
              <w:bottom w:val="single" w:sz="8" w:color="auto"/>
            </w:tcBorders>
            <w:shd w:val="clear" w:color="auto" w:fill="CCEEFF"/>
          </w:tcPr>
          <w:p>
            <w:pPr>
              <w:spacing w:after="0"/>
              <w:rPr>
                <w:sz w:val="15"/>
                <w:szCs w:val="15"/>
                <w:color w:val="auto"/>
              </w:rPr>
            </w:pPr>
          </w:p>
        </w:tc>
        <w:tc>
          <w:tcPr>
            <w:tcW w:w="34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2019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6640" w:type="dxa"/>
            <w:vAlign w:val="bottom"/>
          </w:tcPr>
          <w:p>
            <w:pPr>
              <w:spacing w:after="0"/>
              <w:rPr>
                <w:sz w:val="15"/>
                <w:szCs w:val="15"/>
                <w:color w:val="auto"/>
              </w:rPr>
            </w:pPr>
          </w:p>
        </w:tc>
        <w:tc>
          <w:tcPr>
            <w:tcW w:w="3440" w:type="dxa"/>
            <w:vAlign w:val="bottom"/>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1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9"/>
        </w:trPr>
        <w:tc>
          <w:tcPr>
            <w:tcW w:w="66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83"/>
        </w:trPr>
        <w:tc>
          <w:tcPr>
            <w:tcW w:w="6640" w:type="dxa"/>
            <w:vAlign w:val="bottom"/>
          </w:tcPr>
          <w:p>
            <w:pPr>
              <w:ind w:left="20"/>
              <w:spacing w:after="0"/>
              <w:rPr>
                <w:sz w:val="20"/>
                <w:szCs w:val="20"/>
                <w:color w:val="auto"/>
              </w:rPr>
            </w:pPr>
            <w:r>
              <w:rPr>
                <w:rFonts w:ascii="Arial" w:cs="Arial" w:eastAsia="Arial" w:hAnsi="Arial"/>
                <w:sz w:val="13"/>
                <w:szCs w:val="13"/>
                <w:color w:val="auto"/>
              </w:rPr>
              <w:t>Balance at start of year - calculated under IAS 39</w:t>
            </w:r>
          </w:p>
        </w:tc>
        <w:tc>
          <w:tcPr>
            <w:tcW w:w="3440" w:type="dxa"/>
            <w:vAlign w:val="bottom"/>
          </w:tcPr>
          <w:p>
            <w:pPr>
              <w:jc w:val="right"/>
              <w:ind w:right="476"/>
              <w:spacing w:after="0"/>
              <w:rPr>
                <w:sz w:val="20"/>
                <w:szCs w:val="20"/>
                <w:color w:val="auto"/>
              </w:rPr>
            </w:pPr>
            <w:r>
              <w:rPr>
                <w:rFonts w:ascii="Arial" w:cs="Arial" w:eastAsia="Arial" w:hAnsi="Arial"/>
                <w:sz w:val="13"/>
                <w:szCs w:val="13"/>
                <w:b w:val="1"/>
                <w:bCs w:val="1"/>
                <w:color w:val="auto"/>
              </w:rPr>
              <w:t>8,889</w:t>
            </w: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8,930</w:t>
            </w:r>
          </w:p>
        </w:tc>
      </w:tr>
      <w:tr>
        <w:trPr>
          <w:trHeight w:val="199"/>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 to loss allowance as at 1 January 2018 - calculated under IFRS 9*</w:t>
            </w:r>
          </w:p>
        </w:tc>
        <w:tc>
          <w:tcPr>
            <w:tcW w:w="344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w:t>
            </w: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r>
        <w:trPr>
          <w:trHeight w:val="183"/>
        </w:trPr>
        <w:tc>
          <w:tcPr>
            <w:tcW w:w="6640" w:type="dxa"/>
            <w:vAlign w:val="bottom"/>
          </w:tcPr>
          <w:p>
            <w:pPr>
              <w:ind w:left="20"/>
              <w:spacing w:after="0"/>
              <w:rPr>
                <w:sz w:val="20"/>
                <w:szCs w:val="20"/>
                <w:color w:val="auto"/>
              </w:rPr>
            </w:pPr>
            <w:r>
              <w:rPr>
                <w:rFonts w:ascii="Arial" w:cs="Arial" w:eastAsia="Arial" w:hAnsi="Arial"/>
                <w:sz w:val="13"/>
                <w:szCs w:val="13"/>
                <w:color w:val="auto"/>
              </w:rPr>
              <w:t>Receivables written off during the year as uncollectible</w:t>
            </w:r>
          </w:p>
        </w:tc>
        <w:tc>
          <w:tcPr>
            <w:tcW w:w="3440" w:type="dxa"/>
            <w:vAlign w:val="bottom"/>
          </w:tcPr>
          <w:p>
            <w:pPr>
              <w:jc w:val="right"/>
              <w:ind w:right="476"/>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(995)</w:t>
            </w:r>
          </w:p>
        </w:tc>
      </w:tr>
      <w:tr>
        <w:trPr>
          <w:trHeight w:val="199"/>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in loss allowance recognised in profit or loss during the year</w:t>
            </w:r>
          </w:p>
        </w:tc>
        <w:tc>
          <w:tcPr>
            <w:tcW w:w="344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1,691</w:t>
            </w:r>
          </w:p>
        </w:tc>
        <w:tc>
          <w:tcPr>
            <w:tcW w:w="11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3,083</w:t>
            </w:r>
          </w:p>
        </w:tc>
      </w:tr>
      <w:tr>
        <w:trPr>
          <w:trHeight w:val="183"/>
        </w:trPr>
        <w:tc>
          <w:tcPr>
            <w:tcW w:w="6640" w:type="dxa"/>
            <w:vAlign w:val="bottom"/>
          </w:tcPr>
          <w:p>
            <w:pPr>
              <w:ind w:left="20"/>
              <w:spacing w:after="0"/>
              <w:rPr>
                <w:sz w:val="20"/>
                <w:szCs w:val="20"/>
                <w:color w:val="auto"/>
              </w:rPr>
            </w:pPr>
            <w:r>
              <w:rPr>
                <w:rFonts w:ascii="Arial" w:cs="Arial" w:eastAsia="Arial" w:hAnsi="Arial"/>
                <w:sz w:val="13"/>
                <w:szCs w:val="13"/>
                <w:color w:val="auto"/>
              </w:rPr>
              <w:t>Unused amount reversed</w:t>
            </w:r>
          </w:p>
        </w:tc>
        <w:tc>
          <w:tcPr>
            <w:tcW w:w="3440" w:type="dxa"/>
            <w:vAlign w:val="bottom"/>
          </w:tcPr>
          <w:p>
            <w:pPr>
              <w:jc w:val="right"/>
              <w:ind w:right="436"/>
              <w:spacing w:after="0"/>
              <w:rPr>
                <w:sz w:val="20"/>
                <w:szCs w:val="20"/>
                <w:color w:val="auto"/>
              </w:rPr>
            </w:pPr>
            <w:r>
              <w:rPr>
                <w:rFonts w:ascii="Arial" w:cs="Arial" w:eastAsia="Arial" w:hAnsi="Arial"/>
                <w:sz w:val="13"/>
                <w:szCs w:val="13"/>
                <w:b w:val="1"/>
                <w:bCs w:val="1"/>
                <w:color w:val="auto"/>
              </w:rPr>
              <w:t>(3,226)</w:t>
            </w: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(2,355)</w:t>
            </w:r>
          </w:p>
        </w:tc>
      </w:tr>
      <w:tr>
        <w:trPr>
          <w:trHeight w:val="191"/>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currency translation</w:t>
            </w:r>
          </w:p>
        </w:tc>
        <w:tc>
          <w:tcPr>
            <w:tcW w:w="34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26</w:t>
            </w:r>
          </w:p>
        </w:tc>
        <w:tc>
          <w:tcPr>
            <w:tcW w:w="11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226</w:t>
            </w:r>
          </w:p>
        </w:tc>
      </w:tr>
      <w:tr>
        <w:trPr>
          <w:trHeight w:val="189"/>
        </w:trPr>
        <w:tc>
          <w:tcPr>
            <w:tcW w:w="66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2"/>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Balance at end of year</w:t>
            </w:r>
          </w:p>
        </w:tc>
        <w:tc>
          <w:tcPr>
            <w:tcW w:w="34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7,380</w:t>
            </w:r>
          </w:p>
        </w:tc>
        <w:tc>
          <w:tcPr>
            <w:tcW w:w="11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8,889</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restatement on transition to IFRS 9 as a result of applying the expected credit risk model was immaterial.</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Group considered that there was evidence of impairment if any of the following indicators were present:</w:t>
      </w:r>
    </w:p>
    <w:p>
      <w:pPr>
        <w:spacing w:after="0" w:line="189" w:lineRule="exact"/>
        <w:rPr>
          <w:sz w:val="20"/>
          <w:szCs w:val="20"/>
          <w:color w:val="auto"/>
        </w:rPr>
      </w:pPr>
    </w:p>
    <w:p>
      <w:pPr>
        <w:ind w:left="260"/>
        <w:spacing w:after="0"/>
        <w:tabs>
          <w:tab w:leader="none" w:pos="480" w:val="left"/>
        </w:tabs>
        <w:rPr>
          <w:sz w:val="20"/>
          <w:szCs w:val="20"/>
          <w:color w:val="auto"/>
        </w:rPr>
      </w:pPr>
      <w:r>
        <w:rPr>
          <w:rFonts w:ascii="Arial" w:cs="Arial" w:eastAsia="Arial" w:hAnsi="Arial"/>
          <w:sz w:val="13"/>
          <w:szCs w:val="13"/>
          <w:color w:val="auto"/>
        </w:rPr>
        <w:t>•</w:t>
        <w:tab/>
        <w:t>significant financial difficulties of the debtor</w:t>
      </w:r>
    </w:p>
    <w:p>
      <w:pPr>
        <w:ind w:left="260"/>
        <w:spacing w:after="0"/>
        <w:tabs>
          <w:tab w:leader="none" w:pos="480" w:val="left"/>
        </w:tabs>
        <w:rPr>
          <w:sz w:val="20"/>
          <w:szCs w:val="20"/>
          <w:color w:val="auto"/>
        </w:rPr>
      </w:pPr>
      <w:r>
        <w:rPr>
          <w:rFonts w:ascii="Arial" w:cs="Arial" w:eastAsia="Arial" w:hAnsi="Arial"/>
          <w:sz w:val="13"/>
          <w:szCs w:val="13"/>
          <w:color w:val="auto"/>
        </w:rPr>
        <w:t>•</w:t>
        <w:tab/>
        <w:t>probability that the debtor will enter a financial restructuring process, and</w:t>
      </w:r>
    </w:p>
    <w:p>
      <w:pPr>
        <w:ind w:left="260"/>
        <w:spacing w:after="0"/>
        <w:tabs>
          <w:tab w:leader="none" w:pos="480" w:val="left"/>
        </w:tabs>
        <w:rPr>
          <w:sz w:val="20"/>
          <w:szCs w:val="20"/>
          <w:color w:val="auto"/>
        </w:rPr>
      </w:pPr>
      <w:r>
        <w:rPr>
          <w:rFonts w:ascii="Arial" w:cs="Arial" w:eastAsia="Arial" w:hAnsi="Arial"/>
          <w:sz w:val="13"/>
          <w:szCs w:val="13"/>
          <w:color w:val="auto"/>
        </w:rPr>
        <w:t>•</w:t>
        <w:tab/>
        <w:t>default or late payment</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Group's estimate of expected credit losses considers historical credit loss information that is adjusted, where necessary, for current conditions and reasonable and supportable forecasts. Historical credit loss experience provides the basis for the estimation of expected credit losses. The Group's receivables and unbilled services are predominantly due from large and mid-tier pharmaceutical and biotechnology companies that share similar risk characteristics. The Group monitors their portfolio of receivables and unbilled services for any deterioration in current or expected credit quality (for example expected delinquency level), and adjusts the allowance for credit losses as required. Receivables for which an impairment provision was recognised were written off against the provision when there was no expectation of recovering additional cash.</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At 31 December 2019, the Group maintained an impairment provision of $7.4 million (2018: $8.9 million).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All receivables are due within twelve months of the year ended 31 December 2019.</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Further analysis of Group’s accounts receivable balances at 31 December 2019 is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960" w:type="dxa"/>
            <w:vAlign w:val="bottom"/>
            <w:shd w:val="clear" w:color="auto" w:fill="CCEEFF"/>
          </w:tcPr>
          <w:p>
            <w:pPr>
              <w:spacing w:after="0"/>
              <w:rPr>
                <w:sz w:val="13"/>
                <w:szCs w:val="13"/>
                <w:color w:val="auto"/>
              </w:rPr>
            </w:pPr>
          </w:p>
        </w:tc>
        <w:tc>
          <w:tcPr>
            <w:tcW w:w="500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Gross</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Gross</w:t>
            </w:r>
          </w:p>
        </w:tc>
      </w:tr>
      <w:tr>
        <w:trPr>
          <w:trHeight w:val="184"/>
        </w:trPr>
        <w:tc>
          <w:tcPr>
            <w:tcW w:w="4960" w:type="dxa"/>
            <w:vAlign w:val="bottom"/>
            <w:shd w:val="clear" w:color="auto" w:fill="CCEEFF"/>
          </w:tcPr>
          <w:p>
            <w:pPr>
              <w:spacing w:after="0"/>
              <w:rPr>
                <w:sz w:val="16"/>
                <w:szCs w:val="16"/>
                <w:color w:val="auto"/>
              </w:rPr>
            </w:pPr>
          </w:p>
        </w:tc>
        <w:tc>
          <w:tcPr>
            <w:tcW w:w="500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accounts receivable</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accounts receivable</w:t>
            </w:r>
          </w:p>
        </w:tc>
      </w:tr>
      <w:tr>
        <w:trPr>
          <w:trHeight w:val="183"/>
        </w:trPr>
        <w:tc>
          <w:tcPr>
            <w:tcW w:w="4960" w:type="dxa"/>
            <w:vAlign w:val="bottom"/>
            <w:tcBorders>
              <w:bottom w:val="single" w:sz="8" w:color="auto"/>
            </w:tcBorders>
          </w:tcPr>
          <w:p>
            <w:pPr>
              <w:spacing w:after="0"/>
              <w:rPr>
                <w:sz w:val="15"/>
                <w:szCs w:val="15"/>
                <w:color w:val="auto"/>
              </w:rPr>
            </w:pPr>
          </w:p>
        </w:tc>
        <w:tc>
          <w:tcPr>
            <w:tcW w:w="5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2019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2018</w:t>
            </w:r>
          </w:p>
        </w:tc>
      </w:tr>
      <w:tr>
        <w:trPr>
          <w:trHeight w:val="189"/>
        </w:trPr>
        <w:tc>
          <w:tcPr>
            <w:tcW w:w="4960" w:type="dxa"/>
            <w:vAlign w:val="bottom"/>
            <w:shd w:val="clear" w:color="auto" w:fill="CCEEFF"/>
          </w:tcPr>
          <w:p>
            <w:pPr>
              <w:spacing w:after="0"/>
              <w:rPr>
                <w:sz w:val="16"/>
                <w:szCs w:val="16"/>
                <w:color w:val="auto"/>
              </w:rPr>
            </w:pPr>
          </w:p>
        </w:tc>
        <w:tc>
          <w:tcPr>
            <w:tcW w:w="500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$’000</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212"/>
        </w:trPr>
        <w:tc>
          <w:tcPr>
            <w:tcW w:w="49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Not past due</w:t>
            </w:r>
          </w:p>
        </w:tc>
        <w:tc>
          <w:tcPr>
            <w:tcW w:w="500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438,472</w:t>
            </w: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319,190</w:t>
            </w:r>
          </w:p>
        </w:tc>
      </w:tr>
      <w:tr>
        <w:trPr>
          <w:trHeight w:val="183"/>
        </w:trPr>
        <w:tc>
          <w:tcPr>
            <w:tcW w:w="4960" w:type="dxa"/>
            <w:vAlign w:val="bottom"/>
          </w:tcPr>
          <w:p>
            <w:pPr>
              <w:ind w:left="20"/>
              <w:spacing w:after="0"/>
              <w:rPr>
                <w:sz w:val="20"/>
                <w:szCs w:val="20"/>
                <w:color w:val="auto"/>
              </w:rPr>
            </w:pPr>
            <w:r>
              <w:rPr>
                <w:rFonts w:ascii="Arial" w:cs="Arial" w:eastAsia="Arial" w:hAnsi="Arial"/>
                <w:sz w:val="13"/>
                <w:szCs w:val="13"/>
                <w:color w:val="auto"/>
              </w:rPr>
              <w:t>Past due 0 to 30 days</w:t>
            </w:r>
          </w:p>
        </w:tc>
        <w:tc>
          <w:tcPr>
            <w:tcW w:w="5000" w:type="dxa"/>
            <w:vAlign w:val="bottom"/>
          </w:tcPr>
          <w:p>
            <w:pPr>
              <w:jc w:val="right"/>
              <w:ind w:right="216"/>
              <w:spacing w:after="0"/>
              <w:rPr>
                <w:sz w:val="20"/>
                <w:szCs w:val="20"/>
                <w:color w:val="auto"/>
              </w:rPr>
            </w:pPr>
            <w:r>
              <w:rPr>
                <w:rFonts w:ascii="Arial" w:cs="Arial" w:eastAsia="Arial" w:hAnsi="Arial"/>
                <w:sz w:val="13"/>
                <w:szCs w:val="13"/>
                <w:b w:val="1"/>
                <w:bCs w:val="1"/>
                <w:color w:val="auto"/>
              </w:rPr>
              <w:t>48,657</w:t>
            </w:r>
          </w:p>
        </w:tc>
        <w:tc>
          <w:tcPr>
            <w:tcW w:w="1300" w:type="dxa"/>
            <w:vAlign w:val="bottom"/>
          </w:tcPr>
          <w:p>
            <w:pPr>
              <w:jc w:val="right"/>
              <w:ind w:right="76"/>
              <w:spacing w:after="0"/>
              <w:rPr>
                <w:sz w:val="20"/>
                <w:szCs w:val="20"/>
                <w:color w:val="auto"/>
              </w:rPr>
            </w:pPr>
            <w:r>
              <w:rPr>
                <w:rFonts w:ascii="Arial" w:cs="Arial" w:eastAsia="Arial" w:hAnsi="Arial"/>
                <w:sz w:val="13"/>
                <w:szCs w:val="13"/>
                <w:color w:val="auto"/>
              </w:rPr>
              <w:t>54,656</w:t>
            </w:r>
          </w:p>
        </w:tc>
      </w:tr>
      <w:tr>
        <w:trPr>
          <w:trHeight w:val="199"/>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Past due 31 to 60 days</w:t>
            </w:r>
          </w:p>
        </w:tc>
        <w:tc>
          <w:tcPr>
            <w:tcW w:w="500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12,779</w:t>
            </w: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15,422</w:t>
            </w:r>
          </w:p>
        </w:tc>
      </w:tr>
      <w:tr>
        <w:trPr>
          <w:trHeight w:val="183"/>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Past due 61+ days</w:t>
            </w:r>
          </w:p>
        </w:tc>
        <w:tc>
          <w:tcPr>
            <w:tcW w:w="50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35,180</w:t>
            </w:r>
          </w:p>
        </w:tc>
        <w:tc>
          <w:tcPr>
            <w:tcW w:w="13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34,412</w:t>
            </w:r>
          </w:p>
        </w:tc>
      </w:tr>
      <w:tr>
        <w:trPr>
          <w:trHeight w:val="200"/>
        </w:trPr>
        <w:tc>
          <w:tcPr>
            <w:tcW w:w="4960" w:type="dxa"/>
            <w:vAlign w:val="bottom"/>
            <w:shd w:val="clear" w:color="auto" w:fill="CCEEFF"/>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2"/>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Accounts receivable</w:t>
            </w:r>
          </w:p>
        </w:tc>
        <w:tc>
          <w:tcPr>
            <w:tcW w:w="50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535,088</w:t>
            </w:r>
          </w:p>
        </w:tc>
        <w:tc>
          <w:tcPr>
            <w:tcW w:w="13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423,680</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280"/>
          </w:cols>
          <w:pgMar w:left="300" w:top="696" w:right="31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 Accounts receivable, unbilled services (contract assets) and unearned revenue (contract liabilities)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color w:val="auto"/>
        </w:rPr>
        <w:t>The carrying amounts of the Group’s accounts receivables are denominated in the following currencies: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5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31 December</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 December</w:t>
            </w:r>
          </w:p>
        </w:tc>
      </w:tr>
      <w:tr>
        <w:trPr>
          <w:trHeight w:val="177"/>
        </w:trPr>
        <w:tc>
          <w:tcPr>
            <w:tcW w:w="55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2019</w:t>
            </w: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2018</w:t>
            </w:r>
          </w:p>
        </w:tc>
      </w:tr>
      <w:tr>
        <w:trPr>
          <w:trHeight w:val="182"/>
        </w:trPr>
        <w:tc>
          <w:tcPr>
            <w:tcW w:w="5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6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Currency</w:t>
            </w:r>
          </w:p>
        </w:tc>
        <w:tc>
          <w:tcPr>
            <w:tcW w:w="16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3"/>
                <w:szCs w:val="13"/>
                <w:color w:val="auto"/>
              </w:rPr>
              <w:t>US Dollar</w:t>
            </w:r>
          </w:p>
        </w:tc>
        <w:tc>
          <w:tcPr>
            <w:tcW w:w="16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60" w:type="dxa"/>
            <w:vAlign w:val="bottom"/>
          </w:tcPr>
          <w:p>
            <w:pPr>
              <w:jc w:val="right"/>
              <w:ind w:right="296"/>
              <w:spacing w:after="0"/>
              <w:rPr>
                <w:sz w:val="20"/>
                <w:szCs w:val="20"/>
                <w:color w:val="auto"/>
              </w:rPr>
            </w:pPr>
            <w:r>
              <w:rPr>
                <w:rFonts w:ascii="Arial" w:cs="Arial" w:eastAsia="Arial" w:hAnsi="Arial"/>
                <w:sz w:val="13"/>
                <w:szCs w:val="13"/>
                <w:b w:val="1"/>
                <w:bCs w:val="1"/>
                <w:color w:val="auto"/>
              </w:rPr>
              <w:t>403,759</w:t>
            </w:r>
          </w:p>
        </w:tc>
        <w:tc>
          <w:tcPr>
            <w:tcW w:w="1240" w:type="dxa"/>
            <w:vAlign w:val="bottom"/>
          </w:tcPr>
          <w:p>
            <w:pPr>
              <w:jc w:val="right"/>
              <w:ind w:right="56"/>
              <w:spacing w:after="0"/>
              <w:rPr>
                <w:sz w:val="20"/>
                <w:szCs w:val="20"/>
                <w:color w:val="auto"/>
              </w:rPr>
            </w:pPr>
            <w:r>
              <w:rPr>
                <w:rFonts w:ascii="Arial" w:cs="Arial" w:eastAsia="Arial" w:hAnsi="Arial"/>
                <w:sz w:val="13"/>
                <w:szCs w:val="13"/>
                <w:color w:val="auto"/>
              </w:rPr>
              <w:t>306,819</w:t>
            </w:r>
          </w:p>
        </w:tc>
        <w:tc>
          <w:tcPr>
            <w:tcW w:w="20" w:type="dxa"/>
            <w:vAlign w:val="bottom"/>
          </w:tcPr>
          <w:p>
            <w:pPr>
              <w:spacing w:after="0"/>
              <w:rPr>
                <w:sz w:val="15"/>
                <w:szCs w:val="15"/>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Euro</w:t>
            </w:r>
          </w:p>
        </w:tc>
        <w:tc>
          <w:tcPr>
            <w:tcW w:w="16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86,133</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82,320</w:t>
            </w:r>
          </w:p>
        </w:tc>
        <w:tc>
          <w:tcPr>
            <w:tcW w:w="20" w:type="dxa"/>
            <w:vAlign w:val="bottom"/>
            <w:shd w:val="clear" w:color="auto" w:fill="CCEEFF"/>
          </w:tcPr>
          <w:p>
            <w:pPr>
              <w:spacing w:after="0"/>
              <w:rPr>
                <w:sz w:val="17"/>
                <w:szCs w:val="17"/>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3"/>
                <w:szCs w:val="13"/>
                <w:color w:val="auto"/>
              </w:rPr>
              <w:t>Sterling</w:t>
            </w:r>
          </w:p>
        </w:tc>
        <w:tc>
          <w:tcPr>
            <w:tcW w:w="16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60" w:type="dxa"/>
            <w:vAlign w:val="bottom"/>
          </w:tcPr>
          <w:p>
            <w:pPr>
              <w:jc w:val="right"/>
              <w:ind w:right="296"/>
              <w:spacing w:after="0"/>
              <w:rPr>
                <w:sz w:val="20"/>
                <w:szCs w:val="20"/>
                <w:color w:val="auto"/>
              </w:rPr>
            </w:pPr>
            <w:r>
              <w:rPr>
                <w:rFonts w:ascii="Arial" w:cs="Arial" w:eastAsia="Arial" w:hAnsi="Arial"/>
                <w:sz w:val="13"/>
                <w:szCs w:val="13"/>
                <w:b w:val="1"/>
                <w:bCs w:val="1"/>
                <w:color w:val="auto"/>
              </w:rPr>
              <w:t>15,077</w:t>
            </w:r>
          </w:p>
        </w:tc>
        <w:tc>
          <w:tcPr>
            <w:tcW w:w="1240" w:type="dxa"/>
            <w:vAlign w:val="bottom"/>
          </w:tcPr>
          <w:p>
            <w:pPr>
              <w:jc w:val="right"/>
              <w:ind w:right="56"/>
              <w:spacing w:after="0"/>
              <w:rPr>
                <w:sz w:val="20"/>
                <w:szCs w:val="20"/>
                <w:color w:val="auto"/>
              </w:rPr>
            </w:pPr>
            <w:r>
              <w:rPr>
                <w:rFonts w:ascii="Arial" w:cs="Arial" w:eastAsia="Arial" w:hAnsi="Arial"/>
                <w:sz w:val="13"/>
                <w:szCs w:val="13"/>
                <w:color w:val="auto"/>
              </w:rPr>
              <w:t>9,584</w:t>
            </w:r>
          </w:p>
        </w:tc>
        <w:tc>
          <w:tcPr>
            <w:tcW w:w="20" w:type="dxa"/>
            <w:vAlign w:val="bottom"/>
          </w:tcPr>
          <w:p>
            <w:pPr>
              <w:spacing w:after="0"/>
              <w:rPr>
                <w:sz w:val="15"/>
                <w:szCs w:val="15"/>
                <w:color w:val="auto"/>
              </w:rPr>
            </w:pPr>
          </w:p>
        </w:tc>
      </w:tr>
      <w:tr>
        <w:trPr>
          <w:trHeight w:val="191"/>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currencies</w:t>
            </w:r>
          </w:p>
        </w:tc>
        <w:tc>
          <w:tcPr>
            <w:tcW w:w="16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22,739</w:t>
            </w:r>
          </w:p>
        </w:tc>
        <w:tc>
          <w:tcPr>
            <w:tcW w:w="1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16,068</w:t>
            </w:r>
          </w:p>
        </w:tc>
        <w:tc>
          <w:tcPr>
            <w:tcW w:w="20" w:type="dxa"/>
            <w:vAlign w:val="bottom"/>
            <w:tcBorders>
              <w:bottom w:val="single" w:sz="8" w:color="auto"/>
            </w:tcBorders>
            <w:shd w:val="clear" w:color="auto" w:fill="CCEEFF"/>
          </w:tcPr>
          <w:p>
            <w:pPr>
              <w:spacing w:after="0"/>
              <w:rPr>
                <w:sz w:val="16"/>
                <w:szCs w:val="16"/>
                <w:color w:val="auto"/>
              </w:rPr>
            </w:pPr>
          </w:p>
        </w:tc>
      </w:tr>
      <w:tr>
        <w:trPr>
          <w:trHeight w:val="189"/>
        </w:trPr>
        <w:tc>
          <w:tcPr>
            <w:tcW w:w="5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55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Total</w:t>
            </w:r>
          </w:p>
        </w:tc>
        <w:tc>
          <w:tcPr>
            <w:tcW w:w="16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527,708</w:t>
            </w:r>
          </w:p>
        </w:tc>
        <w:tc>
          <w:tcPr>
            <w:tcW w:w="1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414,791</w:t>
            </w:r>
          </w:p>
        </w:tc>
        <w:tc>
          <w:tcPr>
            <w:tcW w:w="20" w:type="dxa"/>
            <w:vAlign w:val="bottom"/>
            <w:tcBorders>
              <w:bottom w:val="single" w:sz="8" w:color="auto"/>
            </w:tcBorders>
            <w:shd w:val="clear" w:color="auto" w:fill="CCEEFF"/>
          </w:tcPr>
          <w:p>
            <w:pPr>
              <w:spacing w:after="0"/>
              <w:rPr>
                <w:sz w:val="16"/>
                <w:szCs w:val="16"/>
                <w:color w:val="auto"/>
              </w:rPr>
            </w:pPr>
          </w:p>
        </w:tc>
      </w:tr>
      <w:tr>
        <w:trPr>
          <w:trHeight w:val="420"/>
        </w:trPr>
        <w:tc>
          <w:tcPr>
            <w:tcW w:w="5500" w:type="dxa"/>
            <w:vAlign w:val="bottom"/>
          </w:tcPr>
          <w:p>
            <w:pPr>
              <w:spacing w:after="0"/>
              <w:rPr>
                <w:sz w:val="20"/>
                <w:szCs w:val="20"/>
                <w:color w:val="auto"/>
              </w:rPr>
            </w:pPr>
            <w:r>
              <w:rPr>
                <w:rFonts w:ascii="Arial" w:cs="Arial" w:eastAsia="Arial" w:hAnsi="Arial"/>
                <w:sz w:val="13"/>
                <w:szCs w:val="13"/>
                <w:color w:val="auto"/>
              </w:rPr>
              <w:t>Accounts receivables and unbilled revenue are as follows:</w:t>
            </w: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9"/>
        </w:trPr>
        <w:tc>
          <w:tcPr>
            <w:tcW w:w="55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60" w:type="dxa"/>
            <w:vAlign w:val="bottom"/>
            <w:gridSpan w:val="2"/>
          </w:tcPr>
          <w:p>
            <w:pPr>
              <w:spacing w:after="0"/>
              <w:rPr>
                <w:sz w:val="7"/>
                <w:szCs w:val="7"/>
                <w:color w:val="auto"/>
              </w:rPr>
            </w:pPr>
          </w:p>
        </w:tc>
      </w:tr>
      <w:tr>
        <w:trPr>
          <w:trHeight w:val="155"/>
        </w:trPr>
        <w:tc>
          <w:tcPr>
            <w:tcW w:w="55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31 December</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c>
          <w:tcPr>
            <w:tcW w:w="20" w:type="dxa"/>
            <w:vAlign w:val="bottom"/>
          </w:tcPr>
          <w:p>
            <w:pPr>
              <w:spacing w:after="0"/>
              <w:rPr>
                <w:sz w:val="13"/>
                <w:szCs w:val="13"/>
                <w:color w:val="auto"/>
              </w:rPr>
            </w:pPr>
          </w:p>
        </w:tc>
      </w:tr>
      <w:tr>
        <w:trPr>
          <w:trHeight w:val="177"/>
        </w:trPr>
        <w:tc>
          <w:tcPr>
            <w:tcW w:w="55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2019</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c>
          <w:tcPr>
            <w:tcW w:w="20" w:type="dxa"/>
            <w:vAlign w:val="bottom"/>
          </w:tcPr>
          <w:p>
            <w:pPr>
              <w:spacing w:after="0"/>
              <w:rPr>
                <w:sz w:val="15"/>
                <w:szCs w:val="15"/>
                <w:color w:val="auto"/>
              </w:rPr>
            </w:pPr>
          </w:p>
        </w:tc>
      </w:tr>
      <w:tr>
        <w:trPr>
          <w:trHeight w:val="182"/>
        </w:trPr>
        <w:tc>
          <w:tcPr>
            <w:tcW w:w="5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6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260" w:type="dxa"/>
            <w:vAlign w:val="bottom"/>
            <w:gridSpan w:val="2"/>
          </w:tcPr>
          <w:p>
            <w:pPr>
              <w:jc w:val="right"/>
              <w:ind w:right="40"/>
              <w:spacing w:after="0"/>
              <w:rPr>
                <w:sz w:val="20"/>
                <w:szCs w:val="20"/>
                <w:color w:val="auto"/>
              </w:rPr>
            </w:pPr>
            <w:r>
              <w:rPr>
                <w:rFonts w:ascii="Arial" w:cs="Arial" w:eastAsia="Arial" w:hAnsi="Arial"/>
                <w:sz w:val="13"/>
                <w:szCs w:val="13"/>
                <w:color w:val="auto"/>
              </w:rPr>
              <w:t>$’000</w:t>
            </w:r>
          </w:p>
        </w:tc>
      </w:tr>
      <w:tr>
        <w:trPr>
          <w:trHeight w:val="220"/>
        </w:trPr>
        <w:tc>
          <w:tcPr>
            <w:tcW w:w="5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3"/>
                <w:szCs w:val="13"/>
                <w:color w:val="auto"/>
              </w:rPr>
              <w:t>Billed services (accounts receivable)</w:t>
            </w:r>
          </w:p>
        </w:tc>
        <w:tc>
          <w:tcPr>
            <w:tcW w:w="16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60" w:type="dxa"/>
            <w:vAlign w:val="bottom"/>
          </w:tcPr>
          <w:p>
            <w:pPr>
              <w:jc w:val="right"/>
              <w:ind w:right="276"/>
              <w:spacing w:after="0"/>
              <w:rPr>
                <w:sz w:val="20"/>
                <w:szCs w:val="20"/>
                <w:color w:val="auto"/>
              </w:rPr>
            </w:pPr>
            <w:r>
              <w:rPr>
                <w:rFonts w:ascii="Arial" w:cs="Arial" w:eastAsia="Arial" w:hAnsi="Arial"/>
                <w:sz w:val="13"/>
                <w:szCs w:val="13"/>
                <w:b w:val="1"/>
                <w:bCs w:val="1"/>
                <w:color w:val="auto"/>
              </w:rPr>
              <w:t>535,088</w:t>
            </w:r>
          </w:p>
        </w:tc>
        <w:tc>
          <w:tcPr>
            <w:tcW w:w="1240" w:type="dxa"/>
            <w:vAlign w:val="bottom"/>
          </w:tcPr>
          <w:p>
            <w:pPr>
              <w:jc w:val="right"/>
              <w:spacing w:after="0"/>
              <w:rPr>
                <w:sz w:val="20"/>
                <w:szCs w:val="20"/>
                <w:color w:val="auto"/>
              </w:rPr>
            </w:pPr>
            <w:r>
              <w:rPr>
                <w:rFonts w:ascii="Arial" w:cs="Arial" w:eastAsia="Arial" w:hAnsi="Arial"/>
                <w:sz w:val="13"/>
                <w:szCs w:val="13"/>
                <w:color w:val="auto"/>
              </w:rPr>
              <w:t>423,680</w:t>
            </w:r>
          </w:p>
        </w:tc>
        <w:tc>
          <w:tcPr>
            <w:tcW w:w="20" w:type="dxa"/>
            <w:vAlign w:val="bottom"/>
          </w:tcPr>
          <w:p>
            <w:pPr>
              <w:spacing w:after="0"/>
              <w:rPr>
                <w:sz w:val="15"/>
                <w:szCs w:val="15"/>
                <w:color w:val="auto"/>
              </w:rPr>
            </w:pPr>
          </w:p>
        </w:tc>
      </w:tr>
      <w:tr>
        <w:trPr>
          <w:trHeight w:val="191"/>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Unbilled services (unbilled revenue)</w:t>
            </w:r>
          </w:p>
        </w:tc>
        <w:tc>
          <w:tcPr>
            <w:tcW w:w="16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422,769</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362,926</w:t>
            </w:r>
          </w:p>
        </w:tc>
        <w:tc>
          <w:tcPr>
            <w:tcW w:w="20" w:type="dxa"/>
            <w:vAlign w:val="bottom"/>
          </w:tcPr>
          <w:p>
            <w:pPr>
              <w:spacing w:after="0"/>
              <w:rPr>
                <w:sz w:val="16"/>
                <w:szCs w:val="16"/>
                <w:color w:val="auto"/>
              </w:rPr>
            </w:pPr>
          </w:p>
        </w:tc>
      </w:tr>
      <w:tr>
        <w:trPr>
          <w:trHeight w:val="182"/>
        </w:trPr>
        <w:tc>
          <w:tcPr>
            <w:tcW w:w="5500" w:type="dxa"/>
            <w:vAlign w:val="bottom"/>
          </w:tcPr>
          <w:p>
            <w:pPr>
              <w:ind w:left="20"/>
              <w:spacing w:after="0"/>
              <w:rPr>
                <w:sz w:val="20"/>
                <w:szCs w:val="20"/>
                <w:color w:val="auto"/>
              </w:rPr>
            </w:pPr>
            <w:r>
              <w:rPr>
                <w:rFonts w:ascii="Arial" w:cs="Arial" w:eastAsia="Arial" w:hAnsi="Arial"/>
                <w:sz w:val="13"/>
                <w:szCs w:val="13"/>
                <w:color w:val="auto"/>
              </w:rPr>
              <w:t>Trade accounts receivable and unbilled revenue</w:t>
            </w:r>
          </w:p>
        </w:tc>
        <w:tc>
          <w:tcPr>
            <w:tcW w:w="16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60" w:type="dxa"/>
            <w:vAlign w:val="bottom"/>
          </w:tcPr>
          <w:p>
            <w:pPr>
              <w:jc w:val="right"/>
              <w:ind w:right="276"/>
              <w:spacing w:after="0"/>
              <w:rPr>
                <w:sz w:val="20"/>
                <w:szCs w:val="20"/>
                <w:color w:val="auto"/>
              </w:rPr>
            </w:pPr>
            <w:r>
              <w:rPr>
                <w:rFonts w:ascii="Arial" w:cs="Arial" w:eastAsia="Arial" w:hAnsi="Arial"/>
                <w:sz w:val="13"/>
                <w:szCs w:val="13"/>
                <w:b w:val="1"/>
                <w:bCs w:val="1"/>
                <w:color w:val="auto"/>
              </w:rPr>
              <w:t>957,857</w:t>
            </w:r>
          </w:p>
        </w:tc>
        <w:tc>
          <w:tcPr>
            <w:tcW w:w="1240" w:type="dxa"/>
            <w:vAlign w:val="bottom"/>
          </w:tcPr>
          <w:p>
            <w:pPr>
              <w:jc w:val="right"/>
              <w:ind w:right="76"/>
              <w:spacing w:after="0"/>
              <w:rPr>
                <w:sz w:val="20"/>
                <w:szCs w:val="20"/>
                <w:color w:val="auto"/>
              </w:rPr>
            </w:pPr>
            <w:r>
              <w:rPr>
                <w:rFonts w:ascii="Arial" w:cs="Arial" w:eastAsia="Arial" w:hAnsi="Arial"/>
                <w:sz w:val="13"/>
                <w:szCs w:val="13"/>
                <w:color w:val="auto"/>
              </w:rPr>
              <w:t>786,606</w:t>
            </w:r>
          </w:p>
        </w:tc>
        <w:tc>
          <w:tcPr>
            <w:tcW w:w="20" w:type="dxa"/>
            <w:vAlign w:val="bottom"/>
          </w:tcPr>
          <w:p>
            <w:pPr>
              <w:spacing w:after="0"/>
              <w:rPr>
                <w:sz w:val="15"/>
                <w:szCs w:val="15"/>
                <w:color w:val="auto"/>
              </w:rPr>
            </w:pPr>
          </w:p>
        </w:tc>
      </w:tr>
      <w:tr>
        <w:trPr>
          <w:trHeight w:val="191"/>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Allowance for for credit losses</w:t>
            </w:r>
          </w:p>
        </w:tc>
        <w:tc>
          <w:tcPr>
            <w:tcW w:w="16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(7,380)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(8,889)</w:t>
            </w:r>
          </w:p>
        </w:tc>
        <w:tc>
          <w:tcPr>
            <w:tcW w:w="20" w:type="dxa"/>
            <w:vAlign w:val="bottom"/>
          </w:tcPr>
          <w:p>
            <w:pPr>
              <w:spacing w:after="0"/>
              <w:rPr>
                <w:sz w:val="16"/>
                <w:szCs w:val="16"/>
                <w:color w:val="auto"/>
              </w:rPr>
            </w:pPr>
          </w:p>
        </w:tc>
      </w:tr>
      <w:tr>
        <w:trPr>
          <w:trHeight w:val="200"/>
        </w:trPr>
        <w:tc>
          <w:tcPr>
            <w:tcW w:w="5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Trade accounts receivable and unbilled revenue, net</w:t>
            </w:r>
          </w:p>
        </w:tc>
        <w:tc>
          <w:tcPr>
            <w:tcW w:w="16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950,477</w:t>
            </w: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777,717</w:t>
            </w:r>
          </w:p>
        </w:tc>
        <w:tc>
          <w:tcPr>
            <w:tcW w:w="20" w:type="dxa"/>
            <w:vAlign w:val="bottom"/>
          </w:tcPr>
          <w:p>
            <w:pPr>
              <w:spacing w:after="0"/>
              <w:rPr>
                <w:sz w:val="17"/>
                <w:szCs w:val="17"/>
                <w:color w:val="auto"/>
              </w:rPr>
            </w:pPr>
          </w:p>
        </w:tc>
      </w:tr>
      <w:tr>
        <w:trPr>
          <w:trHeight w:val="20"/>
        </w:trPr>
        <w:tc>
          <w:tcPr>
            <w:tcW w:w="5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9"/>
        </w:trPr>
        <w:tc>
          <w:tcPr>
            <w:tcW w:w="5500" w:type="dxa"/>
            <w:vAlign w:val="bottom"/>
          </w:tcPr>
          <w:p>
            <w:pPr>
              <w:spacing w:after="0"/>
              <w:rPr>
                <w:sz w:val="20"/>
                <w:szCs w:val="20"/>
                <w:color w:val="auto"/>
              </w:rPr>
            </w:pPr>
            <w:r>
              <w:rPr>
                <w:rFonts w:ascii="Arial" w:cs="Arial" w:eastAsia="Arial" w:hAnsi="Arial"/>
                <w:sz w:val="13"/>
                <w:szCs w:val="13"/>
                <w:color w:val="auto"/>
              </w:rPr>
              <w:t>Unbilled services and unearned revenue (contract assets and liabilities) were as follows:</w:t>
            </w: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9"/>
        </w:trPr>
        <w:tc>
          <w:tcPr>
            <w:tcW w:w="55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55"/>
        </w:trPr>
        <w:tc>
          <w:tcPr>
            <w:tcW w:w="5500" w:type="dxa"/>
            <w:vAlign w:val="bottom"/>
            <w:shd w:val="clear" w:color="auto" w:fill="CCEEFF"/>
          </w:tcPr>
          <w:p>
            <w:pPr>
              <w:spacing w:after="0"/>
              <w:rPr>
                <w:sz w:val="13"/>
                <w:szCs w:val="13"/>
                <w:color w:val="auto"/>
              </w:rPr>
            </w:pPr>
          </w:p>
        </w:tc>
        <w:tc>
          <w:tcPr>
            <w:tcW w:w="16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31 December</w:t>
            </w:r>
          </w:p>
        </w:tc>
        <w:tc>
          <w:tcPr>
            <w:tcW w:w="13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31 December</w:t>
            </w:r>
          </w:p>
        </w:tc>
        <w:tc>
          <w:tcPr>
            <w:tcW w:w="14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77"/>
        </w:trPr>
        <w:tc>
          <w:tcPr>
            <w:tcW w:w="55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2019</w:t>
            </w:r>
          </w:p>
        </w:tc>
        <w:tc>
          <w:tcPr>
            <w:tcW w:w="1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2018</w:t>
            </w:r>
          </w:p>
        </w:tc>
        <w:tc>
          <w:tcPr>
            <w:tcW w:w="14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b w:val="1"/>
                <w:bCs w:val="1"/>
                <w:color w:val="auto"/>
              </w:rPr>
              <w:t>$ Change</w:t>
            </w:r>
          </w:p>
        </w:tc>
        <w:tc>
          <w:tcPr>
            <w:tcW w:w="12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 Change</w:t>
            </w:r>
          </w:p>
        </w:tc>
        <w:tc>
          <w:tcPr>
            <w:tcW w:w="20" w:type="dxa"/>
            <w:vAlign w:val="bottom"/>
          </w:tcPr>
          <w:p>
            <w:pPr>
              <w:spacing w:after="0"/>
              <w:rPr>
                <w:sz w:val="15"/>
                <w:szCs w:val="15"/>
                <w:color w:val="auto"/>
              </w:rPr>
            </w:pPr>
          </w:p>
        </w:tc>
      </w:tr>
      <w:tr>
        <w:trPr>
          <w:trHeight w:val="182"/>
        </w:trPr>
        <w:tc>
          <w:tcPr>
            <w:tcW w:w="5500" w:type="dxa"/>
            <w:vAlign w:val="bottom"/>
          </w:tcPr>
          <w:p>
            <w:pPr>
              <w:spacing w:after="0"/>
              <w:rPr>
                <w:sz w:val="15"/>
                <w:szCs w:val="15"/>
                <w:color w:val="auto"/>
              </w:rPr>
            </w:pPr>
          </w:p>
        </w:tc>
        <w:tc>
          <w:tcPr>
            <w:tcW w:w="1680" w:type="dxa"/>
            <w:vAlign w:val="bottom"/>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380" w:type="dxa"/>
            <w:vAlign w:val="bottom"/>
          </w:tcPr>
          <w:p>
            <w:pPr>
              <w:jc w:val="right"/>
              <w:ind w:right="176"/>
              <w:spacing w:after="0"/>
              <w:rPr>
                <w:sz w:val="20"/>
                <w:szCs w:val="20"/>
                <w:color w:val="auto"/>
              </w:rPr>
            </w:pPr>
            <w:r>
              <w:rPr>
                <w:rFonts w:ascii="Arial" w:cs="Arial" w:eastAsia="Arial" w:hAnsi="Arial"/>
                <w:sz w:val="13"/>
                <w:szCs w:val="13"/>
                <w:color w:val="auto"/>
              </w:rPr>
              <w:t>$’000</w:t>
            </w: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Unbilled services (unbilled revenue)</w:t>
            </w:r>
          </w:p>
        </w:tc>
        <w:tc>
          <w:tcPr>
            <w:tcW w:w="168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422,769</w:t>
            </w:r>
          </w:p>
        </w:tc>
        <w:tc>
          <w:tcPr>
            <w:tcW w:w="138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362,926</w:t>
            </w:r>
          </w:p>
        </w:tc>
        <w:tc>
          <w:tcPr>
            <w:tcW w:w="146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59,843</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16.5 %</w:t>
            </w:r>
          </w:p>
        </w:tc>
        <w:tc>
          <w:tcPr>
            <w:tcW w:w="20" w:type="dxa"/>
            <w:vAlign w:val="bottom"/>
          </w:tcPr>
          <w:p>
            <w:pPr>
              <w:spacing w:after="0"/>
              <w:rPr>
                <w:sz w:val="17"/>
                <w:szCs w:val="17"/>
                <w:color w:val="auto"/>
              </w:rPr>
            </w:pPr>
          </w:p>
        </w:tc>
      </w:tr>
      <w:tr>
        <w:trPr>
          <w:trHeight w:val="183"/>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Unearned revenue (payments on account)</w:t>
            </w:r>
          </w:p>
        </w:tc>
        <w:tc>
          <w:tcPr>
            <w:tcW w:w="168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(366,988)</w:t>
            </w:r>
          </w:p>
        </w:tc>
        <w:tc>
          <w:tcPr>
            <w:tcW w:w="13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(274,468)</w:t>
            </w:r>
          </w:p>
        </w:tc>
        <w:tc>
          <w:tcPr>
            <w:tcW w:w="14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(92,520)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33.7 %</w:t>
            </w:r>
          </w:p>
        </w:tc>
        <w:tc>
          <w:tcPr>
            <w:tcW w:w="20" w:type="dxa"/>
            <w:vAlign w:val="bottom"/>
          </w:tcPr>
          <w:p>
            <w:pPr>
              <w:spacing w:after="0"/>
              <w:rPr>
                <w:sz w:val="15"/>
                <w:szCs w:val="15"/>
                <w:color w:val="auto"/>
              </w:rPr>
            </w:pPr>
          </w:p>
        </w:tc>
      </w:tr>
      <w:tr>
        <w:trPr>
          <w:trHeight w:val="200"/>
        </w:trPr>
        <w:tc>
          <w:tcPr>
            <w:tcW w:w="55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55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55,781</w:t>
            </w:r>
          </w:p>
        </w:tc>
        <w:tc>
          <w:tcPr>
            <w:tcW w:w="13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88,458</w:t>
            </w:r>
          </w:p>
        </w:tc>
        <w:tc>
          <w:tcPr>
            <w:tcW w:w="14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(32,677)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(36.9) %</w:t>
            </w:r>
          </w:p>
        </w:tc>
        <w:tc>
          <w:tcPr>
            <w:tcW w:w="20" w:type="dxa"/>
            <w:vAlign w:val="bottom"/>
          </w:tcPr>
          <w:p>
            <w:pPr>
              <w:spacing w:after="0"/>
              <w:rPr>
                <w:sz w:val="15"/>
                <w:szCs w:val="15"/>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7"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receivables and therefore contract assets rather than accounts receivables when receipt of the consideration is conditional on something other than the passage of time. Liabilities are recorded for amounts that are collected in advance of the satisfaction of performance obligations.</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 xml:space="preserve">The most significant impact of application of IFRS 15 for the first time at 1 January 2018 was the measurement of a clinical trial service as a single performance obligation recognised over time. We concluded that ICON is the contract principal in respect of both direct services and in the use of third parties (principally investigator services) that support a clinical trial. The progress towards completion for clinical service contracts is measured based on total project costs (including reimbursable costs). Reimbursable expenses are included within direct costs on adoption of IFRS 15 and are recorded based on activity undertaken by the third party. Amounts owed to investigators and others in respect of reimbursable expenses was $142.6 million at 31 December 2019 and $85.6 million at 31 December 2018 (see </w:t>
      </w:r>
      <w:r>
        <w:rPr>
          <w:rFonts w:ascii="Arial" w:cs="Arial" w:eastAsia="Arial" w:hAnsi="Arial"/>
          <w:sz w:val="13"/>
          <w:szCs w:val="13"/>
          <w:i w:val="1"/>
          <w:iCs w:val="1"/>
          <w:color w:val="auto"/>
        </w:rPr>
        <w:t>note 20 Accrued and Other liabilities</w:t>
      </w:r>
      <w:r>
        <w:rPr>
          <w:rFonts w:ascii="Arial" w:cs="Arial" w:eastAsia="Arial" w:hAnsi="Arial"/>
          <w:sz w:val="13"/>
          <w:szCs w:val="13"/>
          <w:color w:val="auto"/>
        </w:rPr>
        <w: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280"/>
          </w:cols>
          <w:pgMar w:left="300" w:top="696" w:right="31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 Accounts receivable, unbilled services (contract assets) and unearned revenue (contract liabilities)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86" w:lineRule="exact"/>
        <w:rPr>
          <w:sz w:val="20"/>
          <w:szCs w:val="20"/>
          <w:color w:val="auto"/>
        </w:rPr>
      </w:pPr>
    </w:p>
    <w:p>
      <w:pPr>
        <w:jc w:val="both"/>
        <w:spacing w:after="0"/>
        <w:rPr>
          <w:sz w:val="20"/>
          <w:szCs w:val="20"/>
          <w:color w:val="auto"/>
        </w:rPr>
      </w:pPr>
      <w:r>
        <w:rPr>
          <w:rFonts w:ascii="Arial" w:cs="Arial" w:eastAsia="Arial" w:hAnsi="Arial"/>
          <w:sz w:val="13"/>
          <w:szCs w:val="13"/>
          <w:color w:val="auto"/>
        </w:rPr>
        <w:t>Payments on account or unearned revenue increased by $92.5 million resulting in an decrease of $32.7 million in the net balance of unbilled services and unearned revenue between 31 December 2018 and 31 December 2019. These fluctuations are primarily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 when a cost-based input method of revenue recognition is applied and revenue recognised exceeds the amount billed to the customer.</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The credit loss expense recognised on the Group's receivables and unbilled services was $0.4 million (2018: $0.7 million) for the twelve months ended 31 December 2019.</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As of 31 December 2019 approximately $5.3 billion (2018: $5.3 billion) of revenue is expected to be recognised in the future in respect of unsatisfied performance obligations. The Company expects to recognise revenue on approximately 48% (2018: 40%) of the unrealised performance obligation over the next 12 months, with the remainder recognised thereafter over the duration of the customer contracts.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17. Other assets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14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101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74"/>
        </w:trPr>
        <w:tc>
          <w:tcPr>
            <w:tcW w:w="1014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other assets</w:t>
            </w:r>
          </w:p>
        </w:tc>
        <w:tc>
          <w:tcPr>
            <w:tcW w:w="4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3"/>
        </w:trPr>
        <w:tc>
          <w:tcPr>
            <w:tcW w:w="5860" w:type="dxa"/>
            <w:vAlign w:val="bottom"/>
          </w:tcPr>
          <w:p>
            <w:pPr>
              <w:ind w:left="20"/>
              <w:spacing w:after="0"/>
              <w:rPr>
                <w:sz w:val="20"/>
                <w:szCs w:val="20"/>
                <w:color w:val="auto"/>
              </w:rPr>
            </w:pPr>
            <w:r>
              <w:rPr>
                <w:rFonts w:ascii="Arial" w:cs="Arial" w:eastAsia="Arial" w:hAnsi="Arial"/>
                <w:sz w:val="13"/>
                <w:szCs w:val="13"/>
                <w:color w:val="auto"/>
              </w:rPr>
              <w:t>Lease deposits</w:t>
            </w:r>
          </w:p>
        </w:tc>
        <w:tc>
          <w:tcPr>
            <w:tcW w:w="4340" w:type="dxa"/>
            <w:vAlign w:val="bottom"/>
          </w:tcPr>
          <w:p>
            <w:pPr>
              <w:jc w:val="right"/>
              <w:ind w:right="476"/>
              <w:spacing w:after="0"/>
              <w:rPr>
                <w:sz w:val="20"/>
                <w:szCs w:val="20"/>
                <w:color w:val="auto"/>
              </w:rPr>
            </w:pPr>
            <w:r>
              <w:rPr>
                <w:rFonts w:ascii="Arial" w:cs="Arial" w:eastAsia="Arial" w:hAnsi="Arial"/>
                <w:sz w:val="13"/>
                <w:szCs w:val="13"/>
                <w:b w:val="1"/>
                <w:bCs w:val="1"/>
                <w:color w:val="auto"/>
              </w:rPr>
              <w:t>8,717</w:t>
            </w:r>
          </w:p>
        </w:tc>
        <w:tc>
          <w:tcPr>
            <w:tcW w:w="1080" w:type="dxa"/>
            <w:vAlign w:val="bottom"/>
          </w:tcPr>
          <w:p>
            <w:pPr>
              <w:jc w:val="right"/>
              <w:ind w:right="76"/>
              <w:spacing w:after="0"/>
              <w:rPr>
                <w:sz w:val="20"/>
                <w:szCs w:val="20"/>
                <w:color w:val="auto"/>
              </w:rPr>
            </w:pPr>
            <w:r>
              <w:rPr>
                <w:rFonts w:ascii="Arial" w:cs="Arial" w:eastAsia="Arial" w:hAnsi="Arial"/>
                <w:sz w:val="13"/>
                <w:szCs w:val="13"/>
                <w:color w:val="auto"/>
              </w:rPr>
              <w:t>7,706</w:t>
            </w:r>
          </w:p>
        </w:tc>
      </w:tr>
      <w:tr>
        <w:trPr>
          <w:trHeight w:val="191"/>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Deferred employee savings scheme assets</w:t>
            </w:r>
          </w:p>
        </w:tc>
        <w:tc>
          <w:tcPr>
            <w:tcW w:w="43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16,024</w:t>
            </w: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13,072</w:t>
            </w:r>
          </w:p>
        </w:tc>
      </w:tr>
      <w:tr>
        <w:trPr>
          <w:trHeight w:val="157"/>
        </w:trPr>
        <w:tc>
          <w:tcPr>
            <w:tcW w:w="58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92"/>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3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24,741</w:t>
            </w: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20,778</w:t>
            </w:r>
          </w:p>
        </w:tc>
      </w:tr>
    </w:tbl>
    <w:p>
      <w:pPr>
        <w:spacing w:after="0" w:line="2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Lease deposits paid in respect of certain premises leased by the Group are refundable on expiry of the related leases. Discounting of the non-current element has not been applied because the discount would be immaterial. However, discounting may apply in the future if the non-current element becomes significant such that the discounting impact would be material.</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80" w:type="dxa"/>
            <w:vAlign w:val="bottom"/>
            <w:shd w:val="clear" w:color="auto" w:fill="CCEEFF"/>
          </w:tcPr>
          <w:p>
            <w:pPr>
              <w:spacing w:after="0"/>
              <w:rPr>
                <w:sz w:val="13"/>
                <w:szCs w:val="13"/>
                <w:color w:val="auto"/>
              </w:rPr>
            </w:pPr>
          </w:p>
        </w:tc>
        <w:tc>
          <w:tcPr>
            <w:tcW w:w="416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5980" w:type="dxa"/>
            <w:vAlign w:val="bottom"/>
            <w:tcBorders>
              <w:bottom w:val="single" w:sz="8" w:color="auto"/>
            </w:tcBorders>
            <w:shd w:val="clear" w:color="auto" w:fill="CCEEFF"/>
          </w:tcPr>
          <w:p>
            <w:pPr>
              <w:spacing w:after="0"/>
              <w:rPr>
                <w:sz w:val="15"/>
                <w:szCs w:val="15"/>
                <w:color w:val="auto"/>
              </w:rPr>
            </w:pPr>
          </w:p>
        </w:tc>
        <w:tc>
          <w:tcPr>
            <w:tcW w:w="41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5980" w:type="dxa"/>
            <w:vAlign w:val="bottom"/>
          </w:tcPr>
          <w:p>
            <w:pPr>
              <w:spacing w:after="0"/>
              <w:rPr>
                <w:sz w:val="15"/>
                <w:szCs w:val="15"/>
                <w:color w:val="auto"/>
              </w:rPr>
            </w:pPr>
          </w:p>
        </w:tc>
        <w:tc>
          <w:tcPr>
            <w:tcW w:w="416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99"/>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current assets</w:t>
            </w:r>
          </w:p>
        </w:tc>
        <w:tc>
          <w:tcPr>
            <w:tcW w:w="4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3"/>
        </w:trPr>
        <w:tc>
          <w:tcPr>
            <w:tcW w:w="5980" w:type="dxa"/>
            <w:vAlign w:val="bottom"/>
          </w:tcPr>
          <w:p>
            <w:pPr>
              <w:ind w:left="20"/>
              <w:spacing w:after="0"/>
              <w:rPr>
                <w:sz w:val="20"/>
                <w:szCs w:val="20"/>
                <w:color w:val="auto"/>
              </w:rPr>
            </w:pPr>
            <w:r>
              <w:rPr>
                <w:rFonts w:ascii="Arial" w:cs="Arial" w:eastAsia="Arial" w:hAnsi="Arial"/>
                <w:sz w:val="13"/>
                <w:szCs w:val="13"/>
                <w:color w:val="auto"/>
              </w:rPr>
              <w:t>Personnel related prepayments</w:t>
            </w:r>
          </w:p>
        </w:tc>
        <w:tc>
          <w:tcPr>
            <w:tcW w:w="4160" w:type="dxa"/>
            <w:vAlign w:val="bottom"/>
          </w:tcPr>
          <w:p>
            <w:pPr>
              <w:jc w:val="right"/>
              <w:ind w:right="416"/>
              <w:spacing w:after="0"/>
              <w:rPr>
                <w:sz w:val="20"/>
                <w:szCs w:val="20"/>
                <w:color w:val="auto"/>
              </w:rPr>
            </w:pPr>
            <w:r>
              <w:rPr>
                <w:rFonts w:ascii="Arial" w:cs="Arial" w:eastAsia="Arial" w:hAnsi="Arial"/>
                <w:sz w:val="13"/>
                <w:szCs w:val="13"/>
                <w:b w:val="1"/>
                <w:bCs w:val="1"/>
                <w:color w:val="auto"/>
              </w:rPr>
              <w:t>903</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431</w:t>
            </w:r>
          </w:p>
        </w:tc>
      </w:tr>
      <w:tr>
        <w:trPr>
          <w:trHeight w:val="199"/>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Facility and information system related prepayments</w:t>
            </w:r>
          </w:p>
        </w:tc>
        <w:tc>
          <w:tcPr>
            <w:tcW w:w="416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23,886</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20,632</w:t>
            </w:r>
          </w:p>
        </w:tc>
      </w:tr>
      <w:tr>
        <w:trPr>
          <w:trHeight w:val="183"/>
        </w:trPr>
        <w:tc>
          <w:tcPr>
            <w:tcW w:w="5980" w:type="dxa"/>
            <w:vAlign w:val="bottom"/>
          </w:tcPr>
          <w:p>
            <w:pPr>
              <w:ind w:left="20"/>
              <w:spacing w:after="0"/>
              <w:rPr>
                <w:sz w:val="20"/>
                <w:szCs w:val="20"/>
                <w:color w:val="auto"/>
              </w:rPr>
            </w:pPr>
            <w:r>
              <w:rPr>
                <w:rFonts w:ascii="Arial" w:cs="Arial" w:eastAsia="Arial" w:hAnsi="Arial"/>
                <w:sz w:val="13"/>
                <w:szCs w:val="13"/>
                <w:color w:val="auto"/>
              </w:rPr>
              <w:t>General overhead prepayments</w:t>
            </w:r>
          </w:p>
        </w:tc>
        <w:tc>
          <w:tcPr>
            <w:tcW w:w="4160" w:type="dxa"/>
            <w:vAlign w:val="bottom"/>
          </w:tcPr>
          <w:p>
            <w:pPr>
              <w:jc w:val="right"/>
              <w:ind w:right="416"/>
              <w:spacing w:after="0"/>
              <w:rPr>
                <w:sz w:val="20"/>
                <w:szCs w:val="20"/>
                <w:color w:val="auto"/>
              </w:rPr>
            </w:pPr>
            <w:r>
              <w:rPr>
                <w:rFonts w:ascii="Arial" w:cs="Arial" w:eastAsia="Arial" w:hAnsi="Arial"/>
                <w:sz w:val="13"/>
                <w:szCs w:val="13"/>
                <w:b w:val="1"/>
                <w:bCs w:val="1"/>
                <w:color w:val="auto"/>
              </w:rPr>
              <w:t>8,602</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8,863</w:t>
            </w:r>
          </w:p>
        </w:tc>
      </w:tr>
      <w:tr>
        <w:trPr>
          <w:trHeight w:val="199"/>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tax recoverable</w:t>
            </w:r>
          </w:p>
        </w:tc>
        <w:tc>
          <w:tcPr>
            <w:tcW w:w="416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14,665</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16,289</w:t>
            </w:r>
          </w:p>
        </w:tc>
      </w:tr>
      <w:tr>
        <w:trPr>
          <w:trHeight w:val="183"/>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receivables</w:t>
            </w:r>
          </w:p>
        </w:tc>
        <w:tc>
          <w:tcPr>
            <w:tcW w:w="41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22,269</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22,519</w:t>
            </w:r>
          </w:p>
        </w:tc>
      </w:tr>
      <w:tr>
        <w:trPr>
          <w:trHeight w:val="157"/>
        </w:trPr>
        <w:tc>
          <w:tcPr>
            <w:tcW w:w="5980" w:type="dxa"/>
            <w:vAlign w:val="bottom"/>
            <w:shd w:val="clear" w:color="auto" w:fill="CCEEFF"/>
          </w:tcPr>
          <w:p>
            <w:pPr>
              <w:spacing w:after="0"/>
              <w:rPr>
                <w:sz w:val="13"/>
                <w:szCs w:val="13"/>
                <w:color w:val="auto"/>
              </w:rPr>
            </w:pPr>
          </w:p>
        </w:tc>
        <w:tc>
          <w:tcPr>
            <w:tcW w:w="4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92"/>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41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70,325</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68,734</w:t>
            </w:r>
          </w:p>
        </w:tc>
      </w:tr>
    </w:tbl>
    <w:p>
      <w:pPr>
        <w:spacing w:after="0" w:line="25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Other current assets do not contain any impaired assets. The maximum exposure to credit risk at the reporting date is the carrying value of each receivable, other than prepayments which do not have credit risk. The Group does not hold any collateral as security.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280"/>
          </w:cols>
          <w:pgMar w:left="300" w:top="696" w:right="31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18. Financial asset investments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60" w:type="dxa"/>
            <w:vAlign w:val="bottom"/>
          </w:tcPr>
          <w:p>
            <w:pPr>
              <w:spacing w:after="0"/>
              <w:rPr>
                <w:sz w:val="20"/>
                <w:szCs w:val="20"/>
                <w:color w:val="auto"/>
              </w:rPr>
            </w:pPr>
            <w:r>
              <w:rPr>
                <w:rFonts w:ascii="Arial" w:cs="Arial" w:eastAsia="Arial" w:hAnsi="Arial"/>
                <w:sz w:val="13"/>
                <w:szCs w:val="13"/>
                <w:b w:val="1"/>
                <w:bCs w:val="1"/>
                <w:color w:val="auto"/>
              </w:rPr>
              <w:t>(a) Current asset investments - fair value through OCI</w:t>
            </w:r>
          </w:p>
        </w:tc>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79"/>
        </w:trPr>
        <w:tc>
          <w:tcPr>
            <w:tcW w:w="5960" w:type="dxa"/>
            <w:vAlign w:val="bottom"/>
          </w:tcPr>
          <w:p>
            <w:pPr>
              <w:spacing w:after="0"/>
              <w:rPr>
                <w:sz w:val="6"/>
                <w:szCs w:val="6"/>
                <w:color w:val="auto"/>
              </w:rPr>
            </w:pPr>
          </w:p>
        </w:tc>
        <w:tc>
          <w:tcPr>
            <w:tcW w:w="404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183"/>
        </w:trPr>
        <w:tc>
          <w:tcPr>
            <w:tcW w:w="5960" w:type="dxa"/>
            <w:vAlign w:val="bottom"/>
            <w:tcBorders>
              <w:bottom w:val="single" w:sz="8" w:color="auto"/>
            </w:tcBorders>
            <w:shd w:val="clear" w:color="auto" w:fill="CCEEFF"/>
          </w:tcPr>
          <w:p>
            <w:pPr>
              <w:spacing w:after="0"/>
              <w:rPr>
                <w:sz w:val="15"/>
                <w:szCs w:val="15"/>
                <w:color w:val="auto"/>
              </w:rPr>
            </w:pPr>
          </w:p>
        </w:tc>
        <w:tc>
          <w:tcPr>
            <w:tcW w:w="40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2019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2018</w:t>
            </w:r>
          </w:p>
        </w:tc>
      </w:tr>
      <w:tr>
        <w:trPr>
          <w:trHeight w:val="182"/>
        </w:trPr>
        <w:tc>
          <w:tcPr>
            <w:tcW w:w="5960" w:type="dxa"/>
            <w:vAlign w:val="bottom"/>
          </w:tcPr>
          <w:p>
            <w:pPr>
              <w:spacing w:after="0"/>
              <w:rPr>
                <w:sz w:val="15"/>
                <w:szCs w:val="15"/>
                <w:color w:val="auto"/>
              </w:rPr>
            </w:pPr>
          </w:p>
        </w:tc>
        <w:tc>
          <w:tcPr>
            <w:tcW w:w="404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9"/>
        </w:trPr>
        <w:tc>
          <w:tcPr>
            <w:tcW w:w="59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83"/>
        </w:trPr>
        <w:tc>
          <w:tcPr>
            <w:tcW w:w="5960" w:type="dxa"/>
            <w:vAlign w:val="bottom"/>
          </w:tcPr>
          <w:p>
            <w:pPr>
              <w:ind w:left="20"/>
              <w:spacing w:after="0"/>
              <w:rPr>
                <w:sz w:val="20"/>
                <w:szCs w:val="20"/>
                <w:color w:val="auto"/>
              </w:rPr>
            </w:pPr>
            <w:r>
              <w:rPr>
                <w:rFonts w:ascii="Arial" w:cs="Arial" w:eastAsia="Arial" w:hAnsi="Arial"/>
                <w:sz w:val="13"/>
                <w:szCs w:val="13"/>
                <w:color w:val="auto"/>
              </w:rPr>
              <w:t>At start of year</w:t>
            </w:r>
          </w:p>
        </w:tc>
        <w:tc>
          <w:tcPr>
            <w:tcW w:w="4040" w:type="dxa"/>
            <w:vAlign w:val="bottom"/>
          </w:tcPr>
          <w:p>
            <w:pPr>
              <w:jc w:val="right"/>
              <w:ind w:right="276"/>
              <w:spacing w:after="0"/>
              <w:rPr>
                <w:sz w:val="20"/>
                <w:szCs w:val="20"/>
                <w:color w:val="auto"/>
              </w:rPr>
            </w:pPr>
            <w:r>
              <w:rPr>
                <w:rFonts w:ascii="Arial" w:cs="Arial" w:eastAsia="Arial" w:hAnsi="Arial"/>
                <w:sz w:val="13"/>
                <w:szCs w:val="13"/>
                <w:b w:val="1"/>
                <w:bCs w:val="1"/>
                <w:color w:val="auto"/>
              </w:rPr>
              <w:t>59,910</w:t>
            </w:r>
          </w:p>
        </w:tc>
        <w:tc>
          <w:tcPr>
            <w:tcW w:w="1280" w:type="dxa"/>
            <w:vAlign w:val="bottom"/>
          </w:tcPr>
          <w:p>
            <w:pPr>
              <w:jc w:val="right"/>
              <w:ind w:right="76"/>
              <w:spacing w:after="0"/>
              <w:rPr>
                <w:sz w:val="20"/>
                <w:szCs w:val="20"/>
                <w:color w:val="auto"/>
              </w:rPr>
            </w:pPr>
            <w:r>
              <w:rPr>
                <w:rFonts w:ascii="Arial" w:cs="Arial" w:eastAsia="Arial" w:hAnsi="Arial"/>
                <w:sz w:val="13"/>
                <w:szCs w:val="13"/>
                <w:color w:val="auto"/>
              </w:rPr>
              <w:t>77,589</w:t>
            </w:r>
          </w:p>
        </w:tc>
      </w:tr>
      <w:tr>
        <w:trPr>
          <w:trHeight w:val="199"/>
        </w:trPr>
        <w:tc>
          <w:tcPr>
            <w:tcW w:w="5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404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9,603</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80,956</w:t>
            </w:r>
          </w:p>
        </w:tc>
      </w:tr>
      <w:tr>
        <w:trPr>
          <w:trHeight w:val="183"/>
        </w:trPr>
        <w:tc>
          <w:tcPr>
            <w:tcW w:w="5960" w:type="dxa"/>
            <w:vAlign w:val="bottom"/>
          </w:tcPr>
          <w:p>
            <w:pPr>
              <w:ind w:left="20"/>
              <w:spacing w:after="0"/>
              <w:rPr>
                <w:sz w:val="20"/>
                <w:szCs w:val="20"/>
                <w:color w:val="auto"/>
              </w:rPr>
            </w:pPr>
            <w:r>
              <w:rPr>
                <w:rFonts w:ascii="Arial" w:cs="Arial" w:eastAsia="Arial" w:hAnsi="Arial"/>
                <w:sz w:val="13"/>
                <w:szCs w:val="13"/>
                <w:color w:val="auto"/>
              </w:rPr>
              <w:t>Disposals/maturities</w:t>
            </w:r>
          </w:p>
        </w:tc>
        <w:tc>
          <w:tcPr>
            <w:tcW w:w="4040" w:type="dxa"/>
            <w:vAlign w:val="bottom"/>
          </w:tcPr>
          <w:p>
            <w:pPr>
              <w:jc w:val="right"/>
              <w:ind w:right="236"/>
              <w:spacing w:after="0"/>
              <w:rPr>
                <w:sz w:val="20"/>
                <w:szCs w:val="20"/>
                <w:color w:val="auto"/>
              </w:rPr>
            </w:pPr>
            <w:r>
              <w:rPr>
                <w:rFonts w:ascii="Arial" w:cs="Arial" w:eastAsia="Arial" w:hAnsi="Arial"/>
                <w:sz w:val="13"/>
                <w:szCs w:val="13"/>
                <w:b w:val="1"/>
                <w:bCs w:val="1"/>
                <w:color w:val="auto"/>
              </w:rPr>
              <w:t>(21,686)</w:t>
            </w:r>
          </w:p>
        </w:tc>
        <w:tc>
          <w:tcPr>
            <w:tcW w:w="1280" w:type="dxa"/>
            <w:vAlign w:val="bottom"/>
          </w:tcPr>
          <w:p>
            <w:pPr>
              <w:jc w:val="right"/>
              <w:ind w:right="36"/>
              <w:spacing w:after="0"/>
              <w:rPr>
                <w:sz w:val="20"/>
                <w:szCs w:val="20"/>
                <w:color w:val="auto"/>
              </w:rPr>
            </w:pPr>
            <w:r>
              <w:rPr>
                <w:rFonts w:ascii="Arial" w:cs="Arial" w:eastAsia="Arial" w:hAnsi="Arial"/>
                <w:sz w:val="13"/>
                <w:szCs w:val="13"/>
                <w:color w:val="auto"/>
              </w:rPr>
              <w:t>(99,865)</w:t>
            </w:r>
          </w:p>
        </w:tc>
      </w:tr>
      <w:tr>
        <w:trPr>
          <w:trHeight w:val="199"/>
        </w:trPr>
        <w:tc>
          <w:tcPr>
            <w:tcW w:w="5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on short term investments</w:t>
            </w:r>
          </w:p>
        </w:tc>
        <w:tc>
          <w:tcPr>
            <w:tcW w:w="404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1,065</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1,329</w:t>
            </w:r>
          </w:p>
        </w:tc>
      </w:tr>
      <w:tr>
        <w:trPr>
          <w:trHeight w:val="183"/>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Gain/(loss) on investments</w:t>
            </w:r>
          </w:p>
        </w:tc>
        <w:tc>
          <w:tcPr>
            <w:tcW w:w="40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736</w:t>
            </w: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(99)</w:t>
            </w:r>
          </w:p>
        </w:tc>
      </w:tr>
      <w:tr>
        <w:trPr>
          <w:trHeight w:val="200"/>
        </w:trPr>
        <w:tc>
          <w:tcPr>
            <w:tcW w:w="596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2"/>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end of year</w:t>
            </w:r>
          </w:p>
        </w:tc>
        <w:tc>
          <w:tcPr>
            <w:tcW w:w="40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49,628</w:t>
            </w: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59,910</w:t>
            </w:r>
          </w:p>
        </w:tc>
      </w:tr>
    </w:tbl>
    <w:p>
      <w:pPr>
        <w:spacing w:after="0" w:line="26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Current asset investments are reported at fair value, with gains or losses recorded in other comprehensive income. The gain on short term investments recognised during the year ended 31 December 2019 includes an unrealised gain of $0.7 million (2018: unrealised loss of $0.2 million). Current asset investments comprise highly liquid investments with maturities of greater than three months and minimum “A-” rated fixed and floating rate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 Non-current financial assets - fair value through profit or loss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Company entered into subscription agreements with a number of funds. Capital totalling $10.1 million had been advanced under the terms of the subscription agreements at 31 December 2019 (2018: $6.2 million). The Company determined that the interests in the funds meet the definition of equity securities without readily determinable fair values. There was a decrease in fair value of $0.8 million (2018: increase in fair value of $0.8 million) recognised in profit for the financial year during the year bringing the carrying value of the subscriptions to $10.1 million at 31 December 2019 (2018: $7.0 million). The Company had committed to future investments of $22.5 million in respect of these funds.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19. Cash and cash equivalents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80" w:type="dxa"/>
            <w:vAlign w:val="bottom"/>
            <w:shd w:val="clear" w:color="auto" w:fill="CCEEFF"/>
          </w:tcPr>
          <w:p>
            <w:pPr>
              <w:spacing w:after="0"/>
              <w:rPr>
                <w:sz w:val="13"/>
                <w:szCs w:val="13"/>
                <w:color w:val="auto"/>
              </w:rPr>
            </w:pPr>
          </w:p>
        </w:tc>
        <w:tc>
          <w:tcPr>
            <w:tcW w:w="486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5280" w:type="dxa"/>
            <w:vAlign w:val="bottom"/>
            <w:tcBorders>
              <w:bottom w:val="single" w:sz="8" w:color="auto"/>
            </w:tcBorders>
            <w:shd w:val="clear" w:color="auto" w:fill="CCEEFF"/>
          </w:tcPr>
          <w:p>
            <w:pPr>
              <w:spacing w:after="0"/>
              <w:rPr>
                <w:sz w:val="15"/>
                <w:szCs w:val="15"/>
                <w:color w:val="auto"/>
              </w:rPr>
            </w:pPr>
          </w:p>
        </w:tc>
        <w:tc>
          <w:tcPr>
            <w:tcW w:w="48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5280" w:type="dxa"/>
            <w:vAlign w:val="bottom"/>
          </w:tcPr>
          <w:p>
            <w:pPr>
              <w:spacing w:after="0"/>
              <w:rPr>
                <w:sz w:val="15"/>
                <w:szCs w:val="15"/>
                <w:color w:val="auto"/>
              </w:rPr>
            </w:pPr>
          </w:p>
        </w:tc>
        <w:tc>
          <w:tcPr>
            <w:tcW w:w="486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9"/>
        </w:trPr>
        <w:tc>
          <w:tcPr>
            <w:tcW w:w="528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83"/>
        </w:trPr>
        <w:tc>
          <w:tcPr>
            <w:tcW w:w="5280" w:type="dxa"/>
            <w:vAlign w:val="bottom"/>
          </w:tcPr>
          <w:p>
            <w:pPr>
              <w:ind w:left="20"/>
              <w:spacing w:after="0"/>
              <w:rPr>
                <w:sz w:val="20"/>
                <w:szCs w:val="20"/>
                <w:color w:val="auto"/>
              </w:rPr>
            </w:pPr>
            <w:r>
              <w:rPr>
                <w:rFonts w:ascii="Arial" w:cs="Arial" w:eastAsia="Arial" w:hAnsi="Arial"/>
                <w:sz w:val="13"/>
                <w:szCs w:val="13"/>
                <w:color w:val="auto"/>
              </w:rPr>
              <w:t>Cash at bank and in hand</w:t>
            </w:r>
          </w:p>
        </w:tc>
        <w:tc>
          <w:tcPr>
            <w:tcW w:w="4860" w:type="dxa"/>
            <w:vAlign w:val="bottom"/>
          </w:tcPr>
          <w:p>
            <w:pPr>
              <w:jc w:val="right"/>
              <w:ind w:right="416"/>
              <w:spacing w:after="0"/>
              <w:rPr>
                <w:sz w:val="20"/>
                <w:szCs w:val="20"/>
                <w:color w:val="auto"/>
              </w:rPr>
            </w:pPr>
            <w:r>
              <w:rPr>
                <w:rFonts w:ascii="Arial" w:cs="Arial" w:eastAsia="Arial" w:hAnsi="Arial"/>
                <w:sz w:val="13"/>
                <w:szCs w:val="13"/>
                <w:b w:val="1"/>
                <w:bCs w:val="1"/>
                <w:color w:val="auto"/>
              </w:rPr>
              <w:t>185,455</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160,378</w:t>
            </w:r>
          </w:p>
        </w:tc>
      </w:tr>
      <w:tr>
        <w:trPr>
          <w:trHeight w:val="191"/>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Short term deposits</w:t>
            </w:r>
          </w:p>
        </w:tc>
        <w:tc>
          <w:tcPr>
            <w:tcW w:w="48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334,854</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235,473</w:t>
            </w:r>
          </w:p>
        </w:tc>
      </w:tr>
      <w:tr>
        <w:trPr>
          <w:trHeight w:val="189"/>
        </w:trPr>
        <w:tc>
          <w:tcPr>
            <w:tcW w:w="52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2"/>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48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520,309</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395,851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280"/>
          </w:cols>
          <w:pgMar w:left="300" w:top="696" w:right="31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 Accrued and other liabilities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40" w:type="dxa"/>
            <w:vAlign w:val="bottom"/>
            <w:shd w:val="clear" w:color="auto" w:fill="CCEEFF"/>
          </w:tcPr>
          <w:p>
            <w:pPr>
              <w:spacing w:after="0"/>
              <w:rPr>
                <w:sz w:val="13"/>
                <w:szCs w:val="13"/>
                <w:color w:val="auto"/>
              </w:rPr>
            </w:pPr>
          </w:p>
        </w:tc>
        <w:tc>
          <w:tcPr>
            <w:tcW w:w="430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5840" w:type="dxa"/>
            <w:vAlign w:val="bottom"/>
            <w:tcBorders>
              <w:bottom w:val="single" w:sz="8" w:color="auto"/>
            </w:tcBorders>
            <w:shd w:val="clear" w:color="auto" w:fill="CCEEFF"/>
          </w:tcPr>
          <w:p>
            <w:pPr>
              <w:spacing w:after="0"/>
              <w:rPr>
                <w:sz w:val="15"/>
                <w:szCs w:val="15"/>
                <w:color w:val="auto"/>
              </w:rPr>
            </w:pPr>
          </w:p>
        </w:tc>
        <w:tc>
          <w:tcPr>
            <w:tcW w:w="43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5840" w:type="dxa"/>
            <w:vAlign w:val="bottom"/>
          </w:tcPr>
          <w:p>
            <w:pPr>
              <w:spacing w:after="0"/>
              <w:rPr>
                <w:sz w:val="15"/>
                <w:szCs w:val="15"/>
                <w:color w:val="auto"/>
              </w:rPr>
            </w:pPr>
          </w:p>
        </w:tc>
        <w:tc>
          <w:tcPr>
            <w:tcW w:w="430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20"/>
        </w:trPr>
        <w:tc>
          <w:tcPr>
            <w:tcW w:w="584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83"/>
        </w:trPr>
        <w:tc>
          <w:tcPr>
            <w:tcW w:w="5840" w:type="dxa"/>
            <w:vAlign w:val="bottom"/>
          </w:tcPr>
          <w:p>
            <w:pPr>
              <w:ind w:left="20"/>
              <w:spacing w:after="0"/>
              <w:rPr>
                <w:sz w:val="20"/>
                <w:szCs w:val="20"/>
                <w:color w:val="auto"/>
              </w:rPr>
            </w:pPr>
            <w:r>
              <w:rPr>
                <w:rFonts w:ascii="Arial" w:cs="Arial" w:eastAsia="Arial" w:hAnsi="Arial"/>
                <w:sz w:val="13"/>
                <w:szCs w:val="13"/>
                <w:b w:val="1"/>
                <w:bCs w:val="1"/>
                <w:color w:val="auto"/>
              </w:rPr>
              <w:t>Non-current other liabilities</w:t>
            </w:r>
          </w:p>
        </w:tc>
        <w:tc>
          <w:tcPr>
            <w:tcW w:w="4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0"/>
        </w:trPr>
        <w:tc>
          <w:tcPr>
            <w:tcW w:w="584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83"/>
        </w:trPr>
        <w:tc>
          <w:tcPr>
            <w:tcW w:w="5840" w:type="dxa"/>
            <w:vAlign w:val="bottom"/>
          </w:tcPr>
          <w:p>
            <w:pPr>
              <w:ind w:left="20"/>
              <w:spacing w:after="0"/>
              <w:rPr>
                <w:sz w:val="20"/>
                <w:szCs w:val="20"/>
                <w:color w:val="auto"/>
              </w:rPr>
            </w:pPr>
            <w:r>
              <w:rPr>
                <w:rFonts w:ascii="Arial" w:cs="Arial" w:eastAsia="Arial" w:hAnsi="Arial"/>
                <w:sz w:val="13"/>
                <w:szCs w:val="13"/>
                <w:color w:val="auto"/>
              </w:rPr>
              <w:t>Personnel related liabilities</w:t>
            </w:r>
          </w:p>
        </w:tc>
        <w:tc>
          <w:tcPr>
            <w:tcW w:w="4300" w:type="dxa"/>
            <w:vAlign w:val="bottom"/>
          </w:tcPr>
          <w:p>
            <w:pPr>
              <w:jc w:val="right"/>
              <w:ind w:right="416"/>
              <w:spacing w:after="0"/>
              <w:rPr>
                <w:sz w:val="20"/>
                <w:szCs w:val="20"/>
                <w:color w:val="auto"/>
              </w:rPr>
            </w:pPr>
            <w:r>
              <w:rPr>
                <w:rFonts w:ascii="Arial" w:cs="Arial" w:eastAsia="Arial" w:hAnsi="Arial"/>
                <w:sz w:val="13"/>
                <w:szCs w:val="13"/>
                <w:b w:val="1"/>
                <w:bCs w:val="1"/>
                <w:color w:val="auto"/>
              </w:rPr>
              <w:t>289</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333</w:t>
            </w:r>
          </w:p>
        </w:tc>
      </w:tr>
      <w:tr>
        <w:trPr>
          <w:trHeight w:val="199"/>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government grants (note 22)</w:t>
            </w:r>
          </w:p>
        </w:tc>
        <w:tc>
          <w:tcPr>
            <w:tcW w:w="430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813</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877</w:t>
            </w:r>
          </w:p>
        </w:tc>
      </w:tr>
      <w:tr>
        <w:trPr>
          <w:trHeight w:val="183"/>
        </w:trPr>
        <w:tc>
          <w:tcPr>
            <w:tcW w:w="5840" w:type="dxa"/>
            <w:vAlign w:val="bottom"/>
          </w:tcPr>
          <w:p>
            <w:pPr>
              <w:ind w:left="20"/>
              <w:spacing w:after="0"/>
              <w:rPr>
                <w:sz w:val="20"/>
                <w:szCs w:val="20"/>
                <w:color w:val="auto"/>
              </w:rPr>
            </w:pPr>
            <w:r>
              <w:rPr>
                <w:rFonts w:ascii="Arial" w:cs="Arial" w:eastAsia="Arial" w:hAnsi="Arial"/>
                <w:sz w:val="13"/>
                <w:szCs w:val="13"/>
                <w:color w:val="auto"/>
              </w:rPr>
              <w:t>Retirement benefit plan net obligation (note 10)</w:t>
            </w:r>
          </w:p>
        </w:tc>
        <w:tc>
          <w:tcPr>
            <w:tcW w:w="4300" w:type="dxa"/>
            <w:vAlign w:val="bottom"/>
          </w:tcPr>
          <w:p>
            <w:pPr>
              <w:jc w:val="right"/>
              <w:ind w:right="416"/>
              <w:spacing w:after="0"/>
              <w:rPr>
                <w:sz w:val="20"/>
                <w:szCs w:val="20"/>
                <w:color w:val="auto"/>
              </w:rPr>
            </w:pPr>
            <w:r>
              <w:rPr>
                <w:rFonts w:ascii="Arial" w:cs="Arial" w:eastAsia="Arial" w:hAnsi="Arial"/>
                <w:sz w:val="13"/>
                <w:szCs w:val="13"/>
                <w:b w:val="1"/>
                <w:bCs w:val="1"/>
                <w:color w:val="auto"/>
              </w:rPr>
              <w:t>6,053</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3,320</w:t>
            </w:r>
          </w:p>
        </w:tc>
      </w:tr>
      <w:tr>
        <w:trPr>
          <w:trHeight w:val="199"/>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employee savings scheme liabilities</w:t>
            </w:r>
          </w:p>
        </w:tc>
        <w:tc>
          <w:tcPr>
            <w:tcW w:w="430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10,292</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8,061</w:t>
            </w:r>
          </w:p>
        </w:tc>
      </w:tr>
      <w:tr>
        <w:trPr>
          <w:trHeight w:val="18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liabilities</w:t>
            </w:r>
          </w:p>
        </w:tc>
        <w:tc>
          <w:tcPr>
            <w:tcW w:w="43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452</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431</w:t>
            </w:r>
          </w:p>
        </w:tc>
      </w:tr>
      <w:tr>
        <w:trPr>
          <w:trHeight w:val="189"/>
        </w:trPr>
        <w:tc>
          <w:tcPr>
            <w:tcW w:w="5840" w:type="dxa"/>
            <w:vAlign w:val="bottom"/>
            <w:shd w:val="clear" w:color="auto" w:fill="CCEEFF"/>
          </w:tcPr>
          <w:p>
            <w:pPr>
              <w:spacing w:after="0"/>
              <w:rPr>
                <w:sz w:val="16"/>
                <w:szCs w:val="16"/>
                <w:color w:val="auto"/>
              </w:rPr>
            </w:pPr>
          </w:p>
        </w:tc>
        <w:tc>
          <w:tcPr>
            <w:tcW w:w="4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2"/>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43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17,899</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13,022</w:t>
            </w:r>
          </w:p>
        </w:tc>
      </w:tr>
    </w:tbl>
    <w:p>
      <w:pPr>
        <w:spacing w:after="0" w:line="255"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 xml:space="preserve">Deferred employee savings scheme liabilities are payable more than 5 years from the reporting date (see </w:t>
      </w:r>
      <w:r>
        <w:rPr>
          <w:rFonts w:ascii="Arial" w:cs="Arial" w:eastAsia="Arial" w:hAnsi="Arial"/>
          <w:sz w:val="13"/>
          <w:szCs w:val="13"/>
          <w:i w:val="1"/>
          <w:iCs w:val="1"/>
          <w:color w:val="auto"/>
        </w:rPr>
        <w:t>note 26 Financial instruments)</w:t>
      </w:r>
      <w:r>
        <w:rPr>
          <w:rFonts w:ascii="Arial" w:cs="Arial" w:eastAsia="Arial" w:hAnsi="Arial"/>
          <w:sz w:val="13"/>
          <w:szCs w:val="13"/>
          <w:color w:val="auto"/>
        </w:rPr>
        <w:t>. Discounting of the non-current element has not been applied because the impact would be immaterial. However, discounting may apply in the future if the non-current element becomes significant such that the discounting impact would be material.</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60" w:type="dxa"/>
            <w:vAlign w:val="bottom"/>
            <w:shd w:val="clear" w:color="auto" w:fill="CCEEFF"/>
          </w:tcPr>
          <w:p>
            <w:pPr>
              <w:spacing w:after="0"/>
              <w:rPr>
                <w:sz w:val="13"/>
                <w:szCs w:val="13"/>
                <w:color w:val="auto"/>
              </w:rPr>
            </w:pPr>
          </w:p>
        </w:tc>
        <w:tc>
          <w:tcPr>
            <w:tcW w:w="428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5860" w:type="dxa"/>
            <w:vAlign w:val="bottom"/>
            <w:tcBorders>
              <w:bottom w:val="single" w:sz="8" w:color="auto"/>
            </w:tcBorders>
            <w:shd w:val="clear" w:color="auto" w:fill="CCEEFF"/>
          </w:tcPr>
          <w:p>
            <w:pPr>
              <w:spacing w:after="0"/>
              <w:rPr>
                <w:sz w:val="15"/>
                <w:szCs w:val="15"/>
                <w:color w:val="auto"/>
              </w:rPr>
            </w:pPr>
          </w:p>
        </w:tc>
        <w:tc>
          <w:tcPr>
            <w:tcW w:w="42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5860" w:type="dxa"/>
            <w:vAlign w:val="bottom"/>
          </w:tcPr>
          <w:p>
            <w:pPr>
              <w:spacing w:after="0"/>
              <w:rPr>
                <w:sz w:val="15"/>
                <w:szCs w:val="15"/>
                <w:color w:val="auto"/>
              </w:rPr>
            </w:pPr>
          </w:p>
        </w:tc>
        <w:tc>
          <w:tcPr>
            <w:tcW w:w="428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9"/>
        </w:trPr>
        <w:tc>
          <w:tcPr>
            <w:tcW w:w="586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83"/>
        </w:trPr>
        <w:tc>
          <w:tcPr>
            <w:tcW w:w="5860" w:type="dxa"/>
            <w:vAlign w:val="bottom"/>
          </w:tcPr>
          <w:p>
            <w:pPr>
              <w:ind w:left="20"/>
              <w:spacing w:after="0"/>
              <w:rPr>
                <w:sz w:val="20"/>
                <w:szCs w:val="20"/>
                <w:color w:val="auto"/>
              </w:rPr>
            </w:pPr>
            <w:r>
              <w:rPr>
                <w:rFonts w:ascii="Arial" w:cs="Arial" w:eastAsia="Arial" w:hAnsi="Arial"/>
                <w:sz w:val="13"/>
                <w:szCs w:val="13"/>
                <w:b w:val="1"/>
                <w:bCs w:val="1"/>
                <w:color w:val="auto"/>
              </w:rPr>
              <w:t>Current accrued and other liabilities</w:t>
            </w:r>
          </w:p>
        </w:tc>
        <w:tc>
          <w:tcPr>
            <w:tcW w:w="4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9"/>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Personnel related liabilities</w:t>
            </w:r>
          </w:p>
        </w:tc>
        <w:tc>
          <w:tcPr>
            <w:tcW w:w="428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157,146</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171,866</w:t>
            </w:r>
          </w:p>
        </w:tc>
      </w:tr>
      <w:tr>
        <w:trPr>
          <w:trHeight w:val="183"/>
        </w:trPr>
        <w:tc>
          <w:tcPr>
            <w:tcW w:w="5860" w:type="dxa"/>
            <w:vAlign w:val="bottom"/>
          </w:tcPr>
          <w:p>
            <w:pPr>
              <w:ind w:left="20"/>
              <w:spacing w:after="0"/>
              <w:rPr>
                <w:sz w:val="20"/>
                <w:szCs w:val="20"/>
                <w:color w:val="auto"/>
              </w:rPr>
            </w:pPr>
            <w:r>
              <w:rPr>
                <w:rFonts w:ascii="Arial" w:cs="Arial" w:eastAsia="Arial" w:hAnsi="Arial"/>
                <w:sz w:val="13"/>
                <w:szCs w:val="13"/>
                <w:color w:val="auto"/>
              </w:rPr>
              <w:t>Facility and information system related liabilities</w:t>
            </w:r>
          </w:p>
        </w:tc>
        <w:tc>
          <w:tcPr>
            <w:tcW w:w="4280" w:type="dxa"/>
            <w:vAlign w:val="bottom"/>
          </w:tcPr>
          <w:p>
            <w:pPr>
              <w:jc w:val="right"/>
              <w:ind w:right="416"/>
              <w:spacing w:after="0"/>
              <w:rPr>
                <w:sz w:val="20"/>
                <w:szCs w:val="20"/>
                <w:color w:val="auto"/>
              </w:rPr>
            </w:pPr>
            <w:r>
              <w:rPr>
                <w:rFonts w:ascii="Arial" w:cs="Arial" w:eastAsia="Arial" w:hAnsi="Arial"/>
                <w:sz w:val="13"/>
                <w:szCs w:val="13"/>
                <w:b w:val="1"/>
                <w:bCs w:val="1"/>
                <w:color w:val="auto"/>
              </w:rPr>
              <w:t>11,138</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14,012</w:t>
            </w:r>
          </w:p>
        </w:tc>
      </w:tr>
      <w:tr>
        <w:trPr>
          <w:trHeight w:val="199"/>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overhead liabilities*</w:t>
            </w:r>
          </w:p>
        </w:tc>
        <w:tc>
          <w:tcPr>
            <w:tcW w:w="428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174,131</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118,844</w:t>
            </w:r>
          </w:p>
        </w:tc>
      </w:tr>
      <w:tr>
        <w:trPr>
          <w:trHeight w:val="183"/>
        </w:trPr>
        <w:tc>
          <w:tcPr>
            <w:tcW w:w="5860" w:type="dxa"/>
            <w:vAlign w:val="bottom"/>
          </w:tcPr>
          <w:p>
            <w:pPr>
              <w:ind w:left="20"/>
              <w:spacing w:after="0"/>
              <w:rPr>
                <w:sz w:val="20"/>
                <w:szCs w:val="20"/>
                <w:color w:val="auto"/>
              </w:rPr>
            </w:pPr>
            <w:r>
              <w:rPr>
                <w:rFonts w:ascii="Arial" w:cs="Arial" w:eastAsia="Arial" w:hAnsi="Arial"/>
                <w:sz w:val="13"/>
                <w:szCs w:val="13"/>
                <w:color w:val="auto"/>
              </w:rPr>
              <w:t>Gross obligation under put option</w:t>
            </w:r>
          </w:p>
        </w:tc>
        <w:tc>
          <w:tcPr>
            <w:tcW w:w="4280" w:type="dxa"/>
            <w:vAlign w:val="bottom"/>
          </w:tcPr>
          <w:p>
            <w:pPr>
              <w:jc w:val="right"/>
              <w:ind w:right="416"/>
              <w:spacing w:after="0"/>
              <w:rPr>
                <w:sz w:val="20"/>
                <w:szCs w:val="20"/>
                <w:color w:val="auto"/>
              </w:rPr>
            </w:pPr>
            <w:r>
              <w:rPr>
                <w:rFonts w:ascii="Arial" w:cs="Arial" w:eastAsia="Arial" w:hAnsi="Arial"/>
                <w:sz w:val="13"/>
                <w:szCs w:val="13"/>
                <w:b w:val="1"/>
                <w:bCs w:val="1"/>
                <w:color w:val="auto"/>
              </w:rPr>
              <w:t>47,205</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w:t>
            </w:r>
          </w:p>
        </w:tc>
      </w:tr>
      <w:tr>
        <w:trPr>
          <w:trHeight w:val="199"/>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liabilities (note 27)</w:t>
            </w:r>
          </w:p>
        </w:tc>
        <w:tc>
          <w:tcPr>
            <w:tcW w:w="428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28,320</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r>
        <w:trPr>
          <w:trHeight w:val="183"/>
        </w:trPr>
        <w:tc>
          <w:tcPr>
            <w:tcW w:w="5860" w:type="dxa"/>
            <w:vAlign w:val="bottom"/>
          </w:tcPr>
          <w:p>
            <w:pPr>
              <w:ind w:left="20"/>
              <w:spacing w:after="0"/>
              <w:rPr>
                <w:sz w:val="20"/>
                <w:szCs w:val="20"/>
                <w:color w:val="auto"/>
              </w:rPr>
            </w:pPr>
            <w:r>
              <w:rPr>
                <w:rFonts w:ascii="Arial" w:cs="Arial" w:eastAsia="Arial" w:hAnsi="Arial"/>
                <w:sz w:val="13"/>
                <w:szCs w:val="13"/>
                <w:color w:val="auto"/>
              </w:rPr>
              <w:t>Other liabilities</w:t>
            </w:r>
          </w:p>
        </w:tc>
        <w:tc>
          <w:tcPr>
            <w:tcW w:w="4280" w:type="dxa"/>
            <w:vAlign w:val="bottom"/>
          </w:tcPr>
          <w:p>
            <w:pPr>
              <w:jc w:val="right"/>
              <w:ind w:right="416"/>
              <w:spacing w:after="0"/>
              <w:rPr>
                <w:sz w:val="20"/>
                <w:szCs w:val="20"/>
                <w:color w:val="auto"/>
              </w:rPr>
            </w:pPr>
            <w:r>
              <w:rPr>
                <w:rFonts w:ascii="Arial" w:cs="Arial" w:eastAsia="Arial" w:hAnsi="Arial"/>
                <w:sz w:val="13"/>
                <w:szCs w:val="13"/>
                <w:b w:val="1"/>
                <w:bCs w:val="1"/>
                <w:color w:val="auto"/>
              </w:rPr>
              <w:t>4,051</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5,179</w:t>
            </w:r>
          </w:p>
        </w:tc>
      </w:tr>
      <w:tr>
        <w:trPr>
          <w:trHeight w:val="191"/>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Short term government grants (note 22)</w:t>
            </w:r>
          </w:p>
        </w:tc>
        <w:tc>
          <w:tcPr>
            <w:tcW w:w="42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45</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42</w:t>
            </w:r>
          </w:p>
        </w:tc>
      </w:tr>
      <w:tr>
        <w:trPr>
          <w:trHeight w:val="189"/>
        </w:trPr>
        <w:tc>
          <w:tcPr>
            <w:tcW w:w="58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2"/>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2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422,036</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309,943</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*includes amounts due to third parties in respect of accrued reimbursable expenses of $142.6 million at 31 December 2019 and $85.6 million at 31 December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280"/>
          </w:cols>
          <w:pgMar w:left="300" w:top="696" w:right="31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21. Provisions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480" w:type="dxa"/>
            <w:vAlign w:val="bottom"/>
            <w:shd w:val="clear" w:color="auto" w:fill="CCEEFF"/>
          </w:tcPr>
          <w:p>
            <w:pPr>
              <w:spacing w:after="0"/>
              <w:rPr>
                <w:sz w:val="13"/>
                <w:szCs w:val="13"/>
                <w:color w:val="auto"/>
              </w:rPr>
            </w:pPr>
          </w:p>
        </w:tc>
        <w:tc>
          <w:tcPr>
            <w:tcW w:w="466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5480" w:type="dxa"/>
            <w:vAlign w:val="bottom"/>
            <w:tcBorders>
              <w:bottom w:val="single" w:sz="8" w:color="auto"/>
            </w:tcBorders>
            <w:shd w:val="clear" w:color="auto" w:fill="CCEEFF"/>
          </w:tcPr>
          <w:p>
            <w:pPr>
              <w:spacing w:after="0"/>
              <w:rPr>
                <w:sz w:val="15"/>
                <w:szCs w:val="15"/>
                <w:color w:val="auto"/>
              </w:rPr>
            </w:pPr>
          </w:p>
        </w:tc>
        <w:tc>
          <w:tcPr>
            <w:tcW w:w="46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5480" w:type="dxa"/>
            <w:vAlign w:val="bottom"/>
          </w:tcPr>
          <w:p>
            <w:pPr>
              <w:spacing w:after="0"/>
              <w:rPr>
                <w:sz w:val="15"/>
                <w:szCs w:val="15"/>
                <w:color w:val="auto"/>
              </w:rPr>
            </w:pPr>
          </w:p>
        </w:tc>
        <w:tc>
          <w:tcPr>
            <w:tcW w:w="466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9"/>
        </w:trPr>
        <w:tc>
          <w:tcPr>
            <w:tcW w:w="548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83"/>
        </w:trPr>
        <w:tc>
          <w:tcPr>
            <w:tcW w:w="5480" w:type="dxa"/>
            <w:vAlign w:val="bottom"/>
          </w:tcPr>
          <w:p>
            <w:pPr>
              <w:ind w:left="20"/>
              <w:spacing w:after="0"/>
              <w:rPr>
                <w:sz w:val="20"/>
                <w:szCs w:val="20"/>
                <w:color w:val="auto"/>
              </w:rPr>
            </w:pPr>
            <w:r>
              <w:rPr>
                <w:rFonts w:ascii="Arial" w:cs="Arial" w:eastAsia="Arial" w:hAnsi="Arial"/>
                <w:sz w:val="13"/>
                <w:szCs w:val="13"/>
                <w:b w:val="1"/>
                <w:bCs w:val="1"/>
                <w:color w:val="auto"/>
              </w:rPr>
              <w:t>Non-current other liabilities</w:t>
            </w:r>
          </w:p>
        </w:tc>
        <w:tc>
          <w:tcPr>
            <w:tcW w:w="46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1"/>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Restructuring provision (note 8)</w:t>
            </w:r>
          </w:p>
        </w:tc>
        <w:tc>
          <w:tcPr>
            <w:tcW w:w="46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405</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1,301</w:t>
            </w:r>
          </w:p>
        </w:tc>
      </w:tr>
      <w:tr>
        <w:trPr>
          <w:trHeight w:val="189"/>
        </w:trPr>
        <w:tc>
          <w:tcPr>
            <w:tcW w:w="54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2"/>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6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405</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1,301</w:t>
            </w:r>
          </w:p>
        </w:tc>
      </w:tr>
      <w:tr>
        <w:trPr>
          <w:trHeight w:val="95"/>
        </w:trPr>
        <w:tc>
          <w:tcPr>
            <w:tcW w:w="548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155"/>
        </w:trPr>
        <w:tc>
          <w:tcPr>
            <w:tcW w:w="5480" w:type="dxa"/>
            <w:vAlign w:val="bottom"/>
            <w:shd w:val="clear" w:color="auto" w:fill="CCEEFF"/>
          </w:tcPr>
          <w:p>
            <w:pPr>
              <w:spacing w:after="0"/>
              <w:rPr>
                <w:sz w:val="13"/>
                <w:szCs w:val="13"/>
                <w:color w:val="auto"/>
              </w:rPr>
            </w:pPr>
          </w:p>
        </w:tc>
        <w:tc>
          <w:tcPr>
            <w:tcW w:w="466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5480" w:type="dxa"/>
            <w:vAlign w:val="bottom"/>
            <w:tcBorders>
              <w:bottom w:val="single" w:sz="8" w:color="auto"/>
            </w:tcBorders>
            <w:shd w:val="clear" w:color="auto" w:fill="CCEEFF"/>
          </w:tcPr>
          <w:p>
            <w:pPr>
              <w:spacing w:after="0"/>
              <w:rPr>
                <w:sz w:val="15"/>
                <w:szCs w:val="15"/>
                <w:color w:val="auto"/>
              </w:rPr>
            </w:pPr>
          </w:p>
        </w:tc>
        <w:tc>
          <w:tcPr>
            <w:tcW w:w="46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5480" w:type="dxa"/>
            <w:vAlign w:val="bottom"/>
          </w:tcPr>
          <w:p>
            <w:pPr>
              <w:spacing w:after="0"/>
              <w:rPr>
                <w:sz w:val="15"/>
                <w:szCs w:val="15"/>
                <w:color w:val="auto"/>
              </w:rPr>
            </w:pPr>
          </w:p>
        </w:tc>
        <w:tc>
          <w:tcPr>
            <w:tcW w:w="466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20"/>
        </w:trPr>
        <w:tc>
          <w:tcPr>
            <w:tcW w:w="5480" w:type="dxa"/>
            <w:vAlign w:val="bottom"/>
            <w:shd w:val="clear" w:color="auto" w:fill="CCEEFF"/>
          </w:tcPr>
          <w:p>
            <w:pPr>
              <w:spacing w:after="0"/>
              <w:rPr>
                <w:sz w:val="19"/>
                <w:szCs w:val="19"/>
                <w:color w:val="auto"/>
              </w:rPr>
            </w:pPr>
          </w:p>
        </w:tc>
        <w:tc>
          <w:tcPr>
            <w:tcW w:w="4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83"/>
        </w:trPr>
        <w:tc>
          <w:tcPr>
            <w:tcW w:w="548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46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9"/>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Contingent consideration (note 14)</w:t>
            </w:r>
          </w:p>
        </w:tc>
        <w:tc>
          <w:tcPr>
            <w:tcW w:w="466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2,500</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r>
        <w:trPr>
          <w:trHeight w:val="18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Restructuring provision (note 8)</w:t>
            </w:r>
          </w:p>
        </w:tc>
        <w:tc>
          <w:tcPr>
            <w:tcW w:w="46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1,232</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7,200</w:t>
            </w:r>
          </w:p>
        </w:tc>
      </w:tr>
      <w:tr>
        <w:trPr>
          <w:trHeight w:val="189"/>
        </w:trPr>
        <w:tc>
          <w:tcPr>
            <w:tcW w:w="5480" w:type="dxa"/>
            <w:vAlign w:val="bottom"/>
            <w:shd w:val="clear" w:color="auto" w:fill="CCEEFF"/>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2"/>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46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3,732</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7,200</w:t>
            </w:r>
          </w:p>
        </w:tc>
      </w:tr>
      <w:tr>
        <w:trPr>
          <w:trHeight w:val="462"/>
        </w:trPr>
        <w:tc>
          <w:tcPr>
            <w:tcW w:w="5480" w:type="dxa"/>
            <w:vAlign w:val="bottom"/>
          </w:tcPr>
          <w:p>
            <w:pPr>
              <w:spacing w:after="0"/>
              <w:rPr>
                <w:sz w:val="20"/>
                <w:szCs w:val="20"/>
                <w:color w:val="auto"/>
              </w:rPr>
            </w:pPr>
            <w:r>
              <w:rPr>
                <w:rFonts w:ascii="Arial" w:cs="Arial" w:eastAsia="Arial" w:hAnsi="Arial"/>
                <w:sz w:val="13"/>
                <w:szCs w:val="13"/>
                <w:b w:val="1"/>
                <w:bCs w:val="1"/>
                <w:color w:val="auto"/>
              </w:rPr>
              <w:t>22. Deferred government grants</w:t>
            </w:r>
          </w:p>
        </w:tc>
        <w:tc>
          <w:tcPr>
            <w:tcW w:w="4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9"/>
        </w:trPr>
        <w:tc>
          <w:tcPr>
            <w:tcW w:w="5480" w:type="dxa"/>
            <w:vAlign w:val="bottom"/>
          </w:tcPr>
          <w:p>
            <w:pPr>
              <w:spacing w:after="0"/>
              <w:rPr>
                <w:sz w:val="6"/>
                <w:szCs w:val="6"/>
                <w:color w:val="auto"/>
              </w:rPr>
            </w:pPr>
          </w:p>
        </w:tc>
        <w:tc>
          <w:tcPr>
            <w:tcW w:w="466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155"/>
        </w:trPr>
        <w:tc>
          <w:tcPr>
            <w:tcW w:w="5480" w:type="dxa"/>
            <w:vAlign w:val="bottom"/>
            <w:shd w:val="clear" w:color="auto" w:fill="CCEEFF"/>
          </w:tcPr>
          <w:p>
            <w:pPr>
              <w:spacing w:after="0"/>
              <w:rPr>
                <w:sz w:val="13"/>
                <w:szCs w:val="13"/>
                <w:color w:val="auto"/>
              </w:rPr>
            </w:pPr>
          </w:p>
        </w:tc>
        <w:tc>
          <w:tcPr>
            <w:tcW w:w="466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5480" w:type="dxa"/>
            <w:vAlign w:val="bottom"/>
            <w:tcBorders>
              <w:bottom w:val="single" w:sz="8" w:color="auto"/>
            </w:tcBorders>
            <w:shd w:val="clear" w:color="auto" w:fill="CCEEFF"/>
          </w:tcPr>
          <w:p>
            <w:pPr>
              <w:spacing w:after="0"/>
              <w:rPr>
                <w:sz w:val="15"/>
                <w:szCs w:val="15"/>
                <w:color w:val="auto"/>
              </w:rPr>
            </w:pPr>
          </w:p>
        </w:tc>
        <w:tc>
          <w:tcPr>
            <w:tcW w:w="46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5480" w:type="dxa"/>
            <w:vAlign w:val="bottom"/>
          </w:tcPr>
          <w:p>
            <w:pPr>
              <w:spacing w:after="0"/>
              <w:rPr>
                <w:sz w:val="15"/>
                <w:szCs w:val="15"/>
                <w:color w:val="auto"/>
              </w:rPr>
            </w:pPr>
          </w:p>
        </w:tc>
        <w:tc>
          <w:tcPr>
            <w:tcW w:w="466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9"/>
        </w:trPr>
        <w:tc>
          <w:tcPr>
            <w:tcW w:w="548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83"/>
        </w:trPr>
        <w:tc>
          <w:tcPr>
            <w:tcW w:w="5480" w:type="dxa"/>
            <w:vAlign w:val="bottom"/>
          </w:tcPr>
          <w:p>
            <w:pPr>
              <w:ind w:left="20"/>
              <w:spacing w:after="0"/>
              <w:rPr>
                <w:sz w:val="20"/>
                <w:szCs w:val="20"/>
                <w:color w:val="auto"/>
              </w:rPr>
            </w:pPr>
            <w:r>
              <w:rPr>
                <w:rFonts w:ascii="Arial" w:cs="Arial" w:eastAsia="Arial" w:hAnsi="Arial"/>
                <w:sz w:val="13"/>
                <w:szCs w:val="13"/>
                <w:color w:val="auto"/>
              </w:rPr>
              <w:t>At beginning of year</w:t>
            </w:r>
          </w:p>
        </w:tc>
        <w:tc>
          <w:tcPr>
            <w:tcW w:w="4660" w:type="dxa"/>
            <w:vAlign w:val="bottom"/>
          </w:tcPr>
          <w:p>
            <w:pPr>
              <w:jc w:val="right"/>
              <w:ind w:right="416"/>
              <w:spacing w:after="0"/>
              <w:rPr>
                <w:sz w:val="20"/>
                <w:szCs w:val="20"/>
                <w:color w:val="auto"/>
              </w:rPr>
            </w:pPr>
            <w:r>
              <w:rPr>
                <w:rFonts w:ascii="Arial" w:cs="Arial" w:eastAsia="Arial" w:hAnsi="Arial"/>
                <w:sz w:val="13"/>
                <w:szCs w:val="13"/>
                <w:b w:val="1"/>
                <w:bCs w:val="1"/>
                <w:color w:val="auto"/>
              </w:rPr>
              <w:t>919</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1,001</w:t>
            </w:r>
          </w:p>
        </w:tc>
      </w:tr>
      <w:tr>
        <w:trPr>
          <w:trHeight w:val="199"/>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Amortised during the year</w:t>
            </w:r>
          </w:p>
        </w:tc>
        <w:tc>
          <w:tcPr>
            <w:tcW w:w="466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(44)</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(47)</w:t>
            </w:r>
          </w:p>
        </w:tc>
      </w:tr>
      <w:tr>
        <w:trPr>
          <w:trHeight w:val="18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466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(17)</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(35)</w:t>
            </w:r>
          </w:p>
        </w:tc>
      </w:tr>
      <w:tr>
        <w:trPr>
          <w:trHeight w:val="189"/>
        </w:trPr>
        <w:tc>
          <w:tcPr>
            <w:tcW w:w="5480" w:type="dxa"/>
            <w:vAlign w:val="bottom"/>
            <w:shd w:val="clear" w:color="auto" w:fill="CCEEFF"/>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2"/>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end of year</w:t>
            </w:r>
          </w:p>
        </w:tc>
        <w:tc>
          <w:tcPr>
            <w:tcW w:w="46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858</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919</w:t>
            </w:r>
          </w:p>
        </w:tc>
      </w:tr>
      <w:tr>
        <w:trPr>
          <w:trHeight w:val="191"/>
        </w:trPr>
        <w:tc>
          <w:tcPr>
            <w:tcW w:w="5480" w:type="dxa"/>
            <w:vAlign w:val="bottom"/>
            <w:shd w:val="clear" w:color="auto" w:fill="CCEEFF"/>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3"/>
        </w:trPr>
        <w:tc>
          <w:tcPr>
            <w:tcW w:w="5480" w:type="dxa"/>
            <w:vAlign w:val="bottom"/>
          </w:tcPr>
          <w:p>
            <w:pPr>
              <w:ind w:left="20"/>
              <w:spacing w:after="0"/>
              <w:rPr>
                <w:sz w:val="20"/>
                <w:szCs w:val="20"/>
                <w:color w:val="auto"/>
              </w:rPr>
            </w:pPr>
            <w:r>
              <w:rPr>
                <w:rFonts w:ascii="Arial" w:cs="Arial" w:eastAsia="Arial" w:hAnsi="Arial"/>
                <w:sz w:val="13"/>
                <w:szCs w:val="13"/>
                <w:color w:val="auto"/>
              </w:rPr>
              <w:t>Current (note 20)</w:t>
            </w:r>
          </w:p>
        </w:tc>
        <w:tc>
          <w:tcPr>
            <w:tcW w:w="4660" w:type="dxa"/>
            <w:vAlign w:val="bottom"/>
          </w:tcPr>
          <w:p>
            <w:pPr>
              <w:jc w:val="right"/>
              <w:ind w:right="416"/>
              <w:spacing w:after="0"/>
              <w:rPr>
                <w:sz w:val="20"/>
                <w:szCs w:val="20"/>
                <w:color w:val="auto"/>
              </w:rPr>
            </w:pPr>
            <w:r>
              <w:rPr>
                <w:rFonts w:ascii="Arial" w:cs="Arial" w:eastAsia="Arial" w:hAnsi="Arial"/>
                <w:sz w:val="13"/>
                <w:szCs w:val="13"/>
                <w:b w:val="1"/>
                <w:bCs w:val="1"/>
                <w:color w:val="auto"/>
              </w:rPr>
              <w:t>45</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42</w:t>
            </w:r>
          </w:p>
        </w:tc>
      </w:tr>
      <w:tr>
        <w:trPr>
          <w:trHeight w:val="191"/>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Non-current (note 20)</w:t>
            </w:r>
          </w:p>
        </w:tc>
        <w:tc>
          <w:tcPr>
            <w:tcW w:w="46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813</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877</w:t>
            </w:r>
          </w:p>
        </w:tc>
      </w:tr>
      <w:tr>
        <w:trPr>
          <w:trHeight w:val="189"/>
        </w:trPr>
        <w:tc>
          <w:tcPr>
            <w:tcW w:w="54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2"/>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6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858</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919</w:t>
            </w:r>
          </w:p>
        </w:tc>
      </w:tr>
    </w:tbl>
    <w:p>
      <w:pPr>
        <w:spacing w:after="0" w:line="2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280"/>
          </w:cols>
          <w:pgMar w:left="300" w:top="696" w:right="31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23. Bank credit lines and loan facilities</w:t>
      </w: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color w:val="auto"/>
        </w:rPr>
        <w:t>Reconciliation of opening to closing net debt: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00" w:type="dxa"/>
            <w:vAlign w:val="bottom"/>
            <w:tcBorders>
              <w:top w:val="single" w:sz="8" w:color="auto"/>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Other non-cash</w:t>
            </w:r>
          </w:p>
        </w:tc>
        <w:tc>
          <w:tcPr>
            <w:tcW w:w="1400" w:type="dxa"/>
            <w:vAlign w:val="bottom"/>
            <w:tcBorders>
              <w:top w:val="single" w:sz="8" w:color="auto"/>
            </w:tcBorders>
            <w:shd w:val="clear" w:color="auto" w:fill="CCEEFF"/>
          </w:tcPr>
          <w:p>
            <w:pPr>
              <w:spacing w:after="0"/>
              <w:rPr>
                <w:sz w:val="14"/>
                <w:szCs w:val="14"/>
                <w:color w:val="auto"/>
              </w:rPr>
            </w:pPr>
          </w:p>
        </w:tc>
      </w:tr>
      <w:tr>
        <w:trPr>
          <w:trHeight w:val="177"/>
        </w:trPr>
        <w:tc>
          <w:tcPr>
            <w:tcW w:w="26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Balance 1 Jan 2019</w:t>
            </w:r>
          </w:p>
        </w:tc>
        <w:tc>
          <w:tcPr>
            <w:tcW w:w="15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3"/>
                <w:szCs w:val="13"/>
                <w:b w:val="1"/>
                <w:bCs w:val="1"/>
                <w:color w:val="auto"/>
              </w:rPr>
              <w:t>Drawn down</w:t>
            </w:r>
          </w:p>
        </w:tc>
        <w:tc>
          <w:tcPr>
            <w:tcW w:w="11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3"/>
                <w:szCs w:val="13"/>
                <w:b w:val="1"/>
                <w:bCs w:val="1"/>
                <w:color w:val="auto"/>
              </w:rPr>
              <w:t>Repaid</w:t>
            </w:r>
          </w:p>
        </w:tc>
        <w:tc>
          <w:tcPr>
            <w:tcW w:w="15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Net cash inflow</w:t>
            </w:r>
          </w:p>
        </w:tc>
        <w:tc>
          <w:tcPr>
            <w:tcW w:w="13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adjustments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Balance 31 Dec 2019</w:t>
            </w:r>
          </w:p>
        </w:tc>
      </w:tr>
      <w:tr>
        <w:trPr>
          <w:trHeight w:val="169"/>
        </w:trPr>
        <w:tc>
          <w:tcPr>
            <w:tcW w:w="2600" w:type="dxa"/>
            <w:vAlign w:val="bottom"/>
          </w:tcPr>
          <w:p>
            <w:pPr>
              <w:ind w:left="20"/>
              <w:spacing w:after="0"/>
              <w:rPr>
                <w:sz w:val="20"/>
                <w:szCs w:val="20"/>
                <w:color w:val="auto"/>
              </w:rPr>
            </w:pPr>
            <w:r>
              <w:rPr>
                <w:rFonts w:ascii="Arial" w:cs="Arial" w:eastAsia="Arial" w:hAnsi="Arial"/>
                <w:sz w:val="13"/>
                <w:szCs w:val="13"/>
                <w:color w:val="auto"/>
              </w:rPr>
              <w:t>Net cash and cash</w:t>
            </w:r>
          </w:p>
        </w:tc>
        <w:tc>
          <w:tcPr>
            <w:tcW w:w="1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1"/>
        </w:trPr>
        <w:tc>
          <w:tcPr>
            <w:tcW w:w="2600" w:type="dxa"/>
            <w:vAlign w:val="bottom"/>
          </w:tcPr>
          <w:p>
            <w:pPr>
              <w:ind w:left="20"/>
              <w:spacing w:after="0"/>
              <w:rPr>
                <w:sz w:val="20"/>
                <w:szCs w:val="20"/>
                <w:color w:val="auto"/>
              </w:rPr>
            </w:pPr>
            <w:r>
              <w:rPr>
                <w:rFonts w:ascii="Arial" w:cs="Arial" w:eastAsia="Arial" w:hAnsi="Arial"/>
                <w:sz w:val="13"/>
                <w:szCs w:val="13"/>
                <w:color w:val="auto"/>
              </w:rPr>
              <w:t>equivalents</w:t>
            </w:r>
          </w:p>
        </w:tc>
        <w:tc>
          <w:tcPr>
            <w:tcW w:w="1740" w:type="dxa"/>
            <w:vAlign w:val="bottom"/>
          </w:tcPr>
          <w:p>
            <w:pPr>
              <w:jc w:val="right"/>
              <w:ind w:right="456"/>
              <w:spacing w:after="0"/>
              <w:rPr>
                <w:sz w:val="20"/>
                <w:szCs w:val="20"/>
                <w:color w:val="auto"/>
              </w:rPr>
            </w:pPr>
            <w:r>
              <w:rPr>
                <w:rFonts w:ascii="Arial" w:cs="Arial" w:eastAsia="Arial" w:hAnsi="Arial"/>
                <w:sz w:val="13"/>
                <w:szCs w:val="13"/>
                <w:color w:val="auto"/>
              </w:rPr>
              <w:t>395,851</w:t>
            </w:r>
          </w:p>
        </w:tc>
        <w:tc>
          <w:tcPr>
            <w:tcW w:w="1560" w:type="dxa"/>
            <w:vAlign w:val="bottom"/>
          </w:tcPr>
          <w:p>
            <w:pPr>
              <w:ind w:left="900"/>
              <w:spacing w:after="0"/>
              <w:rPr>
                <w:sz w:val="20"/>
                <w:szCs w:val="20"/>
                <w:color w:val="auto"/>
              </w:rPr>
            </w:pPr>
            <w:r>
              <w:rPr>
                <w:rFonts w:ascii="Arial" w:cs="Arial" w:eastAsia="Arial" w:hAnsi="Arial"/>
                <w:sz w:val="13"/>
                <w:szCs w:val="13"/>
                <w:color w:val="auto"/>
              </w:rPr>
              <w:t>—</w:t>
            </w:r>
          </w:p>
        </w:tc>
        <w:tc>
          <w:tcPr>
            <w:tcW w:w="1100" w:type="dxa"/>
            <w:vAlign w:val="bottom"/>
          </w:tcPr>
          <w:p>
            <w:pPr>
              <w:ind w:left="560"/>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336"/>
              <w:spacing w:after="0"/>
              <w:rPr>
                <w:sz w:val="20"/>
                <w:szCs w:val="20"/>
                <w:color w:val="auto"/>
              </w:rPr>
            </w:pPr>
            <w:r>
              <w:rPr>
                <w:rFonts w:ascii="Arial" w:cs="Arial" w:eastAsia="Arial" w:hAnsi="Arial"/>
                <w:sz w:val="13"/>
                <w:szCs w:val="13"/>
                <w:color w:val="auto"/>
              </w:rPr>
              <w:t>125,108</w:t>
            </w:r>
          </w:p>
        </w:tc>
        <w:tc>
          <w:tcPr>
            <w:tcW w:w="1360" w:type="dxa"/>
            <w:vAlign w:val="bottom"/>
          </w:tcPr>
          <w:p>
            <w:pPr>
              <w:jc w:val="right"/>
              <w:ind w:right="156"/>
              <w:spacing w:after="0"/>
              <w:rPr>
                <w:sz w:val="20"/>
                <w:szCs w:val="20"/>
                <w:color w:val="auto"/>
              </w:rPr>
            </w:pPr>
            <w:r>
              <w:rPr>
                <w:rFonts w:ascii="Arial" w:cs="Arial" w:eastAsia="Arial" w:hAnsi="Arial"/>
                <w:sz w:val="13"/>
                <w:szCs w:val="13"/>
                <w:color w:val="auto"/>
              </w:rPr>
              <w:t>(650)</w:t>
            </w: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520,309</w:t>
            </w:r>
          </w:p>
        </w:tc>
      </w:tr>
      <w:tr>
        <w:trPr>
          <w:trHeight w:val="179"/>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Financial assets at fair value through other</w:t>
            </w:r>
          </w:p>
        </w:tc>
        <w:tc>
          <w:tcPr>
            <w:tcW w:w="17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68"/>
        </w:trPr>
        <w:tc>
          <w:tcPr>
            <w:tcW w:w="2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income</w:t>
            </w:r>
          </w:p>
        </w:tc>
        <w:tc>
          <w:tcPr>
            <w:tcW w:w="17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59,910</w:t>
            </w:r>
          </w:p>
        </w:tc>
        <w:tc>
          <w:tcPr>
            <w:tcW w:w="1560" w:type="dxa"/>
            <w:vAlign w:val="bottom"/>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(12,028)</w:t>
            </w:r>
          </w:p>
        </w:tc>
        <w:tc>
          <w:tcPr>
            <w:tcW w:w="1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1,746</w:t>
            </w: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49,628</w:t>
            </w:r>
          </w:p>
        </w:tc>
      </w:tr>
      <w:tr>
        <w:trPr>
          <w:trHeight w:val="183"/>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Private placement notes</w:t>
            </w:r>
          </w:p>
        </w:tc>
        <w:tc>
          <w:tcPr>
            <w:tcW w:w="17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color w:val="auto"/>
              </w:rPr>
              <w:t>(349,264)</w:t>
            </w:r>
          </w:p>
        </w:tc>
        <w:tc>
          <w:tcPr>
            <w:tcW w:w="1560" w:type="dxa"/>
            <w:vAlign w:val="bottom"/>
            <w:tcBorders>
              <w:bottom w:val="single" w:sz="8" w:color="auto"/>
            </w:tcBorders>
          </w:tcPr>
          <w:p>
            <w:pPr>
              <w:ind w:left="90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(376)</w:t>
            </w:r>
          </w:p>
        </w:tc>
        <w:tc>
          <w:tcPr>
            <w:tcW w:w="14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(349,640)</w:t>
            </w:r>
          </w:p>
        </w:tc>
      </w:tr>
      <w:tr>
        <w:trPr>
          <w:trHeight w:val="207"/>
        </w:trPr>
        <w:tc>
          <w:tcPr>
            <w:tcW w:w="260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106,497</w:t>
            </w:r>
          </w:p>
        </w:tc>
        <w:tc>
          <w:tcPr>
            <w:tcW w:w="15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113,080</w:t>
            </w:r>
          </w:p>
        </w:tc>
        <w:tc>
          <w:tcPr>
            <w:tcW w:w="1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720</w:t>
            </w:r>
          </w:p>
        </w:tc>
        <w:tc>
          <w:tcPr>
            <w:tcW w:w="14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220,297</w:t>
            </w:r>
          </w:p>
        </w:tc>
      </w:tr>
      <w:tr>
        <w:trPr>
          <w:trHeight w:val="20"/>
        </w:trPr>
        <w:tc>
          <w:tcPr>
            <w:tcW w:w="26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On 12 March 2018, the Company entered into a five year committed multi-currency Revolving Credit Facility for $150.0 million with Citibank, JP Morgan, Santander, HSBC Bank and Morgan Stanley International (“Revolving Credit Facility”). Each bank subject to the agreement has committed $30.0 million to the facility, with equal terms and conditions in place with all institutions. The facility is guaranteed by ICON plc. The facility replaces the $100.0 million facility which was entered into in June 2014 due to mature in June 2019. The facility bears interest at LIBOR plus a margin. We continue to monitor the phasing out of LIBOR which is currently scheduled for 2021. We have engaged with our lenders on the implications of the change. In the absence of an agreed new rate, documents continue to be negotiated using LIBOR. We will continue to engage with our lenders in respect of the requirement for a new rate and seek an amendment letter at that point. No amounts were drawn at 31 December 2019 or at 31 December 2018, in respect of the Revolving Credit Facility. Amounts available to the Group under the facility at 31 December 2019 and at 31 December 2018 were $150.0 million.</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On 15 December 2015 the Company issued, through its subsidiary ICON Investment Five Unlimited Company (the "Issuer"), Senior Notes for aggregate gross proceeds of $350 million. The Senior Notes will mature on 15 December 2020. Interest payable is fixed at 3.64% and is payable semi-annually on the Senior Notes on each 15 June and 15 December which commenced on 15 June 2016. The Senior Notes are guaranteed by ICON plc. The Senior Notes may be redeemed, at the Issuer's option, at any time prior to maturity, at par plus a make whole premium, together with accrued and unpaid interest, if any, to the redemption date. The terms of the notes are set forth in the Note Purchase and Guarantee Agreement, dated as of 15 December 2015, by and among the Issuer, ICON plc and the purchasers named therein (“Note Purchase and Guarantee Agreement”). The Issuer used the proceeds from the sale of the Senior Notes to repay the existing $350 million bridge facility. The Senior Notes are presented net of related financing costs on the Consolidated Statement of Financial Position ($349.6 million at 31 December 2019).</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Note Purchase and Guarantee Agreement includes certain financial covenants that require compliance with a consolidated leverage ratio, a minimum EBIT to consolidated net interest charge ratio and a maximum amount of priority debt. The financial covenants are defined in the Note Purchase and Guarantee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The Senior Notes and the Revolving Credit Facility credit agreements also include certain customary covenants that restrict the Group’s ability to enter into certain transactions or events including:</w:t>
      </w:r>
    </w:p>
    <w:p>
      <w:pPr>
        <w:spacing w:after="0" w:line="189" w:lineRule="exact"/>
        <w:rPr>
          <w:sz w:val="20"/>
          <w:szCs w:val="20"/>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incur or assume liens or additional debt;</w:t>
      </w: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dispose of assets;</w:t>
      </w: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engage in mergers or reorganisations; or</w:t>
      </w: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enter into certain types of transactions with affiliates.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280"/>
          </w:cols>
          <w:pgMar w:left="300" w:top="696" w:right="31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24. Share capital</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40" w:type="dxa"/>
            <w:vAlign w:val="bottom"/>
          </w:tcPr>
          <w:p>
            <w:pPr>
              <w:spacing w:after="0"/>
              <w:rPr>
                <w:sz w:val="20"/>
                <w:szCs w:val="20"/>
                <w:color w:val="auto"/>
              </w:rPr>
            </w:pPr>
            <w:r>
              <w:rPr>
                <w:rFonts w:ascii="Arial" w:cs="Arial" w:eastAsia="Arial" w:hAnsi="Arial"/>
                <w:sz w:val="13"/>
                <w:szCs w:val="13"/>
                <w:b w:val="1"/>
                <w:bCs w:val="1"/>
                <w:i w:val="1"/>
                <w:iCs w:val="1"/>
                <w:color w:val="auto"/>
              </w:rPr>
              <w:t>Group and Company</w:t>
            </w:r>
          </w:p>
        </w:tc>
        <w:tc>
          <w:tcPr>
            <w:tcW w:w="3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00"/>
        </w:trPr>
        <w:tc>
          <w:tcPr>
            <w:tcW w:w="66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460" w:type="dxa"/>
            <w:vAlign w:val="bottom"/>
            <w:gridSpan w:val="2"/>
          </w:tcPr>
          <w:p>
            <w:pPr>
              <w:spacing w:after="0"/>
              <w:rPr>
                <w:sz w:val="8"/>
                <w:szCs w:val="8"/>
                <w:color w:val="auto"/>
              </w:rPr>
            </w:pPr>
          </w:p>
        </w:tc>
      </w:tr>
      <w:tr>
        <w:trPr>
          <w:trHeight w:val="183"/>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Authorised share capital:</w:t>
            </w:r>
          </w:p>
        </w:tc>
        <w:tc>
          <w:tcPr>
            <w:tcW w:w="31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No. of Ordinary Shares</w:t>
            </w:r>
          </w:p>
        </w:tc>
        <w:tc>
          <w:tcPr>
            <w:tcW w:w="20" w:type="dxa"/>
            <w:vAlign w:val="bottom"/>
          </w:tcPr>
          <w:p>
            <w:pPr>
              <w:spacing w:after="0"/>
              <w:rPr>
                <w:sz w:val="15"/>
                <w:szCs w:val="15"/>
                <w:color w:val="auto"/>
              </w:rPr>
            </w:pPr>
          </w:p>
        </w:tc>
      </w:tr>
      <w:tr>
        <w:trPr>
          <w:trHeight w:val="189"/>
        </w:trPr>
        <w:tc>
          <w:tcPr>
            <w:tcW w:w="66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Ordinary shares of par value €0.06</w:t>
            </w:r>
          </w:p>
        </w:tc>
        <w:tc>
          <w:tcPr>
            <w:tcW w:w="31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100,000,000</w:t>
            </w:r>
          </w:p>
        </w:tc>
        <w:tc>
          <w:tcPr>
            <w:tcW w:w="20" w:type="dxa"/>
            <w:vAlign w:val="bottom"/>
          </w:tcPr>
          <w:p>
            <w:pPr>
              <w:spacing w:after="0"/>
              <w:rPr>
                <w:sz w:val="15"/>
                <w:szCs w:val="15"/>
                <w:color w:val="auto"/>
              </w:rPr>
            </w:pPr>
          </w:p>
        </w:tc>
      </w:tr>
      <w:tr>
        <w:trPr>
          <w:trHeight w:val="348"/>
        </w:trPr>
        <w:tc>
          <w:tcPr>
            <w:tcW w:w="66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60" w:type="dxa"/>
            <w:vAlign w:val="bottom"/>
            <w:gridSpan w:val="2"/>
          </w:tcPr>
          <w:p>
            <w:pPr>
              <w:spacing w:after="0"/>
              <w:rPr>
                <w:sz w:val="24"/>
                <w:szCs w:val="24"/>
                <w:color w:val="auto"/>
              </w:rPr>
            </w:pPr>
          </w:p>
        </w:tc>
      </w:tr>
      <w:tr>
        <w:trPr>
          <w:trHeight w:val="155"/>
        </w:trPr>
        <w:tc>
          <w:tcPr>
            <w:tcW w:w="6640" w:type="dxa"/>
            <w:vAlign w:val="bottom"/>
            <w:shd w:val="clear" w:color="auto" w:fill="CCEEFF"/>
          </w:tcPr>
          <w:p>
            <w:pPr>
              <w:spacing w:after="0"/>
              <w:rPr>
                <w:sz w:val="13"/>
                <w:szCs w:val="13"/>
                <w:color w:val="auto"/>
              </w:rPr>
            </w:pPr>
          </w:p>
        </w:tc>
        <w:tc>
          <w:tcPr>
            <w:tcW w:w="3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 December</w:t>
            </w:r>
          </w:p>
        </w:tc>
      </w:tr>
      <w:tr>
        <w:trPr>
          <w:trHeight w:val="177"/>
        </w:trPr>
        <w:tc>
          <w:tcPr>
            <w:tcW w:w="6640" w:type="dxa"/>
            <w:vAlign w:val="bottom"/>
            <w:tcBorders>
              <w:bottom w:val="single" w:sz="8" w:color="auto"/>
            </w:tcBorders>
            <w:shd w:val="clear" w:color="auto" w:fill="CCEEFF"/>
          </w:tcPr>
          <w:p>
            <w:pPr>
              <w:spacing w:after="0"/>
              <w:rPr>
                <w:sz w:val="15"/>
                <w:szCs w:val="15"/>
                <w:color w:val="auto"/>
              </w:rPr>
            </w:pPr>
          </w:p>
        </w:tc>
        <w:tc>
          <w:tcPr>
            <w:tcW w:w="3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2019</w:t>
            </w: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2018</w:t>
            </w:r>
          </w:p>
        </w:tc>
      </w:tr>
      <w:tr>
        <w:trPr>
          <w:trHeight w:val="182"/>
        </w:trPr>
        <w:tc>
          <w:tcPr>
            <w:tcW w:w="6640" w:type="dxa"/>
            <w:vAlign w:val="bottom"/>
          </w:tcPr>
          <w:p>
            <w:pPr>
              <w:spacing w:after="0"/>
              <w:rPr>
                <w:sz w:val="15"/>
                <w:szCs w:val="15"/>
                <w:color w:val="auto"/>
              </w:rPr>
            </w:pPr>
          </w:p>
        </w:tc>
        <w:tc>
          <w:tcPr>
            <w:tcW w:w="31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146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r>
      <w:tr>
        <w:trPr>
          <w:trHeight w:val="209"/>
        </w:trPr>
        <w:tc>
          <w:tcPr>
            <w:tcW w:w="66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3"/>
        </w:trPr>
        <w:tc>
          <w:tcPr>
            <w:tcW w:w="6640" w:type="dxa"/>
            <w:vAlign w:val="bottom"/>
          </w:tcPr>
          <w:p>
            <w:pPr>
              <w:ind w:left="20"/>
              <w:spacing w:after="0"/>
              <w:rPr>
                <w:sz w:val="20"/>
                <w:szCs w:val="20"/>
                <w:color w:val="auto"/>
              </w:rPr>
            </w:pPr>
            <w:r>
              <w:rPr>
                <w:rFonts w:ascii="Arial" w:cs="Arial" w:eastAsia="Arial" w:hAnsi="Arial"/>
                <w:sz w:val="13"/>
                <w:szCs w:val="13"/>
                <w:b w:val="1"/>
                <w:bCs w:val="1"/>
                <w:color w:val="auto"/>
              </w:rPr>
              <w:t>Allotted, called up and fully paid</w:t>
            </w:r>
          </w:p>
        </w:tc>
        <w:tc>
          <w:tcPr>
            <w:tcW w:w="3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53,622,206 (31 December 2018: 53,971,706) ordinary shares of €0.06 each</w:t>
            </w:r>
          </w:p>
        </w:tc>
        <w:tc>
          <w:tcPr>
            <w:tcW w:w="31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4,635</w:t>
            </w:r>
          </w:p>
        </w:tc>
        <w:tc>
          <w:tcPr>
            <w:tcW w:w="14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4,658</w:t>
            </w:r>
          </w:p>
        </w:tc>
        <w:tc>
          <w:tcPr>
            <w:tcW w:w="20" w:type="dxa"/>
            <w:vAlign w:val="bottom"/>
            <w:tcBorders>
              <w:bottom w:val="single" w:sz="8" w:color="auto"/>
            </w:tcBorders>
            <w:shd w:val="clear" w:color="auto" w:fill="CCEEFF"/>
          </w:tcPr>
          <w:p>
            <w:pPr>
              <w:spacing w:after="0"/>
              <w:rPr>
                <w:sz w:val="16"/>
                <w:szCs w:val="16"/>
                <w:color w:val="auto"/>
              </w:rPr>
            </w:pPr>
          </w:p>
        </w:tc>
      </w:tr>
      <w:tr>
        <w:trPr>
          <w:trHeight w:val="157"/>
        </w:trPr>
        <w:tc>
          <w:tcPr>
            <w:tcW w:w="66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1"/>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Issued, fully paid share capital</w:t>
            </w:r>
          </w:p>
        </w:tc>
        <w:tc>
          <w:tcPr>
            <w:tcW w:w="3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3"/>
        </w:trPr>
        <w:tc>
          <w:tcPr>
            <w:tcW w:w="6640" w:type="dxa"/>
            <w:vAlign w:val="bottom"/>
          </w:tcPr>
          <w:p>
            <w:pPr>
              <w:ind w:left="20"/>
              <w:spacing w:after="0"/>
              <w:rPr>
                <w:sz w:val="20"/>
                <w:szCs w:val="20"/>
                <w:color w:val="auto"/>
              </w:rPr>
            </w:pPr>
            <w:r>
              <w:rPr>
                <w:rFonts w:ascii="Arial" w:cs="Arial" w:eastAsia="Arial" w:hAnsi="Arial"/>
                <w:sz w:val="13"/>
                <w:szCs w:val="13"/>
                <w:color w:val="auto"/>
              </w:rPr>
              <w:t>At beginning of year</w:t>
            </w:r>
          </w:p>
        </w:tc>
        <w:tc>
          <w:tcPr>
            <w:tcW w:w="3180" w:type="dxa"/>
            <w:vAlign w:val="bottom"/>
          </w:tcPr>
          <w:p>
            <w:pPr>
              <w:jc w:val="right"/>
              <w:ind w:right="96"/>
              <w:spacing w:after="0"/>
              <w:rPr>
                <w:sz w:val="20"/>
                <w:szCs w:val="20"/>
                <w:color w:val="auto"/>
              </w:rPr>
            </w:pPr>
            <w:r>
              <w:rPr>
                <w:rFonts w:ascii="Arial" w:cs="Arial" w:eastAsia="Arial" w:hAnsi="Arial"/>
                <w:sz w:val="13"/>
                <w:szCs w:val="13"/>
                <w:b w:val="1"/>
                <w:bCs w:val="1"/>
                <w:color w:val="auto"/>
              </w:rPr>
              <w:t>4,658</w:t>
            </w:r>
          </w:p>
        </w:tc>
        <w:tc>
          <w:tcPr>
            <w:tcW w:w="1440" w:type="dxa"/>
            <w:vAlign w:val="bottom"/>
          </w:tcPr>
          <w:p>
            <w:pPr>
              <w:jc w:val="right"/>
              <w:ind w:right="56"/>
              <w:spacing w:after="0"/>
              <w:rPr>
                <w:sz w:val="20"/>
                <w:szCs w:val="20"/>
                <w:color w:val="auto"/>
              </w:rPr>
            </w:pPr>
            <w:r>
              <w:rPr>
                <w:rFonts w:ascii="Arial" w:cs="Arial" w:eastAsia="Arial" w:hAnsi="Arial"/>
                <w:sz w:val="13"/>
                <w:szCs w:val="13"/>
                <w:color w:val="auto"/>
              </w:rPr>
              <w:t>4,664</w:t>
            </w:r>
          </w:p>
        </w:tc>
        <w:tc>
          <w:tcPr>
            <w:tcW w:w="20" w:type="dxa"/>
            <w:vAlign w:val="bottom"/>
          </w:tcPr>
          <w:p>
            <w:pPr>
              <w:spacing w:after="0"/>
              <w:rPr>
                <w:sz w:val="15"/>
                <w:szCs w:val="15"/>
                <w:color w:val="auto"/>
              </w:rPr>
            </w:pPr>
          </w:p>
        </w:tc>
      </w:tr>
      <w:tr>
        <w:trPr>
          <w:trHeight w:val="199"/>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 share options exercised</w:t>
            </w:r>
          </w:p>
        </w:tc>
        <w:tc>
          <w:tcPr>
            <w:tcW w:w="318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22</w:t>
            </w:r>
          </w:p>
        </w:tc>
        <w:tc>
          <w:tcPr>
            <w:tcW w:w="14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29</w:t>
            </w:r>
          </w:p>
        </w:tc>
        <w:tc>
          <w:tcPr>
            <w:tcW w:w="20" w:type="dxa"/>
            <w:vAlign w:val="bottom"/>
            <w:shd w:val="clear" w:color="auto" w:fill="CCEEFF"/>
          </w:tcPr>
          <w:p>
            <w:pPr>
              <w:spacing w:after="0"/>
              <w:rPr>
                <w:sz w:val="17"/>
                <w:szCs w:val="17"/>
                <w:color w:val="auto"/>
              </w:rPr>
            </w:pPr>
          </w:p>
        </w:tc>
      </w:tr>
      <w:tr>
        <w:trPr>
          <w:trHeight w:val="183"/>
        </w:trPr>
        <w:tc>
          <w:tcPr>
            <w:tcW w:w="6640" w:type="dxa"/>
            <w:vAlign w:val="bottom"/>
          </w:tcPr>
          <w:p>
            <w:pPr>
              <w:ind w:left="20"/>
              <w:spacing w:after="0"/>
              <w:rPr>
                <w:sz w:val="20"/>
                <w:szCs w:val="20"/>
                <w:color w:val="auto"/>
              </w:rPr>
            </w:pPr>
            <w:r>
              <w:rPr>
                <w:rFonts w:ascii="Arial" w:cs="Arial" w:eastAsia="Arial" w:hAnsi="Arial"/>
                <w:sz w:val="13"/>
                <w:szCs w:val="13"/>
                <w:color w:val="auto"/>
              </w:rPr>
              <w:t>Restricted share units/ performance share units</w:t>
            </w:r>
          </w:p>
        </w:tc>
        <w:tc>
          <w:tcPr>
            <w:tcW w:w="3180" w:type="dxa"/>
            <w:vAlign w:val="bottom"/>
          </w:tcPr>
          <w:p>
            <w:pPr>
              <w:jc w:val="right"/>
              <w:ind w:right="96"/>
              <w:spacing w:after="0"/>
              <w:rPr>
                <w:sz w:val="20"/>
                <w:szCs w:val="20"/>
                <w:color w:val="auto"/>
              </w:rPr>
            </w:pPr>
            <w:r>
              <w:rPr>
                <w:rFonts w:ascii="Arial" w:cs="Arial" w:eastAsia="Arial" w:hAnsi="Arial"/>
                <w:sz w:val="13"/>
                <w:szCs w:val="13"/>
                <w:b w:val="1"/>
                <w:bCs w:val="1"/>
                <w:color w:val="auto"/>
              </w:rPr>
              <w:t>24</w:t>
            </w:r>
          </w:p>
        </w:tc>
        <w:tc>
          <w:tcPr>
            <w:tcW w:w="1440" w:type="dxa"/>
            <w:vAlign w:val="bottom"/>
          </w:tcPr>
          <w:p>
            <w:pPr>
              <w:jc w:val="right"/>
              <w:ind w:right="56"/>
              <w:spacing w:after="0"/>
              <w:rPr>
                <w:sz w:val="20"/>
                <w:szCs w:val="20"/>
                <w:color w:val="auto"/>
              </w:rPr>
            </w:pPr>
            <w:r>
              <w:rPr>
                <w:rFonts w:ascii="Arial" w:cs="Arial" w:eastAsia="Arial" w:hAnsi="Arial"/>
                <w:sz w:val="13"/>
                <w:szCs w:val="13"/>
                <w:color w:val="auto"/>
              </w:rPr>
              <w:t>36</w:t>
            </w:r>
          </w:p>
        </w:tc>
        <w:tc>
          <w:tcPr>
            <w:tcW w:w="20" w:type="dxa"/>
            <w:vAlign w:val="bottom"/>
          </w:tcPr>
          <w:p>
            <w:pPr>
              <w:spacing w:after="0"/>
              <w:rPr>
                <w:sz w:val="15"/>
                <w:szCs w:val="15"/>
                <w:color w:val="auto"/>
              </w:rPr>
            </w:pPr>
          </w:p>
        </w:tc>
      </w:tr>
      <w:tr>
        <w:trPr>
          <w:trHeight w:val="191"/>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Repurchase of ordinary shares</w:t>
            </w:r>
          </w:p>
        </w:tc>
        <w:tc>
          <w:tcPr>
            <w:tcW w:w="31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(69)</w:t>
            </w:r>
          </w:p>
        </w:tc>
        <w:tc>
          <w:tcPr>
            <w:tcW w:w="14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(71)</w:t>
            </w:r>
          </w:p>
        </w:tc>
        <w:tc>
          <w:tcPr>
            <w:tcW w:w="20" w:type="dxa"/>
            <w:vAlign w:val="bottom"/>
            <w:tcBorders>
              <w:bottom w:val="single" w:sz="8" w:color="auto"/>
            </w:tcBorders>
            <w:shd w:val="clear" w:color="auto" w:fill="CCEEFF"/>
          </w:tcPr>
          <w:p>
            <w:pPr>
              <w:spacing w:after="0"/>
              <w:rPr>
                <w:sz w:val="16"/>
                <w:szCs w:val="16"/>
                <w:color w:val="auto"/>
              </w:rPr>
            </w:pPr>
          </w:p>
        </w:tc>
      </w:tr>
      <w:tr>
        <w:trPr>
          <w:trHeight w:val="157"/>
        </w:trPr>
        <w:tc>
          <w:tcPr>
            <w:tcW w:w="66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2"/>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end of year</w:t>
            </w:r>
          </w:p>
        </w:tc>
        <w:tc>
          <w:tcPr>
            <w:tcW w:w="31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4,635</w:t>
            </w:r>
          </w:p>
        </w:tc>
        <w:tc>
          <w:tcPr>
            <w:tcW w:w="14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4,658</w:t>
            </w:r>
          </w:p>
        </w:tc>
        <w:tc>
          <w:tcPr>
            <w:tcW w:w="20" w:type="dxa"/>
            <w:vAlign w:val="bottom"/>
            <w:tcBorders>
              <w:bottom w:val="single" w:sz="8" w:color="auto"/>
            </w:tcBorders>
            <w:shd w:val="clear" w:color="auto" w:fill="CCEEFF"/>
          </w:tcPr>
          <w:p>
            <w:pPr>
              <w:spacing w:after="0"/>
              <w:rPr>
                <w:sz w:val="16"/>
                <w:szCs w:val="16"/>
                <w:color w:val="auto"/>
              </w:rPr>
            </w:pPr>
          </w:p>
        </w:tc>
      </w:tr>
    </w:tbl>
    <w:p>
      <w:pPr>
        <w:spacing w:after="0" w:line="267" w:lineRule="exact"/>
        <w:rPr>
          <w:sz w:val="20"/>
          <w:szCs w:val="20"/>
          <w:color w:val="auto"/>
        </w:rPr>
      </w:pPr>
    </w:p>
    <w:p>
      <w:pPr>
        <w:jc w:val="both"/>
        <w:spacing w:after="0"/>
        <w:rPr>
          <w:sz w:val="20"/>
          <w:szCs w:val="20"/>
          <w:color w:val="auto"/>
        </w:rPr>
      </w:pPr>
      <w:r>
        <w:rPr>
          <w:rFonts w:ascii="Arial" w:cs="Arial" w:eastAsia="Arial" w:hAnsi="Arial"/>
          <w:sz w:val="13"/>
          <w:szCs w:val="13"/>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12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During the year ended 31 December 2019, 329,870 options were exercised by employees at an average exercise price of $65.54 per share for total proceeds of $21.6 million. During the year ended 31 December 2019, 237,119 ordinary shares were issued in respect of certain RSUs and 118,611 ordinary shares were issued in respect of PSUs previously awarded by the Company.</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During the year ended 31 December 2018, 408,699 options were exercised by employees at an average exercise price of $41.12 per share for total proceeds of $16.8 million. During the year ended 31 December 2018, 273,742 ordinary shares were issued in respect of certain RSUs and 215,826 ordinary shares were issued in respect of PSUs previously awarded by the Company.</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repurchase programme</w:t>
      </w:r>
    </w:p>
    <w:p>
      <w:pPr>
        <w:spacing w:after="0" w:line="9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A resolution was passed at the Company’s Annual General Meeting (“AGM”) on 22 July 2016, which authorised the Directors to purchase (buyback) up to 10% of the outstanding shares in the Company. This authorisation was renewed at the Company's AGM on each of 25 July 2017, 24 July 2018 and 23 July 23 2019. On 3 October 2016, the Company commenced a share buyback programme of up to $400 million. The share buyback programme was completed during the year ended 31 December 2018 with a total of 4,026,576 ordinary shares redeemed by the Company for a total consideration of $372.1 million. On 8 January 2019, the Company commenced a further share buyback programme of up to 1.0 million ordinary shares which was completed during the year ended 31 December 2019. These shares were redeemed by the Company for a total consideration of $141.6 million. On 22 October 2019 the Company commenced a further share buyback programme. At 31 December 2019, 35,100 ordinary shares were redeemed by the Company under this programme for a total consideration of $5.3 million.</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All ordinary shares that were redeemed under the buyback programme were cancelled in accordance with the Constitution of the Company and the nominal value of these shares transferred to other undenominated capital as required under Irish Company law.</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280"/>
          </w:cols>
          <w:pgMar w:left="300" w:top="696" w:right="31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24. Share capital (continued)</w:t>
      </w:r>
    </w:p>
    <w:p>
      <w:pPr>
        <w:spacing w:after="0" w:line="34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Under the repurchase programme, a broker purchased the Company’s shares from time to time on the open market or in privately negotiated transactions in accordance with agreed terms and limitations. The programme was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programme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programme. In addition, acquisitions under the programme may be suspended or discontinued in certain circumstances in accordance with the agreed terms. Therefore, there can be no assurance as to the timing or number of shares that may be acquired under the programme.</w:t>
      </w: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25. Capital and reserves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80" w:type="dxa"/>
            <w:vAlign w:val="bottom"/>
            <w:shd w:val="clear" w:color="auto" w:fill="CCEEFF"/>
          </w:tcPr>
          <w:p>
            <w:pPr>
              <w:spacing w:after="0"/>
              <w:rPr>
                <w:sz w:val="13"/>
                <w:szCs w:val="13"/>
                <w:color w:val="auto"/>
              </w:rPr>
            </w:pPr>
          </w:p>
        </w:tc>
        <w:tc>
          <w:tcPr>
            <w:tcW w:w="436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5780" w:type="dxa"/>
            <w:vAlign w:val="bottom"/>
            <w:tcBorders>
              <w:bottom w:val="single" w:sz="8" w:color="auto"/>
            </w:tcBorders>
            <w:shd w:val="clear" w:color="auto" w:fill="CCEEFF"/>
          </w:tcPr>
          <w:p>
            <w:pPr>
              <w:spacing w:after="0"/>
              <w:rPr>
                <w:sz w:val="15"/>
                <w:szCs w:val="15"/>
                <w:color w:val="auto"/>
              </w:rPr>
            </w:pPr>
          </w:p>
        </w:tc>
        <w:tc>
          <w:tcPr>
            <w:tcW w:w="43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5780" w:type="dxa"/>
            <w:vAlign w:val="bottom"/>
          </w:tcPr>
          <w:p>
            <w:pPr>
              <w:spacing w:after="0"/>
              <w:rPr>
                <w:sz w:val="15"/>
                <w:szCs w:val="15"/>
                <w:color w:val="auto"/>
              </w:rPr>
            </w:pPr>
          </w:p>
        </w:tc>
        <w:tc>
          <w:tcPr>
            <w:tcW w:w="436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9"/>
        </w:trPr>
        <w:tc>
          <w:tcPr>
            <w:tcW w:w="578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83"/>
        </w:trPr>
        <w:tc>
          <w:tcPr>
            <w:tcW w:w="5780" w:type="dxa"/>
            <w:vAlign w:val="bottom"/>
          </w:tcPr>
          <w:p>
            <w:pPr>
              <w:ind w:left="20"/>
              <w:spacing w:after="0"/>
              <w:rPr>
                <w:sz w:val="20"/>
                <w:szCs w:val="20"/>
                <w:color w:val="auto"/>
              </w:rPr>
            </w:pPr>
            <w:r>
              <w:rPr>
                <w:rFonts w:ascii="Arial" w:cs="Arial" w:eastAsia="Arial" w:hAnsi="Arial"/>
                <w:sz w:val="13"/>
                <w:szCs w:val="13"/>
                <w:color w:val="auto"/>
              </w:rPr>
              <w:t>Share-based payment reserve</w:t>
            </w:r>
          </w:p>
        </w:tc>
        <w:tc>
          <w:tcPr>
            <w:tcW w:w="4360" w:type="dxa"/>
            <w:vAlign w:val="bottom"/>
          </w:tcPr>
          <w:p>
            <w:pPr>
              <w:jc w:val="right"/>
              <w:ind w:right="416"/>
              <w:spacing w:after="0"/>
              <w:rPr>
                <w:sz w:val="20"/>
                <w:szCs w:val="20"/>
                <w:color w:val="auto"/>
              </w:rPr>
            </w:pPr>
            <w:r>
              <w:rPr>
                <w:rFonts w:ascii="Arial" w:cs="Arial" w:eastAsia="Arial" w:hAnsi="Arial"/>
                <w:sz w:val="13"/>
                <w:szCs w:val="13"/>
                <w:b w:val="1"/>
                <w:bCs w:val="1"/>
                <w:color w:val="auto"/>
              </w:rPr>
              <w:t>174,230</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173,326</w:t>
            </w:r>
          </w:p>
        </w:tc>
      </w:tr>
      <w:tr>
        <w:trPr>
          <w:trHeight w:val="199"/>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undenominated capital</w:t>
            </w:r>
          </w:p>
        </w:tc>
        <w:tc>
          <w:tcPr>
            <w:tcW w:w="436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1,052</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983</w:t>
            </w:r>
          </w:p>
        </w:tc>
      </w:tr>
      <w:tr>
        <w:trPr>
          <w:trHeight w:val="183"/>
        </w:trPr>
        <w:tc>
          <w:tcPr>
            <w:tcW w:w="5780" w:type="dxa"/>
            <w:vAlign w:val="bottom"/>
          </w:tcPr>
          <w:p>
            <w:pPr>
              <w:ind w:left="20"/>
              <w:spacing w:after="0"/>
              <w:rPr>
                <w:sz w:val="20"/>
                <w:szCs w:val="20"/>
                <w:color w:val="auto"/>
              </w:rPr>
            </w:pPr>
            <w:r>
              <w:rPr>
                <w:rFonts w:ascii="Arial" w:cs="Arial" w:eastAsia="Arial" w:hAnsi="Arial"/>
                <w:sz w:val="13"/>
                <w:szCs w:val="13"/>
                <w:color w:val="auto"/>
              </w:rPr>
              <w:t>Other reserves</w:t>
            </w:r>
          </w:p>
        </w:tc>
        <w:tc>
          <w:tcPr>
            <w:tcW w:w="4360" w:type="dxa"/>
            <w:vAlign w:val="bottom"/>
          </w:tcPr>
          <w:p>
            <w:pPr>
              <w:jc w:val="right"/>
              <w:ind w:right="416"/>
              <w:spacing w:after="0"/>
              <w:rPr>
                <w:sz w:val="20"/>
                <w:szCs w:val="20"/>
                <w:color w:val="auto"/>
              </w:rPr>
            </w:pPr>
            <w:r>
              <w:rPr>
                <w:rFonts w:ascii="Arial" w:cs="Arial" w:eastAsia="Arial" w:hAnsi="Arial"/>
                <w:sz w:val="13"/>
                <w:szCs w:val="13"/>
                <w:b w:val="1"/>
                <w:bCs w:val="1"/>
                <w:color w:val="auto"/>
              </w:rPr>
              <w:t>10,874</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11,868</w:t>
            </w:r>
          </w:p>
        </w:tc>
      </w:tr>
      <w:tr>
        <w:trPr>
          <w:trHeight w:val="199"/>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translation reserve</w:t>
            </w:r>
          </w:p>
        </w:tc>
        <w:tc>
          <w:tcPr>
            <w:tcW w:w="436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(71,492)</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(67,469)</w:t>
            </w:r>
          </w:p>
        </w:tc>
      </w:tr>
      <w:tr>
        <w:trPr>
          <w:trHeight w:val="183"/>
        </w:trPr>
        <w:tc>
          <w:tcPr>
            <w:tcW w:w="5780" w:type="dxa"/>
            <w:vAlign w:val="bottom"/>
          </w:tcPr>
          <w:p>
            <w:pPr>
              <w:ind w:left="20"/>
              <w:spacing w:after="0"/>
              <w:rPr>
                <w:sz w:val="20"/>
                <w:szCs w:val="20"/>
                <w:color w:val="auto"/>
              </w:rPr>
            </w:pPr>
            <w:r>
              <w:rPr>
                <w:rFonts w:ascii="Arial" w:cs="Arial" w:eastAsia="Arial" w:hAnsi="Arial"/>
                <w:sz w:val="13"/>
                <w:szCs w:val="13"/>
                <w:color w:val="auto"/>
              </w:rPr>
              <w:t>Current asset investment – fair value reserve</w:t>
            </w:r>
          </w:p>
        </w:tc>
        <w:tc>
          <w:tcPr>
            <w:tcW w:w="4360" w:type="dxa"/>
            <w:vAlign w:val="bottom"/>
          </w:tcPr>
          <w:p>
            <w:pPr>
              <w:jc w:val="right"/>
              <w:ind w:right="416"/>
              <w:spacing w:after="0"/>
              <w:rPr>
                <w:sz w:val="20"/>
                <w:szCs w:val="20"/>
                <w:color w:val="auto"/>
              </w:rPr>
            </w:pPr>
            <w:r>
              <w:rPr>
                <w:rFonts w:ascii="Arial" w:cs="Arial" w:eastAsia="Arial" w:hAnsi="Arial"/>
                <w:sz w:val="13"/>
                <w:szCs w:val="13"/>
                <w:b w:val="1"/>
                <w:bCs w:val="1"/>
                <w:color w:val="auto"/>
              </w:rPr>
              <w:t>231</w:t>
            </w: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(450)</w:t>
            </w:r>
          </w:p>
        </w:tc>
      </w:tr>
      <w:tr>
        <w:trPr>
          <w:trHeight w:val="199"/>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Put option in noncontrolling interest shares</w:t>
            </w:r>
          </w:p>
        </w:tc>
        <w:tc>
          <w:tcPr>
            <w:tcW w:w="436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(38,482)</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r>
        <w:trPr>
          <w:trHeight w:val="183"/>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Retained earnings</w:t>
            </w:r>
          </w:p>
        </w:tc>
        <w:tc>
          <w:tcPr>
            <w:tcW w:w="43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1,220,871</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979,834</w:t>
            </w:r>
          </w:p>
        </w:tc>
      </w:tr>
      <w:tr>
        <w:trPr>
          <w:trHeight w:val="189"/>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Subtotal</w:t>
            </w:r>
          </w:p>
        </w:tc>
        <w:tc>
          <w:tcPr>
            <w:tcW w:w="436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1,297,284</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1,098,092</w:t>
            </w:r>
          </w:p>
        </w:tc>
      </w:tr>
      <w:tr>
        <w:trPr>
          <w:trHeight w:val="183"/>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Noncontrolling interest</w:t>
            </w:r>
          </w:p>
        </w:tc>
        <w:tc>
          <w:tcPr>
            <w:tcW w:w="43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34,462</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r>
      <w:tr>
        <w:trPr>
          <w:trHeight w:val="190"/>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3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1,331,746</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1,098,092</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Share-based payment reserve</w:t>
      </w:r>
    </w:p>
    <w:p>
      <w:pPr>
        <w:spacing w:after="0" w:line="1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share-based payment reserve is used to account for share-based payments. The fair value of share-based payments is expensed to the Consolidated Statement of Profit and Loss over the period the related services are received, with a corresponding increase in equity. At 31 December 2019 the Group has recognised a cumulative charge for share-based payments of $263.5 million net of deferred tax (2018: $238.5 million). The Group has also recognised a cumulative credit of $47.7 million (2018: $40.6 million) in reserves for the current and deferred tax effects of the tax benefits relating to the exercise of employee share options in excess of related cumulative compensation expense. The Group has reclassified a cumulative credit of $137.0 million (2018: $105.8 million) to retained earnings in respect of exercised and expired share-based awards.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undenominated capital</w:t>
      </w:r>
    </w:p>
    <w:p>
      <w:pPr>
        <w:spacing w:after="0" w:line="1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Other undenominated capital comprises the nominal value of shares repurchased and cancelled by the Group and transferred from share capital to other undenominated capital as required under Irish Company Law. During the year ended 31 December 2019, 1,035,100 (31 December 2018: 1,008,162) ordinary shares were repurchased and cancelled by the Group.</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280"/>
          </w:cols>
          <w:pgMar w:left="300" w:top="696" w:right="31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25. Capital and reserves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reserves</w:t>
      </w:r>
    </w:p>
    <w:p>
      <w:pPr>
        <w:spacing w:after="0" w:line="11"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The Group has recognised a non-distributable reserve of $3.1 million in accordance with agreements made between the Group and Enterprise Ireland, an Irish government agency. The requirement for these non-distributable reserves will expire between the period 2022 and 2023. In 2005 the Group also recognised a capital contribution of $6.1 million being the fair value of outstanding ordinary shares transferred to Mr Peter Gray, formerly Vice Chairman of the Board of Directors and formerly Chief Executive Officer, by founding Directors, Dr. John Climax and Dr. Ronan Lambe.</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5 October 2015, the Company entered into an interest rate hedge in respect of the planned issuance of the Senior Notes in December 2015. The interest rate hedge matured on 17 November 2015 when the interest rate on the Senior Notes was fixed. The cash proceeds ($4.6 million), representing the realised gain on the interest rate hedge was received on maturity in November 2015 and is recorded in Other Reserves. The realised gain will be amortised to the Consolidated Statement of Profit and Loss, net against interest payable, over the period of the Senior Notes. As of 31 December 2019, $3.7 million was amortised to the Consolidated Statement of Profit and Loss (2018: $2.8 million).</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Currency reserve</w:t>
      </w:r>
    </w:p>
    <w:p>
      <w:pPr>
        <w:spacing w:after="0" w:line="11"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currency reserve comprises all foreign exchange differences arising from the translation of the financial statements of foreign currency denominated operations of the Group since 1 June 2004, the date of transition to IFRS. As at 31 December 2019, this amounted to a cumulative loss of $63.7 million (2018: loss of $62.4 million). In addition the Group has recognised a cumulative loss for the currency impact of long term funding amounting to $4.4 million at 31 December 2019 (2018: loss of $1.7 million) and a cumulative charge of $3.4 million (2018: charge $3.4 million) for the related tax on the currency impact on long term funding.</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During the year ended 31 December 2017, we entered into forward foreign currency contracts in respect of identified exposure arising from euro payments. At 31 December 2019, $Nil was recognised in reserves in respect of the value of the contracts.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Current asset investments – fair value reserve</w:t>
      </w:r>
    </w:p>
    <w:p>
      <w:pPr>
        <w:spacing w:after="0" w:line="1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current asset investment – fair value reserve comprises unrealised fair value gains and losses on current asset investments. The Group has recognised a cumulative gain during the year ended 31 December 2019 of $0.2 million (2018: loss of $0.5 million). Unrealised gains and losses are reclassified to the Consolidated Statement of Profit and Loss on disposal or impairment of the related asset.</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 premium</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Share premium is the difference between the nominal value of shares and the value of consideration for shares issued.</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Noncontrolling interest</w:t>
      </w:r>
    </w:p>
    <w:p>
      <w:pPr>
        <w:spacing w:after="0" w:line="1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ICON acquired a majority ownership interest in MeDiNova during 2019. Included in the purchase agreement are put and call option arrangements with the noncontrolling interest holders that require (put option) or enable (call option) ICON to purchase the remaining minority ownership at a future date. The noncontrolling interest is recorded at its fair value at the acquisition date in equity. The noncontrolling interest continues to be recognised within equity until the noncontrolling interest call/put option is exercised. The carrying amount of noncontrolling interest changes due to allocations of profit or loss, allocations of changes in other comprehensive income and dividends declared for the reporting period. The Company allocates a share of net income to the noncontrolling interest holders based on percentage ownership. In the year ended 31 December 2019, the company allocated $1.9 million of profit to the noncontrolling interest holders.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Put option in noncontrolling interest shares</w:t>
      </w:r>
    </w:p>
    <w:p>
      <w:pPr>
        <w:spacing w:after="0" w:line="11"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financial liability for the noncontrolling interest put option is recognised at the present value of the amount payable upon exercise of the option. On initial recognition, the corresponding debit relating to the financial liability is made to equity attributable to the Company within the category 'put option in noncontrolling interest shares'. For the year ended 31 December 2019, upon initial recognition the company recognised a financial liability of $38.5 million resulting in an equivalent balance within this equity account. Subsequent changes to the carrying amount of the liability are recorded in the Consolidated Statement of Profit and Loss.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Retained earnings</w:t>
      </w:r>
    </w:p>
    <w:p>
      <w:pPr>
        <w:spacing w:after="0" w:line="11"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 xml:space="preserve">In addition to the profit for the financial year the Group has also recognised the re-measurement of the defined benefit pension scheme in this reserve. In 2019, the Group recognised a re-measurement on the defined benefit pension scheme of $(2.4) million (31 December 2018: a re-measurement of $2.6 million). In 2019, the Group recognised share issue costs of $(0.1) million in this reserve. The Group has recognised a credit of $31.3 million (2018: credit of $39.0 million) in respect of exercised and expired share-based awards that have been transferred from the share based payment reserve. During the year, the Group also participated in a share buyback programme. During the year ended 31 December 2019, the Group redeemed a total of 1,035,100 ordinary shares for total consideration of $146.9 million (2018: 1,008,162 ordinary shares were redeemed by the Group for a total consideration of $129.0 million), see </w:t>
      </w:r>
      <w:r>
        <w:rPr>
          <w:rFonts w:ascii="Arial" w:cs="Arial" w:eastAsia="Arial" w:hAnsi="Arial"/>
          <w:sz w:val="12"/>
          <w:szCs w:val="12"/>
          <w:i w:val="1"/>
          <w:iCs w:val="1"/>
          <w:color w:val="auto"/>
        </w:rPr>
        <w:t>note 24 Share Capital</w:t>
      </w:r>
      <w:r>
        <w:rPr>
          <w:rFonts w:ascii="Arial" w:cs="Arial" w:eastAsia="Arial" w:hAnsi="Arial"/>
          <w:sz w:val="12"/>
          <w:szCs w:val="12"/>
          <w:color w:val="auto"/>
        </w:rPr>
        <w:t xml:space="preserve"> for further detail.</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280"/>
          </w:cols>
          <w:pgMar w:left="300" w:top="696" w:right="31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26. Financial instruments</w:t>
      </w:r>
    </w:p>
    <w:p>
      <w:pPr>
        <w:spacing w:after="0" w:line="200" w:lineRule="exact"/>
        <w:rPr>
          <w:sz w:val="20"/>
          <w:szCs w:val="20"/>
          <w:color w:val="auto"/>
        </w:rPr>
      </w:pPr>
    </w:p>
    <w:p>
      <w:pPr>
        <w:spacing w:after="0" w:line="22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Board of Directors have overall responsibility for the establishment and oversight of the Group’s risk managementframework. The Group is exposed to various financial risks in the normal course of its business. The principle financial risks to which it is exposed include credit risks related to the creditworthiness of its customers and counterparties, with which it invests surplus cash funds, liquidity risk associated with the availability of sufficient capital resources, foreign currency risks, including both translation and transaction risk, and interest rate risk.</w:t>
      </w:r>
    </w:p>
    <w:p>
      <w:pPr>
        <w:spacing w:after="0" w:line="123"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The Group’s risk management policies are established to identify and analyse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standards and procedures, aims to develop a disciplined and constructive control environment in which all employees understand their roles and obligations. The Audit Committee of the Board oversees how management monitors compliance with the Group’s risk management policies and procedures and reviews the adequacy of the risk management framework in relation to the risks faced by the Group.</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Credit risk</w:t>
      </w:r>
    </w:p>
    <w:p>
      <w:pPr>
        <w:spacing w:after="0" w:line="53"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Credit risk arises from cash and cash equivalents, contractual cash flows of debt investments carried at fair value through other comprehensive income and at fair value through profit or loss, favourable derivative financial instruments and deposits with banks and financial institutions, as well as credit exposures to customers, including outstanding accounts receivable and unbilled receivables.</w:t>
      </w:r>
    </w:p>
    <w:p>
      <w:pPr>
        <w:spacing w:after="0" w:line="8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Credit risk is managed on a group basis. For banks and financial institutions, independently rated parties with a minimum rating of BBB+ for overnight maturities and a minimum of A- for any bank deposits greater than overnight and up to three months.</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Current asset investments (recorded at fair value through other comprehensive income) comprise investments with maturities of greater than three months. The minimum ratings required for investment are as follows: bank deposits (A-), money market funds (AAA), liquidity funds (AAA) and fixed rate corporate bonds or floating rate notes (A- non-financial, AA- financial).</w:t>
      </w:r>
    </w:p>
    <w:p>
      <w:pPr>
        <w:spacing w:after="0" w:line="12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Group’s exposure to credit risk arises predominately in respect of the credit risk assessment of customers. Customer credit risk is managed through application of credit procedures, in particular through risk assessment of new customers, through assessment of credit quality, taking into account its financial position, past experience and other factors. The compliance with credit terms is regularly monitored by line management.</w:t>
      </w:r>
    </w:p>
    <w:p>
      <w:pPr>
        <w:spacing w:after="0" w:line="123"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Contract terms may range from several weeks to several years depending on the nature of the work to be performed. Contracts are generally fixed price or unit based. In most cases, a portion of the contract fee is paid at the time the study or trial is started. The balance of the contract fee is generally billable in instalments over the study or trial duration and may be based on the delivery of certain performance targets or "milestones" or, based on units delivered, or on a fixed monthly payment schedule such as patient enrolment or database delivery.</w:t>
      </w:r>
    </w:p>
    <w:p>
      <w:pPr>
        <w:spacing w:after="0" w:line="12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Where customers request changes in the scope of a trial or in the services to be provided, a change order or amendment is issued which may result either in an increase or decrease in the contract value.</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The Group also contracts on a "fee-for-service" or "time and materials" basis.</w:t>
      </w:r>
    </w:p>
    <w:p>
      <w:pPr>
        <w:spacing w:after="0" w:line="12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During the course of a study, the Group will generally incur reimbursable expenses. Reimbursable expenses are typically estimated and budgeted within the contract and are generally invoiced on a monthly basis based on actual expenses incurred. Reimbursable expenses include payments to investigators, travel and accommodation costs and various other expenses incurred over the course of the clinical trial which are fully reimbursable by the client.</w:t>
      </w:r>
    </w:p>
    <w:p>
      <w:pPr>
        <w:spacing w:after="0" w:line="123" w:lineRule="exact"/>
        <w:rPr>
          <w:sz w:val="20"/>
          <w:szCs w:val="20"/>
          <w:color w:val="auto"/>
        </w:rPr>
      </w:pPr>
    </w:p>
    <w:p>
      <w:pPr>
        <w:jc w:val="both"/>
        <w:spacing w:after="0"/>
        <w:rPr>
          <w:sz w:val="20"/>
          <w:szCs w:val="20"/>
          <w:color w:val="auto"/>
        </w:rPr>
      </w:pPr>
      <w:r>
        <w:rPr>
          <w:rFonts w:ascii="Arial" w:cs="Arial" w:eastAsia="Arial" w:hAnsi="Arial"/>
          <w:sz w:val="13"/>
          <w:szCs w:val="13"/>
          <w:color w:val="auto"/>
        </w:rPr>
        <w:t>Most of the Group’s contracts are terminable immediately by the customer with justifiable cause or with 30 to 90 days notice without cause. In the event of termination, the Group is usually entitled to all sums owed for work performed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de-emphasise a particular trial, inadequate patient enrollment or investigator recruitment.</w:t>
      </w:r>
    </w:p>
    <w:p>
      <w:pPr>
        <w:spacing w:after="0" w:line="123"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Group’s top five customers accounted for approximately 37.6% and 39.5% of revenue during the years ended 31 December 2019 and 31 December 2018 respectively. During the year ended 31 December 2019 12.5% of the Group’s revenues were derived from its top customer (2018: 13.6%). The second largest customer accounted for 10.2% of the Group's revenue for the year ended 31 December 2019. The addition of new customer accounts, particularly large and mid-tier pharma customers and biotech customers have resulted in a reduction in this concentration of revenues from our top five customers.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280"/>
          </w:cols>
          <w:pgMar w:left="300" w:top="696" w:right="31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26. 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29"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 maximum exposure of credit risk pertaining to customers is the carrying value of accounts receivable and unbilled revenue balances. The carrying value of accounts receivable and unbilled revenue balances, by geographic region, at 31 December 2019 was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Borders>
              <w:bottom w:val="single" w:sz="8" w:color="auto"/>
            </w:tcBorders>
            <w:shd w:val="clear" w:color="auto" w:fill="CCEEFF"/>
          </w:tcPr>
          <w:p>
            <w:pPr>
              <w:spacing w:after="0"/>
              <w:rPr>
                <w:sz w:val="16"/>
                <w:szCs w:val="16"/>
                <w:color w:val="auto"/>
              </w:rPr>
            </w:pPr>
          </w:p>
        </w:tc>
        <w:tc>
          <w:tcPr>
            <w:tcW w:w="4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Accounts Receivable</w:t>
            </w:r>
          </w:p>
        </w:tc>
        <w:tc>
          <w:tcPr>
            <w:tcW w:w="116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Unbilled Revenue</w:t>
            </w:r>
          </w:p>
        </w:tc>
        <w:tc>
          <w:tcPr>
            <w:tcW w:w="860" w:type="dxa"/>
            <w:vAlign w:val="bottom"/>
            <w:tcBorders>
              <w:bottom w:val="single" w:sz="8" w:color="auto"/>
            </w:tcBorders>
            <w:shd w:val="clear" w:color="auto" w:fill="CCEEFF"/>
          </w:tcPr>
          <w:p>
            <w:pPr>
              <w:spacing w:after="0"/>
              <w:rPr>
                <w:sz w:val="16"/>
                <w:szCs w:val="16"/>
                <w:color w:val="auto"/>
              </w:rPr>
            </w:pPr>
          </w:p>
        </w:tc>
      </w:tr>
      <w:tr>
        <w:trPr>
          <w:trHeight w:val="147"/>
        </w:trPr>
        <w:tc>
          <w:tcPr>
            <w:tcW w:w="3420" w:type="dxa"/>
            <w:vAlign w:val="bottom"/>
          </w:tcPr>
          <w:p>
            <w:pPr>
              <w:spacing w:after="0"/>
              <w:rPr>
                <w:sz w:val="12"/>
                <w:szCs w:val="12"/>
                <w:color w:val="auto"/>
              </w:rPr>
            </w:pPr>
          </w:p>
        </w:tc>
        <w:tc>
          <w:tcPr>
            <w:tcW w:w="4100" w:type="dxa"/>
            <w:vAlign w:val="bottom"/>
          </w:tcPr>
          <w:p>
            <w:pPr>
              <w:jc w:val="right"/>
              <w:ind w:right="616"/>
              <w:spacing w:after="0" w:line="147" w:lineRule="exact"/>
              <w:rPr>
                <w:sz w:val="20"/>
                <w:szCs w:val="20"/>
                <w:color w:val="auto"/>
              </w:rPr>
            </w:pPr>
            <w:r>
              <w:rPr>
                <w:rFonts w:ascii="Arial" w:cs="Arial" w:eastAsia="Arial" w:hAnsi="Arial"/>
                <w:sz w:val="13"/>
                <w:szCs w:val="13"/>
                <w:b w:val="1"/>
                <w:bCs w:val="1"/>
                <w:color w:val="auto"/>
              </w:rPr>
              <w:t>31 December</w:t>
            </w:r>
          </w:p>
        </w:tc>
        <w:tc>
          <w:tcPr>
            <w:tcW w:w="1160" w:type="dxa"/>
            <w:vAlign w:val="bottom"/>
          </w:tcPr>
          <w:p>
            <w:pPr>
              <w:jc w:val="right"/>
              <w:ind w:right="276"/>
              <w:spacing w:after="0" w:line="147" w:lineRule="exact"/>
              <w:rPr>
                <w:sz w:val="20"/>
                <w:szCs w:val="20"/>
                <w:color w:val="auto"/>
              </w:rPr>
            </w:pPr>
            <w:r>
              <w:rPr>
                <w:rFonts w:ascii="Arial" w:cs="Arial" w:eastAsia="Arial" w:hAnsi="Arial"/>
                <w:sz w:val="13"/>
                <w:szCs w:val="13"/>
                <w:color w:val="auto"/>
              </w:rPr>
              <w:t>31 December</w:t>
            </w:r>
          </w:p>
        </w:tc>
        <w:tc>
          <w:tcPr>
            <w:tcW w:w="1740" w:type="dxa"/>
            <w:vAlign w:val="bottom"/>
          </w:tcPr>
          <w:p>
            <w:pPr>
              <w:jc w:val="right"/>
              <w:ind w:right="556"/>
              <w:spacing w:after="0" w:line="147" w:lineRule="exact"/>
              <w:rPr>
                <w:sz w:val="20"/>
                <w:szCs w:val="20"/>
                <w:color w:val="auto"/>
              </w:rPr>
            </w:pPr>
            <w:r>
              <w:rPr>
                <w:rFonts w:ascii="Arial" w:cs="Arial" w:eastAsia="Arial" w:hAnsi="Arial"/>
                <w:sz w:val="13"/>
                <w:szCs w:val="13"/>
                <w:b w:val="1"/>
                <w:bCs w:val="1"/>
                <w:color w:val="auto"/>
              </w:rPr>
              <w:t>31 December</w:t>
            </w: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31 December</w:t>
            </w:r>
          </w:p>
        </w:tc>
      </w:tr>
      <w:tr>
        <w:trPr>
          <w:trHeight w:val="177"/>
        </w:trPr>
        <w:tc>
          <w:tcPr>
            <w:tcW w:w="342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2019</w:t>
            </w:r>
          </w:p>
        </w:tc>
        <w:tc>
          <w:tcPr>
            <w:tcW w:w="11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2018</w:t>
            </w:r>
          </w:p>
        </w:tc>
        <w:tc>
          <w:tcPr>
            <w:tcW w:w="174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2019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2018</w:t>
            </w:r>
          </w:p>
        </w:tc>
      </w:tr>
      <w:tr>
        <w:trPr>
          <w:trHeight w:val="189"/>
        </w:trPr>
        <w:tc>
          <w:tcPr>
            <w:tcW w:w="3420" w:type="dxa"/>
            <w:vAlign w:val="bottom"/>
            <w:shd w:val="clear" w:color="auto" w:fill="CCEEFF"/>
          </w:tcPr>
          <w:p>
            <w:pPr>
              <w:spacing w:after="0"/>
              <w:rPr>
                <w:sz w:val="16"/>
                <w:szCs w:val="16"/>
                <w:color w:val="auto"/>
              </w:rPr>
            </w:pPr>
          </w:p>
        </w:tc>
        <w:tc>
          <w:tcPr>
            <w:tcW w:w="4100" w:type="dxa"/>
            <w:vAlign w:val="bottom"/>
            <w:shd w:val="clear" w:color="auto" w:fill="CCEEFF"/>
          </w:tcPr>
          <w:p>
            <w:pPr>
              <w:jc w:val="right"/>
              <w:ind w:right="616"/>
              <w:spacing w:after="0"/>
              <w:rPr>
                <w:sz w:val="20"/>
                <w:szCs w:val="20"/>
                <w:color w:val="auto"/>
              </w:rPr>
            </w:pPr>
            <w:r>
              <w:rPr>
                <w:rFonts w:ascii="Arial" w:cs="Arial" w:eastAsia="Arial" w:hAnsi="Arial"/>
                <w:sz w:val="13"/>
                <w:szCs w:val="13"/>
                <w:b w:val="1"/>
                <w:bCs w:val="1"/>
                <w:color w:val="auto"/>
              </w:rPr>
              <w:t>$’000</w:t>
            </w: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$’000</w:t>
            </w:r>
          </w:p>
        </w:tc>
        <w:tc>
          <w:tcPr>
            <w:tcW w:w="1740" w:type="dxa"/>
            <w:vAlign w:val="bottom"/>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$’000</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212"/>
        </w:trPr>
        <w:tc>
          <w:tcPr>
            <w:tcW w:w="34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1"/>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Europe</w:t>
            </w:r>
          </w:p>
        </w:tc>
        <w:tc>
          <w:tcPr>
            <w:tcW w:w="4100" w:type="dxa"/>
            <w:vAlign w:val="bottom"/>
            <w:shd w:val="clear" w:color="auto" w:fill="CCEEFF"/>
          </w:tcPr>
          <w:p>
            <w:pPr>
              <w:jc w:val="right"/>
              <w:ind w:right="756"/>
              <w:spacing w:after="0"/>
              <w:rPr>
                <w:sz w:val="20"/>
                <w:szCs w:val="20"/>
                <w:color w:val="auto"/>
              </w:rPr>
            </w:pPr>
            <w:r>
              <w:rPr>
                <w:rFonts w:ascii="Arial" w:cs="Arial" w:eastAsia="Arial" w:hAnsi="Arial"/>
                <w:sz w:val="13"/>
                <w:szCs w:val="13"/>
                <w:b w:val="1"/>
                <w:bCs w:val="1"/>
                <w:color w:val="auto"/>
              </w:rPr>
              <w:t>459,479</w:t>
            </w:r>
          </w:p>
        </w:tc>
        <w:tc>
          <w:tcPr>
            <w:tcW w:w="116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336,141</w:t>
            </w:r>
          </w:p>
        </w:tc>
        <w:tc>
          <w:tcPr>
            <w:tcW w:w="1740" w:type="dxa"/>
            <w:vAlign w:val="bottom"/>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325,260</w:t>
            </w:r>
          </w:p>
        </w:tc>
        <w:tc>
          <w:tcPr>
            <w:tcW w:w="8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283,595</w:t>
            </w:r>
          </w:p>
        </w:tc>
      </w:tr>
      <w:tr>
        <w:trPr>
          <w:trHeight w:val="183"/>
        </w:trPr>
        <w:tc>
          <w:tcPr>
            <w:tcW w:w="342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4100" w:type="dxa"/>
            <w:vAlign w:val="bottom"/>
          </w:tcPr>
          <w:p>
            <w:pPr>
              <w:jc w:val="right"/>
              <w:ind w:right="756"/>
              <w:spacing w:after="0"/>
              <w:rPr>
                <w:sz w:val="20"/>
                <w:szCs w:val="20"/>
                <w:color w:val="auto"/>
              </w:rPr>
            </w:pPr>
            <w:r>
              <w:rPr>
                <w:rFonts w:ascii="Arial" w:cs="Arial" w:eastAsia="Arial" w:hAnsi="Arial"/>
                <w:sz w:val="13"/>
                <w:szCs w:val="13"/>
                <w:b w:val="1"/>
                <w:bCs w:val="1"/>
                <w:color w:val="auto"/>
              </w:rPr>
              <w:t>58,577</w:t>
            </w:r>
          </w:p>
        </w:tc>
        <w:tc>
          <w:tcPr>
            <w:tcW w:w="1160" w:type="dxa"/>
            <w:vAlign w:val="bottom"/>
          </w:tcPr>
          <w:p>
            <w:pPr>
              <w:jc w:val="right"/>
              <w:ind w:right="416"/>
              <w:spacing w:after="0"/>
              <w:rPr>
                <w:sz w:val="20"/>
                <w:szCs w:val="20"/>
                <w:color w:val="auto"/>
              </w:rPr>
            </w:pPr>
            <w:r>
              <w:rPr>
                <w:rFonts w:ascii="Arial" w:cs="Arial" w:eastAsia="Arial" w:hAnsi="Arial"/>
                <w:sz w:val="13"/>
                <w:szCs w:val="13"/>
                <w:color w:val="auto"/>
              </w:rPr>
              <w:t>71,321</w:t>
            </w:r>
          </w:p>
        </w:tc>
        <w:tc>
          <w:tcPr>
            <w:tcW w:w="1740" w:type="dxa"/>
            <w:vAlign w:val="bottom"/>
          </w:tcPr>
          <w:p>
            <w:pPr>
              <w:jc w:val="right"/>
              <w:ind w:right="676"/>
              <w:spacing w:after="0"/>
              <w:rPr>
                <w:sz w:val="20"/>
                <w:szCs w:val="20"/>
                <w:color w:val="auto"/>
              </w:rPr>
            </w:pPr>
            <w:r>
              <w:rPr>
                <w:rFonts w:ascii="Arial" w:cs="Arial" w:eastAsia="Arial" w:hAnsi="Arial"/>
                <w:sz w:val="13"/>
                <w:szCs w:val="13"/>
                <w:b w:val="1"/>
                <w:bCs w:val="1"/>
                <w:color w:val="auto"/>
              </w:rPr>
              <w:t>84,827</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71,537</w:t>
            </w:r>
          </w:p>
        </w:tc>
      </w:tr>
      <w:tr>
        <w:trPr>
          <w:trHeight w:val="191"/>
        </w:trPr>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Rest of World</w:t>
            </w:r>
          </w:p>
        </w:tc>
        <w:tc>
          <w:tcPr>
            <w:tcW w:w="410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3"/>
                <w:szCs w:val="13"/>
                <w:b w:val="1"/>
                <w:bCs w:val="1"/>
                <w:color w:val="auto"/>
              </w:rPr>
              <w:t>9,652</w:t>
            </w:r>
          </w:p>
        </w:tc>
        <w:tc>
          <w:tcPr>
            <w:tcW w:w="11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7,329</w:t>
            </w:r>
          </w:p>
        </w:tc>
        <w:tc>
          <w:tcPr>
            <w:tcW w:w="174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12,682</w:t>
            </w:r>
          </w:p>
        </w:tc>
        <w:tc>
          <w:tcPr>
            <w:tcW w:w="8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7,794</w:t>
            </w:r>
          </w:p>
        </w:tc>
      </w:tr>
      <w:tr>
        <w:trPr>
          <w:trHeight w:val="200"/>
        </w:trPr>
        <w:tc>
          <w:tcPr>
            <w:tcW w:w="34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2"/>
        </w:trPr>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10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3"/>
                <w:szCs w:val="13"/>
                <w:b w:val="1"/>
                <w:bCs w:val="1"/>
                <w:color w:val="auto"/>
              </w:rPr>
              <w:t>527,708</w:t>
            </w:r>
          </w:p>
        </w:tc>
        <w:tc>
          <w:tcPr>
            <w:tcW w:w="11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414,791</w:t>
            </w:r>
          </w:p>
        </w:tc>
        <w:tc>
          <w:tcPr>
            <w:tcW w:w="174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422,769</w:t>
            </w:r>
          </w:p>
        </w:tc>
        <w:tc>
          <w:tcPr>
            <w:tcW w:w="8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362,926</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The Group has four types of financial assets that are subject to the expected credit loss model:</w:t>
      </w: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trade receivables (billed amounts) for services provided to customers</w:t>
      </w: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unbilled receivables (contract assets) for services provided to customers</w:t>
      </w: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cash and cash equivalents</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Trade receivables and contract assets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The Group applies the IFRS 9 simplified approach to measuring expected credit losses which uses a lifetime expected loss allowance for all trade receivables and contract assets.</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To measure the expected credit losses, trade receivables and contract assets have been grouped based on shared credit risk characteristics and the days past due. The contract assets relate to unbilled work in progress and have substantially the same risk characteristics as the trade receivables for the same types of contracts. The Group has therefore concluded that the expected loss rates for trade receivables are a reasonable approximation for the loss rates for the contract assets.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3"/>
          <w:szCs w:val="13"/>
          <w:color w:val="auto"/>
        </w:rPr>
        <w:t xml:space="preserve">The expected loss rates are based on the payment profiles of revenue over a period of 36 months before 31 December 2019 or 1 January 2019 respectively and the corresponding historical credit losses experienced within this period. The historical loss rates are adjusted to reflect current and forward looking information on macroeconomic factors affecting the ability of the customers to settle receivables. See </w:t>
      </w:r>
      <w:r>
        <w:rPr>
          <w:rFonts w:ascii="Arial" w:cs="Arial" w:eastAsia="Arial" w:hAnsi="Arial"/>
          <w:sz w:val="13"/>
          <w:szCs w:val="13"/>
          <w:i w:val="1"/>
          <w:iCs w:val="1"/>
          <w:color w:val="auto"/>
        </w:rPr>
        <w:t>note 16 - Accounts receivable and contract balances</w:t>
      </w:r>
      <w:r>
        <w:rPr>
          <w:rFonts w:ascii="Arial" w:cs="Arial" w:eastAsia="Arial" w:hAnsi="Arial"/>
          <w:sz w:val="13"/>
          <w:szCs w:val="13"/>
          <w:color w:val="auto"/>
        </w:rPr>
        <w:t xml:space="preserve"> for assessment of the allowance for credit losses as at 1 January 2019 and 31 December 2019 (on adoption of IFRS 9) for both trade receivables and contract assets.</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Trade receivables and contract assets are written off when there is no reasonable expectation of recovery. Indicators that there is no reasonable expectation of recovery include, amongst others, the failure of a debtor to engage in a repayment plan with the group, and a failure to make contractual payments for a period of greater than 120 days past due. Impairment losses on trade receivables and contract assets are presented as net impairment losses within operating profit. Subsequent recoveries of amounts previously written off are credited against the same line item.</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Liquid and capital resources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The Group’s liquid and capital resources at 31 December 2019 were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540" w:type="dxa"/>
            <w:vAlign w:val="bottom"/>
            <w:shd w:val="clear" w:color="auto" w:fill="CCEEFF"/>
          </w:tcPr>
          <w:p>
            <w:pPr>
              <w:spacing w:after="0"/>
              <w:rPr>
                <w:sz w:val="13"/>
                <w:szCs w:val="13"/>
                <w:color w:val="auto"/>
              </w:rPr>
            </w:pPr>
          </w:p>
        </w:tc>
        <w:tc>
          <w:tcPr>
            <w:tcW w:w="460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5540" w:type="dxa"/>
            <w:vAlign w:val="bottom"/>
            <w:tcBorders>
              <w:bottom w:val="single" w:sz="8" w:color="auto"/>
            </w:tcBorders>
            <w:shd w:val="clear" w:color="auto" w:fill="CCEEFF"/>
          </w:tcPr>
          <w:p>
            <w:pPr>
              <w:spacing w:after="0"/>
              <w:rPr>
                <w:sz w:val="15"/>
                <w:szCs w:val="15"/>
                <w:color w:val="auto"/>
              </w:rPr>
            </w:pPr>
          </w:p>
        </w:tc>
        <w:tc>
          <w:tcPr>
            <w:tcW w:w="46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5540" w:type="dxa"/>
            <w:vAlign w:val="bottom"/>
          </w:tcPr>
          <w:p>
            <w:pPr>
              <w:spacing w:after="0"/>
              <w:rPr>
                <w:sz w:val="15"/>
                <w:szCs w:val="15"/>
                <w:color w:val="auto"/>
              </w:rPr>
            </w:pPr>
          </w:p>
        </w:tc>
        <w:tc>
          <w:tcPr>
            <w:tcW w:w="460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77"/>
        </w:trPr>
        <w:tc>
          <w:tcPr>
            <w:tcW w:w="5540" w:type="dxa"/>
            <w:vAlign w:val="bottom"/>
            <w:shd w:val="clear" w:color="auto" w:fill="CCEEFF"/>
          </w:tcPr>
          <w:p>
            <w:pPr>
              <w:spacing w:after="0"/>
              <w:rPr>
                <w:sz w:val="15"/>
                <w:szCs w:val="15"/>
                <w:color w:val="auto"/>
              </w:rPr>
            </w:pPr>
          </w:p>
        </w:tc>
        <w:tc>
          <w:tcPr>
            <w:tcW w:w="46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3"/>
        </w:trPr>
        <w:tc>
          <w:tcPr>
            <w:tcW w:w="5540" w:type="dxa"/>
            <w:vAlign w:val="bottom"/>
          </w:tcPr>
          <w:p>
            <w:pPr>
              <w:ind w:left="20"/>
              <w:spacing w:after="0"/>
              <w:rPr>
                <w:sz w:val="20"/>
                <w:szCs w:val="20"/>
                <w:color w:val="auto"/>
              </w:rPr>
            </w:pPr>
            <w:r>
              <w:rPr>
                <w:rFonts w:ascii="Arial" w:cs="Arial" w:eastAsia="Arial" w:hAnsi="Arial"/>
                <w:sz w:val="13"/>
                <w:szCs w:val="13"/>
                <w:color w:val="auto"/>
              </w:rPr>
              <w:t>Current asset investments (note 18)</w:t>
            </w:r>
          </w:p>
        </w:tc>
        <w:tc>
          <w:tcPr>
            <w:tcW w:w="4600" w:type="dxa"/>
            <w:vAlign w:val="bottom"/>
          </w:tcPr>
          <w:p>
            <w:pPr>
              <w:jc w:val="right"/>
              <w:ind w:right="416"/>
              <w:spacing w:after="0"/>
              <w:rPr>
                <w:sz w:val="20"/>
                <w:szCs w:val="20"/>
                <w:color w:val="auto"/>
              </w:rPr>
            </w:pPr>
            <w:r>
              <w:rPr>
                <w:rFonts w:ascii="Arial" w:cs="Arial" w:eastAsia="Arial" w:hAnsi="Arial"/>
                <w:sz w:val="13"/>
                <w:szCs w:val="13"/>
                <w:b w:val="1"/>
                <w:bCs w:val="1"/>
                <w:color w:val="auto"/>
              </w:rPr>
              <w:t>49,628</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59,910</w:t>
            </w:r>
          </w:p>
        </w:tc>
      </w:tr>
      <w:tr>
        <w:trPr>
          <w:trHeight w:val="191"/>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(note 19)</w:t>
            </w:r>
          </w:p>
        </w:tc>
        <w:tc>
          <w:tcPr>
            <w:tcW w:w="46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520,309</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395,851</w:t>
            </w:r>
          </w:p>
        </w:tc>
      </w:tr>
      <w:tr>
        <w:trPr>
          <w:trHeight w:val="157"/>
        </w:trPr>
        <w:tc>
          <w:tcPr>
            <w:tcW w:w="55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2"/>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liquid resources</w:t>
            </w:r>
          </w:p>
        </w:tc>
        <w:tc>
          <w:tcPr>
            <w:tcW w:w="46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569,937</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455,761</w:t>
            </w:r>
          </w:p>
        </w:tc>
      </w:tr>
      <w:tr>
        <w:trPr>
          <w:trHeight w:val="159"/>
        </w:trPr>
        <w:tc>
          <w:tcPr>
            <w:tcW w:w="55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2"/>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Shareholders’ equity</w:t>
            </w:r>
          </w:p>
        </w:tc>
        <w:tc>
          <w:tcPr>
            <w:tcW w:w="46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1,641,609</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1,386,379</w:t>
            </w: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280"/>
          </w:cols>
          <w:pgMar w:left="300" w:top="696" w:right="31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26. 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2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principal operating cash requirements of the Group include payment of salaries, office rents, travel expenditures and payments to investigators. Other cash requirements include capital expenditures for facilities and information system enhancements and cash required to fund acquisitions and other growth opportunities. The CRO industry is generally not capital intensive. The Group primarily finances its operations and growth through cash flows from operations, together with amounts drawn under negotiated facilities as required.</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The Group’s primary objectives in managing its liquid and capital resources are as follows:</w:t>
      </w:r>
    </w:p>
    <w:p>
      <w:pPr>
        <w:spacing w:after="0" w:line="189" w:lineRule="exact"/>
        <w:rPr>
          <w:sz w:val="20"/>
          <w:szCs w:val="20"/>
          <w:color w:val="auto"/>
        </w:rPr>
      </w:pPr>
    </w:p>
    <w:p>
      <w:pPr>
        <w:ind w:left="500" w:hanging="304"/>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to maintain adequate resources to fund its continued operations,</w:t>
      </w:r>
    </w:p>
    <w:p>
      <w:pPr>
        <w:ind w:left="500" w:hanging="304"/>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to ensure availability of sufficient resources to sustain future development and growth of the business,</w:t>
      </w:r>
    </w:p>
    <w:p>
      <w:pPr>
        <w:ind w:left="500" w:hanging="304"/>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to maintain sufficient resources to mitigate risks and unforeseen events which may arise.</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 xml:space="preserve">The Group manages risks associated with liquid and capital resources through ongoing monitoring of actual and forecast cash balances and by reviewing the existing and future cash requirements of the business. It ensures that sufficient headroom is available under the Group’s existing negotiated facilities and negotiates additional facilities as required. Details of the Group’s negotiated facilities are set out in </w:t>
      </w:r>
      <w:r>
        <w:rPr>
          <w:rFonts w:ascii="Arial" w:cs="Arial" w:eastAsia="Arial" w:hAnsi="Arial"/>
          <w:sz w:val="13"/>
          <w:szCs w:val="13"/>
          <w:i w:val="1"/>
          <w:iCs w:val="1"/>
          <w:color w:val="auto"/>
        </w:rPr>
        <w:t>note 23 Bank Credit Lines and Loan Facilities.</w:t>
      </w:r>
      <w:r>
        <w:rPr>
          <w:rFonts w:ascii="Arial" w:cs="Arial" w:eastAsia="Arial" w:hAnsi="Arial"/>
          <w:sz w:val="13"/>
          <w:szCs w:val="13"/>
          <w:color w:val="auto"/>
        </w:rPr>
        <w:t xml:space="preserve"> There were no funds drawn under the Revolving Credit Facility at 31 December 2019. The Group may raise additional finance through the issuance of ordinary shares or debt as required.</w:t>
      </w:r>
    </w:p>
    <w:p>
      <w:pPr>
        <w:spacing w:after="0" w:line="187"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Revolving Credit Facility bears interest at LIBOR plus a margin. The facility bears interest at LIBOR plus a margin. We continue to monitor the phasing out of LIBOR which is currently scheduled for 2021. We have engaged with our lenders on the implications of the change. In the absence of an agreed new rate, documents continue to be negotiated using LIBOR. We will continue to engage with our lenders in respect of the requirement for a new rate and seek an amendment letter at that point. There were no amounts drawn on the Revolving Credit Facility at 31 December 2019. The Company is therefore subject to interest rate volatility in respect of any future draw down on the Revolving Credit Facility or in respect of any future issuances of debt. The interest rate in respect of the $350 million Senior Notes is fixed at 3.64% for the five year term of the agreement.</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following table sets out details of the maturity of the Group’s financial liabilities into the relevant maturity groupings based on the remaining period from the financial year end date to contractual maturity date:</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Year ended 31 December 2019</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8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Carrying</w:t>
            </w:r>
          </w:p>
        </w:tc>
        <w:tc>
          <w:tcPr>
            <w:tcW w:w="136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Contractual cash</w:t>
            </w:r>
          </w:p>
        </w:tc>
        <w:tc>
          <w:tcPr>
            <w:tcW w:w="104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6 months</w:t>
            </w:r>
          </w:p>
        </w:tc>
        <w:tc>
          <w:tcPr>
            <w:tcW w:w="1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More than</w:t>
            </w:r>
          </w:p>
        </w:tc>
      </w:tr>
      <w:tr>
        <w:trPr>
          <w:trHeight w:val="177"/>
        </w:trPr>
        <w:tc>
          <w:tcPr>
            <w:tcW w:w="282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amount</w:t>
            </w:r>
          </w:p>
        </w:tc>
        <w:tc>
          <w:tcPr>
            <w:tcW w:w="1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flows</w:t>
            </w:r>
          </w:p>
        </w:tc>
        <w:tc>
          <w:tcPr>
            <w:tcW w:w="10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or less</w:t>
            </w:r>
          </w:p>
        </w:tc>
        <w:tc>
          <w:tcPr>
            <w:tcW w:w="12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6-12 months</w:t>
            </w:r>
          </w:p>
        </w:tc>
        <w:tc>
          <w:tcPr>
            <w:tcW w:w="11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1-2 years</w:t>
            </w:r>
          </w:p>
        </w:tc>
        <w:tc>
          <w:tcPr>
            <w:tcW w:w="11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2-5 years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 years</w:t>
            </w:r>
          </w:p>
        </w:tc>
      </w:tr>
      <w:tr>
        <w:trPr>
          <w:trHeight w:val="182"/>
        </w:trPr>
        <w:tc>
          <w:tcPr>
            <w:tcW w:w="2820" w:type="dxa"/>
            <w:vAlign w:val="bottom"/>
          </w:tcPr>
          <w:p>
            <w:pPr>
              <w:spacing w:after="0"/>
              <w:rPr>
                <w:sz w:val="15"/>
                <w:szCs w:val="15"/>
                <w:color w:val="auto"/>
              </w:rPr>
            </w:pPr>
          </w:p>
        </w:tc>
        <w:tc>
          <w:tcPr>
            <w:tcW w:w="1660" w:type="dxa"/>
            <w:vAlign w:val="bottom"/>
          </w:tcPr>
          <w:p>
            <w:pPr>
              <w:jc w:val="right"/>
              <w:ind w:right="56"/>
              <w:spacing w:after="0"/>
              <w:rPr>
                <w:sz w:val="20"/>
                <w:szCs w:val="20"/>
                <w:color w:val="auto"/>
              </w:rPr>
            </w:pPr>
            <w:r>
              <w:rPr>
                <w:rFonts w:ascii="Arial" w:cs="Arial" w:eastAsia="Arial" w:hAnsi="Arial"/>
                <w:sz w:val="13"/>
                <w:szCs w:val="13"/>
                <w:b w:val="1"/>
                <w:bCs w:val="1"/>
                <w:color w:val="auto"/>
              </w:rPr>
              <w:t>$’000</w:t>
            </w:r>
          </w:p>
        </w:tc>
        <w:tc>
          <w:tcPr>
            <w:tcW w:w="136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040" w:type="dxa"/>
            <w:vAlign w:val="bottom"/>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200" w:type="dxa"/>
            <w:vAlign w:val="bottom"/>
          </w:tcPr>
          <w:p>
            <w:pPr>
              <w:jc w:val="right"/>
              <w:ind w:right="23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7"/>
        </w:trPr>
        <w:tc>
          <w:tcPr>
            <w:tcW w:w="28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3"/>
        </w:trPr>
        <w:tc>
          <w:tcPr>
            <w:tcW w:w="2820" w:type="dxa"/>
            <w:vAlign w:val="bottom"/>
          </w:tcPr>
          <w:p>
            <w:pPr>
              <w:ind w:left="20"/>
              <w:spacing w:after="0"/>
              <w:rPr>
                <w:sz w:val="20"/>
                <w:szCs w:val="20"/>
                <w:color w:val="auto"/>
              </w:rPr>
            </w:pPr>
            <w:r>
              <w:rPr>
                <w:rFonts w:ascii="Arial" w:cs="Arial" w:eastAsia="Arial" w:hAnsi="Arial"/>
                <w:sz w:val="13"/>
                <w:szCs w:val="13"/>
                <w:color w:val="auto"/>
              </w:rPr>
              <w:t>Senior Notes</w:t>
            </w:r>
          </w:p>
        </w:tc>
        <w:tc>
          <w:tcPr>
            <w:tcW w:w="1660" w:type="dxa"/>
            <w:vAlign w:val="bottom"/>
          </w:tcPr>
          <w:p>
            <w:pPr>
              <w:jc w:val="right"/>
              <w:ind w:right="136"/>
              <w:spacing w:after="0"/>
              <w:rPr>
                <w:sz w:val="20"/>
                <w:szCs w:val="20"/>
                <w:color w:val="auto"/>
              </w:rPr>
            </w:pPr>
            <w:r>
              <w:rPr>
                <w:rFonts w:ascii="Arial" w:cs="Arial" w:eastAsia="Arial" w:hAnsi="Arial"/>
                <w:sz w:val="13"/>
                <w:szCs w:val="13"/>
                <w:color w:val="auto"/>
              </w:rPr>
              <w:t>(349,640)</w:t>
            </w:r>
          </w:p>
        </w:tc>
        <w:tc>
          <w:tcPr>
            <w:tcW w:w="1360" w:type="dxa"/>
            <w:vAlign w:val="bottom"/>
          </w:tcPr>
          <w:p>
            <w:pPr>
              <w:jc w:val="right"/>
              <w:ind w:right="236"/>
              <w:spacing w:after="0"/>
              <w:rPr>
                <w:sz w:val="20"/>
                <w:szCs w:val="20"/>
                <w:color w:val="auto"/>
              </w:rPr>
            </w:pPr>
            <w:r>
              <w:rPr>
                <w:rFonts w:ascii="Arial" w:cs="Arial" w:eastAsia="Arial" w:hAnsi="Arial"/>
                <w:sz w:val="13"/>
                <w:szCs w:val="13"/>
                <w:color w:val="auto"/>
              </w:rPr>
              <w:t>(350,000)</w:t>
            </w:r>
          </w:p>
        </w:tc>
        <w:tc>
          <w:tcPr>
            <w:tcW w:w="104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16"/>
              <w:spacing w:after="0"/>
              <w:rPr>
                <w:sz w:val="20"/>
                <w:szCs w:val="20"/>
                <w:color w:val="auto"/>
              </w:rPr>
            </w:pPr>
            <w:r>
              <w:rPr>
                <w:rFonts w:ascii="Arial" w:cs="Arial" w:eastAsia="Arial" w:hAnsi="Arial"/>
                <w:sz w:val="13"/>
                <w:szCs w:val="13"/>
                <w:color w:val="auto"/>
              </w:rPr>
              <w:t>(350,000)</w:t>
            </w:r>
          </w:p>
        </w:tc>
        <w:tc>
          <w:tcPr>
            <w:tcW w:w="114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199"/>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on Senior Notes</w:t>
            </w:r>
          </w:p>
        </w:tc>
        <w:tc>
          <w:tcPr>
            <w:tcW w:w="16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(566)</w:t>
            </w:r>
          </w:p>
        </w:tc>
        <w:tc>
          <w:tcPr>
            <w:tcW w:w="13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(12,740)</w:t>
            </w:r>
          </w:p>
        </w:tc>
        <w:tc>
          <w:tcPr>
            <w:tcW w:w="10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(6,370)</w:t>
            </w:r>
          </w:p>
        </w:tc>
        <w:tc>
          <w:tcPr>
            <w:tcW w:w="120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(6,370)</w:t>
            </w:r>
          </w:p>
        </w:tc>
        <w:tc>
          <w:tcPr>
            <w:tcW w:w="114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83"/>
        </w:trPr>
        <w:tc>
          <w:tcPr>
            <w:tcW w:w="2820" w:type="dxa"/>
            <w:vAlign w:val="bottom"/>
          </w:tcPr>
          <w:p>
            <w:pPr>
              <w:ind w:left="20"/>
              <w:spacing w:after="0"/>
              <w:rPr>
                <w:sz w:val="20"/>
                <w:szCs w:val="20"/>
                <w:color w:val="auto"/>
              </w:rPr>
            </w:pPr>
            <w:r>
              <w:rPr>
                <w:rFonts w:ascii="Arial" w:cs="Arial" w:eastAsia="Arial" w:hAnsi="Arial"/>
                <w:sz w:val="13"/>
                <w:szCs w:val="13"/>
                <w:color w:val="auto"/>
              </w:rPr>
              <w:t>Non-current lease liabilities</w:t>
            </w:r>
          </w:p>
        </w:tc>
        <w:tc>
          <w:tcPr>
            <w:tcW w:w="1660" w:type="dxa"/>
            <w:vAlign w:val="bottom"/>
          </w:tcPr>
          <w:p>
            <w:pPr>
              <w:jc w:val="right"/>
              <w:ind w:right="136"/>
              <w:spacing w:after="0"/>
              <w:rPr>
                <w:sz w:val="20"/>
                <w:szCs w:val="20"/>
                <w:color w:val="auto"/>
              </w:rPr>
            </w:pPr>
            <w:r>
              <w:rPr>
                <w:rFonts w:ascii="Arial" w:cs="Arial" w:eastAsia="Arial" w:hAnsi="Arial"/>
                <w:sz w:val="13"/>
                <w:szCs w:val="13"/>
                <w:color w:val="auto"/>
              </w:rPr>
              <w:t>(76,593)</w:t>
            </w:r>
          </w:p>
        </w:tc>
        <w:tc>
          <w:tcPr>
            <w:tcW w:w="1360" w:type="dxa"/>
            <w:vAlign w:val="bottom"/>
          </w:tcPr>
          <w:p>
            <w:pPr>
              <w:jc w:val="right"/>
              <w:ind w:right="236"/>
              <w:spacing w:after="0"/>
              <w:rPr>
                <w:sz w:val="20"/>
                <w:szCs w:val="20"/>
                <w:color w:val="auto"/>
              </w:rPr>
            </w:pPr>
            <w:r>
              <w:rPr>
                <w:rFonts w:ascii="Arial" w:cs="Arial" w:eastAsia="Arial" w:hAnsi="Arial"/>
                <w:sz w:val="13"/>
                <w:szCs w:val="13"/>
                <w:color w:val="auto"/>
              </w:rPr>
              <w:t>(84,904)</w:t>
            </w:r>
          </w:p>
        </w:tc>
        <w:tc>
          <w:tcPr>
            <w:tcW w:w="104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16"/>
              <w:spacing w:after="0"/>
              <w:rPr>
                <w:sz w:val="20"/>
                <w:szCs w:val="20"/>
                <w:color w:val="auto"/>
              </w:rPr>
            </w:pPr>
            <w:r>
              <w:rPr>
                <w:rFonts w:ascii="Arial" w:cs="Arial" w:eastAsia="Arial" w:hAnsi="Arial"/>
                <w:sz w:val="13"/>
                <w:szCs w:val="13"/>
                <w:color w:val="auto"/>
              </w:rPr>
              <w:t>(25,315)</w:t>
            </w:r>
          </w:p>
        </w:tc>
        <w:tc>
          <w:tcPr>
            <w:tcW w:w="1140" w:type="dxa"/>
            <w:vAlign w:val="bottom"/>
          </w:tcPr>
          <w:p>
            <w:pPr>
              <w:jc w:val="right"/>
              <w:ind w:right="316"/>
              <w:spacing w:after="0"/>
              <w:rPr>
                <w:sz w:val="20"/>
                <w:szCs w:val="20"/>
                <w:color w:val="auto"/>
              </w:rPr>
            </w:pPr>
            <w:r>
              <w:rPr>
                <w:rFonts w:ascii="Arial" w:cs="Arial" w:eastAsia="Arial" w:hAnsi="Arial"/>
                <w:sz w:val="13"/>
                <w:szCs w:val="13"/>
                <w:color w:val="auto"/>
              </w:rPr>
              <w:t>(42,325)</w:t>
            </w:r>
          </w:p>
        </w:tc>
        <w:tc>
          <w:tcPr>
            <w:tcW w:w="900" w:type="dxa"/>
            <w:vAlign w:val="bottom"/>
          </w:tcPr>
          <w:p>
            <w:pPr>
              <w:jc w:val="right"/>
              <w:ind w:right="56"/>
              <w:spacing w:after="0"/>
              <w:rPr>
                <w:sz w:val="20"/>
                <w:szCs w:val="20"/>
                <w:color w:val="auto"/>
              </w:rPr>
            </w:pPr>
            <w:r>
              <w:rPr>
                <w:rFonts w:ascii="Arial" w:cs="Arial" w:eastAsia="Arial" w:hAnsi="Arial"/>
                <w:sz w:val="13"/>
                <w:szCs w:val="13"/>
                <w:color w:val="auto"/>
              </w:rPr>
              <w:t>(17,264)</w:t>
            </w:r>
          </w:p>
        </w:tc>
      </w:tr>
      <w:tr>
        <w:trPr>
          <w:trHeight w:val="199"/>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other liabilities*</w:t>
            </w:r>
          </w:p>
        </w:tc>
        <w:tc>
          <w:tcPr>
            <w:tcW w:w="16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(11,033)</w:t>
            </w:r>
          </w:p>
        </w:tc>
        <w:tc>
          <w:tcPr>
            <w:tcW w:w="13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(11,033)</w:t>
            </w:r>
          </w:p>
        </w:tc>
        <w:tc>
          <w:tcPr>
            <w:tcW w:w="10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(91)</w:t>
            </w:r>
          </w:p>
        </w:tc>
        <w:tc>
          <w:tcPr>
            <w:tcW w:w="120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(93)</w:t>
            </w:r>
          </w:p>
        </w:tc>
        <w:tc>
          <w:tcPr>
            <w:tcW w:w="11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(126)</w:t>
            </w:r>
          </w:p>
        </w:tc>
        <w:tc>
          <w:tcPr>
            <w:tcW w:w="114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(136)</w:t>
            </w: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(10,589)</w:t>
            </w:r>
          </w:p>
        </w:tc>
      </w:tr>
      <w:tr>
        <w:trPr>
          <w:trHeight w:val="183"/>
        </w:trPr>
        <w:tc>
          <w:tcPr>
            <w:tcW w:w="282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1660" w:type="dxa"/>
            <w:vAlign w:val="bottom"/>
          </w:tcPr>
          <w:p>
            <w:pPr>
              <w:jc w:val="right"/>
              <w:ind w:right="136"/>
              <w:spacing w:after="0"/>
              <w:rPr>
                <w:sz w:val="20"/>
                <w:szCs w:val="20"/>
                <w:color w:val="auto"/>
              </w:rPr>
            </w:pPr>
            <w:r>
              <w:rPr>
                <w:rFonts w:ascii="Arial" w:cs="Arial" w:eastAsia="Arial" w:hAnsi="Arial"/>
                <w:sz w:val="13"/>
                <w:szCs w:val="13"/>
                <w:color w:val="auto"/>
              </w:rPr>
              <w:t>(24,050)</w:t>
            </w:r>
          </w:p>
        </w:tc>
        <w:tc>
          <w:tcPr>
            <w:tcW w:w="1360" w:type="dxa"/>
            <w:vAlign w:val="bottom"/>
          </w:tcPr>
          <w:p>
            <w:pPr>
              <w:jc w:val="right"/>
              <w:ind w:right="236"/>
              <w:spacing w:after="0"/>
              <w:rPr>
                <w:sz w:val="20"/>
                <w:szCs w:val="20"/>
                <w:color w:val="auto"/>
              </w:rPr>
            </w:pPr>
            <w:r>
              <w:rPr>
                <w:rFonts w:ascii="Arial" w:cs="Arial" w:eastAsia="Arial" w:hAnsi="Arial"/>
                <w:sz w:val="13"/>
                <w:szCs w:val="13"/>
                <w:color w:val="auto"/>
              </w:rPr>
              <w:t>(24,050)</w:t>
            </w:r>
          </w:p>
        </w:tc>
        <w:tc>
          <w:tcPr>
            <w:tcW w:w="1040" w:type="dxa"/>
            <w:vAlign w:val="bottom"/>
          </w:tcPr>
          <w:p>
            <w:pPr>
              <w:jc w:val="right"/>
              <w:ind w:right="196"/>
              <w:spacing w:after="0"/>
              <w:rPr>
                <w:sz w:val="20"/>
                <w:szCs w:val="20"/>
                <w:color w:val="auto"/>
              </w:rPr>
            </w:pPr>
            <w:r>
              <w:rPr>
                <w:rFonts w:ascii="Arial" w:cs="Arial" w:eastAsia="Arial" w:hAnsi="Arial"/>
                <w:sz w:val="13"/>
                <w:szCs w:val="13"/>
                <w:color w:val="auto"/>
              </w:rPr>
              <w:t>(24,050)</w:t>
            </w:r>
          </w:p>
        </w:tc>
        <w:tc>
          <w:tcPr>
            <w:tcW w:w="120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199"/>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Contingent consideration payable</w:t>
            </w:r>
          </w:p>
        </w:tc>
        <w:tc>
          <w:tcPr>
            <w:tcW w:w="16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(2,500)</w:t>
            </w:r>
          </w:p>
        </w:tc>
        <w:tc>
          <w:tcPr>
            <w:tcW w:w="13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(2,500)</w:t>
            </w:r>
          </w:p>
        </w:tc>
        <w:tc>
          <w:tcPr>
            <w:tcW w:w="10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(2,500)</w:t>
            </w:r>
          </w:p>
        </w:tc>
        <w:tc>
          <w:tcPr>
            <w:tcW w:w="12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83"/>
        </w:trPr>
        <w:tc>
          <w:tcPr>
            <w:tcW w:w="2820" w:type="dxa"/>
            <w:vAlign w:val="bottom"/>
          </w:tcPr>
          <w:p>
            <w:pPr>
              <w:ind w:left="20"/>
              <w:spacing w:after="0"/>
              <w:rPr>
                <w:sz w:val="20"/>
                <w:szCs w:val="20"/>
                <w:color w:val="auto"/>
              </w:rPr>
            </w:pPr>
            <w:r>
              <w:rPr>
                <w:rFonts w:ascii="Arial" w:cs="Arial" w:eastAsia="Arial" w:hAnsi="Arial"/>
                <w:sz w:val="13"/>
                <w:szCs w:val="13"/>
                <w:color w:val="auto"/>
              </w:rPr>
              <w:t>Gross obligation under put option</w:t>
            </w:r>
          </w:p>
        </w:tc>
        <w:tc>
          <w:tcPr>
            <w:tcW w:w="1660" w:type="dxa"/>
            <w:vAlign w:val="bottom"/>
          </w:tcPr>
          <w:p>
            <w:pPr>
              <w:jc w:val="right"/>
              <w:ind w:right="136"/>
              <w:spacing w:after="0"/>
              <w:rPr>
                <w:sz w:val="20"/>
                <w:szCs w:val="20"/>
                <w:color w:val="auto"/>
              </w:rPr>
            </w:pPr>
            <w:r>
              <w:rPr>
                <w:rFonts w:ascii="Arial" w:cs="Arial" w:eastAsia="Arial" w:hAnsi="Arial"/>
                <w:sz w:val="13"/>
                <w:szCs w:val="13"/>
                <w:color w:val="auto"/>
              </w:rPr>
              <w:t>(47,205)</w:t>
            </w:r>
          </w:p>
        </w:tc>
        <w:tc>
          <w:tcPr>
            <w:tcW w:w="1360" w:type="dxa"/>
            <w:vAlign w:val="bottom"/>
          </w:tcPr>
          <w:p>
            <w:pPr>
              <w:jc w:val="right"/>
              <w:ind w:right="236"/>
              <w:spacing w:after="0"/>
              <w:rPr>
                <w:sz w:val="20"/>
                <w:szCs w:val="20"/>
                <w:color w:val="auto"/>
              </w:rPr>
            </w:pPr>
            <w:r>
              <w:rPr>
                <w:rFonts w:ascii="Arial" w:cs="Arial" w:eastAsia="Arial" w:hAnsi="Arial"/>
                <w:sz w:val="13"/>
                <w:szCs w:val="13"/>
                <w:color w:val="auto"/>
              </w:rPr>
              <w:t>(47,205)</w:t>
            </w:r>
          </w:p>
        </w:tc>
        <w:tc>
          <w:tcPr>
            <w:tcW w:w="1040" w:type="dxa"/>
            <w:vAlign w:val="bottom"/>
          </w:tcPr>
          <w:p>
            <w:pPr>
              <w:jc w:val="right"/>
              <w:ind w:right="196"/>
              <w:spacing w:after="0"/>
              <w:rPr>
                <w:sz w:val="20"/>
                <w:szCs w:val="20"/>
                <w:color w:val="auto"/>
              </w:rPr>
            </w:pPr>
            <w:r>
              <w:rPr>
                <w:rFonts w:ascii="Arial" w:cs="Arial" w:eastAsia="Arial" w:hAnsi="Arial"/>
                <w:sz w:val="13"/>
                <w:szCs w:val="13"/>
                <w:color w:val="auto"/>
              </w:rPr>
              <w:t>(47,205)</w:t>
            </w:r>
          </w:p>
        </w:tc>
        <w:tc>
          <w:tcPr>
            <w:tcW w:w="120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191"/>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Accrued and other liabilities*</w:t>
            </w:r>
          </w:p>
        </w:tc>
        <w:tc>
          <w:tcPr>
            <w:tcW w:w="16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(421,425)</w:t>
            </w:r>
          </w:p>
        </w:tc>
        <w:tc>
          <w:tcPr>
            <w:tcW w:w="13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(421,425)</w:t>
            </w:r>
          </w:p>
        </w:tc>
        <w:tc>
          <w:tcPr>
            <w:tcW w:w="10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(407,265)</w:t>
            </w:r>
          </w:p>
        </w:tc>
        <w:tc>
          <w:tcPr>
            <w:tcW w:w="12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(14,160)</w:t>
            </w:r>
          </w:p>
        </w:tc>
        <w:tc>
          <w:tcPr>
            <w:tcW w:w="11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57"/>
        </w:trPr>
        <w:tc>
          <w:tcPr>
            <w:tcW w:w="28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92"/>
        </w:trPr>
        <w:tc>
          <w:tcPr>
            <w:tcW w:w="282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(933,012)</w:t>
            </w:r>
          </w:p>
        </w:tc>
        <w:tc>
          <w:tcPr>
            <w:tcW w:w="13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(953,857)</w:t>
            </w:r>
          </w:p>
        </w:tc>
        <w:tc>
          <w:tcPr>
            <w:tcW w:w="10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b w:val="1"/>
                <w:bCs w:val="1"/>
                <w:color w:val="auto"/>
              </w:rPr>
              <w:t>(487,481)</w:t>
            </w:r>
          </w:p>
        </w:tc>
        <w:tc>
          <w:tcPr>
            <w:tcW w:w="12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(370,623)</w:t>
            </w:r>
          </w:p>
        </w:tc>
        <w:tc>
          <w:tcPr>
            <w:tcW w:w="11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(25,441)</w:t>
            </w:r>
          </w:p>
        </w:tc>
        <w:tc>
          <w:tcPr>
            <w:tcW w:w="11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(42,461)</w:t>
            </w:r>
          </w:p>
        </w:tc>
        <w:tc>
          <w:tcPr>
            <w:tcW w:w="9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(27,853)</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280"/>
          </w:cols>
          <w:pgMar w:left="300" w:top="696" w:right="31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26. 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Year ended 31 December 2018</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6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Carrying</w:t>
            </w:r>
          </w:p>
        </w:tc>
        <w:tc>
          <w:tcPr>
            <w:tcW w:w="142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Contractual cash</w:t>
            </w: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6 months</w:t>
            </w:r>
          </w:p>
        </w:tc>
        <w:tc>
          <w:tcPr>
            <w:tcW w:w="1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196"/>
              <w:spacing w:after="0"/>
              <w:rPr>
                <w:sz w:val="20"/>
                <w:szCs w:val="20"/>
                <w:color w:val="auto"/>
              </w:rPr>
            </w:pPr>
            <w:r>
              <w:rPr>
                <w:rFonts w:ascii="Arial" w:cs="Arial" w:eastAsia="Arial" w:hAnsi="Arial"/>
                <w:sz w:val="13"/>
                <w:szCs w:val="13"/>
                <w:b w:val="1"/>
                <w:bCs w:val="1"/>
                <w:color w:val="auto"/>
                <w:w w:val="96"/>
              </w:rPr>
              <w:t>More than</w:t>
            </w:r>
          </w:p>
        </w:tc>
      </w:tr>
      <w:tr>
        <w:trPr>
          <w:trHeight w:val="177"/>
        </w:trPr>
        <w:tc>
          <w:tcPr>
            <w:tcW w:w="268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amount</w:t>
            </w:r>
          </w:p>
        </w:tc>
        <w:tc>
          <w:tcPr>
            <w:tcW w:w="14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flows</w:t>
            </w: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or less</w:t>
            </w:r>
          </w:p>
        </w:tc>
        <w:tc>
          <w:tcPr>
            <w:tcW w:w="11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6-12 months</w:t>
            </w:r>
          </w:p>
        </w:tc>
        <w:tc>
          <w:tcPr>
            <w:tcW w:w="11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1-2 years</w:t>
            </w:r>
          </w:p>
        </w:tc>
        <w:tc>
          <w:tcPr>
            <w:tcW w:w="11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2-5 years</w:t>
            </w:r>
          </w:p>
        </w:tc>
        <w:tc>
          <w:tcPr>
            <w:tcW w:w="900" w:type="dxa"/>
            <w:vAlign w:val="bottom"/>
            <w:tcBorders>
              <w:bottom w:val="single" w:sz="8" w:color="auto"/>
            </w:tcBorders>
            <w:shd w:val="clear" w:color="auto" w:fill="CCEEFF"/>
          </w:tcPr>
          <w:p>
            <w:pPr>
              <w:jc w:val="center"/>
              <w:ind w:left="356"/>
              <w:spacing w:after="0"/>
              <w:rPr>
                <w:sz w:val="20"/>
                <w:szCs w:val="20"/>
                <w:color w:val="auto"/>
              </w:rPr>
            </w:pPr>
            <w:r>
              <w:rPr>
                <w:rFonts w:ascii="Arial" w:cs="Arial" w:eastAsia="Arial" w:hAnsi="Arial"/>
                <w:sz w:val="13"/>
                <w:szCs w:val="13"/>
                <w:b w:val="1"/>
                <w:bCs w:val="1"/>
                <w:color w:val="auto"/>
                <w:w w:val="98"/>
              </w:rPr>
              <w:t>5 years</w:t>
            </w:r>
          </w:p>
        </w:tc>
      </w:tr>
      <w:tr>
        <w:trPr>
          <w:trHeight w:val="182"/>
        </w:trPr>
        <w:tc>
          <w:tcPr>
            <w:tcW w:w="2680" w:type="dxa"/>
            <w:vAlign w:val="bottom"/>
          </w:tcPr>
          <w:p>
            <w:pPr>
              <w:spacing w:after="0"/>
              <w:rPr>
                <w:sz w:val="15"/>
                <w:szCs w:val="15"/>
                <w:color w:val="auto"/>
              </w:rPr>
            </w:pPr>
          </w:p>
        </w:tc>
        <w:tc>
          <w:tcPr>
            <w:tcW w:w="1860" w:type="dxa"/>
            <w:vAlign w:val="bottom"/>
          </w:tcPr>
          <w:p>
            <w:pPr>
              <w:jc w:val="right"/>
              <w:ind w:right="116"/>
              <w:spacing w:after="0"/>
              <w:rPr>
                <w:sz w:val="20"/>
                <w:szCs w:val="20"/>
                <w:color w:val="auto"/>
              </w:rPr>
            </w:pPr>
            <w:r>
              <w:rPr>
                <w:rFonts w:ascii="Arial" w:cs="Arial" w:eastAsia="Arial" w:hAnsi="Arial"/>
                <w:sz w:val="13"/>
                <w:szCs w:val="13"/>
                <w:b w:val="1"/>
                <w:bCs w:val="1"/>
                <w:color w:val="auto"/>
              </w:rPr>
              <w:t>$’000</w:t>
            </w:r>
          </w:p>
        </w:tc>
        <w:tc>
          <w:tcPr>
            <w:tcW w:w="142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02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900" w:type="dxa"/>
            <w:vAlign w:val="bottom"/>
          </w:tcPr>
          <w:p>
            <w:pPr>
              <w:ind w:left="560"/>
              <w:spacing w:after="0"/>
              <w:rPr>
                <w:sz w:val="20"/>
                <w:szCs w:val="20"/>
                <w:color w:val="auto"/>
              </w:rPr>
            </w:pPr>
            <w:r>
              <w:rPr>
                <w:rFonts w:ascii="Arial" w:cs="Arial" w:eastAsia="Arial" w:hAnsi="Arial"/>
                <w:sz w:val="13"/>
                <w:szCs w:val="13"/>
                <w:b w:val="1"/>
                <w:bCs w:val="1"/>
                <w:color w:val="auto"/>
                <w:w w:val="98"/>
              </w:rPr>
              <w:t>$’000</w:t>
            </w:r>
          </w:p>
        </w:tc>
      </w:tr>
      <w:tr>
        <w:trPr>
          <w:trHeight w:val="177"/>
        </w:trPr>
        <w:tc>
          <w:tcPr>
            <w:tcW w:w="26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3"/>
        </w:trPr>
        <w:tc>
          <w:tcPr>
            <w:tcW w:w="2680" w:type="dxa"/>
            <w:vAlign w:val="bottom"/>
          </w:tcPr>
          <w:p>
            <w:pPr>
              <w:ind w:left="20"/>
              <w:spacing w:after="0"/>
              <w:rPr>
                <w:sz w:val="20"/>
                <w:szCs w:val="20"/>
                <w:color w:val="auto"/>
              </w:rPr>
            </w:pPr>
            <w:r>
              <w:rPr>
                <w:rFonts w:ascii="Arial" w:cs="Arial" w:eastAsia="Arial" w:hAnsi="Arial"/>
                <w:sz w:val="13"/>
                <w:szCs w:val="13"/>
                <w:color w:val="auto"/>
              </w:rPr>
              <w:t>Senior Notes</w:t>
            </w:r>
          </w:p>
        </w:tc>
        <w:tc>
          <w:tcPr>
            <w:tcW w:w="1860" w:type="dxa"/>
            <w:vAlign w:val="bottom"/>
          </w:tcPr>
          <w:p>
            <w:pPr>
              <w:jc w:val="right"/>
              <w:ind w:right="196"/>
              <w:spacing w:after="0"/>
              <w:rPr>
                <w:sz w:val="20"/>
                <w:szCs w:val="20"/>
                <w:color w:val="auto"/>
              </w:rPr>
            </w:pPr>
            <w:r>
              <w:rPr>
                <w:rFonts w:ascii="Arial" w:cs="Arial" w:eastAsia="Arial" w:hAnsi="Arial"/>
                <w:sz w:val="13"/>
                <w:szCs w:val="13"/>
                <w:color w:val="auto"/>
              </w:rPr>
              <w:t>(349,264)</w:t>
            </w:r>
          </w:p>
        </w:tc>
        <w:tc>
          <w:tcPr>
            <w:tcW w:w="1420" w:type="dxa"/>
            <w:vAlign w:val="bottom"/>
          </w:tcPr>
          <w:p>
            <w:pPr>
              <w:jc w:val="right"/>
              <w:ind w:right="256"/>
              <w:spacing w:after="0"/>
              <w:rPr>
                <w:sz w:val="20"/>
                <w:szCs w:val="20"/>
                <w:color w:val="auto"/>
              </w:rPr>
            </w:pPr>
            <w:r>
              <w:rPr>
                <w:rFonts w:ascii="Arial" w:cs="Arial" w:eastAsia="Arial" w:hAnsi="Arial"/>
                <w:sz w:val="13"/>
                <w:szCs w:val="13"/>
                <w:color w:val="auto"/>
              </w:rPr>
              <w:t>(350,000)</w:t>
            </w:r>
          </w:p>
        </w:tc>
        <w:tc>
          <w:tcPr>
            <w:tcW w:w="102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140" w:type="dxa"/>
            <w:vAlign w:val="bottom"/>
          </w:tcPr>
          <w:p>
            <w:pPr>
              <w:ind w:left="66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96"/>
              <w:spacing w:after="0"/>
              <w:rPr>
                <w:sz w:val="20"/>
                <w:szCs w:val="20"/>
                <w:color w:val="auto"/>
              </w:rPr>
            </w:pPr>
            <w:r>
              <w:rPr>
                <w:rFonts w:ascii="Arial" w:cs="Arial" w:eastAsia="Arial" w:hAnsi="Arial"/>
                <w:sz w:val="13"/>
                <w:szCs w:val="13"/>
                <w:color w:val="auto"/>
              </w:rPr>
              <w:t>(350,000)</w:t>
            </w:r>
          </w:p>
        </w:tc>
        <w:tc>
          <w:tcPr>
            <w:tcW w:w="1100" w:type="dxa"/>
            <w:vAlign w:val="bottom"/>
          </w:tcPr>
          <w:p>
            <w:pPr>
              <w:ind w:left="560"/>
              <w:spacing w:after="0"/>
              <w:rPr>
                <w:sz w:val="20"/>
                <w:szCs w:val="20"/>
                <w:color w:val="auto"/>
              </w:rPr>
            </w:pPr>
            <w:r>
              <w:rPr>
                <w:rFonts w:ascii="Arial" w:cs="Arial" w:eastAsia="Arial" w:hAnsi="Arial"/>
                <w:sz w:val="13"/>
                <w:szCs w:val="13"/>
                <w:color w:val="auto"/>
              </w:rPr>
              <w:t>—</w:t>
            </w:r>
          </w:p>
        </w:tc>
        <w:tc>
          <w:tcPr>
            <w:tcW w:w="900" w:type="dxa"/>
            <w:vAlign w:val="bottom"/>
          </w:tcPr>
          <w:p>
            <w:pPr>
              <w:jc w:val="center"/>
              <w:ind w:left="396"/>
              <w:spacing w:after="0"/>
              <w:rPr>
                <w:sz w:val="20"/>
                <w:szCs w:val="20"/>
                <w:color w:val="auto"/>
              </w:rPr>
            </w:pPr>
            <w:r>
              <w:rPr>
                <w:rFonts w:ascii="Arial" w:cs="Arial" w:eastAsia="Arial" w:hAnsi="Arial"/>
                <w:sz w:val="13"/>
                <w:szCs w:val="13"/>
                <w:color w:val="auto"/>
                <w:w w:val="91"/>
              </w:rPr>
              <w:t>—</w:t>
            </w:r>
          </w:p>
        </w:tc>
      </w:tr>
      <w:tr>
        <w:trPr>
          <w:trHeight w:val="199"/>
        </w:trPr>
        <w:tc>
          <w:tcPr>
            <w:tcW w:w="2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on Senior Notes</w:t>
            </w:r>
          </w:p>
        </w:tc>
        <w:tc>
          <w:tcPr>
            <w:tcW w:w="18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(566)</w:t>
            </w:r>
          </w:p>
        </w:tc>
        <w:tc>
          <w:tcPr>
            <w:tcW w:w="1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(25,480)</w:t>
            </w:r>
          </w:p>
        </w:tc>
        <w:tc>
          <w:tcPr>
            <w:tcW w:w="10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(6,370)</w:t>
            </w:r>
          </w:p>
        </w:tc>
        <w:tc>
          <w:tcPr>
            <w:tcW w:w="1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(6,370)</w:t>
            </w:r>
          </w:p>
        </w:tc>
        <w:tc>
          <w:tcPr>
            <w:tcW w:w="11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(12,740)</w:t>
            </w:r>
          </w:p>
        </w:tc>
        <w:tc>
          <w:tcPr>
            <w:tcW w:w="11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center"/>
              <w:ind w:left="396"/>
              <w:spacing w:after="0"/>
              <w:rPr>
                <w:sz w:val="20"/>
                <w:szCs w:val="20"/>
                <w:color w:val="auto"/>
              </w:rPr>
            </w:pPr>
            <w:r>
              <w:rPr>
                <w:rFonts w:ascii="Arial" w:cs="Arial" w:eastAsia="Arial" w:hAnsi="Arial"/>
                <w:sz w:val="13"/>
                <w:szCs w:val="13"/>
                <w:color w:val="auto"/>
                <w:w w:val="91"/>
              </w:rPr>
              <w:t>—</w:t>
            </w:r>
          </w:p>
        </w:tc>
      </w:tr>
      <w:tr>
        <w:trPr>
          <w:trHeight w:val="183"/>
        </w:trPr>
        <w:tc>
          <w:tcPr>
            <w:tcW w:w="2680" w:type="dxa"/>
            <w:vAlign w:val="bottom"/>
          </w:tcPr>
          <w:p>
            <w:pPr>
              <w:ind w:left="20"/>
              <w:spacing w:after="0"/>
              <w:rPr>
                <w:sz w:val="20"/>
                <w:szCs w:val="20"/>
                <w:color w:val="auto"/>
              </w:rPr>
            </w:pPr>
            <w:r>
              <w:rPr>
                <w:rFonts w:ascii="Arial" w:cs="Arial" w:eastAsia="Arial" w:hAnsi="Arial"/>
                <w:sz w:val="13"/>
                <w:szCs w:val="13"/>
                <w:color w:val="auto"/>
              </w:rPr>
              <w:t>Non-current other liabilities*</w:t>
            </w:r>
          </w:p>
        </w:tc>
        <w:tc>
          <w:tcPr>
            <w:tcW w:w="1860" w:type="dxa"/>
            <w:vAlign w:val="bottom"/>
          </w:tcPr>
          <w:p>
            <w:pPr>
              <w:jc w:val="right"/>
              <w:ind w:right="196"/>
              <w:spacing w:after="0"/>
              <w:rPr>
                <w:sz w:val="20"/>
                <w:szCs w:val="20"/>
                <w:color w:val="auto"/>
              </w:rPr>
            </w:pPr>
            <w:r>
              <w:rPr>
                <w:rFonts w:ascii="Arial" w:cs="Arial" w:eastAsia="Arial" w:hAnsi="Arial"/>
                <w:sz w:val="13"/>
                <w:szCs w:val="13"/>
                <w:color w:val="auto"/>
              </w:rPr>
              <w:t>(8,818)</w:t>
            </w:r>
          </w:p>
        </w:tc>
        <w:tc>
          <w:tcPr>
            <w:tcW w:w="1420" w:type="dxa"/>
            <w:vAlign w:val="bottom"/>
          </w:tcPr>
          <w:p>
            <w:pPr>
              <w:jc w:val="right"/>
              <w:ind w:right="256"/>
              <w:spacing w:after="0"/>
              <w:rPr>
                <w:sz w:val="20"/>
                <w:szCs w:val="20"/>
                <w:color w:val="auto"/>
              </w:rPr>
            </w:pPr>
            <w:r>
              <w:rPr>
                <w:rFonts w:ascii="Arial" w:cs="Arial" w:eastAsia="Arial" w:hAnsi="Arial"/>
                <w:sz w:val="13"/>
                <w:szCs w:val="13"/>
                <w:color w:val="auto"/>
              </w:rPr>
              <w:t>(8,818)</w:t>
            </w:r>
          </w:p>
        </w:tc>
        <w:tc>
          <w:tcPr>
            <w:tcW w:w="1020" w:type="dxa"/>
            <w:vAlign w:val="bottom"/>
          </w:tcPr>
          <w:p>
            <w:pPr>
              <w:jc w:val="right"/>
              <w:ind w:right="196"/>
              <w:spacing w:after="0"/>
              <w:rPr>
                <w:sz w:val="20"/>
                <w:szCs w:val="20"/>
                <w:color w:val="auto"/>
              </w:rPr>
            </w:pPr>
            <w:r>
              <w:rPr>
                <w:rFonts w:ascii="Arial" w:cs="Arial" w:eastAsia="Arial" w:hAnsi="Arial"/>
                <w:sz w:val="13"/>
                <w:szCs w:val="13"/>
                <w:color w:val="auto"/>
              </w:rPr>
              <w:t>(414)</w:t>
            </w:r>
          </w:p>
        </w:tc>
        <w:tc>
          <w:tcPr>
            <w:tcW w:w="1140" w:type="dxa"/>
            <w:vAlign w:val="bottom"/>
          </w:tcPr>
          <w:p>
            <w:pPr>
              <w:ind w:left="66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96"/>
              <w:spacing w:after="0"/>
              <w:rPr>
                <w:sz w:val="20"/>
                <w:szCs w:val="20"/>
                <w:color w:val="auto"/>
              </w:rPr>
            </w:pPr>
            <w:r>
              <w:rPr>
                <w:rFonts w:ascii="Arial" w:cs="Arial" w:eastAsia="Arial" w:hAnsi="Arial"/>
                <w:sz w:val="13"/>
                <w:szCs w:val="13"/>
                <w:color w:val="auto"/>
              </w:rPr>
              <w:t>(9)</w:t>
            </w:r>
          </w:p>
        </w:tc>
        <w:tc>
          <w:tcPr>
            <w:tcW w:w="1100" w:type="dxa"/>
            <w:vAlign w:val="bottom"/>
          </w:tcPr>
          <w:p>
            <w:pPr>
              <w:ind w:left="560"/>
              <w:spacing w:after="0"/>
              <w:rPr>
                <w:sz w:val="20"/>
                <w:szCs w:val="20"/>
                <w:color w:val="auto"/>
              </w:rPr>
            </w:pPr>
            <w:r>
              <w:rPr>
                <w:rFonts w:ascii="Arial" w:cs="Arial" w:eastAsia="Arial" w:hAnsi="Arial"/>
                <w:sz w:val="13"/>
                <w:szCs w:val="13"/>
                <w:color w:val="auto"/>
              </w:rPr>
              <w:t>—</w:t>
            </w:r>
          </w:p>
        </w:tc>
        <w:tc>
          <w:tcPr>
            <w:tcW w:w="900" w:type="dxa"/>
            <w:vAlign w:val="bottom"/>
          </w:tcPr>
          <w:p>
            <w:pPr>
              <w:jc w:val="center"/>
              <w:ind w:left="196"/>
              <w:spacing w:after="0"/>
              <w:rPr>
                <w:sz w:val="20"/>
                <w:szCs w:val="20"/>
                <w:color w:val="auto"/>
              </w:rPr>
            </w:pPr>
            <w:r>
              <w:rPr>
                <w:rFonts w:ascii="Arial" w:cs="Arial" w:eastAsia="Arial" w:hAnsi="Arial"/>
                <w:sz w:val="13"/>
                <w:szCs w:val="13"/>
                <w:color w:val="auto"/>
                <w:w w:val="97"/>
              </w:rPr>
              <w:t>(8,395)</w:t>
            </w:r>
          </w:p>
        </w:tc>
      </w:tr>
      <w:tr>
        <w:trPr>
          <w:trHeight w:val="199"/>
        </w:trPr>
        <w:tc>
          <w:tcPr>
            <w:tcW w:w="2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18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(13,288)</w:t>
            </w:r>
          </w:p>
        </w:tc>
        <w:tc>
          <w:tcPr>
            <w:tcW w:w="1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(13,288)</w:t>
            </w:r>
          </w:p>
        </w:tc>
        <w:tc>
          <w:tcPr>
            <w:tcW w:w="10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(13,288)</w:t>
            </w:r>
          </w:p>
        </w:tc>
        <w:tc>
          <w:tcPr>
            <w:tcW w:w="11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center"/>
              <w:ind w:left="396"/>
              <w:spacing w:after="0"/>
              <w:rPr>
                <w:sz w:val="20"/>
                <w:szCs w:val="20"/>
                <w:color w:val="auto"/>
              </w:rPr>
            </w:pPr>
            <w:r>
              <w:rPr>
                <w:rFonts w:ascii="Arial" w:cs="Arial" w:eastAsia="Arial" w:hAnsi="Arial"/>
                <w:sz w:val="13"/>
                <w:szCs w:val="13"/>
                <w:color w:val="auto"/>
                <w:w w:val="91"/>
              </w:rPr>
              <w:t>—</w:t>
            </w:r>
          </w:p>
        </w:tc>
      </w:tr>
      <w:tr>
        <w:trPr>
          <w:trHeight w:val="183"/>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Accrued and other liabilities*</w:t>
            </w:r>
          </w:p>
        </w:tc>
        <w:tc>
          <w:tcPr>
            <w:tcW w:w="18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(309,901)</w:t>
            </w:r>
          </w:p>
        </w:tc>
        <w:tc>
          <w:tcPr>
            <w:tcW w:w="14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(309,901)</w:t>
            </w:r>
          </w:p>
        </w:tc>
        <w:tc>
          <w:tcPr>
            <w:tcW w:w="10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(309,901)</w:t>
            </w:r>
          </w:p>
        </w:tc>
        <w:tc>
          <w:tcPr>
            <w:tcW w:w="1140" w:type="dxa"/>
            <w:vAlign w:val="bottom"/>
            <w:tcBorders>
              <w:bottom w:val="single" w:sz="8" w:color="auto"/>
            </w:tcBorders>
          </w:tcPr>
          <w:p>
            <w:pPr>
              <w:ind w:left="6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center"/>
              <w:ind w:left="396"/>
              <w:spacing w:after="0"/>
              <w:rPr>
                <w:sz w:val="20"/>
                <w:szCs w:val="20"/>
                <w:color w:val="auto"/>
              </w:rPr>
            </w:pPr>
            <w:r>
              <w:rPr>
                <w:rFonts w:ascii="Arial" w:cs="Arial" w:eastAsia="Arial" w:hAnsi="Arial"/>
                <w:sz w:val="13"/>
                <w:szCs w:val="13"/>
                <w:color w:val="auto"/>
                <w:w w:val="91"/>
              </w:rPr>
              <w:t>—</w:t>
            </w:r>
          </w:p>
        </w:tc>
      </w:tr>
      <w:tr>
        <w:trPr>
          <w:trHeight w:val="157"/>
        </w:trPr>
        <w:tc>
          <w:tcPr>
            <w:tcW w:w="268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92"/>
        </w:trPr>
        <w:tc>
          <w:tcPr>
            <w:tcW w:w="26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(681,837)</w:t>
            </w:r>
          </w:p>
        </w:tc>
        <w:tc>
          <w:tcPr>
            <w:tcW w:w="14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(707,487)</w:t>
            </w:r>
          </w:p>
        </w:tc>
        <w:tc>
          <w:tcPr>
            <w:tcW w:w="10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(329,973)</w:t>
            </w: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(6,370)</w:t>
            </w:r>
          </w:p>
        </w:tc>
        <w:tc>
          <w:tcPr>
            <w:tcW w:w="11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(362,749)</w:t>
            </w:r>
          </w:p>
        </w:tc>
        <w:tc>
          <w:tcPr>
            <w:tcW w:w="110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center"/>
              <w:ind w:left="196"/>
              <w:spacing w:after="0"/>
              <w:rPr>
                <w:sz w:val="20"/>
                <w:szCs w:val="20"/>
                <w:color w:val="auto"/>
              </w:rPr>
            </w:pPr>
            <w:r>
              <w:rPr>
                <w:rFonts w:ascii="Arial" w:cs="Arial" w:eastAsia="Arial" w:hAnsi="Arial"/>
                <w:sz w:val="13"/>
                <w:szCs w:val="13"/>
                <w:b w:val="1"/>
                <w:bCs w:val="1"/>
                <w:color w:val="auto"/>
                <w:w w:val="97"/>
              </w:rPr>
              <w:t>(8,395)</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Non-current other liabilities above excludes retirement plan net benefit obligation (2019: $6.1 million and 2018: $3.3 million ) and deferred government grants (2019: $0.8 million and 2018: $0.9</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million). Accrued and other liabilities excludes interest on senior notes presented separately above and deferred government grants (2019: $45,000 and 2018: $42,000).</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currency risk</w:t>
      </w:r>
    </w:p>
    <w:p>
      <w:pPr>
        <w:spacing w:after="0" w:line="1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Group is subject to a number of foreign currency risks given the global nature of its operations. The principal foreign currency risks to which the business is subject includes both foreign currency translation risk and foreign currency transaction risk. Although domiciled in Ireland, the Group presents its results in U.S. dollars. As a consequence the results of non-U.S. based operations, when translated into U.S. dollars, could be affected by fluctuations in exchange rates between the U.S. dollar and the currencies of those operations.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Group is also subject to foreign currency transaction exposures as the currency in which contracts are priced can be different from the currencies in which costs relating to those contracts are incurred. The Group’s operations in the United States are not materially exposed to such currency differences as the majority of revenues and costs are in U.S. dollars. However, outside the United States the multinational nature of the Group’s activities means that contracts are usually priced in a single currency, most often U.S. dollars, Euros or pounds Sterling, while costs arise in a number of currencies, depending on, among other things, which of the Group’s offices provide staff for the contract and the location of investigator sites.</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the results of the Group’s operations. The Group regularly reviews its foreign currency exposures and usually negotiates currency fluctuation clauses in its contracts which allow for price negotiation if certain exchange rate triggers occur. The following significant exchange rates applied during the year:</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60" w:type="dxa"/>
            <w:vAlign w:val="bottom"/>
            <w:shd w:val="clear" w:color="auto" w:fill="CCEEFF"/>
          </w:tcPr>
          <w:p>
            <w:pPr>
              <w:spacing w:after="0"/>
              <w:rPr>
                <w:sz w:val="16"/>
                <w:szCs w:val="16"/>
                <w:color w:val="auto"/>
              </w:rPr>
            </w:pPr>
          </w:p>
        </w:tc>
        <w:tc>
          <w:tcPr>
            <w:tcW w:w="384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Average Rate</w:t>
            </w:r>
          </w:p>
        </w:tc>
        <w:tc>
          <w:tcPr>
            <w:tcW w:w="12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Closing Rate</w:t>
            </w:r>
          </w:p>
        </w:tc>
        <w:tc>
          <w:tcPr>
            <w:tcW w:w="740" w:type="dxa"/>
            <w:vAlign w:val="bottom"/>
            <w:shd w:val="clear" w:color="auto" w:fill="CCEEFF"/>
          </w:tcPr>
          <w:p>
            <w:pPr>
              <w:spacing w:after="0"/>
              <w:rPr>
                <w:sz w:val="16"/>
                <w:szCs w:val="16"/>
                <w:color w:val="auto"/>
              </w:rPr>
            </w:pPr>
          </w:p>
        </w:tc>
      </w:tr>
      <w:tr>
        <w:trPr>
          <w:trHeight w:val="183"/>
        </w:trPr>
        <w:tc>
          <w:tcPr>
            <w:tcW w:w="376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2019</w:t>
            </w:r>
          </w:p>
        </w:tc>
        <w:tc>
          <w:tcPr>
            <w:tcW w:w="128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2018</w:t>
            </w:r>
          </w:p>
        </w:tc>
        <w:tc>
          <w:tcPr>
            <w:tcW w:w="166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2019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2018</w:t>
            </w:r>
          </w:p>
        </w:tc>
      </w:tr>
      <w:tr>
        <w:trPr>
          <w:trHeight w:val="157"/>
        </w:trPr>
        <w:tc>
          <w:tcPr>
            <w:tcW w:w="3760" w:type="dxa"/>
            <w:vAlign w:val="bottom"/>
            <w:shd w:val="clear" w:color="auto" w:fill="CCEEFF"/>
          </w:tcPr>
          <w:p>
            <w:pPr>
              <w:spacing w:after="0"/>
              <w:rPr>
                <w:sz w:val="13"/>
                <w:szCs w:val="13"/>
                <w:color w:val="auto"/>
              </w:rPr>
            </w:pPr>
          </w:p>
        </w:tc>
        <w:tc>
          <w:tcPr>
            <w:tcW w:w="38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83"/>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Euro 1:$</w:t>
            </w:r>
          </w:p>
        </w:tc>
        <w:tc>
          <w:tcPr>
            <w:tcW w:w="38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1.1183</w:t>
            </w:r>
          </w:p>
        </w:tc>
        <w:tc>
          <w:tcPr>
            <w:tcW w:w="128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1.1846</w:t>
            </w:r>
          </w:p>
        </w:tc>
        <w:tc>
          <w:tcPr>
            <w:tcW w:w="166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1.1213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1.1467</w:t>
            </w:r>
          </w:p>
        </w:tc>
      </w:tr>
      <w:tr>
        <w:trPr>
          <w:trHeight w:val="157"/>
        </w:trPr>
        <w:tc>
          <w:tcPr>
            <w:tcW w:w="3760" w:type="dxa"/>
            <w:vAlign w:val="bottom"/>
            <w:shd w:val="clear" w:color="auto" w:fill="CCEEFF"/>
          </w:tcPr>
          <w:p>
            <w:pPr>
              <w:spacing w:after="0"/>
              <w:rPr>
                <w:sz w:val="13"/>
                <w:szCs w:val="13"/>
                <w:color w:val="auto"/>
              </w:rPr>
            </w:pPr>
          </w:p>
        </w:tc>
        <w:tc>
          <w:tcPr>
            <w:tcW w:w="38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92"/>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Pound Sterling 1:$</w:t>
            </w:r>
          </w:p>
        </w:tc>
        <w:tc>
          <w:tcPr>
            <w:tcW w:w="38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1.2735</w:t>
            </w:r>
          </w:p>
        </w:tc>
        <w:tc>
          <w:tcPr>
            <w:tcW w:w="128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1.3401</w:t>
            </w:r>
          </w:p>
        </w:tc>
        <w:tc>
          <w:tcPr>
            <w:tcW w:w="166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1.3257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1.2754</w:t>
            </w:r>
          </w:p>
        </w:tc>
      </w:tr>
    </w:tbl>
    <w:p>
      <w:pPr>
        <w:spacing w:after="0" w:line="25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 simultaneous ten percent strengthening or weakening of the US Dollar, Euro and Sterling against all other currencies (which remained constant) would have increased or decreased profit by $1.1 million, $12.7 million and $5.8 million respectively (31 December 2018: $0.9 million, $1.9 million and $0.2 million respectively) as a consequence of the retranslation of foreign currency denominated financial assets and liabilities at those dates. This change in profit is excluding the effect of foreign currency denominated long term loans.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280"/>
          </w:cols>
          <w:pgMar w:left="300" w:top="696" w:right="31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26. 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rate risk</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Group is exposed to interest rate risk in respect of its cash and cash equivalents, current asset investments and amounts drawn under negotiated facilities which are subject to variable rates of interest. Funds drawn under the private placement bond are subject to fixed rates until 2020. As the Group does not account for these fixed rate liabilities at fair value through profit or loss, any change in market interest rates has no effect on the profit or loss. The Group’s treasury function actively manages its available cash resources and invests significant cash balances in various financial instruments to try to ensure optimum returns for the Group’s surplus cash balances. Financial instruments are classified either as cash and cash equivalents or current asset investments depending upon the maturity of the related investment. The Group may be subject to interest rate risk in respect of interest rate changes on amounts invested. The Group manages interest rate risk in respect of these balances by monitoring the composition of the Group’s investment portfolio on an ongoing basis having regard to current market interest rates and future trends.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3"/>
          <w:szCs w:val="13"/>
          <w:color w:val="auto"/>
        </w:rPr>
        <w:t xml:space="preserve">In addition to interest rate risk on surplus cash balances invested, the Group may also be subject to interest rate risk on amounts drawn under negotiated facilities which are subject to variable rates of interest. Details of the Group’s negotiated facility are set out in </w:t>
      </w:r>
      <w:r>
        <w:rPr>
          <w:rFonts w:ascii="Arial" w:cs="Arial" w:eastAsia="Arial" w:hAnsi="Arial"/>
          <w:sz w:val="13"/>
          <w:szCs w:val="13"/>
          <w:i w:val="1"/>
          <w:iCs w:val="1"/>
          <w:color w:val="auto"/>
        </w:rPr>
        <w:t>note 23 Bank Credit Lines and Loan Facilities</w:t>
      </w:r>
      <w:r>
        <w:rPr>
          <w:rFonts w:ascii="Arial" w:cs="Arial" w:eastAsia="Arial" w:hAnsi="Arial"/>
          <w:sz w:val="13"/>
          <w:szCs w:val="13"/>
          <w:color w:val="auto"/>
        </w:rPr>
        <w:t xml:space="preserve"> at 31 December 2019. The Group manages interest rate risk in respect of amounts under negotiated facilities through ongoing monitoring of actual and forecast cash balances, reviewing existing and future cash requirements of the business and by reviewing existing levels of borrowings having regard to current market interest rates and future trends. There are no amounts drawn under the Group’s revolving credit facility at 31 December 2019.</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13"/>
          <w:szCs w:val="13"/>
          <w:color w:val="auto"/>
        </w:rPr>
        <w:t xml:space="preserve">In December 2015 the Group issued $350 million in the private placement market, the rate on these Senior Notes is fixed at 3.64% for the five year term. The interest rate is further reduced by an interest rate cash flow hedge which was entered into in advance of the rate fixing date. This cash flow hedge was deemed to be fully effective in accordance with IAS 39 </w:t>
      </w:r>
      <w:r>
        <w:rPr>
          <w:rFonts w:ascii="Arial" w:cs="Arial" w:eastAsia="Arial" w:hAnsi="Arial"/>
          <w:sz w:val="13"/>
          <w:szCs w:val="13"/>
          <w:i w:val="1"/>
          <w:iCs w:val="1"/>
          <w:color w:val="auto"/>
        </w:rPr>
        <w:t>Financial Instruments: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Recognition and Measurement </w:t>
      </w:r>
      <w:r>
        <w:rPr>
          <w:rFonts w:ascii="Arial" w:cs="Arial" w:eastAsia="Arial" w:hAnsi="Arial"/>
          <w:sz w:val="13"/>
          <w:szCs w:val="13"/>
          <w:color w:val="auto"/>
        </w:rPr>
        <w:t>(it is also considered to be effective in accordance with IFRS 9 from 1 January 2018). The realised gain related to this derivative is recorded within comprehensive</w:t>
      </w:r>
      <w:r>
        <w:rPr>
          <w:rFonts w:ascii="Arial" w:cs="Arial" w:eastAsia="Arial" w:hAnsi="Arial"/>
          <w:sz w:val="13"/>
          <w:szCs w:val="13"/>
          <w:i w:val="1"/>
          <w:iCs w:val="1"/>
          <w:color w:val="auto"/>
        </w:rPr>
        <w:t xml:space="preserve"> </w:t>
      </w:r>
      <w:r>
        <w:rPr>
          <w:rFonts w:ascii="Arial" w:cs="Arial" w:eastAsia="Arial" w:hAnsi="Arial"/>
          <w:sz w:val="13"/>
          <w:szCs w:val="13"/>
          <w:color w:val="auto"/>
        </w:rPr>
        <w:t>income and is amortised over the life of the Senior Notes. The effective rate, reflecting the benefit of the gain on the cash flow hedge, on our 5 year Senior Notes is fixed at 3.37%.</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sensitivity analysis below represents the revised amount following the hypothetical change in our interest income and interest expense based on an immediate 1% movement in market interest rates.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0" w:type="dxa"/>
            <w:vAlign w:val="bottom"/>
            <w:shd w:val="clear" w:color="auto" w:fill="CCEEFF"/>
          </w:tcPr>
          <w:p>
            <w:pPr>
              <w:spacing w:after="0"/>
              <w:rPr>
                <w:sz w:val="16"/>
                <w:szCs w:val="16"/>
                <w:color w:val="auto"/>
              </w:rPr>
            </w:pPr>
          </w:p>
        </w:tc>
        <w:tc>
          <w:tcPr>
            <w:tcW w:w="3320" w:type="dxa"/>
            <w:vAlign w:val="bottom"/>
            <w:shd w:val="clear" w:color="auto" w:fill="CCEEFF"/>
          </w:tcPr>
          <w:p>
            <w:pPr>
              <w:spacing w:after="0"/>
              <w:rPr>
                <w:sz w:val="16"/>
                <w:szCs w:val="16"/>
                <w:color w:val="auto"/>
              </w:rPr>
            </w:pPr>
          </w:p>
        </w:tc>
        <w:tc>
          <w:tcPr>
            <w:tcW w:w="406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Interest Income</w:t>
            </w:r>
          </w:p>
        </w:tc>
        <w:tc>
          <w:tcPr>
            <w:tcW w:w="1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500"/>
              <w:spacing w:after="0"/>
              <w:rPr>
                <w:sz w:val="20"/>
                <w:szCs w:val="20"/>
                <w:color w:val="auto"/>
              </w:rPr>
            </w:pPr>
            <w:r>
              <w:rPr>
                <w:rFonts w:ascii="Arial" w:cs="Arial" w:eastAsia="Arial" w:hAnsi="Arial"/>
                <w:sz w:val="13"/>
                <w:szCs w:val="13"/>
                <w:b w:val="1"/>
                <w:bCs w:val="1"/>
                <w:color w:val="auto"/>
              </w:rPr>
              <w:t>Interest Expense</w:t>
            </w:r>
          </w:p>
        </w:tc>
        <w:tc>
          <w:tcPr>
            <w:tcW w:w="740" w:type="dxa"/>
            <w:vAlign w:val="bottom"/>
            <w:shd w:val="clear" w:color="auto" w:fill="CCEEFF"/>
          </w:tcPr>
          <w:p>
            <w:pPr>
              <w:spacing w:after="0"/>
              <w:rPr>
                <w:sz w:val="16"/>
                <w:szCs w:val="16"/>
                <w:color w:val="auto"/>
              </w:rPr>
            </w:pPr>
          </w:p>
        </w:tc>
      </w:tr>
      <w:tr>
        <w:trPr>
          <w:trHeight w:val="183"/>
        </w:trPr>
        <w:tc>
          <w:tcPr>
            <w:tcW w:w="22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spacing w:after="0"/>
              <w:rPr>
                <w:sz w:val="15"/>
                <w:szCs w:val="15"/>
                <w:color w:val="auto"/>
              </w:rPr>
            </w:pPr>
          </w:p>
        </w:tc>
        <w:tc>
          <w:tcPr>
            <w:tcW w:w="406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2019</w:t>
            </w:r>
          </w:p>
        </w:tc>
        <w:tc>
          <w:tcPr>
            <w:tcW w:w="120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color w:val="auto"/>
              </w:rPr>
              <w:t>2018</w:t>
            </w:r>
          </w:p>
        </w:tc>
        <w:tc>
          <w:tcPr>
            <w:tcW w:w="1740" w:type="dxa"/>
            <w:vAlign w:val="bottom"/>
            <w:tcBorders>
              <w:bottom w:val="single" w:sz="8" w:color="auto"/>
            </w:tcBorders>
            <w:gridSpan w:val="2"/>
          </w:tcPr>
          <w:p>
            <w:pPr>
              <w:jc w:val="right"/>
              <w:ind w:right="676"/>
              <w:spacing w:after="0"/>
              <w:rPr>
                <w:sz w:val="20"/>
                <w:szCs w:val="20"/>
                <w:color w:val="auto"/>
              </w:rPr>
            </w:pPr>
            <w:r>
              <w:rPr>
                <w:rFonts w:ascii="Arial" w:cs="Arial" w:eastAsia="Arial" w:hAnsi="Arial"/>
                <w:sz w:val="13"/>
                <w:szCs w:val="13"/>
                <w:b w:val="1"/>
                <w:bCs w:val="1"/>
                <w:color w:val="auto"/>
              </w:rPr>
              <w:t>2019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2018</w:t>
            </w:r>
          </w:p>
        </w:tc>
      </w:tr>
      <w:tr>
        <w:trPr>
          <w:trHeight w:val="189"/>
        </w:trPr>
        <w:tc>
          <w:tcPr>
            <w:tcW w:w="220" w:type="dxa"/>
            <w:vAlign w:val="bottom"/>
            <w:shd w:val="clear" w:color="auto" w:fill="CCEEFF"/>
          </w:tcPr>
          <w:p>
            <w:pPr>
              <w:spacing w:after="0"/>
              <w:rPr>
                <w:sz w:val="16"/>
                <w:szCs w:val="16"/>
                <w:color w:val="auto"/>
              </w:rPr>
            </w:pPr>
          </w:p>
        </w:tc>
        <w:tc>
          <w:tcPr>
            <w:tcW w:w="3320" w:type="dxa"/>
            <w:vAlign w:val="bottom"/>
            <w:shd w:val="clear" w:color="auto" w:fill="CCEEFF"/>
          </w:tcPr>
          <w:p>
            <w:pPr>
              <w:spacing w:after="0"/>
              <w:rPr>
                <w:sz w:val="16"/>
                <w:szCs w:val="16"/>
                <w:color w:val="auto"/>
              </w:rPr>
            </w:pPr>
          </w:p>
        </w:tc>
        <w:tc>
          <w:tcPr>
            <w:tcW w:w="4060" w:type="dxa"/>
            <w:vAlign w:val="bottom"/>
            <w:shd w:val="clear" w:color="auto" w:fill="CCEEFF"/>
          </w:tcPr>
          <w:p>
            <w:pPr>
              <w:jc w:val="right"/>
              <w:ind w:right="696"/>
              <w:spacing w:after="0"/>
              <w:rPr>
                <w:sz w:val="20"/>
                <w:szCs w:val="20"/>
                <w:color w:val="auto"/>
              </w:rPr>
            </w:pPr>
            <w:r>
              <w:rPr>
                <w:rFonts w:ascii="Arial" w:cs="Arial" w:eastAsia="Arial" w:hAnsi="Arial"/>
                <w:sz w:val="13"/>
                <w:szCs w:val="13"/>
                <w:b w:val="1"/>
                <w:bCs w:val="1"/>
                <w:color w:val="auto"/>
              </w:rPr>
              <w:t>$’000</w:t>
            </w:r>
          </w:p>
        </w:tc>
        <w:tc>
          <w:tcPr>
            <w:tcW w:w="120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$’000</w:t>
            </w:r>
          </w:p>
        </w:tc>
        <w:tc>
          <w:tcPr>
            <w:tcW w:w="1740" w:type="dxa"/>
            <w:vAlign w:val="bottom"/>
            <w:gridSpan w:val="2"/>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$’000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70"/>
        </w:trPr>
        <w:tc>
          <w:tcPr>
            <w:tcW w:w="3540" w:type="dxa"/>
            <w:vAlign w:val="bottom"/>
            <w:gridSpan w:val="2"/>
          </w:tcPr>
          <w:p>
            <w:pPr>
              <w:spacing w:after="0"/>
              <w:rPr>
                <w:sz w:val="14"/>
                <w:szCs w:val="14"/>
                <w:color w:val="auto"/>
              </w:rPr>
            </w:pPr>
          </w:p>
        </w:tc>
        <w:tc>
          <w:tcPr>
            <w:tcW w:w="4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35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As reported</w:t>
            </w:r>
          </w:p>
        </w:tc>
        <w:tc>
          <w:tcPr>
            <w:tcW w:w="406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b w:val="1"/>
                <w:bCs w:val="1"/>
                <w:color w:val="auto"/>
              </w:rPr>
              <w:t>6,859</w:t>
            </w:r>
          </w:p>
        </w:tc>
        <w:tc>
          <w:tcPr>
            <w:tcW w:w="120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4,759</w:t>
            </w:r>
          </w:p>
        </w:tc>
        <w:tc>
          <w:tcPr>
            <w:tcW w:w="9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3"/>
                <w:szCs w:val="13"/>
                <w:b w:val="1"/>
                <w:bCs w:val="1"/>
                <w:color w:val="auto"/>
              </w:rPr>
              <w:t>15,902</w:t>
            </w:r>
          </w:p>
        </w:tc>
        <w:tc>
          <w:tcPr>
            <w:tcW w:w="8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13,502</w:t>
            </w:r>
          </w:p>
        </w:tc>
      </w:tr>
      <w:tr>
        <w:trPr>
          <w:trHeight w:val="159"/>
        </w:trPr>
        <w:tc>
          <w:tcPr>
            <w:tcW w:w="2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92"/>
        </w:trPr>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95"/>
              </w:rPr>
              <w:t>1%</w:t>
            </w:r>
          </w:p>
        </w:tc>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Increase</w:t>
            </w:r>
          </w:p>
        </w:tc>
        <w:tc>
          <w:tcPr>
            <w:tcW w:w="406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b w:val="1"/>
                <w:bCs w:val="1"/>
                <w:color w:val="auto"/>
              </w:rPr>
              <w:t>11,165</w:t>
            </w:r>
          </w:p>
        </w:tc>
        <w:tc>
          <w:tcPr>
            <w:tcW w:w="120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8,155</w:t>
            </w:r>
          </w:p>
        </w:tc>
        <w:tc>
          <w:tcPr>
            <w:tcW w:w="9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3"/>
                <w:szCs w:val="13"/>
                <w:b w:val="1"/>
                <w:bCs w:val="1"/>
                <w:color w:val="auto"/>
              </w:rPr>
              <w:t>15,902</w:t>
            </w:r>
          </w:p>
        </w:tc>
        <w:tc>
          <w:tcPr>
            <w:tcW w:w="82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13,502</w:t>
            </w:r>
          </w:p>
        </w:tc>
      </w:tr>
      <w:tr>
        <w:trPr>
          <w:trHeight w:val="159"/>
        </w:trPr>
        <w:tc>
          <w:tcPr>
            <w:tcW w:w="2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92"/>
        </w:trPr>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95"/>
              </w:rPr>
              <w:t>1%</w:t>
            </w:r>
          </w:p>
        </w:tc>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Decrease</w:t>
            </w:r>
          </w:p>
        </w:tc>
        <w:tc>
          <w:tcPr>
            <w:tcW w:w="406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b w:val="1"/>
                <w:bCs w:val="1"/>
                <w:color w:val="auto"/>
              </w:rPr>
              <w:t>2,537</w:t>
            </w:r>
          </w:p>
        </w:tc>
        <w:tc>
          <w:tcPr>
            <w:tcW w:w="120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1,372</w:t>
            </w:r>
          </w:p>
        </w:tc>
        <w:tc>
          <w:tcPr>
            <w:tcW w:w="9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3"/>
                <w:szCs w:val="13"/>
                <w:b w:val="1"/>
                <w:bCs w:val="1"/>
                <w:color w:val="auto"/>
              </w:rPr>
              <w:t>15,902</w:t>
            </w:r>
          </w:p>
        </w:tc>
        <w:tc>
          <w:tcPr>
            <w:tcW w:w="82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13,502</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 variable debt drawn down during the year ended 31 December 2019 or 31 December 2018.</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values</w:t>
      </w:r>
    </w:p>
    <w:p>
      <w:pPr>
        <w:jc w:val="both"/>
        <w:spacing w:after="0" w:line="241" w:lineRule="auto"/>
        <w:rPr>
          <w:sz w:val="20"/>
          <w:szCs w:val="20"/>
          <w:color w:val="auto"/>
        </w:rPr>
      </w:pPr>
      <w:r>
        <w:rPr>
          <w:rFonts w:ascii="Arial" w:cs="Arial" w:eastAsia="Arial" w:hAnsi="Arial"/>
          <w:sz w:val="13"/>
          <w:szCs w:val="13"/>
          <w:color w:val="auto"/>
        </w:rPr>
        <w:t>Certain 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112"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2"/>
          <w:szCs w:val="12"/>
          <w:color w:val="auto"/>
        </w:rPr>
        <w:t>Inputs are based upon unadjusted quoted prices for identical instruments traded in active markets.</w:t>
      </w:r>
    </w:p>
    <w:p>
      <w:pPr>
        <w:spacing w:after="0" w:line="169" w:lineRule="exact"/>
        <w:rPr>
          <w:sz w:val="20"/>
          <w:szCs w:val="20"/>
          <w:color w:val="auto"/>
        </w:rPr>
      </w:pPr>
    </w:p>
    <w:p>
      <w:pPr>
        <w:jc w:val="both"/>
        <w:ind w:left="1220" w:right="40" w:hanging="1198"/>
        <w:spacing w:after="0" w:line="241" w:lineRule="auto"/>
        <w:tabs>
          <w:tab w:leader="none" w:pos="1200" w:val="left"/>
        </w:tabs>
        <w:rPr>
          <w:sz w:val="20"/>
          <w:szCs w:val="20"/>
          <w:color w:val="auto"/>
        </w:rPr>
      </w:pPr>
      <w:r>
        <w:rPr>
          <w:rFonts w:ascii="Arial" w:cs="Arial" w:eastAsia="Arial" w:hAnsi="Arial"/>
          <w:sz w:val="13"/>
          <w:szCs w:val="13"/>
          <w:color w:val="auto"/>
        </w:rPr>
        <w:t>Level 2:</w:t>
      </w:r>
      <w:r>
        <w:rPr>
          <w:sz w:val="20"/>
          <w:szCs w:val="20"/>
          <w:color w:val="auto"/>
        </w:rPr>
        <w:tab/>
      </w:r>
      <w:r>
        <w:rPr>
          <w:rFonts w:ascii="Arial" w:cs="Arial" w:eastAsia="Arial" w:hAnsi="Arial"/>
          <w:sz w:val="13"/>
          <w:szCs w:val="13"/>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65"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2"/>
          <w:szCs w:val="12"/>
          <w:color w:val="auto"/>
        </w:rPr>
        <w:t>Inputs are generally unobservable and typically reflect management’s estimates of assumptions that market participants would use in 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280"/>
          </w:cols>
          <w:pgMar w:left="300" w:top="696" w:right="31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26. 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financial assets together with the carrying amounts shown in the Statement of Financial Position is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56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w:t>
            </w:r>
          </w:p>
        </w:tc>
        <w:tc>
          <w:tcPr>
            <w:tcW w:w="134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31 December</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 December</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55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2019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2019</w:t>
            </w:r>
          </w:p>
        </w:tc>
        <w:tc>
          <w:tcPr>
            <w:tcW w:w="1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2019</w:t>
            </w: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2018</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2018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53"/>
        </w:trPr>
        <w:tc>
          <w:tcPr>
            <w:tcW w:w="5560" w:type="dxa"/>
            <w:vAlign w:val="bottom"/>
          </w:tcPr>
          <w:p>
            <w:pPr>
              <w:jc w:val="right"/>
              <w:ind w:right="136"/>
              <w:spacing w:after="0"/>
              <w:rPr>
                <w:sz w:val="20"/>
                <w:szCs w:val="20"/>
                <w:color w:val="auto"/>
              </w:rPr>
            </w:pPr>
            <w:r>
              <w:rPr>
                <w:rFonts w:ascii="Arial" w:cs="Arial" w:eastAsia="Arial" w:hAnsi="Arial"/>
                <w:sz w:val="13"/>
                <w:szCs w:val="13"/>
                <w:b w:val="1"/>
                <w:bCs w:val="1"/>
                <w:color w:val="auto"/>
              </w:rPr>
              <w:t>Carrying</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Fair</w:t>
            </w:r>
          </w:p>
        </w:tc>
        <w:tc>
          <w:tcPr>
            <w:tcW w:w="1340" w:type="dxa"/>
            <w:vAlign w:val="bottom"/>
          </w:tcPr>
          <w:p>
            <w:pPr>
              <w:jc w:val="right"/>
              <w:ind w:right="156"/>
              <w:spacing w:after="0"/>
              <w:rPr>
                <w:sz w:val="20"/>
                <w:szCs w:val="20"/>
                <w:color w:val="auto"/>
              </w:rPr>
            </w:pPr>
            <w:r>
              <w:rPr>
                <w:rFonts w:ascii="Arial" w:cs="Arial" w:eastAsia="Arial" w:hAnsi="Arial"/>
                <w:sz w:val="13"/>
                <w:szCs w:val="13"/>
                <w:b w:val="1"/>
                <w:bCs w:val="1"/>
                <w:color w:val="auto"/>
              </w:rPr>
              <w:t>Fair Value Level 3</w:t>
            </w:r>
          </w:p>
        </w:tc>
        <w:tc>
          <w:tcPr>
            <w:tcW w:w="1180" w:type="dxa"/>
            <w:vAlign w:val="bottom"/>
          </w:tcPr>
          <w:p>
            <w:pPr>
              <w:jc w:val="right"/>
              <w:ind w:right="136"/>
              <w:spacing w:after="0"/>
              <w:rPr>
                <w:sz w:val="20"/>
                <w:szCs w:val="20"/>
                <w:color w:val="auto"/>
              </w:rPr>
            </w:pPr>
            <w:r>
              <w:rPr>
                <w:rFonts w:ascii="Arial" w:cs="Arial" w:eastAsia="Arial" w:hAnsi="Arial"/>
                <w:sz w:val="13"/>
                <w:szCs w:val="13"/>
                <w:color w:val="auto"/>
              </w:rPr>
              <w:t>Carrying</w:t>
            </w: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Fair</w:t>
            </w:r>
          </w:p>
        </w:tc>
        <w:tc>
          <w:tcPr>
            <w:tcW w:w="1100" w:type="dxa"/>
            <w:vAlign w:val="bottom"/>
          </w:tcPr>
          <w:p>
            <w:pPr>
              <w:jc w:val="right"/>
              <w:spacing w:after="0"/>
              <w:rPr>
                <w:sz w:val="20"/>
                <w:szCs w:val="20"/>
                <w:color w:val="auto"/>
              </w:rPr>
            </w:pPr>
            <w:r>
              <w:rPr>
                <w:rFonts w:ascii="Arial" w:cs="Arial" w:eastAsia="Arial" w:hAnsi="Arial"/>
                <w:sz w:val="13"/>
                <w:szCs w:val="13"/>
                <w:color w:val="auto"/>
              </w:rPr>
              <w:t>Fair Value Level 3</w:t>
            </w:r>
          </w:p>
        </w:tc>
      </w:tr>
      <w:tr>
        <w:trPr>
          <w:trHeight w:val="149"/>
        </w:trPr>
        <w:tc>
          <w:tcPr>
            <w:tcW w:w="5560" w:type="dxa"/>
            <w:vAlign w:val="bottom"/>
          </w:tcPr>
          <w:p>
            <w:pPr>
              <w:jc w:val="right"/>
              <w:ind w:right="136"/>
              <w:spacing w:after="0"/>
              <w:rPr>
                <w:sz w:val="20"/>
                <w:szCs w:val="20"/>
                <w:color w:val="auto"/>
              </w:rPr>
            </w:pPr>
            <w:r>
              <w:rPr>
                <w:rFonts w:ascii="Arial" w:cs="Arial" w:eastAsia="Arial" w:hAnsi="Arial"/>
                <w:sz w:val="13"/>
                <w:szCs w:val="13"/>
                <w:b w:val="1"/>
                <w:bCs w:val="1"/>
                <w:color w:val="auto"/>
              </w:rPr>
              <w:t>Amount</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Value</w:t>
            </w:r>
          </w:p>
        </w:tc>
        <w:tc>
          <w:tcPr>
            <w:tcW w:w="1340" w:type="dxa"/>
            <w:vAlign w:val="bottom"/>
          </w:tcPr>
          <w:p>
            <w:pPr>
              <w:spacing w:after="0"/>
              <w:rPr>
                <w:sz w:val="12"/>
                <w:szCs w:val="12"/>
                <w:color w:val="auto"/>
              </w:rPr>
            </w:pPr>
          </w:p>
        </w:tc>
        <w:tc>
          <w:tcPr>
            <w:tcW w:w="1180" w:type="dxa"/>
            <w:vAlign w:val="bottom"/>
          </w:tcPr>
          <w:p>
            <w:pPr>
              <w:jc w:val="right"/>
              <w:ind w:right="136"/>
              <w:spacing w:after="0"/>
              <w:rPr>
                <w:sz w:val="20"/>
                <w:szCs w:val="20"/>
                <w:color w:val="auto"/>
              </w:rPr>
            </w:pPr>
            <w:r>
              <w:rPr>
                <w:rFonts w:ascii="Arial" w:cs="Arial" w:eastAsia="Arial" w:hAnsi="Arial"/>
                <w:sz w:val="13"/>
                <w:szCs w:val="13"/>
                <w:color w:val="auto"/>
              </w:rPr>
              <w:t>Amount</w:t>
            </w: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Value</w:t>
            </w:r>
          </w:p>
        </w:tc>
        <w:tc>
          <w:tcPr>
            <w:tcW w:w="1100" w:type="dxa"/>
            <w:vAlign w:val="bottom"/>
          </w:tcPr>
          <w:p>
            <w:pPr>
              <w:spacing w:after="0"/>
              <w:rPr>
                <w:sz w:val="12"/>
                <w:szCs w:val="12"/>
                <w:color w:val="auto"/>
              </w:rPr>
            </w:pPr>
          </w:p>
        </w:tc>
      </w:tr>
      <w:tr>
        <w:trPr>
          <w:trHeight w:val="177"/>
        </w:trPr>
        <w:tc>
          <w:tcPr>
            <w:tcW w:w="5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Level 1</w:t>
            </w:r>
          </w:p>
        </w:tc>
        <w:tc>
          <w:tcPr>
            <w:tcW w:w="1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Level 1</w:t>
            </w:r>
          </w:p>
        </w:tc>
        <w:tc>
          <w:tcPr>
            <w:tcW w:w="1100" w:type="dxa"/>
            <w:vAlign w:val="bottom"/>
            <w:tcBorders>
              <w:bottom w:val="single" w:sz="8" w:color="auto"/>
            </w:tcBorders>
          </w:tcPr>
          <w:p>
            <w:pPr>
              <w:spacing w:after="0"/>
              <w:rPr>
                <w:sz w:val="15"/>
                <w:szCs w:val="15"/>
                <w:color w:val="auto"/>
              </w:rPr>
            </w:pPr>
          </w:p>
        </w:tc>
      </w:tr>
      <w:tr>
        <w:trPr>
          <w:trHeight w:val="189"/>
        </w:trPr>
        <w:tc>
          <w:tcPr>
            <w:tcW w:w="556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134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$'000</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$’000</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$’000</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300" w:type="dxa"/>
            <w:vAlign w:val="bottom"/>
          </w:tcPr>
          <w:p>
            <w:pPr>
              <w:ind w:left="20"/>
              <w:spacing w:after="0"/>
              <w:rPr>
                <w:sz w:val="20"/>
                <w:szCs w:val="20"/>
                <w:color w:val="auto"/>
              </w:rPr>
            </w:pPr>
            <w:r>
              <w:rPr>
                <w:rFonts w:ascii="Arial" w:cs="Arial" w:eastAsia="Arial" w:hAnsi="Arial"/>
                <w:sz w:val="13"/>
                <w:szCs w:val="13"/>
                <w:b w:val="1"/>
                <w:bCs w:val="1"/>
                <w:color w:val="auto"/>
              </w:rPr>
              <w:t>Financial assets measured at fair value</w:t>
            </w: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9"/>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Financial assets at fair value through other comprehensive income</w:t>
            </w:r>
          </w:p>
        </w:tc>
        <w:tc>
          <w:tcPr>
            <w:tcW w:w="13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49,628</w:t>
            </w:r>
          </w:p>
        </w:tc>
        <w:tc>
          <w:tcPr>
            <w:tcW w:w="118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49,628</w:t>
            </w:r>
          </w:p>
        </w:tc>
        <w:tc>
          <w:tcPr>
            <w:tcW w:w="120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w:t>
            </w:r>
          </w:p>
        </w:tc>
        <w:tc>
          <w:tcPr>
            <w:tcW w:w="11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59,910</w:t>
            </w:r>
          </w:p>
        </w:tc>
        <w:tc>
          <w:tcPr>
            <w:tcW w:w="12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59,910</w:t>
            </w: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r>
        <w:trPr>
          <w:trHeight w:val="183"/>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Financial assets at fair value through profit and loss</w:t>
            </w:r>
          </w:p>
        </w:tc>
        <w:tc>
          <w:tcPr>
            <w:tcW w:w="13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10,053</w:t>
            </w:r>
          </w:p>
        </w:tc>
        <w:tc>
          <w:tcPr>
            <w:tcW w:w="11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10,053</w:t>
            </w:r>
          </w:p>
        </w:tc>
        <w:tc>
          <w:tcPr>
            <w:tcW w:w="11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6,963</w:t>
            </w: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6,963</w:t>
            </w:r>
          </w:p>
        </w:tc>
      </w:tr>
      <w:tr>
        <w:trPr>
          <w:trHeight w:val="190"/>
        </w:trPr>
        <w:tc>
          <w:tcPr>
            <w:tcW w:w="43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59,681</w:t>
            </w:r>
          </w:p>
        </w:tc>
        <w:tc>
          <w:tcPr>
            <w:tcW w:w="11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49,628</w:t>
            </w:r>
          </w:p>
        </w:tc>
        <w:tc>
          <w:tcPr>
            <w:tcW w:w="12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10,053</w:t>
            </w:r>
          </w:p>
        </w:tc>
        <w:tc>
          <w:tcPr>
            <w:tcW w:w="11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66,873</w:t>
            </w:r>
          </w:p>
        </w:tc>
        <w:tc>
          <w:tcPr>
            <w:tcW w:w="12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59,910</w:t>
            </w:r>
          </w:p>
        </w:tc>
        <w:tc>
          <w:tcPr>
            <w:tcW w:w="8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6,963</w:t>
            </w:r>
          </w:p>
        </w:tc>
      </w:tr>
    </w:tbl>
    <w:p>
      <w:pPr>
        <w:spacing w:after="0" w:line="2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carrying values of accounts receivable (less provision for loss), unbilled revenue (contract assets), other current assets, cash and cash equivalents and other non-current assets are carried at amortised cost and assumed to be approximate to their fair values due to the short term nature of these balances. As such their fair values have not been disclosed.</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Current asset investments carried at fair value result in gains or losses being recognised in the Consolidated Statement of Comprehensive Income. The fair value of current asset investments is their market price at the financial year end date. They are measured on the basis of Level 1 inputs.</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Long-term financial assets carried at fair value result in gains or losses being recognised in the Consolidated Statement of Comprehensive Income. The fair value of long-term financial assets meet the definition of equity securities without readily determinable fair values.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The Group’s Senior Notes (private placement debt) is carried at $350.0 million (prior to related financing costs). The carrying value at 31 December 2019, closely approximates fair value.</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gross obligation under the put option is recorded at the present value of the expected redemption amount which is assumed to approximate fair value.</w:t>
      </w:r>
    </w:p>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The carrying values of accounts payable, accrued and other liabilities and provisions (excluding contingent consideration) and other non-current liabilities are carried at amortised cost and assumed to be approximate to their fair values.</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280"/>
          </w:cols>
          <w:pgMar w:left="300" w:top="696" w:right="31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26. 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reconciliation from the opening balances to the closing balances for Level 3 fair values: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Contingent</w:t>
            </w:r>
          </w:p>
        </w:tc>
        <w:tc>
          <w:tcPr>
            <w:tcW w:w="1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38"/>
        </w:trPr>
        <w:tc>
          <w:tcPr>
            <w:tcW w:w="3920" w:type="dxa"/>
            <w:vAlign w:val="bottom"/>
            <w:shd w:val="clear" w:color="auto" w:fill="CCEEFF"/>
          </w:tcPr>
          <w:p>
            <w:pPr>
              <w:spacing w:after="0"/>
              <w:rPr>
                <w:sz w:val="11"/>
                <w:szCs w:val="11"/>
                <w:color w:val="auto"/>
              </w:rPr>
            </w:pPr>
          </w:p>
        </w:tc>
        <w:tc>
          <w:tcPr>
            <w:tcW w:w="1420" w:type="dxa"/>
            <w:vAlign w:val="bottom"/>
            <w:shd w:val="clear" w:color="auto" w:fill="CCEEFF"/>
          </w:tcPr>
          <w:p>
            <w:pPr>
              <w:jc w:val="right"/>
              <w:ind w:right="238"/>
              <w:spacing w:after="0"/>
              <w:rPr>
                <w:sz w:val="20"/>
                <w:szCs w:val="20"/>
                <w:color w:val="auto"/>
              </w:rPr>
            </w:pPr>
            <w:r>
              <w:rPr>
                <w:rFonts w:ascii="Arial" w:cs="Arial" w:eastAsia="Arial" w:hAnsi="Arial"/>
                <w:sz w:val="11"/>
                <w:szCs w:val="11"/>
                <w:b w:val="1"/>
                <w:bCs w:val="1"/>
                <w:color w:val="auto"/>
              </w:rPr>
              <w:t>Long-term financial</w:t>
            </w: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consideration</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1"/>
                <w:szCs w:val="11"/>
                <w:b w:val="1"/>
                <w:bCs w:val="1"/>
                <w:color w:val="auto"/>
              </w:rPr>
              <w:t>Gross obligation</w:t>
            </w:r>
          </w:p>
        </w:tc>
        <w:tc>
          <w:tcPr>
            <w:tcW w:w="1380" w:type="dxa"/>
            <w:vAlign w:val="bottom"/>
            <w:shd w:val="clear" w:color="auto" w:fill="CCEEFF"/>
          </w:tcPr>
          <w:p>
            <w:pPr>
              <w:jc w:val="right"/>
              <w:ind w:right="258"/>
              <w:spacing w:after="0"/>
              <w:rPr>
                <w:sz w:val="20"/>
                <w:szCs w:val="20"/>
                <w:color w:val="auto"/>
              </w:rPr>
            </w:pPr>
            <w:r>
              <w:rPr>
                <w:rFonts w:ascii="Arial" w:cs="Arial" w:eastAsia="Arial" w:hAnsi="Arial"/>
                <w:sz w:val="11"/>
                <w:szCs w:val="11"/>
                <w:color w:val="auto"/>
              </w:rPr>
              <w:t>Long-term financial</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Contingent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Gross obligation under</w:t>
            </w:r>
          </w:p>
        </w:tc>
      </w:tr>
      <w:tr>
        <w:trPr>
          <w:trHeight w:val="160"/>
        </w:trPr>
        <w:tc>
          <w:tcPr>
            <w:tcW w:w="39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1"/>
                <w:szCs w:val="11"/>
                <w:b w:val="1"/>
                <w:bCs w:val="1"/>
                <w:color w:val="auto"/>
              </w:rPr>
              <w:t>assets</w:t>
            </w:r>
          </w:p>
        </w:tc>
        <w:tc>
          <w:tcPr>
            <w:tcW w:w="12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1"/>
                <w:szCs w:val="11"/>
                <w:b w:val="1"/>
                <w:bCs w:val="1"/>
                <w:color w:val="auto"/>
              </w:rPr>
              <w:t>payable</w:t>
            </w: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1"/>
                <w:szCs w:val="11"/>
                <w:b w:val="1"/>
                <w:bCs w:val="1"/>
                <w:color w:val="auto"/>
              </w:rPr>
              <w:t>under put option</w:t>
            </w:r>
          </w:p>
        </w:tc>
        <w:tc>
          <w:tcPr>
            <w:tcW w:w="138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1"/>
                <w:szCs w:val="11"/>
                <w:color w:val="auto"/>
              </w:rPr>
              <w:t>assets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consideration</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put option</w:t>
            </w:r>
          </w:p>
        </w:tc>
      </w:tr>
      <w:tr>
        <w:trPr>
          <w:trHeight w:val="183"/>
        </w:trPr>
        <w:tc>
          <w:tcPr>
            <w:tcW w:w="39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2019</w:t>
            </w:r>
          </w:p>
        </w:tc>
        <w:tc>
          <w:tcPr>
            <w:tcW w:w="12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2019</w:t>
            </w:r>
          </w:p>
        </w:tc>
        <w:tc>
          <w:tcPr>
            <w:tcW w:w="138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color w:val="auto"/>
              </w:rPr>
              <w:t>2018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2018</w:t>
            </w:r>
          </w:p>
        </w:tc>
      </w:tr>
      <w:tr>
        <w:trPr>
          <w:trHeight w:val="189"/>
        </w:trPr>
        <w:tc>
          <w:tcPr>
            <w:tcW w:w="39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238"/>
              <w:spacing w:after="0"/>
              <w:rPr>
                <w:sz w:val="20"/>
                <w:szCs w:val="20"/>
                <w:color w:val="auto"/>
              </w:rPr>
            </w:pPr>
            <w:r>
              <w:rPr>
                <w:rFonts w:ascii="Arial" w:cs="Arial" w:eastAsia="Arial" w:hAnsi="Arial"/>
                <w:sz w:val="13"/>
                <w:szCs w:val="13"/>
                <w:b w:val="1"/>
                <w:bCs w:val="1"/>
                <w:color w:val="auto"/>
              </w:rPr>
              <w:t>$’000</w:t>
            </w: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$’000</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$’000</w:t>
            </w:r>
          </w:p>
        </w:tc>
        <w:tc>
          <w:tcPr>
            <w:tcW w:w="1380" w:type="dxa"/>
            <w:vAlign w:val="bottom"/>
            <w:shd w:val="clear" w:color="auto" w:fill="CCEEFF"/>
          </w:tcPr>
          <w:p>
            <w:pPr>
              <w:jc w:val="right"/>
              <w:ind w:right="258"/>
              <w:spacing w:after="0"/>
              <w:rPr>
                <w:sz w:val="20"/>
                <w:szCs w:val="20"/>
                <w:color w:val="auto"/>
              </w:rPr>
            </w:pPr>
            <w:r>
              <w:rPr>
                <w:rFonts w:ascii="Arial" w:cs="Arial" w:eastAsia="Arial" w:hAnsi="Arial"/>
                <w:sz w:val="13"/>
                <w:szCs w:val="13"/>
                <w:color w:val="auto"/>
              </w:rPr>
              <w:t>$’000</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r>
      <w:tr>
        <w:trPr>
          <w:trHeight w:val="159"/>
        </w:trPr>
        <w:tc>
          <w:tcPr>
            <w:tcW w:w="3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1"/>
        </w:trPr>
        <w:tc>
          <w:tcPr>
            <w:tcW w:w="3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Opening balance</w:t>
            </w:r>
          </w:p>
        </w:tc>
        <w:tc>
          <w:tcPr>
            <w:tcW w:w="1420" w:type="dxa"/>
            <w:vAlign w:val="bottom"/>
            <w:shd w:val="clear" w:color="auto" w:fill="CCEEFF"/>
          </w:tcPr>
          <w:p>
            <w:pPr>
              <w:jc w:val="right"/>
              <w:ind w:right="358"/>
              <w:spacing w:after="0"/>
              <w:rPr>
                <w:sz w:val="20"/>
                <w:szCs w:val="20"/>
                <w:color w:val="auto"/>
              </w:rPr>
            </w:pPr>
            <w:r>
              <w:rPr>
                <w:rFonts w:ascii="Arial" w:cs="Arial" w:eastAsia="Arial" w:hAnsi="Arial"/>
                <w:sz w:val="13"/>
                <w:szCs w:val="13"/>
                <w:b w:val="1"/>
                <w:bCs w:val="1"/>
                <w:color w:val="auto"/>
              </w:rPr>
              <w:t>6,963</w:t>
            </w:r>
          </w:p>
        </w:tc>
        <w:tc>
          <w:tcPr>
            <w:tcW w:w="1200" w:type="dxa"/>
            <w:vAlign w:val="bottom"/>
            <w:shd w:val="clear" w:color="auto" w:fill="CCEEFF"/>
          </w:tcPr>
          <w:p>
            <w:pPr>
              <w:jc w:val="right"/>
              <w:ind w:right="198"/>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jc w:val="right"/>
              <w:ind w:right="178"/>
              <w:spacing w:after="0"/>
              <w:rPr>
                <w:sz w:val="20"/>
                <w:szCs w:val="20"/>
                <w:color w:val="auto"/>
              </w:rPr>
            </w:pPr>
            <w:r>
              <w:rPr>
                <w:rFonts w:ascii="Arial" w:cs="Arial" w:eastAsia="Arial" w:hAnsi="Arial"/>
                <w:sz w:val="13"/>
                <w:szCs w:val="13"/>
                <w:b w:val="1"/>
                <w:bCs w:val="1"/>
                <w:color w:val="auto"/>
              </w:rPr>
              <w:t>—</w:t>
            </w:r>
          </w:p>
        </w:tc>
        <w:tc>
          <w:tcPr>
            <w:tcW w:w="1380" w:type="dxa"/>
            <w:vAlign w:val="bottom"/>
            <w:shd w:val="clear" w:color="auto" w:fill="CCEEFF"/>
          </w:tcPr>
          <w:p>
            <w:pPr>
              <w:jc w:val="right"/>
              <w:ind w:right="398"/>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r>
      <w:tr>
        <w:trPr>
          <w:trHeight w:val="183"/>
        </w:trPr>
        <w:tc>
          <w:tcPr>
            <w:tcW w:w="3920" w:type="dxa"/>
            <w:vAlign w:val="bottom"/>
          </w:tcPr>
          <w:p>
            <w:pPr>
              <w:ind w:left="20"/>
              <w:spacing w:after="0"/>
              <w:rPr>
                <w:sz w:val="20"/>
                <w:szCs w:val="20"/>
                <w:color w:val="auto"/>
              </w:rPr>
            </w:pPr>
            <w:r>
              <w:rPr>
                <w:rFonts w:ascii="Arial" w:cs="Arial" w:eastAsia="Arial" w:hAnsi="Arial"/>
                <w:sz w:val="13"/>
                <w:szCs w:val="13"/>
                <w:color w:val="auto"/>
              </w:rPr>
              <w:t>Additions/payments made during the year</w:t>
            </w:r>
          </w:p>
        </w:tc>
        <w:tc>
          <w:tcPr>
            <w:tcW w:w="1420" w:type="dxa"/>
            <w:vAlign w:val="bottom"/>
          </w:tcPr>
          <w:p>
            <w:pPr>
              <w:jc w:val="right"/>
              <w:ind w:right="358"/>
              <w:spacing w:after="0"/>
              <w:rPr>
                <w:sz w:val="20"/>
                <w:szCs w:val="20"/>
                <w:color w:val="auto"/>
              </w:rPr>
            </w:pPr>
            <w:r>
              <w:rPr>
                <w:rFonts w:ascii="Arial" w:cs="Arial" w:eastAsia="Arial" w:hAnsi="Arial"/>
                <w:sz w:val="13"/>
                <w:szCs w:val="13"/>
                <w:b w:val="1"/>
                <w:bCs w:val="1"/>
                <w:color w:val="auto"/>
              </w:rPr>
              <w:t>3,890</w:t>
            </w:r>
          </w:p>
        </w:tc>
        <w:tc>
          <w:tcPr>
            <w:tcW w:w="1200" w:type="dxa"/>
            <w:vAlign w:val="bottom"/>
          </w:tcPr>
          <w:p>
            <w:pPr>
              <w:jc w:val="right"/>
              <w:ind w:right="198"/>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178"/>
              <w:spacing w:after="0"/>
              <w:rPr>
                <w:sz w:val="20"/>
                <w:szCs w:val="20"/>
                <w:color w:val="auto"/>
              </w:rPr>
            </w:pPr>
            <w:r>
              <w:rPr>
                <w:rFonts w:ascii="Arial" w:cs="Arial" w:eastAsia="Arial" w:hAnsi="Arial"/>
                <w:sz w:val="13"/>
                <w:szCs w:val="13"/>
                <w:b w:val="1"/>
                <w:bCs w:val="1"/>
                <w:color w:val="auto"/>
              </w:rPr>
              <w:t>—</w:t>
            </w:r>
          </w:p>
        </w:tc>
        <w:tc>
          <w:tcPr>
            <w:tcW w:w="1380" w:type="dxa"/>
            <w:vAlign w:val="bottom"/>
          </w:tcPr>
          <w:p>
            <w:pPr>
              <w:jc w:val="right"/>
              <w:ind w:right="398"/>
              <w:spacing w:after="0"/>
              <w:rPr>
                <w:sz w:val="20"/>
                <w:szCs w:val="20"/>
                <w:color w:val="auto"/>
              </w:rPr>
            </w:pPr>
            <w:r>
              <w:rPr>
                <w:rFonts w:ascii="Arial" w:cs="Arial" w:eastAsia="Arial" w:hAnsi="Arial"/>
                <w:sz w:val="13"/>
                <w:szCs w:val="13"/>
                <w:color w:val="auto"/>
              </w:rPr>
              <w:t>6,163</w:t>
            </w:r>
          </w:p>
        </w:tc>
        <w:tc>
          <w:tcPr>
            <w:tcW w:w="10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98"/>
              <w:spacing w:after="0"/>
              <w:rPr>
                <w:sz w:val="20"/>
                <w:szCs w:val="20"/>
                <w:color w:val="auto"/>
              </w:rPr>
            </w:pPr>
            <w:r>
              <w:rPr>
                <w:rFonts w:ascii="Arial" w:cs="Arial" w:eastAsia="Arial" w:hAnsi="Arial"/>
                <w:sz w:val="13"/>
                <w:szCs w:val="13"/>
                <w:color w:val="auto"/>
              </w:rPr>
              <w:t>—</w:t>
            </w:r>
          </w:p>
        </w:tc>
      </w:tr>
      <w:tr>
        <w:trPr>
          <w:trHeight w:val="179"/>
        </w:trPr>
        <w:tc>
          <w:tcPr>
            <w:tcW w:w="39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Contingent consideration in respect of a business combination (note</w:t>
            </w:r>
          </w:p>
        </w:tc>
        <w:tc>
          <w:tcPr>
            <w:tcW w:w="1420" w:type="dxa"/>
            <w:vAlign w:val="bottom"/>
            <w:shd w:val="clear" w:color="auto" w:fill="CCEEFF"/>
          </w:tcPr>
          <w:p>
            <w:pPr>
              <w:jc w:val="right"/>
              <w:ind w:right="358"/>
              <w:spacing w:after="0"/>
              <w:rPr>
                <w:sz w:val="20"/>
                <w:szCs w:val="20"/>
                <w:color w:val="auto"/>
              </w:rPr>
            </w:pPr>
            <w:r>
              <w:rPr>
                <w:rFonts w:ascii="Arial" w:cs="Arial" w:eastAsia="Arial" w:hAnsi="Arial"/>
                <w:sz w:val="13"/>
                <w:szCs w:val="13"/>
                <w:b w:val="1"/>
                <w:bCs w:val="1"/>
                <w:color w:val="auto"/>
              </w:rPr>
              <w:t>—</w:t>
            </w:r>
          </w:p>
        </w:tc>
        <w:tc>
          <w:tcPr>
            <w:tcW w:w="1200" w:type="dxa"/>
            <w:vAlign w:val="bottom"/>
            <w:shd w:val="clear" w:color="auto" w:fill="CCEEFF"/>
          </w:tcPr>
          <w:p>
            <w:pPr>
              <w:jc w:val="right"/>
              <w:ind w:right="198"/>
              <w:spacing w:after="0"/>
              <w:rPr>
                <w:sz w:val="20"/>
                <w:szCs w:val="20"/>
                <w:color w:val="auto"/>
              </w:rPr>
            </w:pPr>
            <w:r>
              <w:rPr>
                <w:rFonts w:ascii="Arial" w:cs="Arial" w:eastAsia="Arial" w:hAnsi="Arial"/>
                <w:sz w:val="13"/>
                <w:szCs w:val="13"/>
                <w:b w:val="1"/>
                <w:bCs w:val="1"/>
                <w:color w:val="auto"/>
              </w:rPr>
              <w:t>2,500</w:t>
            </w:r>
          </w:p>
        </w:tc>
        <w:tc>
          <w:tcPr>
            <w:tcW w:w="1140" w:type="dxa"/>
            <w:vAlign w:val="bottom"/>
            <w:shd w:val="clear" w:color="auto" w:fill="CCEEFF"/>
          </w:tcPr>
          <w:p>
            <w:pPr>
              <w:jc w:val="right"/>
              <w:ind w:right="178"/>
              <w:spacing w:after="0"/>
              <w:rPr>
                <w:sz w:val="20"/>
                <w:szCs w:val="20"/>
                <w:color w:val="auto"/>
              </w:rPr>
            </w:pPr>
            <w:r>
              <w:rPr>
                <w:rFonts w:ascii="Arial" w:cs="Arial" w:eastAsia="Arial" w:hAnsi="Arial"/>
                <w:sz w:val="13"/>
                <w:szCs w:val="13"/>
                <w:b w:val="1"/>
                <w:bCs w:val="1"/>
                <w:color w:val="auto"/>
              </w:rPr>
              <w:t>—</w:t>
            </w:r>
          </w:p>
        </w:tc>
        <w:tc>
          <w:tcPr>
            <w:tcW w:w="1380" w:type="dxa"/>
            <w:vAlign w:val="bottom"/>
            <w:shd w:val="clear" w:color="auto" w:fill="CCEEFF"/>
          </w:tcPr>
          <w:p>
            <w:pPr>
              <w:jc w:val="right"/>
              <w:ind w:right="398"/>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r>
      <w:tr>
        <w:trPr>
          <w:trHeight w:val="168"/>
        </w:trPr>
        <w:tc>
          <w:tcPr>
            <w:tcW w:w="3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14)</w:t>
            </w:r>
          </w:p>
        </w:tc>
        <w:tc>
          <w:tcPr>
            <w:tcW w:w="14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3"/>
        </w:trPr>
        <w:tc>
          <w:tcPr>
            <w:tcW w:w="3920" w:type="dxa"/>
            <w:vAlign w:val="bottom"/>
          </w:tcPr>
          <w:p>
            <w:pPr>
              <w:ind w:left="20"/>
              <w:spacing w:after="0"/>
              <w:rPr>
                <w:sz w:val="20"/>
                <w:szCs w:val="20"/>
                <w:color w:val="auto"/>
              </w:rPr>
            </w:pPr>
            <w:r>
              <w:rPr>
                <w:rFonts w:ascii="Arial" w:cs="Arial" w:eastAsia="Arial" w:hAnsi="Arial"/>
                <w:sz w:val="13"/>
                <w:szCs w:val="13"/>
                <w:color w:val="auto"/>
              </w:rPr>
              <w:t>Put option in noncontrolling interest shares</w:t>
            </w:r>
          </w:p>
        </w:tc>
        <w:tc>
          <w:tcPr>
            <w:tcW w:w="1420" w:type="dxa"/>
            <w:vAlign w:val="bottom"/>
          </w:tcPr>
          <w:p>
            <w:pPr>
              <w:jc w:val="right"/>
              <w:ind w:right="358"/>
              <w:spacing w:after="0"/>
              <w:rPr>
                <w:sz w:val="20"/>
                <w:szCs w:val="20"/>
                <w:color w:val="auto"/>
              </w:rPr>
            </w:pPr>
            <w:r>
              <w:rPr>
                <w:rFonts w:ascii="Arial" w:cs="Arial" w:eastAsia="Arial" w:hAnsi="Arial"/>
                <w:sz w:val="13"/>
                <w:szCs w:val="13"/>
                <w:b w:val="1"/>
                <w:bCs w:val="1"/>
                <w:color w:val="auto"/>
              </w:rPr>
              <w:t>—</w:t>
            </w:r>
          </w:p>
        </w:tc>
        <w:tc>
          <w:tcPr>
            <w:tcW w:w="1200" w:type="dxa"/>
            <w:vAlign w:val="bottom"/>
          </w:tcPr>
          <w:p>
            <w:pPr>
              <w:jc w:val="right"/>
              <w:ind w:right="198"/>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178"/>
              <w:spacing w:after="0"/>
              <w:rPr>
                <w:sz w:val="20"/>
                <w:szCs w:val="20"/>
                <w:color w:val="auto"/>
              </w:rPr>
            </w:pPr>
            <w:r>
              <w:rPr>
                <w:rFonts w:ascii="Arial" w:cs="Arial" w:eastAsia="Arial" w:hAnsi="Arial"/>
                <w:sz w:val="13"/>
                <w:szCs w:val="13"/>
                <w:b w:val="1"/>
                <w:bCs w:val="1"/>
                <w:color w:val="auto"/>
              </w:rPr>
              <w:t>38,482</w:t>
            </w:r>
          </w:p>
        </w:tc>
        <w:tc>
          <w:tcPr>
            <w:tcW w:w="1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jc w:val="right"/>
              <w:ind w:right="98"/>
              <w:spacing w:after="0"/>
              <w:rPr>
                <w:sz w:val="20"/>
                <w:szCs w:val="20"/>
                <w:color w:val="auto"/>
              </w:rPr>
            </w:pPr>
            <w:r>
              <w:rPr>
                <w:rFonts w:ascii="Arial" w:cs="Arial" w:eastAsia="Arial" w:hAnsi="Arial"/>
                <w:sz w:val="13"/>
                <w:szCs w:val="13"/>
                <w:color w:val="auto"/>
              </w:rPr>
              <w:t>—</w:t>
            </w:r>
          </w:p>
        </w:tc>
      </w:tr>
      <w:tr>
        <w:trPr>
          <w:trHeight w:val="199"/>
        </w:trPr>
        <w:tc>
          <w:tcPr>
            <w:tcW w:w="3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 credit to the Statement of Comprehensive Income</w:t>
            </w:r>
          </w:p>
        </w:tc>
        <w:tc>
          <w:tcPr>
            <w:tcW w:w="1420" w:type="dxa"/>
            <w:vAlign w:val="bottom"/>
            <w:shd w:val="clear" w:color="auto" w:fill="CCEEFF"/>
          </w:tcPr>
          <w:p>
            <w:pPr>
              <w:jc w:val="right"/>
              <w:ind w:right="338"/>
              <w:spacing w:after="0"/>
              <w:rPr>
                <w:sz w:val="20"/>
                <w:szCs w:val="20"/>
                <w:color w:val="auto"/>
              </w:rPr>
            </w:pPr>
            <w:r>
              <w:rPr>
                <w:rFonts w:ascii="Arial" w:cs="Arial" w:eastAsia="Arial" w:hAnsi="Arial"/>
                <w:sz w:val="13"/>
                <w:szCs w:val="13"/>
                <w:b w:val="1"/>
                <w:bCs w:val="1"/>
                <w:color w:val="auto"/>
              </w:rPr>
              <w:t>(800)</w:t>
            </w:r>
          </w:p>
        </w:tc>
        <w:tc>
          <w:tcPr>
            <w:tcW w:w="1200" w:type="dxa"/>
            <w:vAlign w:val="bottom"/>
            <w:shd w:val="clear" w:color="auto" w:fill="CCEEFF"/>
          </w:tcPr>
          <w:p>
            <w:pPr>
              <w:jc w:val="right"/>
              <w:ind w:right="198"/>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jc w:val="right"/>
              <w:ind w:right="178"/>
              <w:spacing w:after="0"/>
              <w:rPr>
                <w:sz w:val="20"/>
                <w:szCs w:val="20"/>
                <w:color w:val="auto"/>
              </w:rPr>
            </w:pPr>
            <w:r>
              <w:rPr>
                <w:rFonts w:ascii="Arial" w:cs="Arial" w:eastAsia="Arial" w:hAnsi="Arial"/>
                <w:sz w:val="13"/>
                <w:szCs w:val="13"/>
                <w:b w:val="1"/>
                <w:bCs w:val="1"/>
                <w:color w:val="auto"/>
              </w:rPr>
              <w:t>—</w:t>
            </w:r>
          </w:p>
        </w:tc>
        <w:tc>
          <w:tcPr>
            <w:tcW w:w="1380" w:type="dxa"/>
            <w:vAlign w:val="bottom"/>
            <w:shd w:val="clear" w:color="auto" w:fill="CCEEFF"/>
          </w:tcPr>
          <w:p>
            <w:pPr>
              <w:jc w:val="right"/>
              <w:ind w:right="398"/>
              <w:spacing w:after="0"/>
              <w:rPr>
                <w:sz w:val="20"/>
                <w:szCs w:val="20"/>
                <w:color w:val="auto"/>
              </w:rPr>
            </w:pPr>
            <w:r>
              <w:rPr>
                <w:rFonts w:ascii="Arial" w:cs="Arial" w:eastAsia="Arial" w:hAnsi="Arial"/>
                <w:sz w:val="13"/>
                <w:szCs w:val="13"/>
                <w:color w:val="auto"/>
              </w:rPr>
              <w:t>800</w:t>
            </w: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r>
      <w:tr>
        <w:trPr>
          <w:trHeight w:val="18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Charge to the Statement of Profit and Loss</w:t>
            </w:r>
          </w:p>
        </w:tc>
        <w:tc>
          <w:tcPr>
            <w:tcW w:w="142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8,723</w:t>
            </w:r>
          </w:p>
        </w:tc>
        <w:tc>
          <w:tcPr>
            <w:tcW w:w="1380" w:type="dxa"/>
            <w:vAlign w:val="bottom"/>
            <w:tcBorders>
              <w:bottom w:val="single" w:sz="8" w:color="auto"/>
            </w:tcBorders>
          </w:tcPr>
          <w:p>
            <w:pPr>
              <w:jc w:val="right"/>
              <w:ind w:right="398"/>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w:t>
            </w:r>
          </w:p>
        </w:tc>
      </w:tr>
      <w:tr>
        <w:trPr>
          <w:trHeight w:val="190"/>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Closing balance</w:t>
            </w:r>
          </w:p>
        </w:tc>
        <w:tc>
          <w:tcPr>
            <w:tcW w:w="142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3"/>
                <w:szCs w:val="13"/>
                <w:b w:val="1"/>
                <w:bCs w:val="1"/>
                <w:color w:val="auto"/>
              </w:rPr>
              <w:t>10,053</w:t>
            </w:r>
          </w:p>
        </w:tc>
        <w:tc>
          <w:tcPr>
            <w:tcW w:w="120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3"/>
                <w:szCs w:val="13"/>
                <w:b w:val="1"/>
                <w:bCs w:val="1"/>
                <w:color w:val="auto"/>
              </w:rPr>
              <w:t>2,500</w:t>
            </w:r>
          </w:p>
        </w:tc>
        <w:tc>
          <w:tcPr>
            <w:tcW w:w="11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3"/>
                <w:szCs w:val="13"/>
                <w:b w:val="1"/>
                <w:bCs w:val="1"/>
                <w:color w:val="auto"/>
              </w:rPr>
              <w:t>47,205</w:t>
            </w:r>
          </w:p>
        </w:tc>
        <w:tc>
          <w:tcPr>
            <w:tcW w:w="1380" w:type="dxa"/>
            <w:vAlign w:val="bottom"/>
            <w:tcBorders>
              <w:bottom w:val="single" w:sz="8" w:color="auto"/>
            </w:tcBorders>
            <w:shd w:val="clear" w:color="auto" w:fill="CCEEFF"/>
          </w:tcPr>
          <w:p>
            <w:pPr>
              <w:jc w:val="right"/>
              <w:ind w:right="398"/>
              <w:spacing w:after="0"/>
              <w:rPr>
                <w:sz w:val="20"/>
                <w:szCs w:val="20"/>
                <w:color w:val="auto"/>
              </w:rPr>
            </w:pPr>
            <w:r>
              <w:rPr>
                <w:rFonts w:ascii="Arial" w:cs="Arial" w:eastAsia="Arial" w:hAnsi="Arial"/>
                <w:sz w:val="13"/>
                <w:szCs w:val="13"/>
                <w:color w:val="auto"/>
              </w:rPr>
              <w:t>6,963</w:t>
            </w:r>
          </w:p>
        </w:tc>
        <w:tc>
          <w:tcPr>
            <w:tcW w:w="10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color w:val="auto"/>
              </w:rPr>
              <w:t>—</w:t>
            </w:r>
          </w:p>
        </w:tc>
      </w:tr>
    </w:tbl>
    <w:p>
      <w:pPr>
        <w:spacing w:after="0" w:line="2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Group also holds a call option asset over the noncontrolling interest shares which is a level 3 financial instrument. This asset was entered into during the year. The value of the call option at inception and at 31 December 2019 is immaterial.</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There have been no transfers between level 1/2 financial instruments and level 3 financial instruments during the current or prior financial year.</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the valuation techniques used in measuring Level 3 fair values, as well as significant unobservable inputs used: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280"/>
          </w:cols>
          <w:pgMar w:left="300" w:top="696" w:right="31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26. Financial instruments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28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Type</w:t>
            </w:r>
          </w:p>
        </w:tc>
        <w:tc>
          <w:tcPr>
            <w:tcW w:w="24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Valuation Technique</w:t>
            </w:r>
          </w:p>
        </w:tc>
        <w:tc>
          <w:tcPr>
            <w:tcW w:w="26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Significant Unobservable Inputs</w:t>
            </w:r>
          </w:p>
        </w:tc>
        <w:tc>
          <w:tcPr>
            <w:tcW w:w="34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Inter-relationship between significant unobservable</w:t>
            </w:r>
          </w:p>
        </w:tc>
      </w:tr>
      <w:tr>
        <w:trPr>
          <w:trHeight w:val="177"/>
        </w:trPr>
        <w:tc>
          <w:tcPr>
            <w:tcW w:w="2800" w:type="dxa"/>
            <w:vAlign w:val="bottom"/>
            <w:tcBorders>
              <w:left w:val="single" w:sz="8" w:color="auto"/>
              <w:bottom w:val="single" w:sz="8" w:color="auto"/>
              <w:right w:val="single" w:sz="8" w:color="auto"/>
            </w:tcBorders>
          </w:tcPr>
          <w:p>
            <w:pPr>
              <w:spacing w:after="0"/>
              <w:rPr>
                <w:sz w:val="15"/>
                <w:szCs w:val="15"/>
                <w:color w:val="auto"/>
              </w:rPr>
            </w:pPr>
          </w:p>
        </w:tc>
        <w:tc>
          <w:tcPr>
            <w:tcW w:w="2460" w:type="dxa"/>
            <w:vAlign w:val="bottom"/>
            <w:tcBorders>
              <w:bottom w:val="single" w:sz="8" w:color="auto"/>
              <w:right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inputs and fair value measurement</w:t>
            </w:r>
          </w:p>
        </w:tc>
        <w:tc>
          <w:tcPr>
            <w:tcW w:w="620" w:type="dxa"/>
            <w:vAlign w:val="bottom"/>
            <w:tcBorders>
              <w:bottom w:val="single" w:sz="8" w:color="auto"/>
              <w:right w:val="single" w:sz="8" w:color="auto"/>
            </w:tcBorders>
          </w:tcPr>
          <w:p>
            <w:pPr>
              <w:spacing w:after="0"/>
              <w:rPr>
                <w:sz w:val="15"/>
                <w:szCs w:val="15"/>
                <w:color w:val="auto"/>
              </w:rPr>
            </w:pPr>
          </w:p>
        </w:tc>
      </w:tr>
      <w:tr>
        <w:trPr>
          <w:trHeight w:val="169"/>
        </w:trPr>
        <w:tc>
          <w:tcPr>
            <w:tcW w:w="2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Contingent Consideration</w:t>
            </w:r>
          </w:p>
        </w:tc>
        <w:tc>
          <w:tcPr>
            <w:tcW w:w="24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The valuation model considers the</w:t>
            </w:r>
          </w:p>
        </w:tc>
        <w:tc>
          <w:tcPr>
            <w:tcW w:w="1680" w:type="dxa"/>
            <w:vAlign w:val="bottom"/>
          </w:tcPr>
          <w:p>
            <w:pPr>
              <w:ind w:left="20"/>
              <w:spacing w:after="0"/>
              <w:rPr>
                <w:sz w:val="20"/>
                <w:szCs w:val="20"/>
                <w:color w:val="auto"/>
              </w:rPr>
            </w:pPr>
            <w:r>
              <w:rPr>
                <w:rFonts w:ascii="Arial" w:cs="Arial" w:eastAsia="Arial" w:hAnsi="Arial"/>
                <w:sz w:val="13"/>
                <w:szCs w:val="13"/>
                <w:color w:val="auto"/>
              </w:rPr>
              <w:t>Forecast future cash flows</w:t>
            </w:r>
          </w:p>
        </w:tc>
        <w:tc>
          <w:tcPr>
            <w:tcW w:w="940" w:type="dxa"/>
            <w:vAlign w:val="bottom"/>
            <w:tcBorders>
              <w:right w:val="single" w:sz="8" w:color="auto"/>
            </w:tcBorders>
          </w:tcPr>
          <w:p>
            <w:pPr>
              <w:spacing w:after="0"/>
              <w:rPr>
                <w:sz w:val="14"/>
                <w:szCs w:val="14"/>
                <w:color w:val="auto"/>
              </w:rPr>
            </w:pPr>
          </w:p>
        </w:tc>
        <w:tc>
          <w:tcPr>
            <w:tcW w:w="34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The estimated fair value would increase (decrease) if the</w:t>
            </w:r>
          </w:p>
        </w:tc>
      </w:tr>
      <w:tr>
        <w:trPr>
          <w:trHeight w:val="149"/>
        </w:trPr>
        <w:tc>
          <w:tcPr>
            <w:tcW w:w="2800" w:type="dxa"/>
            <w:vAlign w:val="bottom"/>
            <w:tcBorders>
              <w:left w:val="single" w:sz="8" w:color="auto"/>
              <w:right w:val="single" w:sz="8" w:color="auto"/>
            </w:tcBorders>
          </w:tcPr>
          <w:p>
            <w:pPr>
              <w:spacing w:after="0"/>
              <w:rPr>
                <w:sz w:val="12"/>
                <w:szCs w:val="12"/>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estimated future cash flows of the entity.</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Probability in achieving cash flow forecasts</w:t>
            </w:r>
          </w:p>
        </w:tc>
        <w:tc>
          <w:tcPr>
            <w:tcW w:w="34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forecasted future cash flows were higher (lower) or if the</w:t>
            </w:r>
          </w:p>
        </w:tc>
      </w:tr>
      <w:tr>
        <w:trPr>
          <w:trHeight w:val="153"/>
        </w:trPr>
        <w:tc>
          <w:tcPr>
            <w:tcW w:w="2800" w:type="dxa"/>
            <w:vAlign w:val="bottom"/>
            <w:tcBorders>
              <w:left w:val="single" w:sz="8" w:color="auto"/>
              <w:right w:val="single" w:sz="8" w:color="auto"/>
            </w:tcBorders>
          </w:tcPr>
          <w:p>
            <w:pPr>
              <w:spacing w:after="0"/>
              <w:rPr>
                <w:sz w:val="13"/>
                <w:szCs w:val="13"/>
                <w:color w:val="auto"/>
              </w:rPr>
            </w:pPr>
          </w:p>
        </w:tc>
        <w:tc>
          <w:tcPr>
            <w:tcW w:w="2460" w:type="dxa"/>
            <w:vAlign w:val="bottom"/>
            <w:tcBorders>
              <w:right w:val="single" w:sz="8" w:color="auto"/>
            </w:tcBorders>
          </w:tcPr>
          <w:p>
            <w:pPr>
              <w:spacing w:after="0"/>
              <w:rPr>
                <w:sz w:val="13"/>
                <w:szCs w:val="13"/>
                <w:color w:val="auto"/>
              </w:rPr>
            </w:pPr>
          </w:p>
        </w:tc>
        <w:tc>
          <w:tcPr>
            <w:tcW w:w="16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780" w:type="dxa"/>
            <w:vAlign w:val="bottom"/>
          </w:tcPr>
          <w:p>
            <w:pPr>
              <w:spacing w:after="0"/>
              <w:rPr>
                <w:sz w:val="20"/>
                <w:szCs w:val="20"/>
                <w:color w:val="auto"/>
              </w:rPr>
            </w:pPr>
            <w:r>
              <w:rPr>
                <w:rFonts w:ascii="Arial" w:cs="Arial" w:eastAsia="Arial" w:hAnsi="Arial"/>
                <w:sz w:val="13"/>
                <w:szCs w:val="13"/>
                <w:color w:val="auto"/>
              </w:rPr>
              <w:t>entity missed agreed targets.</w:t>
            </w:r>
          </w:p>
        </w:tc>
        <w:tc>
          <w:tcPr>
            <w:tcW w:w="620" w:type="dxa"/>
            <w:vAlign w:val="bottom"/>
            <w:tcBorders>
              <w:right w:val="single" w:sz="8" w:color="auto"/>
            </w:tcBorders>
          </w:tcPr>
          <w:p>
            <w:pPr>
              <w:spacing w:after="0"/>
              <w:rPr>
                <w:sz w:val="13"/>
                <w:szCs w:val="13"/>
                <w:color w:val="auto"/>
              </w:rPr>
            </w:pPr>
          </w:p>
        </w:tc>
      </w:tr>
      <w:tr>
        <w:trPr>
          <w:trHeight w:val="57"/>
        </w:trPr>
        <w:tc>
          <w:tcPr>
            <w:tcW w:w="2800" w:type="dxa"/>
            <w:vAlign w:val="bottom"/>
            <w:tcBorders>
              <w:left w:val="single" w:sz="8" w:color="auto"/>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gridSpan w:val="2"/>
          </w:tcPr>
          <w:p>
            <w:pPr>
              <w:spacing w:after="0"/>
              <w:rPr>
                <w:sz w:val="4"/>
                <w:szCs w:val="4"/>
                <w:color w:val="auto"/>
              </w:rPr>
            </w:pPr>
          </w:p>
        </w:tc>
        <w:tc>
          <w:tcPr>
            <w:tcW w:w="3400" w:type="dxa"/>
            <w:vAlign w:val="bottom"/>
            <w:tcBorders>
              <w:bottom w:val="single" w:sz="8" w:color="auto"/>
              <w:right w:val="single" w:sz="8" w:color="auto"/>
            </w:tcBorders>
            <w:gridSpan w:val="2"/>
          </w:tcPr>
          <w:p>
            <w:pPr>
              <w:spacing w:after="0"/>
              <w:rPr>
                <w:sz w:val="4"/>
                <w:szCs w:val="4"/>
                <w:color w:val="auto"/>
              </w:rPr>
            </w:pPr>
          </w:p>
        </w:tc>
      </w:tr>
      <w:tr>
        <w:trPr>
          <w:trHeight w:val="162"/>
        </w:trPr>
        <w:tc>
          <w:tcPr>
            <w:tcW w:w="2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Long-term financial assets</w:t>
            </w:r>
          </w:p>
        </w:tc>
        <w:tc>
          <w:tcPr>
            <w:tcW w:w="24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The valuation model is based on the NAV</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w w:val="99"/>
              </w:rPr>
              <w:t>The interest on the fund are not traded on an</w:t>
            </w:r>
          </w:p>
        </w:tc>
        <w:tc>
          <w:tcPr>
            <w:tcW w:w="34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w w:val="99"/>
              </w:rPr>
              <w:t>The valuation is based on the NAV of the fund as prepared</w:t>
            </w:r>
          </w:p>
        </w:tc>
      </w:tr>
      <w:tr>
        <w:trPr>
          <w:trHeight w:val="149"/>
        </w:trPr>
        <w:tc>
          <w:tcPr>
            <w:tcW w:w="2800" w:type="dxa"/>
            <w:vAlign w:val="bottom"/>
            <w:tcBorders>
              <w:left w:val="single" w:sz="8" w:color="auto"/>
              <w:right w:val="single" w:sz="8" w:color="auto"/>
            </w:tcBorders>
          </w:tcPr>
          <w:p>
            <w:pPr>
              <w:spacing w:after="0"/>
              <w:rPr>
                <w:sz w:val="12"/>
                <w:szCs w:val="12"/>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8"/>
              </w:rPr>
              <w:t>of the fund as prepared by an independent</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w w:val="99"/>
              </w:rPr>
              <w:t>exchange, or data is not published in respect</w:t>
            </w:r>
          </w:p>
        </w:tc>
        <w:tc>
          <w:tcPr>
            <w:tcW w:w="2780" w:type="dxa"/>
            <w:vAlign w:val="bottom"/>
          </w:tcPr>
          <w:p>
            <w:pPr>
              <w:spacing w:after="0"/>
              <w:rPr>
                <w:sz w:val="20"/>
                <w:szCs w:val="20"/>
                <w:color w:val="auto"/>
              </w:rPr>
            </w:pPr>
            <w:r>
              <w:rPr>
                <w:rFonts w:ascii="Arial" w:cs="Arial" w:eastAsia="Arial" w:hAnsi="Arial"/>
                <w:sz w:val="13"/>
                <w:szCs w:val="13"/>
                <w:color w:val="auto"/>
              </w:rPr>
              <w:t>by an independent appraiser.</w:t>
            </w:r>
          </w:p>
        </w:tc>
        <w:tc>
          <w:tcPr>
            <w:tcW w:w="620" w:type="dxa"/>
            <w:vAlign w:val="bottom"/>
            <w:tcBorders>
              <w:right w:val="single" w:sz="8" w:color="auto"/>
            </w:tcBorders>
          </w:tcPr>
          <w:p>
            <w:pPr>
              <w:spacing w:after="0"/>
              <w:rPr>
                <w:sz w:val="12"/>
                <w:szCs w:val="12"/>
                <w:color w:val="auto"/>
              </w:rPr>
            </w:pPr>
          </w:p>
        </w:tc>
      </w:tr>
      <w:tr>
        <w:trPr>
          <w:trHeight w:val="149"/>
        </w:trPr>
        <w:tc>
          <w:tcPr>
            <w:tcW w:w="2800" w:type="dxa"/>
            <w:vAlign w:val="bottom"/>
            <w:tcBorders>
              <w:left w:val="single" w:sz="8" w:color="auto"/>
              <w:right w:val="single" w:sz="8" w:color="auto"/>
            </w:tcBorders>
          </w:tcPr>
          <w:p>
            <w:pPr>
              <w:spacing w:after="0"/>
              <w:rPr>
                <w:sz w:val="12"/>
                <w:szCs w:val="12"/>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appraiser to prepare a fair value</w:t>
            </w:r>
          </w:p>
        </w:tc>
        <w:tc>
          <w:tcPr>
            <w:tcW w:w="1680" w:type="dxa"/>
            <w:vAlign w:val="bottom"/>
          </w:tcPr>
          <w:p>
            <w:pPr>
              <w:ind w:left="20"/>
              <w:spacing w:after="0"/>
              <w:rPr>
                <w:sz w:val="20"/>
                <w:szCs w:val="20"/>
                <w:color w:val="auto"/>
              </w:rPr>
            </w:pPr>
            <w:r>
              <w:rPr>
                <w:rFonts w:ascii="Arial" w:cs="Arial" w:eastAsia="Arial" w:hAnsi="Arial"/>
                <w:sz w:val="13"/>
                <w:szCs w:val="13"/>
                <w:color w:val="auto"/>
              </w:rPr>
              <w:t>of the funds.</w:t>
            </w:r>
          </w:p>
        </w:tc>
        <w:tc>
          <w:tcPr>
            <w:tcW w:w="940" w:type="dxa"/>
            <w:vAlign w:val="bottom"/>
            <w:tcBorders>
              <w:right w:val="single" w:sz="8" w:color="auto"/>
            </w:tcBorders>
          </w:tcPr>
          <w:p>
            <w:pPr>
              <w:spacing w:after="0"/>
              <w:rPr>
                <w:sz w:val="12"/>
                <w:szCs w:val="12"/>
                <w:color w:val="auto"/>
              </w:rPr>
            </w:pPr>
          </w:p>
        </w:tc>
        <w:tc>
          <w:tcPr>
            <w:tcW w:w="27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r>
      <w:tr>
        <w:trPr>
          <w:trHeight w:val="149"/>
        </w:trPr>
        <w:tc>
          <w:tcPr>
            <w:tcW w:w="2800" w:type="dxa"/>
            <w:vAlign w:val="bottom"/>
            <w:tcBorders>
              <w:left w:val="single" w:sz="8" w:color="auto"/>
              <w:right w:val="single" w:sz="8" w:color="auto"/>
            </w:tcBorders>
          </w:tcPr>
          <w:p>
            <w:pPr>
              <w:spacing w:after="0"/>
              <w:rPr>
                <w:sz w:val="12"/>
                <w:szCs w:val="12"/>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assessment of investment assets each</w:t>
            </w:r>
          </w:p>
        </w:tc>
        <w:tc>
          <w:tcPr>
            <w:tcW w:w="168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27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r>
      <w:tr>
        <w:trPr>
          <w:trHeight w:val="161"/>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year.</w:t>
            </w:r>
          </w:p>
        </w:tc>
        <w:tc>
          <w:tcPr>
            <w:tcW w:w="16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2780" w:type="dxa"/>
            <w:vAlign w:val="bottom"/>
            <w:tcBorders>
              <w:bottom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169"/>
        </w:trPr>
        <w:tc>
          <w:tcPr>
            <w:tcW w:w="2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Gross obligation under put option</w:t>
            </w:r>
          </w:p>
        </w:tc>
        <w:tc>
          <w:tcPr>
            <w:tcW w:w="24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The valuation model is based on the</w:t>
            </w:r>
          </w:p>
        </w:tc>
        <w:tc>
          <w:tcPr>
            <w:tcW w:w="1680" w:type="dxa"/>
            <w:vAlign w:val="bottom"/>
          </w:tcPr>
          <w:p>
            <w:pPr>
              <w:ind w:left="20"/>
              <w:spacing w:after="0"/>
              <w:rPr>
                <w:sz w:val="20"/>
                <w:szCs w:val="20"/>
                <w:color w:val="auto"/>
              </w:rPr>
            </w:pPr>
            <w:r>
              <w:rPr>
                <w:rFonts w:ascii="Arial" w:cs="Arial" w:eastAsia="Arial" w:hAnsi="Arial"/>
                <w:sz w:val="13"/>
                <w:szCs w:val="13"/>
                <w:color w:val="auto"/>
              </w:rPr>
              <w:t>Forecast future cash flows</w:t>
            </w:r>
          </w:p>
        </w:tc>
        <w:tc>
          <w:tcPr>
            <w:tcW w:w="940" w:type="dxa"/>
            <w:vAlign w:val="bottom"/>
            <w:tcBorders>
              <w:right w:val="single" w:sz="8" w:color="auto"/>
            </w:tcBorders>
          </w:tcPr>
          <w:p>
            <w:pPr>
              <w:spacing w:after="0"/>
              <w:rPr>
                <w:sz w:val="14"/>
                <w:szCs w:val="14"/>
                <w:color w:val="auto"/>
              </w:rPr>
            </w:pPr>
          </w:p>
        </w:tc>
        <w:tc>
          <w:tcPr>
            <w:tcW w:w="34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The estimated fair value would increase (decrease) if the</w:t>
            </w:r>
          </w:p>
        </w:tc>
      </w:tr>
      <w:tr>
        <w:trPr>
          <w:trHeight w:val="161"/>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present value of cash flows of the entity.</w:t>
            </w:r>
          </w:p>
        </w:tc>
        <w:tc>
          <w:tcPr>
            <w:tcW w:w="26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Probability in achieving cash flow forecasts</w:t>
            </w:r>
          </w:p>
        </w:tc>
        <w:tc>
          <w:tcPr>
            <w:tcW w:w="27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8"/>
              </w:rPr>
              <w:t>forecasted future cash flows were higher (lower).</w:t>
            </w:r>
          </w:p>
        </w:tc>
        <w:tc>
          <w:tcPr>
            <w:tcW w:w="620" w:type="dxa"/>
            <w:vAlign w:val="bottom"/>
            <w:tcBorders>
              <w:bottom w:val="single" w:sz="8" w:color="auto"/>
              <w:right w:val="single" w:sz="8" w:color="auto"/>
            </w:tcBorders>
          </w:tcPr>
          <w:p>
            <w:pPr>
              <w:spacing w:after="0"/>
              <w:rPr>
                <w:sz w:val="13"/>
                <w:szCs w:val="13"/>
                <w:color w:val="auto"/>
              </w:rPr>
            </w:pPr>
          </w:p>
        </w:tc>
      </w:tr>
      <w:tr>
        <w:trPr>
          <w:trHeight w:val="169"/>
        </w:trPr>
        <w:tc>
          <w:tcPr>
            <w:tcW w:w="2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Call option asset over noncontrolling interest</w:t>
            </w:r>
          </w:p>
        </w:tc>
        <w:tc>
          <w:tcPr>
            <w:tcW w:w="24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The valuation model is based on the</w:t>
            </w:r>
          </w:p>
        </w:tc>
        <w:tc>
          <w:tcPr>
            <w:tcW w:w="1680" w:type="dxa"/>
            <w:vAlign w:val="bottom"/>
          </w:tcPr>
          <w:p>
            <w:pPr>
              <w:ind w:left="20"/>
              <w:spacing w:after="0"/>
              <w:rPr>
                <w:sz w:val="20"/>
                <w:szCs w:val="20"/>
                <w:color w:val="auto"/>
              </w:rPr>
            </w:pPr>
            <w:r>
              <w:rPr>
                <w:rFonts w:ascii="Arial" w:cs="Arial" w:eastAsia="Arial" w:hAnsi="Arial"/>
                <w:sz w:val="13"/>
                <w:szCs w:val="13"/>
                <w:color w:val="auto"/>
              </w:rPr>
              <w:t>Earnings multiple</w:t>
            </w:r>
          </w:p>
        </w:tc>
        <w:tc>
          <w:tcPr>
            <w:tcW w:w="940" w:type="dxa"/>
            <w:vAlign w:val="bottom"/>
            <w:tcBorders>
              <w:right w:val="single" w:sz="8" w:color="auto"/>
            </w:tcBorders>
          </w:tcPr>
          <w:p>
            <w:pPr>
              <w:spacing w:after="0"/>
              <w:rPr>
                <w:sz w:val="14"/>
                <w:szCs w:val="14"/>
                <w:color w:val="auto"/>
              </w:rPr>
            </w:pPr>
          </w:p>
        </w:tc>
        <w:tc>
          <w:tcPr>
            <w:tcW w:w="34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If the earnings multiple became less than the market rate</w:t>
            </w:r>
          </w:p>
        </w:tc>
      </w:tr>
      <w:tr>
        <w:trPr>
          <w:trHeight w:val="149"/>
        </w:trPr>
        <w:tc>
          <w:tcPr>
            <w:tcW w:w="2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shares</w:t>
            </w:r>
          </w:p>
        </w:tc>
        <w:tc>
          <w:tcPr>
            <w:tcW w:w="24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financial benefit to the Group possessing</w:t>
            </w:r>
          </w:p>
        </w:tc>
        <w:tc>
          <w:tcPr>
            <w:tcW w:w="168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2780" w:type="dxa"/>
            <w:vAlign w:val="bottom"/>
          </w:tcPr>
          <w:p>
            <w:pPr>
              <w:spacing w:after="0"/>
              <w:rPr>
                <w:sz w:val="20"/>
                <w:szCs w:val="20"/>
                <w:color w:val="auto"/>
              </w:rPr>
            </w:pPr>
            <w:r>
              <w:rPr>
                <w:rFonts w:ascii="Arial" w:cs="Arial" w:eastAsia="Arial" w:hAnsi="Arial"/>
                <w:sz w:val="13"/>
                <w:szCs w:val="13"/>
                <w:color w:val="auto"/>
              </w:rPr>
              <w:t>then the fair value of the option would increase.</w:t>
            </w:r>
          </w:p>
        </w:tc>
        <w:tc>
          <w:tcPr>
            <w:tcW w:w="620" w:type="dxa"/>
            <w:vAlign w:val="bottom"/>
            <w:tcBorders>
              <w:right w:val="single" w:sz="8" w:color="auto"/>
            </w:tcBorders>
          </w:tcPr>
          <w:p>
            <w:pPr>
              <w:spacing w:after="0"/>
              <w:rPr>
                <w:sz w:val="12"/>
                <w:szCs w:val="12"/>
                <w:color w:val="auto"/>
              </w:rPr>
            </w:pPr>
          </w:p>
        </w:tc>
      </w:tr>
      <w:tr>
        <w:trPr>
          <w:trHeight w:val="149"/>
        </w:trPr>
        <w:tc>
          <w:tcPr>
            <w:tcW w:w="2800" w:type="dxa"/>
            <w:vAlign w:val="bottom"/>
            <w:tcBorders>
              <w:left w:val="single" w:sz="8" w:color="auto"/>
              <w:right w:val="single" w:sz="8" w:color="auto"/>
            </w:tcBorders>
          </w:tcPr>
          <w:p>
            <w:pPr>
              <w:spacing w:after="0"/>
              <w:rPr>
                <w:sz w:val="12"/>
                <w:szCs w:val="12"/>
                <w:color w:val="auto"/>
              </w:rPr>
            </w:pPr>
          </w:p>
        </w:tc>
        <w:tc>
          <w:tcPr>
            <w:tcW w:w="24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9"/>
              </w:rPr>
              <w:t>the option to acquire the shares compared</w:t>
            </w:r>
          </w:p>
        </w:tc>
        <w:tc>
          <w:tcPr>
            <w:tcW w:w="168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27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r>
      <w:tr>
        <w:trPr>
          <w:trHeight w:val="161"/>
        </w:trPr>
        <w:tc>
          <w:tcPr>
            <w:tcW w:w="2800" w:type="dxa"/>
            <w:vAlign w:val="bottom"/>
            <w:tcBorders>
              <w:left w:val="single" w:sz="8" w:color="auto"/>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to acquiring the shares at the market rate.</w:t>
            </w:r>
          </w:p>
        </w:tc>
        <w:tc>
          <w:tcPr>
            <w:tcW w:w="16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2780" w:type="dxa"/>
            <w:vAlign w:val="bottom"/>
            <w:tcBorders>
              <w:bottom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418"/>
        </w:trPr>
        <w:tc>
          <w:tcPr>
            <w:tcW w:w="2800" w:type="dxa"/>
            <w:vAlign w:val="bottom"/>
          </w:tcPr>
          <w:p>
            <w:pPr>
              <w:spacing w:after="0"/>
              <w:rPr>
                <w:sz w:val="20"/>
                <w:szCs w:val="20"/>
                <w:color w:val="auto"/>
              </w:rPr>
            </w:pPr>
            <w:r>
              <w:rPr>
                <w:rFonts w:ascii="Arial" w:cs="Arial" w:eastAsia="Arial" w:hAnsi="Arial"/>
                <w:sz w:val="13"/>
                <w:szCs w:val="13"/>
                <w:b w:val="1"/>
                <w:bCs w:val="1"/>
                <w:color w:val="auto"/>
              </w:rPr>
              <w:t>27. Leases</w:t>
            </w:r>
          </w:p>
        </w:tc>
        <w:tc>
          <w:tcPr>
            <w:tcW w:w="2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40"/>
        </w:trPr>
        <w:tc>
          <w:tcPr>
            <w:tcW w:w="2800" w:type="dxa"/>
            <w:vAlign w:val="bottom"/>
          </w:tcPr>
          <w:p>
            <w:pPr>
              <w:spacing w:after="0"/>
              <w:rPr>
                <w:sz w:val="20"/>
                <w:szCs w:val="20"/>
                <w:color w:val="auto"/>
              </w:rPr>
            </w:pPr>
            <w:r>
              <w:rPr>
                <w:rFonts w:ascii="Arial" w:cs="Arial" w:eastAsia="Arial" w:hAnsi="Arial"/>
                <w:sz w:val="13"/>
                <w:szCs w:val="13"/>
                <w:b w:val="1"/>
                <w:bCs w:val="1"/>
                <w:i w:val="1"/>
                <w:iCs w:val="1"/>
                <w:color w:val="auto"/>
              </w:rPr>
              <w:t>Right-of-use assets</w:t>
            </w:r>
          </w:p>
        </w:tc>
        <w:tc>
          <w:tcPr>
            <w:tcW w:w="2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6"/>
        </w:trPr>
        <w:tc>
          <w:tcPr>
            <w:tcW w:w="5260" w:type="dxa"/>
            <w:vAlign w:val="bottom"/>
            <w:gridSpan w:val="2"/>
          </w:tcPr>
          <w:p>
            <w:pPr>
              <w:spacing w:after="0"/>
              <w:rPr>
                <w:sz w:val="20"/>
                <w:szCs w:val="20"/>
                <w:color w:val="auto"/>
              </w:rPr>
            </w:pPr>
            <w:r>
              <w:rPr>
                <w:rFonts w:ascii="Arial" w:cs="Arial" w:eastAsia="Arial" w:hAnsi="Arial"/>
                <w:sz w:val="13"/>
                <w:szCs w:val="13"/>
                <w:color w:val="auto"/>
              </w:rPr>
              <w:t>The Group has recorded the following for right-of-use assets:</w:t>
            </w:r>
          </w:p>
        </w:tc>
        <w:tc>
          <w:tcPr>
            <w:tcW w:w="1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17"/>
        </w:trPr>
        <w:tc>
          <w:tcPr>
            <w:tcW w:w="2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83"/>
        </w:trPr>
        <w:tc>
          <w:tcPr>
            <w:tcW w:w="2800" w:type="dxa"/>
            <w:vAlign w:val="bottom"/>
            <w:tcBorders>
              <w:left w:val="single" w:sz="8" w:color="CCEEFF"/>
              <w:bottom w:val="single" w:sz="8" w:color="auto"/>
              <w:right w:val="single" w:sz="8" w:color="CCEEFF"/>
            </w:tcBorders>
            <w:shd w:val="clear" w:color="auto" w:fill="CCEEFF"/>
          </w:tcPr>
          <w:p>
            <w:pPr>
              <w:spacing w:after="0"/>
              <w:rPr>
                <w:sz w:val="15"/>
                <w:szCs w:val="15"/>
                <w:color w:val="auto"/>
              </w:rPr>
            </w:pPr>
          </w:p>
        </w:tc>
        <w:tc>
          <w:tcPr>
            <w:tcW w:w="2460" w:type="dxa"/>
            <w:vAlign w:val="bottom"/>
            <w:tcBorders>
              <w:bottom w:val="single" w:sz="8" w:color="auto"/>
              <w:right w:val="single" w:sz="8" w:color="CCEEFF"/>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3"/>
                <w:szCs w:val="13"/>
                <w:b w:val="1"/>
                <w:bCs w:val="1"/>
                <w:color w:val="auto"/>
              </w:rPr>
              <w:t>Premises</w:t>
            </w:r>
          </w:p>
        </w:tc>
        <w:tc>
          <w:tcPr>
            <w:tcW w:w="940" w:type="dxa"/>
            <w:vAlign w:val="bottom"/>
            <w:tcBorders>
              <w:bottom w:val="single" w:sz="8" w:color="auto"/>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Equipment</w:t>
            </w:r>
          </w:p>
        </w:tc>
        <w:tc>
          <w:tcPr>
            <w:tcW w:w="2780" w:type="dxa"/>
            <w:vAlign w:val="bottom"/>
            <w:tcBorders>
              <w:bottom w:val="single" w:sz="8" w:color="auto"/>
            </w:tcBorders>
            <w:shd w:val="clear" w:color="auto" w:fill="CCEEFF"/>
          </w:tcPr>
          <w:p>
            <w:pPr>
              <w:jc w:val="right"/>
              <w:ind w:right="1076"/>
              <w:spacing w:after="0"/>
              <w:rPr>
                <w:sz w:val="20"/>
                <w:szCs w:val="20"/>
                <w:color w:val="auto"/>
              </w:rPr>
            </w:pPr>
            <w:r>
              <w:rPr>
                <w:rFonts w:ascii="Arial" w:cs="Arial" w:eastAsia="Arial" w:hAnsi="Arial"/>
                <w:sz w:val="13"/>
                <w:szCs w:val="13"/>
                <w:b w:val="1"/>
                <w:bCs w:val="1"/>
                <w:color w:val="auto"/>
              </w:rPr>
              <w:t>Motor vehicles</w:t>
            </w: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82"/>
        </w:trPr>
        <w:tc>
          <w:tcPr>
            <w:tcW w:w="28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80" w:type="dxa"/>
            <w:vAlign w:val="bottom"/>
          </w:tcPr>
          <w:p>
            <w:pPr>
              <w:ind w:left="440"/>
              <w:spacing w:after="0"/>
              <w:rPr>
                <w:sz w:val="20"/>
                <w:szCs w:val="20"/>
                <w:color w:val="auto"/>
              </w:rPr>
            </w:pPr>
            <w:r>
              <w:rPr>
                <w:rFonts w:ascii="Arial" w:cs="Arial" w:eastAsia="Arial" w:hAnsi="Arial"/>
                <w:sz w:val="13"/>
                <w:szCs w:val="13"/>
                <w:b w:val="1"/>
                <w:bCs w:val="1"/>
                <w:color w:val="auto"/>
              </w:rPr>
              <w:t>$'000</w:t>
            </w:r>
          </w:p>
        </w:tc>
        <w:tc>
          <w:tcPr>
            <w:tcW w:w="940" w:type="dxa"/>
            <w:vAlign w:val="bottom"/>
          </w:tcPr>
          <w:p>
            <w:pPr>
              <w:jc w:val="right"/>
              <w:ind w:right="36"/>
              <w:spacing w:after="0"/>
              <w:rPr>
                <w:sz w:val="20"/>
                <w:szCs w:val="20"/>
                <w:color w:val="auto"/>
              </w:rPr>
            </w:pPr>
            <w:r>
              <w:rPr>
                <w:rFonts w:ascii="Arial" w:cs="Arial" w:eastAsia="Arial" w:hAnsi="Arial"/>
                <w:sz w:val="13"/>
                <w:szCs w:val="13"/>
                <w:b w:val="1"/>
                <w:bCs w:val="1"/>
                <w:color w:val="auto"/>
              </w:rPr>
              <w:t>$'000</w:t>
            </w:r>
          </w:p>
        </w:tc>
        <w:tc>
          <w:tcPr>
            <w:tcW w:w="2780" w:type="dxa"/>
            <w:vAlign w:val="bottom"/>
          </w:tcPr>
          <w:p>
            <w:pPr>
              <w:jc w:val="right"/>
              <w:ind w:right="1076"/>
              <w:spacing w:after="0"/>
              <w:rPr>
                <w:sz w:val="20"/>
                <w:szCs w:val="20"/>
                <w:color w:val="auto"/>
              </w:rPr>
            </w:pPr>
            <w:r>
              <w:rPr>
                <w:rFonts w:ascii="Arial" w:cs="Arial" w:eastAsia="Arial" w:hAnsi="Arial"/>
                <w:sz w:val="13"/>
                <w:szCs w:val="13"/>
                <w:b w:val="1"/>
                <w:bCs w:val="1"/>
                <w:color w:val="auto"/>
              </w:rPr>
              <w:t>$'000</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200"/>
        </w:trPr>
        <w:tc>
          <w:tcPr>
            <w:tcW w:w="2800" w:type="dxa"/>
            <w:vAlign w:val="bottom"/>
            <w:tcBorders>
              <w:left w:val="single" w:sz="8" w:color="CCEEFF"/>
              <w:bottom w:val="single" w:sz="8" w:color="auto"/>
              <w:right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Depreciation charge for the year</w:t>
            </w:r>
          </w:p>
        </w:tc>
        <w:tc>
          <w:tcPr>
            <w:tcW w:w="2460" w:type="dxa"/>
            <w:vAlign w:val="bottom"/>
            <w:tcBorders>
              <w:bottom w:val="single" w:sz="8" w:color="auto"/>
              <w:right w:val="single" w:sz="8" w:color="CCEEFF"/>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3"/>
                <w:szCs w:val="13"/>
                <w:color w:val="auto"/>
              </w:rPr>
              <w:t>28,070</w:t>
            </w:r>
          </w:p>
        </w:tc>
        <w:tc>
          <w:tcPr>
            <w:tcW w:w="940" w:type="dxa"/>
            <w:vAlign w:val="bottom"/>
            <w:tcBorders>
              <w:bottom w:val="single" w:sz="8" w:color="auto"/>
              <w:right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rPr>
              <w:t>1,102</w:t>
            </w:r>
          </w:p>
        </w:tc>
        <w:tc>
          <w:tcPr>
            <w:tcW w:w="278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3"/>
                <w:szCs w:val="13"/>
                <w:color w:val="auto"/>
              </w:rPr>
              <w:t>2,215</w:t>
            </w:r>
          </w:p>
        </w:tc>
        <w:tc>
          <w:tcPr>
            <w:tcW w:w="620" w:type="dxa"/>
            <w:vAlign w:val="bottom"/>
            <w:tcBorders>
              <w:bottom w:val="single" w:sz="8" w:color="auto"/>
              <w:right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31,387</w:t>
            </w:r>
          </w:p>
        </w:tc>
      </w:tr>
      <w:tr>
        <w:trPr>
          <w:trHeight w:val="192"/>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Right-of-use assets at 31 December 2019</w:t>
            </w:r>
          </w:p>
        </w:tc>
        <w:tc>
          <w:tcPr>
            <w:tcW w:w="2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996"/>
              <w:spacing w:after="0"/>
              <w:rPr>
                <w:sz w:val="20"/>
                <w:szCs w:val="20"/>
                <w:color w:val="auto"/>
              </w:rPr>
            </w:pPr>
            <w:r>
              <w:rPr>
                <w:rFonts w:ascii="Arial" w:cs="Arial" w:eastAsia="Arial" w:hAnsi="Arial"/>
                <w:sz w:val="13"/>
                <w:szCs w:val="13"/>
                <w:color w:val="auto"/>
              </w:rPr>
              <w:t>98,226</w:t>
            </w:r>
          </w:p>
        </w:tc>
        <w:tc>
          <w:tcPr>
            <w:tcW w:w="9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3,015</w:t>
            </w:r>
          </w:p>
        </w:tc>
        <w:tc>
          <w:tcPr>
            <w:tcW w:w="2780" w:type="dxa"/>
            <w:vAlign w:val="bottom"/>
            <w:tcBorders>
              <w:bottom w:val="single" w:sz="8" w:color="auto"/>
            </w:tcBorders>
          </w:tcPr>
          <w:p>
            <w:pPr>
              <w:ind w:left="1200"/>
              <w:spacing w:after="0"/>
              <w:rPr>
                <w:sz w:val="20"/>
                <w:szCs w:val="20"/>
                <w:color w:val="auto"/>
              </w:rPr>
            </w:pPr>
            <w:r>
              <w:rPr>
                <w:rFonts w:ascii="Arial" w:cs="Arial" w:eastAsia="Arial" w:hAnsi="Arial"/>
                <w:sz w:val="13"/>
                <w:szCs w:val="13"/>
                <w:color w:val="auto"/>
              </w:rPr>
              <w:t>2,721</w:t>
            </w: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97"/>
              </w:rPr>
              <w:t>103,962</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Additions to right-of-use assets during 2019 were $</w:t>
      </w:r>
      <w:r>
        <w:rPr>
          <w:rFonts w:ascii="Arial" w:cs="Arial" w:eastAsia="Arial" w:hAnsi="Arial"/>
          <w:sz w:val="13"/>
          <w:szCs w:val="13"/>
          <w:b w:val="1"/>
          <w:bCs w:val="1"/>
          <w:color w:val="auto"/>
        </w:rPr>
        <w:t>29.5</w:t>
      </w:r>
      <w:r>
        <w:rPr>
          <w:rFonts w:ascii="Arial" w:cs="Arial" w:eastAsia="Arial" w:hAnsi="Arial"/>
          <w:sz w:val="13"/>
          <w:szCs w:val="13"/>
          <w:color w:val="auto"/>
        </w:rPr>
        <w:t xml:space="preserve"> million.</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remaining lease term at 31 December 2019 was 5.19 years.</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Lease liabilities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Total lease payments for the year ended 31 December 2019 were 33.4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280"/>
          </w:cols>
          <w:pgMar w:left="300" w:top="696" w:right="31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27. Leases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3"/>
          <w:szCs w:val="13"/>
          <w:color w:val="auto"/>
        </w:rPr>
        <w:t>Future minimum lease payments under non-cancelable leases as of 31 December 2019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99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540"/>
              <w:spacing w:after="0"/>
              <w:rPr>
                <w:sz w:val="20"/>
                <w:szCs w:val="20"/>
                <w:color w:val="auto"/>
              </w:rPr>
            </w:pPr>
            <w:r>
              <w:rPr>
                <w:rFonts w:ascii="Arial" w:cs="Arial" w:eastAsia="Arial" w:hAnsi="Arial"/>
                <w:sz w:val="13"/>
                <w:szCs w:val="13"/>
                <w:b w:val="1"/>
                <w:bCs w:val="1"/>
                <w:color w:val="auto"/>
                <w:w w:val="98"/>
              </w:rPr>
              <w:t>31 December</w:t>
            </w:r>
          </w:p>
        </w:tc>
      </w:tr>
      <w:tr>
        <w:trPr>
          <w:trHeight w:val="183"/>
        </w:trPr>
        <w:tc>
          <w:tcPr>
            <w:tcW w:w="20" w:type="dxa"/>
            <w:vAlign w:val="bottom"/>
          </w:tcPr>
          <w:p>
            <w:pPr>
              <w:spacing w:after="0"/>
              <w:rPr>
                <w:sz w:val="15"/>
                <w:szCs w:val="15"/>
                <w:color w:val="auto"/>
              </w:rPr>
            </w:pPr>
          </w:p>
        </w:tc>
        <w:tc>
          <w:tcPr>
            <w:tcW w:w="9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auto"/>
            </w:tcBorders>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99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20" w:type="dxa"/>
            <w:vAlign w:val="bottom"/>
            <w:shd w:val="clear" w:color="auto" w:fill="CCEEFF"/>
          </w:tcPr>
          <w:p>
            <w:pPr>
              <w:spacing w:after="0"/>
              <w:rPr>
                <w:sz w:val="16"/>
                <w:szCs w:val="16"/>
                <w:color w:val="auto"/>
              </w:rPr>
            </w:pPr>
          </w:p>
        </w:tc>
      </w:tr>
      <w:tr>
        <w:trPr>
          <w:trHeight w:val="212"/>
        </w:trPr>
        <w:tc>
          <w:tcPr>
            <w:tcW w:w="992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3"/>
                <w:szCs w:val="13"/>
                <w:color w:val="auto"/>
              </w:rPr>
              <w:t>2020</w:t>
            </w: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28,320</w:t>
            </w:r>
          </w:p>
        </w:tc>
        <w:tc>
          <w:tcPr>
            <w:tcW w:w="20" w:type="dxa"/>
            <w:vAlign w:val="bottom"/>
            <w:shd w:val="clear" w:color="auto" w:fill="CCEEFF"/>
          </w:tcPr>
          <w:p>
            <w:pPr>
              <w:spacing w:after="0"/>
              <w:rPr>
                <w:sz w:val="16"/>
                <w:szCs w:val="16"/>
                <w:color w:val="auto"/>
              </w:rPr>
            </w:pPr>
          </w:p>
        </w:tc>
      </w:tr>
      <w:tr>
        <w:trPr>
          <w:trHeight w:val="183"/>
        </w:trPr>
        <w:tc>
          <w:tcPr>
            <w:tcW w:w="9920" w:type="dxa"/>
            <w:vAlign w:val="bottom"/>
            <w:gridSpan w:val="2"/>
          </w:tcPr>
          <w:p>
            <w:pPr>
              <w:ind w:left="20"/>
              <w:spacing w:after="0"/>
              <w:rPr>
                <w:sz w:val="20"/>
                <w:szCs w:val="20"/>
                <w:color w:val="auto"/>
              </w:rPr>
            </w:pPr>
            <w:r>
              <w:rPr>
                <w:rFonts w:ascii="Arial" w:cs="Arial" w:eastAsia="Arial" w:hAnsi="Arial"/>
                <w:sz w:val="13"/>
                <w:szCs w:val="13"/>
                <w:color w:val="auto"/>
              </w:rPr>
              <w:t>2021</w:t>
            </w:r>
          </w:p>
        </w:tc>
        <w:tc>
          <w:tcPr>
            <w:tcW w:w="1340" w:type="dxa"/>
            <w:vAlign w:val="bottom"/>
          </w:tcPr>
          <w:p>
            <w:pPr>
              <w:jc w:val="right"/>
              <w:ind w:right="56"/>
              <w:spacing w:after="0"/>
              <w:rPr>
                <w:sz w:val="20"/>
                <w:szCs w:val="20"/>
                <w:color w:val="auto"/>
              </w:rPr>
            </w:pPr>
            <w:r>
              <w:rPr>
                <w:rFonts w:ascii="Arial" w:cs="Arial" w:eastAsia="Arial" w:hAnsi="Arial"/>
                <w:sz w:val="13"/>
                <w:szCs w:val="13"/>
                <w:b w:val="1"/>
                <w:bCs w:val="1"/>
                <w:color w:val="auto"/>
              </w:rPr>
              <w:t>25,315</w:t>
            </w:r>
          </w:p>
        </w:tc>
        <w:tc>
          <w:tcPr>
            <w:tcW w:w="20" w:type="dxa"/>
            <w:vAlign w:val="bottom"/>
          </w:tcPr>
          <w:p>
            <w:pPr>
              <w:spacing w:after="0"/>
              <w:rPr>
                <w:sz w:val="15"/>
                <w:szCs w:val="15"/>
                <w:color w:val="auto"/>
              </w:rPr>
            </w:pPr>
          </w:p>
        </w:tc>
      </w:tr>
      <w:tr>
        <w:trPr>
          <w:trHeight w:val="199"/>
        </w:trPr>
        <w:tc>
          <w:tcPr>
            <w:tcW w:w="20" w:type="dxa"/>
            <w:vAlign w:val="bottom"/>
          </w:tcPr>
          <w:p>
            <w:pPr>
              <w:spacing w:after="0"/>
              <w:rPr>
                <w:sz w:val="17"/>
                <w:szCs w:val="17"/>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3"/>
                <w:szCs w:val="13"/>
                <w:color w:val="auto"/>
              </w:rPr>
              <w:t>2022</w:t>
            </w: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19,433</w:t>
            </w:r>
          </w:p>
        </w:tc>
        <w:tc>
          <w:tcPr>
            <w:tcW w:w="20" w:type="dxa"/>
            <w:vAlign w:val="bottom"/>
            <w:shd w:val="clear" w:color="auto" w:fill="CCEEFF"/>
          </w:tcPr>
          <w:p>
            <w:pPr>
              <w:spacing w:after="0"/>
              <w:rPr>
                <w:sz w:val="17"/>
                <w:szCs w:val="17"/>
                <w:color w:val="auto"/>
              </w:rPr>
            </w:pPr>
          </w:p>
        </w:tc>
      </w:tr>
      <w:tr>
        <w:trPr>
          <w:trHeight w:val="183"/>
        </w:trPr>
        <w:tc>
          <w:tcPr>
            <w:tcW w:w="9920" w:type="dxa"/>
            <w:vAlign w:val="bottom"/>
            <w:gridSpan w:val="2"/>
          </w:tcPr>
          <w:p>
            <w:pPr>
              <w:ind w:left="20"/>
              <w:spacing w:after="0"/>
              <w:rPr>
                <w:sz w:val="20"/>
                <w:szCs w:val="20"/>
                <w:color w:val="auto"/>
              </w:rPr>
            </w:pPr>
            <w:r>
              <w:rPr>
                <w:rFonts w:ascii="Arial" w:cs="Arial" w:eastAsia="Arial" w:hAnsi="Arial"/>
                <w:sz w:val="13"/>
                <w:szCs w:val="13"/>
                <w:color w:val="auto"/>
              </w:rPr>
              <w:t>2023</w:t>
            </w:r>
          </w:p>
        </w:tc>
        <w:tc>
          <w:tcPr>
            <w:tcW w:w="1340" w:type="dxa"/>
            <w:vAlign w:val="bottom"/>
          </w:tcPr>
          <w:p>
            <w:pPr>
              <w:jc w:val="right"/>
              <w:ind w:right="56"/>
              <w:spacing w:after="0"/>
              <w:rPr>
                <w:sz w:val="20"/>
                <w:szCs w:val="20"/>
                <w:color w:val="auto"/>
              </w:rPr>
            </w:pPr>
            <w:r>
              <w:rPr>
                <w:rFonts w:ascii="Arial" w:cs="Arial" w:eastAsia="Arial" w:hAnsi="Arial"/>
                <w:sz w:val="13"/>
                <w:szCs w:val="13"/>
                <w:b w:val="1"/>
                <w:bCs w:val="1"/>
                <w:color w:val="auto"/>
              </w:rPr>
              <w:t>14,053</w:t>
            </w:r>
          </w:p>
        </w:tc>
        <w:tc>
          <w:tcPr>
            <w:tcW w:w="20" w:type="dxa"/>
            <w:vAlign w:val="bottom"/>
          </w:tcPr>
          <w:p>
            <w:pPr>
              <w:spacing w:after="0"/>
              <w:rPr>
                <w:sz w:val="15"/>
                <w:szCs w:val="15"/>
                <w:color w:val="auto"/>
              </w:rPr>
            </w:pPr>
          </w:p>
        </w:tc>
      </w:tr>
      <w:tr>
        <w:trPr>
          <w:trHeight w:val="199"/>
        </w:trPr>
        <w:tc>
          <w:tcPr>
            <w:tcW w:w="20" w:type="dxa"/>
            <w:vAlign w:val="bottom"/>
          </w:tcPr>
          <w:p>
            <w:pPr>
              <w:spacing w:after="0"/>
              <w:rPr>
                <w:sz w:val="17"/>
                <w:szCs w:val="17"/>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3"/>
                <w:szCs w:val="13"/>
                <w:color w:val="auto"/>
              </w:rPr>
              <w:t>2024</w:t>
            </w: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8,839</w:t>
            </w:r>
          </w:p>
        </w:tc>
        <w:tc>
          <w:tcPr>
            <w:tcW w:w="20" w:type="dxa"/>
            <w:vAlign w:val="bottom"/>
            <w:shd w:val="clear" w:color="auto" w:fill="CCEEFF"/>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99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Thereafter</w:t>
            </w:r>
          </w:p>
        </w:tc>
        <w:tc>
          <w:tcPr>
            <w:tcW w:w="13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17,264</w:t>
            </w:r>
          </w:p>
        </w:tc>
        <w:tc>
          <w:tcPr>
            <w:tcW w:w="20" w:type="dxa"/>
            <w:vAlign w:val="bottom"/>
            <w:tcBorders>
              <w:bottom w:val="single" w:sz="8" w:color="auto"/>
            </w:tcBorders>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3"/>
                <w:szCs w:val="13"/>
                <w:color w:val="auto"/>
              </w:rPr>
              <w:t>Total future minimum lease payments</w:t>
            </w: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113,224</w:t>
            </w:r>
          </w:p>
        </w:tc>
        <w:tc>
          <w:tcPr>
            <w:tcW w:w="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99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Lease imputed interest</w:t>
            </w:r>
          </w:p>
        </w:tc>
        <w:tc>
          <w:tcPr>
            <w:tcW w:w="13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(8,311)</w:t>
            </w:r>
          </w:p>
        </w:tc>
        <w:tc>
          <w:tcPr>
            <w:tcW w:w="20" w:type="dxa"/>
            <w:vAlign w:val="bottom"/>
            <w:tcBorders>
              <w:bottom w:val="single" w:sz="8" w:color="auto"/>
            </w:tcBorders>
          </w:tcPr>
          <w:p>
            <w:pPr>
              <w:spacing w:after="0"/>
              <w:rPr>
                <w:sz w:val="16"/>
                <w:szCs w:val="16"/>
                <w:color w:val="auto"/>
              </w:rPr>
            </w:pPr>
          </w:p>
        </w:tc>
      </w:tr>
      <w:tr>
        <w:trPr>
          <w:trHeight w:val="208"/>
        </w:trPr>
        <w:tc>
          <w:tcPr>
            <w:tcW w:w="20" w:type="dxa"/>
            <w:vAlign w:val="bottom"/>
          </w:tcPr>
          <w:p>
            <w:pPr>
              <w:spacing w:after="0"/>
              <w:rPr>
                <w:sz w:val="17"/>
                <w:szCs w:val="17"/>
                <w:color w:val="auto"/>
              </w:rPr>
            </w:pPr>
          </w:p>
        </w:tc>
        <w:tc>
          <w:tcPr>
            <w:tcW w:w="9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13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104,913</w:t>
            </w:r>
          </w:p>
        </w:tc>
        <w:tc>
          <w:tcPr>
            <w:tcW w:w="20" w:type="dxa"/>
            <w:vAlign w:val="bottom"/>
            <w:tcBorders>
              <w:bottom w:val="single" w:sz="8" w:color="auto"/>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32"/>
        </w:trPr>
        <w:tc>
          <w:tcPr>
            <w:tcW w:w="9920" w:type="dxa"/>
            <w:vAlign w:val="bottom"/>
            <w:gridSpan w:val="2"/>
          </w:tcPr>
          <w:p>
            <w:pPr>
              <w:spacing w:after="0"/>
              <w:rPr>
                <w:sz w:val="20"/>
                <w:szCs w:val="20"/>
                <w:color w:val="auto"/>
              </w:rPr>
            </w:pPr>
            <w:r>
              <w:rPr>
                <w:rFonts w:ascii="Arial" w:cs="Arial" w:eastAsia="Arial" w:hAnsi="Arial"/>
                <w:sz w:val="13"/>
                <w:szCs w:val="13"/>
                <w:color w:val="auto"/>
              </w:rPr>
              <w:t>Lease liabilities are presented as current and non-current. Lease liabilities of $28.3 million have been included in accrued and other liabilities as at 31 December 2019.</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992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Amounts recognised in profit or loss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6"/>
        </w:trPr>
        <w:tc>
          <w:tcPr>
            <w:tcW w:w="9920" w:type="dxa"/>
            <w:vAlign w:val="bottom"/>
            <w:gridSpan w:val="2"/>
          </w:tcPr>
          <w:p>
            <w:pPr>
              <w:spacing w:after="0"/>
              <w:rPr>
                <w:sz w:val="20"/>
                <w:szCs w:val="20"/>
                <w:color w:val="auto"/>
              </w:rPr>
            </w:pPr>
            <w:r>
              <w:rPr>
                <w:rFonts w:ascii="Arial" w:cs="Arial" w:eastAsia="Arial" w:hAnsi="Arial"/>
                <w:sz w:val="13"/>
                <w:szCs w:val="13"/>
                <w:color w:val="auto"/>
              </w:rPr>
              <w:t>The following amounts were recognised in profit and loss: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7"/>
        </w:trPr>
        <w:tc>
          <w:tcPr>
            <w:tcW w:w="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r>
      <w:tr>
        <w:trPr>
          <w:trHeight w:val="191"/>
        </w:trPr>
        <w:tc>
          <w:tcPr>
            <w:tcW w:w="20" w:type="dxa"/>
            <w:vAlign w:val="bottom"/>
            <w:shd w:val="clear" w:color="auto" w:fill="CCEEFF"/>
          </w:tcPr>
          <w:p>
            <w:pPr>
              <w:spacing w:after="0"/>
              <w:rPr>
                <w:sz w:val="16"/>
                <w:szCs w:val="16"/>
                <w:color w:val="auto"/>
              </w:rPr>
            </w:pPr>
          </w:p>
        </w:tc>
        <w:tc>
          <w:tcPr>
            <w:tcW w:w="99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w:t>
            </w:r>
          </w:p>
        </w:tc>
        <w:tc>
          <w:tcPr>
            <w:tcW w:w="20" w:type="dxa"/>
            <w:vAlign w:val="bottom"/>
          </w:tcPr>
          <w:p>
            <w:pPr>
              <w:spacing w:after="0"/>
              <w:rPr>
                <w:sz w:val="16"/>
                <w:szCs w:val="16"/>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9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5"/>
                <w:szCs w:val="15"/>
                <w:color w:val="auto"/>
              </w:rPr>
            </w:pPr>
          </w:p>
        </w:tc>
      </w:tr>
      <w:tr>
        <w:trPr>
          <w:trHeight w:val="189"/>
        </w:trPr>
        <w:tc>
          <w:tcPr>
            <w:tcW w:w="20" w:type="dxa"/>
            <w:vAlign w:val="bottom"/>
            <w:shd w:val="clear" w:color="auto" w:fill="CCEEFF"/>
          </w:tcPr>
          <w:p>
            <w:pPr>
              <w:spacing w:after="0"/>
              <w:rPr>
                <w:sz w:val="16"/>
                <w:szCs w:val="16"/>
                <w:color w:val="auto"/>
              </w:rPr>
            </w:pPr>
          </w:p>
        </w:tc>
        <w:tc>
          <w:tcPr>
            <w:tcW w:w="99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9900" w:type="dxa"/>
            <w:vAlign w:val="bottom"/>
          </w:tcPr>
          <w:p>
            <w:pPr>
              <w:spacing w:after="0"/>
              <w:rPr>
                <w:sz w:val="20"/>
                <w:szCs w:val="20"/>
                <w:color w:val="auto"/>
              </w:rPr>
            </w:pPr>
            <w:r>
              <w:rPr>
                <w:rFonts w:ascii="Arial" w:cs="Arial" w:eastAsia="Arial" w:hAnsi="Arial"/>
                <w:sz w:val="13"/>
                <w:szCs w:val="13"/>
                <w:color w:val="auto"/>
              </w:rPr>
              <w:t>Depreciation of right-of-use assets</w:t>
            </w:r>
          </w:p>
        </w:tc>
        <w:tc>
          <w:tcPr>
            <w:tcW w:w="1340" w:type="dxa"/>
            <w:vAlign w:val="bottom"/>
          </w:tcPr>
          <w:p>
            <w:pPr>
              <w:jc w:val="right"/>
              <w:ind w:right="76"/>
              <w:spacing w:after="0"/>
              <w:rPr>
                <w:sz w:val="20"/>
                <w:szCs w:val="20"/>
                <w:color w:val="auto"/>
              </w:rPr>
            </w:pPr>
            <w:r>
              <w:rPr>
                <w:rFonts w:ascii="Arial" w:cs="Arial" w:eastAsia="Arial" w:hAnsi="Arial"/>
                <w:sz w:val="13"/>
                <w:szCs w:val="13"/>
                <w:b w:val="1"/>
                <w:bCs w:val="1"/>
                <w:color w:val="auto"/>
              </w:rPr>
              <w:t>31,387</w:t>
            </w:r>
          </w:p>
        </w:tc>
        <w:tc>
          <w:tcPr>
            <w:tcW w:w="20" w:type="dxa"/>
            <w:vAlign w:val="bottom"/>
          </w:tcPr>
          <w:p>
            <w:pPr>
              <w:spacing w:after="0"/>
              <w:rPr>
                <w:sz w:val="15"/>
                <w:szCs w:val="15"/>
                <w:color w:val="auto"/>
              </w:rPr>
            </w:pPr>
          </w:p>
        </w:tc>
      </w:tr>
      <w:tr>
        <w:trPr>
          <w:trHeight w:val="200"/>
        </w:trPr>
        <w:tc>
          <w:tcPr>
            <w:tcW w:w="20" w:type="dxa"/>
            <w:vAlign w:val="bottom"/>
            <w:tcBorders>
              <w:bottom w:val="single" w:sz="8" w:color="auto"/>
            </w:tcBorders>
            <w:shd w:val="clear" w:color="auto" w:fill="CCEEFF"/>
          </w:tcPr>
          <w:p>
            <w:pPr>
              <w:spacing w:after="0"/>
              <w:rPr>
                <w:sz w:val="17"/>
                <w:szCs w:val="17"/>
                <w:color w:val="auto"/>
              </w:rPr>
            </w:pPr>
          </w:p>
        </w:tc>
        <w:tc>
          <w:tcPr>
            <w:tcW w:w="9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Interest on lease liabilities</w:t>
            </w:r>
          </w:p>
        </w:tc>
        <w:tc>
          <w:tcPr>
            <w:tcW w:w="13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2,626</w:t>
            </w:r>
          </w:p>
        </w:tc>
        <w:tc>
          <w:tcPr>
            <w:tcW w:w="20" w:type="dxa"/>
            <w:vAlign w:val="bottom"/>
          </w:tcPr>
          <w:p>
            <w:pPr>
              <w:spacing w:after="0"/>
              <w:rPr>
                <w:sz w:val="17"/>
                <w:szCs w:val="17"/>
                <w:color w:val="auto"/>
              </w:rPr>
            </w:pPr>
          </w:p>
        </w:tc>
      </w:tr>
    </w:tbl>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Of the total cost of $34.0 million incurred in the year ended 31 December 2019, $29.0 million is recorded within other operating expenses, $2.4 million is recorded within direct costs and $2.6 million is recorded within financing expense. During 2019, the Group had income from sub-leases of $1.8 million.</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31 December 2019, the Group did not incur any costs related to variable lease payments or short-term leases.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28. Commitments and contingencies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 Capital commitments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capital commitments for the purchase of property, plant, equipment and computer software were authorised by the Group at 31 December 2019:</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60" w:type="dxa"/>
            <w:vAlign w:val="bottom"/>
            <w:shd w:val="clear" w:color="auto" w:fill="CCEEFF"/>
          </w:tcPr>
          <w:p>
            <w:pPr>
              <w:spacing w:after="0"/>
              <w:rPr>
                <w:sz w:val="13"/>
                <w:szCs w:val="13"/>
                <w:color w:val="auto"/>
              </w:rPr>
            </w:pPr>
          </w:p>
        </w:tc>
        <w:tc>
          <w:tcPr>
            <w:tcW w:w="52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31 December</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4860" w:type="dxa"/>
            <w:vAlign w:val="bottom"/>
            <w:tcBorders>
              <w:bottom w:val="single" w:sz="8" w:color="auto"/>
            </w:tcBorders>
            <w:shd w:val="clear" w:color="auto" w:fill="CCEEFF"/>
          </w:tcPr>
          <w:p>
            <w:pPr>
              <w:spacing w:after="0"/>
              <w:rPr>
                <w:sz w:val="15"/>
                <w:szCs w:val="15"/>
                <w:color w:val="auto"/>
              </w:rPr>
            </w:pPr>
          </w:p>
        </w:tc>
        <w:tc>
          <w:tcPr>
            <w:tcW w:w="52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2019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4860" w:type="dxa"/>
            <w:vAlign w:val="bottom"/>
          </w:tcPr>
          <w:p>
            <w:pPr>
              <w:spacing w:after="0"/>
              <w:rPr>
                <w:sz w:val="15"/>
                <w:szCs w:val="15"/>
                <w:color w:val="auto"/>
              </w:rPr>
            </w:pPr>
          </w:p>
        </w:tc>
        <w:tc>
          <w:tcPr>
            <w:tcW w:w="5220" w:type="dxa"/>
            <w:vAlign w:val="bottom"/>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1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9"/>
        </w:trPr>
        <w:tc>
          <w:tcPr>
            <w:tcW w:w="486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8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Contracted for</w:t>
            </w:r>
          </w:p>
        </w:tc>
        <w:tc>
          <w:tcPr>
            <w:tcW w:w="52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12,810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11,057</w:t>
            </w:r>
          </w:p>
        </w:tc>
      </w:tr>
      <w:tr>
        <w:trPr>
          <w:trHeight w:val="189"/>
        </w:trPr>
        <w:tc>
          <w:tcPr>
            <w:tcW w:w="4860" w:type="dxa"/>
            <w:vAlign w:val="bottom"/>
            <w:shd w:val="clear" w:color="auto" w:fill="CCEEFF"/>
          </w:tcPr>
          <w:p>
            <w:pPr>
              <w:spacing w:after="0"/>
              <w:rPr>
                <w:sz w:val="16"/>
                <w:szCs w:val="16"/>
                <w:color w:val="auto"/>
              </w:rPr>
            </w:pPr>
          </w:p>
        </w:tc>
        <w:tc>
          <w:tcPr>
            <w:tcW w:w="5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2"/>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52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12,810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11,057</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280"/>
          </w:cols>
          <w:pgMar w:left="300" w:top="696" w:right="31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28. Commitments and contingencies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 Guarantees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 xml:space="preserve">Where the Group enters into financial guarantee contracts to guarantee the indebtedness of other companies within the Group, the Group considers these to be insurance arrangements and accounts for them as such. The Group treats the guarantee contract as a contingent liability until such time as it becomes probable that the Group will be required to make a payment under that guarantee. As set out in </w:t>
      </w:r>
      <w:r>
        <w:rPr>
          <w:rFonts w:ascii="Arial" w:cs="Arial" w:eastAsia="Arial" w:hAnsi="Arial"/>
          <w:sz w:val="13"/>
          <w:szCs w:val="13"/>
          <w:i w:val="1"/>
          <w:iCs w:val="1"/>
          <w:color w:val="auto"/>
        </w:rPr>
        <w:t>note 23 Bank credit lines and loan facilities</w:t>
      </w:r>
      <w:r>
        <w:rPr>
          <w:rFonts w:ascii="Arial" w:cs="Arial" w:eastAsia="Arial" w:hAnsi="Arial"/>
          <w:sz w:val="13"/>
          <w:szCs w:val="13"/>
          <w:color w:val="auto"/>
        </w:rPr>
        <w:t>, the Senior Notes are guaranteed by ICON plc.</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has guaranteed all of the commitments and liabilities referred to in Section 357(1) (b) of the Companies Act 2014 in respect of the whole of the financial year ending 31 December 2019 for the subsidiary companies listed below. These subsidiaries are availing of the exemption under Section 357 of the Companies Act 2014 not to file statutory financial statements.</w:t>
      </w:r>
    </w:p>
    <w:p>
      <w:pPr>
        <w:spacing w:after="0" w:line="183" w:lineRule="exact"/>
        <w:rPr>
          <w:sz w:val="20"/>
          <w:szCs w:val="20"/>
          <w:color w:val="auto"/>
        </w:rPr>
      </w:pPr>
    </w:p>
    <w:p>
      <w:pPr>
        <w:ind w:left="500" w:hanging="240"/>
        <w:spacing w:after="0"/>
        <w:tabs>
          <w:tab w:leader="none" w:pos="500" w:val="left"/>
        </w:tabs>
        <w:numPr>
          <w:ilvl w:val="1"/>
          <w:numId w:val="35"/>
        </w:numPr>
        <w:rPr>
          <w:rFonts w:ascii="Arial" w:cs="Arial" w:eastAsia="Arial" w:hAnsi="Arial"/>
          <w:sz w:val="13"/>
          <w:szCs w:val="13"/>
          <w:color w:val="auto"/>
        </w:rPr>
      </w:pPr>
      <w:r>
        <w:rPr>
          <w:rFonts w:ascii="Arial" w:cs="Arial" w:eastAsia="Arial" w:hAnsi="Arial"/>
          <w:sz w:val="13"/>
          <w:szCs w:val="13"/>
          <w:color w:val="auto"/>
        </w:rPr>
        <w:t>ICON Clinical Research Limited</w:t>
      </w:r>
    </w:p>
    <w:p>
      <w:pPr>
        <w:ind w:left="500" w:hanging="240"/>
        <w:spacing w:after="0"/>
        <w:tabs>
          <w:tab w:leader="none" w:pos="500" w:val="left"/>
        </w:tabs>
        <w:numPr>
          <w:ilvl w:val="1"/>
          <w:numId w:val="35"/>
        </w:numPr>
        <w:rPr>
          <w:rFonts w:ascii="Arial" w:cs="Arial" w:eastAsia="Arial" w:hAnsi="Arial"/>
          <w:sz w:val="13"/>
          <w:szCs w:val="13"/>
          <w:color w:val="auto"/>
        </w:rPr>
      </w:pPr>
      <w:r>
        <w:rPr>
          <w:rFonts w:ascii="Arial" w:cs="Arial" w:eastAsia="Arial" w:hAnsi="Arial"/>
          <w:sz w:val="13"/>
          <w:szCs w:val="13"/>
          <w:color w:val="auto"/>
        </w:rPr>
        <w:t>DOCS Resourcing Limited</w:t>
      </w:r>
    </w:p>
    <w:p>
      <w:pPr>
        <w:ind w:left="500" w:hanging="240"/>
        <w:spacing w:after="0"/>
        <w:tabs>
          <w:tab w:leader="none" w:pos="500" w:val="left"/>
        </w:tabs>
        <w:numPr>
          <w:ilvl w:val="1"/>
          <w:numId w:val="35"/>
        </w:numPr>
        <w:rPr>
          <w:rFonts w:ascii="Arial" w:cs="Arial" w:eastAsia="Arial" w:hAnsi="Arial"/>
          <w:sz w:val="13"/>
          <w:szCs w:val="13"/>
          <w:color w:val="auto"/>
        </w:rPr>
      </w:pPr>
      <w:r>
        <w:rPr>
          <w:rFonts w:ascii="Arial" w:cs="Arial" w:eastAsia="Arial" w:hAnsi="Arial"/>
          <w:sz w:val="13"/>
          <w:szCs w:val="13"/>
          <w:color w:val="auto"/>
        </w:rPr>
        <w:t>ICON Holdings Unlimited Company</w:t>
      </w:r>
    </w:p>
    <w:p>
      <w:pPr>
        <w:ind w:left="500" w:hanging="240"/>
        <w:spacing w:after="0"/>
        <w:tabs>
          <w:tab w:leader="none" w:pos="500" w:val="left"/>
        </w:tabs>
        <w:numPr>
          <w:ilvl w:val="1"/>
          <w:numId w:val="35"/>
        </w:numPr>
        <w:rPr>
          <w:rFonts w:ascii="Arial" w:cs="Arial" w:eastAsia="Arial" w:hAnsi="Arial"/>
          <w:sz w:val="13"/>
          <w:szCs w:val="13"/>
          <w:color w:val="auto"/>
        </w:rPr>
      </w:pPr>
      <w:r>
        <w:rPr>
          <w:rFonts w:ascii="Arial" w:cs="Arial" w:eastAsia="Arial" w:hAnsi="Arial"/>
          <w:sz w:val="13"/>
          <w:szCs w:val="13"/>
          <w:color w:val="auto"/>
        </w:rPr>
        <w:t>Timpani Unlimited Company</w:t>
      </w:r>
    </w:p>
    <w:p>
      <w:pPr>
        <w:ind w:left="500" w:hanging="240"/>
        <w:spacing w:after="0"/>
        <w:tabs>
          <w:tab w:leader="none" w:pos="500" w:val="left"/>
        </w:tabs>
        <w:numPr>
          <w:ilvl w:val="1"/>
          <w:numId w:val="35"/>
        </w:numPr>
        <w:rPr>
          <w:rFonts w:ascii="Arial" w:cs="Arial" w:eastAsia="Arial" w:hAnsi="Arial"/>
          <w:sz w:val="13"/>
          <w:szCs w:val="13"/>
          <w:color w:val="auto"/>
        </w:rPr>
      </w:pPr>
      <w:r>
        <w:rPr>
          <w:rFonts w:ascii="Arial" w:cs="Arial" w:eastAsia="Arial" w:hAnsi="Arial"/>
          <w:sz w:val="13"/>
          <w:szCs w:val="13"/>
          <w:color w:val="auto"/>
        </w:rPr>
        <w:t>ICON Clinical Research Property Holdings (Ireland) Limited</w:t>
      </w:r>
    </w:p>
    <w:p>
      <w:pPr>
        <w:ind w:left="500" w:hanging="240"/>
        <w:spacing w:after="0"/>
        <w:tabs>
          <w:tab w:leader="none" w:pos="500" w:val="left"/>
        </w:tabs>
        <w:numPr>
          <w:ilvl w:val="1"/>
          <w:numId w:val="35"/>
        </w:numPr>
        <w:rPr>
          <w:rFonts w:ascii="Arial" w:cs="Arial" w:eastAsia="Arial" w:hAnsi="Arial"/>
          <w:sz w:val="13"/>
          <w:szCs w:val="13"/>
          <w:color w:val="auto"/>
        </w:rPr>
      </w:pPr>
      <w:r>
        <w:rPr>
          <w:rFonts w:ascii="Arial" w:cs="Arial" w:eastAsia="Arial" w:hAnsi="Arial"/>
          <w:sz w:val="13"/>
          <w:szCs w:val="13"/>
          <w:color w:val="auto"/>
        </w:rPr>
        <w:t>ICON Clinical Research Property Development (Ireland) Limited</w:t>
      </w:r>
    </w:p>
    <w:p>
      <w:pPr>
        <w:ind w:left="500" w:hanging="240"/>
        <w:spacing w:after="0"/>
        <w:tabs>
          <w:tab w:leader="none" w:pos="500" w:val="left"/>
        </w:tabs>
        <w:numPr>
          <w:ilvl w:val="1"/>
          <w:numId w:val="35"/>
        </w:numPr>
        <w:rPr>
          <w:rFonts w:ascii="Arial" w:cs="Arial" w:eastAsia="Arial" w:hAnsi="Arial"/>
          <w:sz w:val="13"/>
          <w:szCs w:val="13"/>
          <w:color w:val="auto"/>
        </w:rPr>
      </w:pPr>
      <w:r>
        <w:rPr>
          <w:rFonts w:ascii="Arial" w:cs="Arial" w:eastAsia="Arial" w:hAnsi="Arial"/>
          <w:sz w:val="13"/>
          <w:szCs w:val="13"/>
          <w:color w:val="auto"/>
        </w:rPr>
        <w:t>ICON Holdings Clinical Research International Limited</w:t>
      </w:r>
    </w:p>
    <w:p>
      <w:pPr>
        <w:ind w:left="500" w:hanging="240"/>
        <w:spacing w:after="0"/>
        <w:tabs>
          <w:tab w:leader="none" w:pos="500" w:val="left"/>
        </w:tabs>
        <w:numPr>
          <w:ilvl w:val="1"/>
          <w:numId w:val="35"/>
        </w:numPr>
        <w:rPr>
          <w:rFonts w:ascii="Arial" w:cs="Arial" w:eastAsia="Arial" w:hAnsi="Arial"/>
          <w:sz w:val="13"/>
          <w:szCs w:val="13"/>
          <w:color w:val="auto"/>
        </w:rPr>
      </w:pPr>
      <w:r>
        <w:rPr>
          <w:rFonts w:ascii="Arial" w:cs="Arial" w:eastAsia="Arial" w:hAnsi="Arial"/>
          <w:sz w:val="13"/>
          <w:szCs w:val="13"/>
          <w:color w:val="auto"/>
        </w:rPr>
        <w:t>ICON Clinical International Unlimited Company</w:t>
      </w:r>
    </w:p>
    <w:p>
      <w:pPr>
        <w:ind w:left="500" w:hanging="240"/>
        <w:spacing w:after="0"/>
        <w:tabs>
          <w:tab w:leader="none" w:pos="500" w:val="left"/>
        </w:tabs>
        <w:numPr>
          <w:ilvl w:val="1"/>
          <w:numId w:val="35"/>
        </w:numPr>
        <w:rPr>
          <w:rFonts w:ascii="Arial" w:cs="Arial" w:eastAsia="Arial" w:hAnsi="Arial"/>
          <w:sz w:val="13"/>
          <w:szCs w:val="13"/>
          <w:color w:val="auto"/>
        </w:rPr>
      </w:pPr>
      <w:r>
        <w:rPr>
          <w:rFonts w:ascii="Arial" w:cs="Arial" w:eastAsia="Arial" w:hAnsi="Arial"/>
          <w:sz w:val="13"/>
          <w:szCs w:val="13"/>
          <w:color w:val="auto"/>
        </w:rPr>
        <w:t>ICON Investments Four Unlimited Company</w:t>
      </w:r>
    </w:p>
    <w:p>
      <w:pPr>
        <w:ind w:left="500" w:hanging="240"/>
        <w:spacing w:after="0"/>
        <w:tabs>
          <w:tab w:leader="none" w:pos="500" w:val="left"/>
        </w:tabs>
        <w:numPr>
          <w:ilvl w:val="1"/>
          <w:numId w:val="35"/>
        </w:numPr>
        <w:rPr>
          <w:rFonts w:ascii="Arial" w:cs="Arial" w:eastAsia="Arial" w:hAnsi="Arial"/>
          <w:sz w:val="13"/>
          <w:szCs w:val="13"/>
          <w:color w:val="auto"/>
        </w:rPr>
      </w:pPr>
      <w:r>
        <w:rPr>
          <w:rFonts w:ascii="Arial" w:cs="Arial" w:eastAsia="Arial" w:hAnsi="Arial"/>
          <w:sz w:val="13"/>
          <w:szCs w:val="13"/>
          <w:color w:val="auto"/>
        </w:rPr>
        <w:t>ICON Investments Five Unlimited Company</w:t>
      </w:r>
    </w:p>
    <w:p>
      <w:pPr>
        <w:spacing w:after="0" w:line="178" w:lineRule="exact"/>
        <w:rPr>
          <w:rFonts w:ascii="Arial" w:cs="Arial" w:eastAsia="Arial" w:hAnsi="Arial"/>
          <w:sz w:val="13"/>
          <w:szCs w:val="13"/>
          <w:color w:val="auto"/>
        </w:rPr>
      </w:pPr>
    </w:p>
    <w:p>
      <w:pPr>
        <w:ind w:left="180" w:hanging="175"/>
        <w:spacing w:after="0"/>
        <w:tabs>
          <w:tab w:leader="none" w:pos="180" w:val="left"/>
        </w:tabs>
        <w:numPr>
          <w:ilvl w:val="0"/>
          <w:numId w:val="35"/>
        </w:numPr>
        <w:rPr>
          <w:rFonts w:ascii="Arial" w:cs="Arial" w:eastAsia="Arial" w:hAnsi="Arial"/>
          <w:sz w:val="13"/>
          <w:szCs w:val="13"/>
          <w:i w:val="1"/>
          <w:iCs w:val="1"/>
          <w:color w:val="auto"/>
        </w:rPr>
      </w:pPr>
      <w:r>
        <w:rPr>
          <w:rFonts w:ascii="Arial" w:cs="Arial" w:eastAsia="Arial" w:hAnsi="Arial"/>
          <w:sz w:val="13"/>
          <w:szCs w:val="13"/>
          <w:i w:val="1"/>
          <w:iCs w:val="1"/>
          <w:color w:val="auto"/>
        </w:rPr>
        <w:t>Contractual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represents Group contractual obligations and commercial commitments as at 31 December 2019:</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Borders>
              <w:bottom w:val="single" w:sz="8" w:color="auto"/>
            </w:tcBorders>
            <w:shd w:val="clear" w:color="auto" w:fill="BFE4FF"/>
          </w:tcPr>
          <w:p>
            <w:pPr>
              <w:spacing w:after="0"/>
              <w:rPr>
                <w:sz w:val="16"/>
                <w:szCs w:val="16"/>
                <w:color w:val="auto"/>
              </w:rPr>
            </w:pPr>
          </w:p>
        </w:tc>
        <w:tc>
          <w:tcPr>
            <w:tcW w:w="2840" w:type="dxa"/>
            <w:vAlign w:val="bottom"/>
            <w:tcBorders>
              <w:bottom w:val="single" w:sz="8" w:color="auto"/>
            </w:tcBorders>
            <w:shd w:val="clear" w:color="auto" w:fill="BFE4FF"/>
          </w:tcPr>
          <w:p>
            <w:pPr>
              <w:spacing w:after="0"/>
              <w:rPr>
                <w:sz w:val="16"/>
                <w:szCs w:val="16"/>
                <w:color w:val="auto"/>
              </w:rPr>
            </w:pPr>
          </w:p>
        </w:tc>
        <w:tc>
          <w:tcPr>
            <w:tcW w:w="2400" w:type="dxa"/>
            <w:vAlign w:val="bottom"/>
            <w:tcBorders>
              <w:bottom w:val="single" w:sz="8" w:color="auto"/>
            </w:tcBorders>
            <w:shd w:val="clear" w:color="auto" w:fill="BFE4FF"/>
          </w:tcPr>
          <w:p>
            <w:pPr>
              <w:jc w:val="right"/>
              <w:ind w:right="316"/>
              <w:spacing w:after="0"/>
              <w:rPr>
                <w:sz w:val="20"/>
                <w:szCs w:val="20"/>
                <w:color w:val="auto"/>
              </w:rPr>
            </w:pPr>
            <w:r>
              <w:rPr>
                <w:rFonts w:ascii="Arial" w:cs="Arial" w:eastAsia="Arial" w:hAnsi="Arial"/>
                <w:sz w:val="13"/>
                <w:szCs w:val="13"/>
                <w:b w:val="1"/>
                <w:bCs w:val="1"/>
                <w:color w:val="auto"/>
              </w:rPr>
              <w:t>Payments due by period</w:t>
            </w:r>
          </w:p>
        </w:tc>
        <w:tc>
          <w:tcPr>
            <w:tcW w:w="1300" w:type="dxa"/>
            <w:vAlign w:val="bottom"/>
            <w:tcBorders>
              <w:bottom w:val="single" w:sz="8" w:color="auto"/>
            </w:tcBorders>
            <w:shd w:val="clear" w:color="auto" w:fill="BFE4FF"/>
          </w:tcPr>
          <w:p>
            <w:pPr>
              <w:spacing w:after="0"/>
              <w:rPr>
                <w:sz w:val="16"/>
                <w:szCs w:val="16"/>
                <w:color w:val="auto"/>
              </w:rPr>
            </w:pPr>
          </w:p>
        </w:tc>
        <w:tc>
          <w:tcPr>
            <w:tcW w:w="1240" w:type="dxa"/>
            <w:vAlign w:val="bottom"/>
            <w:tcBorders>
              <w:bottom w:val="single" w:sz="8" w:color="auto"/>
            </w:tcBorders>
            <w:shd w:val="clear" w:color="auto" w:fill="BFE4FF"/>
          </w:tcPr>
          <w:p>
            <w:pPr>
              <w:spacing w:after="0"/>
              <w:rPr>
                <w:sz w:val="16"/>
                <w:szCs w:val="16"/>
                <w:color w:val="auto"/>
              </w:rPr>
            </w:pPr>
          </w:p>
        </w:tc>
      </w:tr>
      <w:tr>
        <w:trPr>
          <w:trHeight w:val="147"/>
        </w:trPr>
        <w:tc>
          <w:tcPr>
            <w:tcW w:w="3500" w:type="dxa"/>
            <w:vAlign w:val="bottom"/>
          </w:tcPr>
          <w:p>
            <w:pPr>
              <w:spacing w:after="0"/>
              <w:rPr>
                <w:sz w:val="12"/>
                <w:szCs w:val="12"/>
                <w:color w:val="auto"/>
              </w:rPr>
            </w:pPr>
          </w:p>
        </w:tc>
        <w:tc>
          <w:tcPr>
            <w:tcW w:w="2840" w:type="dxa"/>
            <w:vAlign w:val="bottom"/>
          </w:tcPr>
          <w:p>
            <w:pPr>
              <w:jc w:val="right"/>
              <w:ind w:right="496"/>
              <w:spacing w:after="0" w:line="147" w:lineRule="exact"/>
              <w:rPr>
                <w:sz w:val="20"/>
                <w:szCs w:val="20"/>
                <w:color w:val="auto"/>
              </w:rPr>
            </w:pPr>
            <w:r>
              <w:rPr>
                <w:rFonts w:ascii="Arial" w:cs="Arial" w:eastAsia="Arial" w:hAnsi="Arial"/>
                <w:sz w:val="13"/>
                <w:szCs w:val="13"/>
                <w:b w:val="1"/>
                <w:bCs w:val="1"/>
                <w:color w:val="auto"/>
              </w:rPr>
              <w:t>Total</w:t>
            </w:r>
          </w:p>
        </w:tc>
        <w:tc>
          <w:tcPr>
            <w:tcW w:w="2400" w:type="dxa"/>
            <w:vAlign w:val="bottom"/>
          </w:tcPr>
          <w:p>
            <w:pPr>
              <w:jc w:val="right"/>
              <w:ind w:right="1076"/>
              <w:spacing w:after="0" w:line="147" w:lineRule="exact"/>
              <w:rPr>
                <w:sz w:val="20"/>
                <w:szCs w:val="20"/>
                <w:color w:val="auto"/>
              </w:rPr>
            </w:pPr>
            <w:r>
              <w:rPr>
                <w:rFonts w:ascii="Arial" w:cs="Arial" w:eastAsia="Arial" w:hAnsi="Arial"/>
                <w:sz w:val="13"/>
                <w:szCs w:val="13"/>
                <w:b w:val="1"/>
                <w:bCs w:val="1"/>
                <w:color w:val="auto"/>
              </w:rPr>
              <w:t>Less than</w:t>
            </w:r>
          </w:p>
        </w:tc>
        <w:tc>
          <w:tcPr>
            <w:tcW w:w="1300" w:type="dxa"/>
            <w:vAlign w:val="bottom"/>
          </w:tcPr>
          <w:p>
            <w:pPr>
              <w:jc w:val="right"/>
              <w:ind w:right="536"/>
              <w:spacing w:after="0" w:line="147" w:lineRule="exact"/>
              <w:rPr>
                <w:sz w:val="20"/>
                <w:szCs w:val="20"/>
                <w:color w:val="auto"/>
              </w:rPr>
            </w:pPr>
            <w:r>
              <w:rPr>
                <w:rFonts w:ascii="Arial" w:cs="Arial" w:eastAsia="Arial" w:hAnsi="Arial"/>
                <w:sz w:val="13"/>
                <w:szCs w:val="13"/>
                <w:b w:val="1"/>
                <w:bCs w:val="1"/>
                <w:color w:val="auto"/>
              </w:rPr>
              <w:t>1 to 5</w:t>
            </w:r>
          </w:p>
        </w:tc>
        <w:tc>
          <w:tcPr>
            <w:tcW w:w="1240" w:type="dxa"/>
            <w:vAlign w:val="bottom"/>
          </w:tcPr>
          <w:p>
            <w:pPr>
              <w:jc w:val="right"/>
              <w:spacing w:after="0" w:line="147" w:lineRule="exact"/>
              <w:rPr>
                <w:sz w:val="20"/>
                <w:szCs w:val="20"/>
                <w:color w:val="auto"/>
              </w:rPr>
            </w:pPr>
            <w:r>
              <w:rPr>
                <w:rFonts w:ascii="Arial" w:cs="Arial" w:eastAsia="Arial" w:hAnsi="Arial"/>
                <w:sz w:val="13"/>
                <w:szCs w:val="13"/>
                <w:b w:val="1"/>
                <w:bCs w:val="1"/>
                <w:color w:val="auto"/>
              </w:rPr>
              <w:t>More than</w:t>
            </w:r>
          </w:p>
        </w:tc>
      </w:tr>
      <w:tr>
        <w:trPr>
          <w:trHeight w:val="177"/>
        </w:trPr>
        <w:tc>
          <w:tcPr>
            <w:tcW w:w="35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jc w:val="right"/>
              <w:ind w:right="1076"/>
              <w:spacing w:after="0"/>
              <w:rPr>
                <w:sz w:val="20"/>
                <w:szCs w:val="20"/>
                <w:color w:val="auto"/>
              </w:rPr>
            </w:pPr>
            <w:r>
              <w:rPr>
                <w:rFonts w:ascii="Arial" w:cs="Arial" w:eastAsia="Arial" w:hAnsi="Arial"/>
                <w:sz w:val="13"/>
                <w:szCs w:val="13"/>
                <w:b w:val="1"/>
                <w:bCs w:val="1"/>
                <w:color w:val="auto"/>
              </w:rPr>
              <w:t>1 year</w:t>
            </w: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years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 years</w:t>
            </w:r>
          </w:p>
        </w:tc>
      </w:tr>
      <w:tr>
        <w:trPr>
          <w:trHeight w:val="189"/>
        </w:trPr>
        <w:tc>
          <w:tcPr>
            <w:tcW w:w="3500" w:type="dxa"/>
            <w:vAlign w:val="bottom"/>
            <w:shd w:val="clear" w:color="auto" w:fill="BFE4FF"/>
          </w:tcPr>
          <w:p>
            <w:pPr>
              <w:spacing w:after="0"/>
              <w:rPr>
                <w:sz w:val="16"/>
                <w:szCs w:val="16"/>
                <w:color w:val="auto"/>
              </w:rPr>
            </w:pPr>
          </w:p>
        </w:tc>
        <w:tc>
          <w:tcPr>
            <w:tcW w:w="2840" w:type="dxa"/>
            <w:vAlign w:val="bottom"/>
            <w:shd w:val="clear" w:color="auto" w:fill="BFE4FF"/>
          </w:tcPr>
          <w:p>
            <w:pPr>
              <w:jc w:val="right"/>
              <w:ind w:right="496"/>
              <w:spacing w:after="0"/>
              <w:rPr>
                <w:sz w:val="20"/>
                <w:szCs w:val="20"/>
                <w:color w:val="auto"/>
              </w:rPr>
            </w:pPr>
            <w:r>
              <w:rPr>
                <w:rFonts w:ascii="Arial" w:cs="Arial" w:eastAsia="Arial" w:hAnsi="Arial"/>
                <w:sz w:val="13"/>
                <w:szCs w:val="13"/>
                <w:b w:val="1"/>
                <w:bCs w:val="1"/>
                <w:color w:val="auto"/>
              </w:rPr>
              <w:t>$’000</w:t>
            </w:r>
          </w:p>
        </w:tc>
        <w:tc>
          <w:tcPr>
            <w:tcW w:w="2400" w:type="dxa"/>
            <w:vAlign w:val="bottom"/>
            <w:shd w:val="clear" w:color="auto" w:fill="BFE4FF"/>
          </w:tcPr>
          <w:p>
            <w:pPr>
              <w:jc w:val="right"/>
              <w:ind w:right="1076"/>
              <w:spacing w:after="0"/>
              <w:rPr>
                <w:sz w:val="20"/>
                <w:szCs w:val="20"/>
                <w:color w:val="auto"/>
              </w:rPr>
            </w:pPr>
            <w:r>
              <w:rPr>
                <w:rFonts w:ascii="Arial" w:cs="Arial" w:eastAsia="Arial" w:hAnsi="Arial"/>
                <w:sz w:val="13"/>
                <w:szCs w:val="13"/>
                <w:b w:val="1"/>
                <w:bCs w:val="1"/>
                <w:color w:val="auto"/>
              </w:rPr>
              <w:t>$’000</w:t>
            </w:r>
          </w:p>
        </w:tc>
        <w:tc>
          <w:tcPr>
            <w:tcW w:w="1300" w:type="dxa"/>
            <w:vAlign w:val="bottom"/>
            <w:shd w:val="clear" w:color="auto" w:fill="BFE4FF"/>
          </w:tcPr>
          <w:p>
            <w:pPr>
              <w:jc w:val="right"/>
              <w:ind w:right="536"/>
              <w:spacing w:after="0"/>
              <w:rPr>
                <w:sz w:val="20"/>
                <w:szCs w:val="20"/>
                <w:color w:val="auto"/>
              </w:rPr>
            </w:pPr>
            <w:r>
              <w:rPr>
                <w:rFonts w:ascii="Arial" w:cs="Arial" w:eastAsia="Arial" w:hAnsi="Arial"/>
                <w:sz w:val="13"/>
                <w:szCs w:val="13"/>
                <w:b w:val="1"/>
                <w:bCs w:val="1"/>
                <w:color w:val="auto"/>
              </w:rPr>
              <w:t>$’000</w:t>
            </w:r>
          </w:p>
        </w:tc>
        <w:tc>
          <w:tcPr>
            <w:tcW w:w="1240" w:type="dxa"/>
            <w:vAlign w:val="bottom"/>
            <w:shd w:val="clear" w:color="auto" w:fill="BFE4FF"/>
          </w:tcPr>
          <w:p>
            <w:pPr>
              <w:jc w:val="right"/>
              <w:spacing w:after="0"/>
              <w:rPr>
                <w:sz w:val="20"/>
                <w:szCs w:val="20"/>
                <w:color w:val="auto"/>
              </w:rPr>
            </w:pPr>
            <w:r>
              <w:rPr>
                <w:rFonts w:ascii="Arial" w:cs="Arial" w:eastAsia="Arial" w:hAnsi="Arial"/>
                <w:sz w:val="13"/>
                <w:szCs w:val="13"/>
                <w:b w:val="1"/>
                <w:bCs w:val="1"/>
                <w:color w:val="auto"/>
              </w:rPr>
              <w:t>$’000</w:t>
            </w:r>
          </w:p>
        </w:tc>
      </w:tr>
      <w:tr>
        <w:trPr>
          <w:trHeight w:val="170"/>
        </w:trPr>
        <w:tc>
          <w:tcPr>
            <w:tcW w:w="35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3"/>
        </w:trPr>
        <w:tc>
          <w:tcPr>
            <w:tcW w:w="350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3"/>
                <w:szCs w:val="13"/>
                <w:color w:val="auto"/>
              </w:rPr>
              <w:t>Capital commitments</w:t>
            </w:r>
          </w:p>
        </w:tc>
        <w:tc>
          <w:tcPr>
            <w:tcW w:w="2840" w:type="dxa"/>
            <w:vAlign w:val="bottom"/>
            <w:tcBorders>
              <w:bottom w:val="single" w:sz="8" w:color="auto"/>
            </w:tcBorders>
            <w:shd w:val="clear" w:color="auto" w:fill="BFE4FF"/>
          </w:tcPr>
          <w:p>
            <w:pPr>
              <w:jc w:val="right"/>
              <w:ind w:right="616"/>
              <w:spacing w:after="0"/>
              <w:rPr>
                <w:sz w:val="20"/>
                <w:szCs w:val="20"/>
                <w:color w:val="auto"/>
              </w:rPr>
            </w:pPr>
            <w:r>
              <w:rPr>
                <w:rFonts w:ascii="Arial" w:cs="Arial" w:eastAsia="Arial" w:hAnsi="Arial"/>
                <w:sz w:val="13"/>
                <w:szCs w:val="13"/>
                <w:color w:val="auto"/>
              </w:rPr>
              <w:t>12,810</w:t>
            </w:r>
          </w:p>
        </w:tc>
        <w:tc>
          <w:tcPr>
            <w:tcW w:w="2400" w:type="dxa"/>
            <w:vAlign w:val="bottom"/>
            <w:tcBorders>
              <w:bottom w:val="single" w:sz="8" w:color="auto"/>
            </w:tcBorders>
            <w:shd w:val="clear" w:color="auto" w:fill="BFE4FF"/>
          </w:tcPr>
          <w:p>
            <w:pPr>
              <w:jc w:val="right"/>
              <w:ind w:right="1196"/>
              <w:spacing w:after="0"/>
              <w:rPr>
                <w:sz w:val="20"/>
                <w:szCs w:val="20"/>
                <w:color w:val="auto"/>
              </w:rPr>
            </w:pPr>
            <w:r>
              <w:rPr>
                <w:rFonts w:ascii="Arial" w:cs="Arial" w:eastAsia="Arial" w:hAnsi="Arial"/>
                <w:sz w:val="13"/>
                <w:szCs w:val="13"/>
                <w:color w:val="auto"/>
              </w:rPr>
              <w:t>12,810</w:t>
            </w:r>
          </w:p>
        </w:tc>
        <w:tc>
          <w:tcPr>
            <w:tcW w:w="1300" w:type="dxa"/>
            <w:vAlign w:val="bottom"/>
            <w:tcBorders>
              <w:bottom w:val="single" w:sz="8" w:color="auto"/>
            </w:tcBorders>
            <w:shd w:val="clear" w:color="auto" w:fill="BFE4FF"/>
          </w:tcPr>
          <w:p>
            <w:pPr>
              <w:jc w:val="right"/>
              <w:ind w:right="676"/>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BFE4FF"/>
          </w:tcPr>
          <w:p>
            <w:pPr>
              <w:jc w:val="right"/>
              <w:ind w:right="76"/>
              <w:spacing w:after="0"/>
              <w:rPr>
                <w:sz w:val="20"/>
                <w:szCs w:val="20"/>
                <w:color w:val="auto"/>
              </w:rPr>
            </w:pPr>
            <w:r>
              <w:rPr>
                <w:rFonts w:ascii="Arial" w:cs="Arial" w:eastAsia="Arial" w:hAnsi="Arial"/>
                <w:sz w:val="13"/>
                <w:szCs w:val="13"/>
                <w:color w:val="auto"/>
              </w:rPr>
              <w:t>—</w:t>
            </w:r>
          </w:p>
        </w:tc>
      </w:tr>
      <w:tr>
        <w:trPr>
          <w:trHeight w:val="182"/>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contractual obligations</w:t>
            </w:r>
          </w:p>
        </w:tc>
        <w:tc>
          <w:tcPr>
            <w:tcW w:w="284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12,810</w:t>
            </w:r>
          </w:p>
        </w:tc>
        <w:tc>
          <w:tcPr>
            <w:tcW w:w="2400" w:type="dxa"/>
            <w:vAlign w:val="bottom"/>
            <w:tcBorders>
              <w:bottom w:val="single" w:sz="8" w:color="auto"/>
            </w:tcBorders>
          </w:tcPr>
          <w:p>
            <w:pPr>
              <w:jc w:val="right"/>
              <w:ind w:right="1196"/>
              <w:spacing w:after="0"/>
              <w:rPr>
                <w:sz w:val="20"/>
                <w:szCs w:val="20"/>
                <w:color w:val="auto"/>
              </w:rPr>
            </w:pPr>
            <w:r>
              <w:rPr>
                <w:rFonts w:ascii="Arial" w:cs="Arial" w:eastAsia="Arial" w:hAnsi="Arial"/>
                <w:sz w:val="13"/>
                <w:szCs w:val="13"/>
                <w:b w:val="1"/>
                <w:bCs w:val="1"/>
                <w:color w:val="auto"/>
              </w:rPr>
              <w:t>12,810</w:t>
            </w:r>
          </w:p>
        </w:tc>
        <w:tc>
          <w:tcPr>
            <w:tcW w:w="130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w:t>
            </w: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w:t>
            </w: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Group expects to spend approximately $55 million in the next 12 months on further investments in information technology, the expansion of existing facilities and the addition of new offices. The Group believes that it will be able to fund additional foreseeable cash needs for the next twelve months from cash flow from operations and existing cash balances. In the future, the Group may consider acquiring businesses to enhance service offerings and global presence. Any such acquisitions may require additional external financing and the Group may, from time to time, seek to obtain funds from public or private issues of equity or debt securities. There can be no assurance that such financing will be available on terms acceptable to the Group.</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 xml:space="preserve">The Company entered into subscription agreements with a number of funds (see </w:t>
      </w:r>
      <w:r>
        <w:rPr>
          <w:rFonts w:ascii="Arial" w:cs="Arial" w:eastAsia="Arial" w:hAnsi="Arial"/>
          <w:sz w:val="13"/>
          <w:szCs w:val="13"/>
          <w:i w:val="1"/>
          <w:iCs w:val="1"/>
          <w:color w:val="auto"/>
        </w:rPr>
        <w:t>note 18 Financial asset investments</w:t>
      </w:r>
      <w:r>
        <w:rPr>
          <w:rFonts w:ascii="Arial" w:cs="Arial" w:eastAsia="Arial" w:hAnsi="Arial"/>
          <w:sz w:val="13"/>
          <w:szCs w:val="13"/>
          <w:color w:val="auto"/>
        </w:rPr>
        <w:t>). Capital totalling $10.1 million had been advanced under the terms of the subscription agreements at 31 December 2019 (2018: $6.2 million). The Company had committed to future investments of $22.5 million in respect of these funds. The timing of the commitment is not specified in the subscription agreements.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29. Litigation</w:t>
      </w:r>
    </w:p>
    <w:p>
      <w:pPr>
        <w:spacing w:after="0" w:line="206"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The Group is not party to any litigation or other legal proceedings that the Group believes could reasonably be expected to have a material adverse effect on the Group’s business,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280"/>
          </w:cols>
          <w:pgMar w:left="300" w:top="696" w:right="31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30. Related parties</w:t>
      </w:r>
    </w:p>
    <w:p>
      <w:pPr>
        <w:spacing w:after="0" w:line="200" w:lineRule="exact"/>
        <w:rPr>
          <w:sz w:val="20"/>
          <w:szCs w:val="20"/>
          <w:color w:val="auto"/>
        </w:rPr>
      </w:pPr>
    </w:p>
    <w:p>
      <w:pPr>
        <w:spacing w:after="0" w:line="302" w:lineRule="exact"/>
        <w:rPr>
          <w:sz w:val="20"/>
          <w:szCs w:val="20"/>
          <w:color w:val="auto"/>
        </w:rPr>
      </w:pPr>
    </w:p>
    <w:p>
      <w:pPr>
        <w:ind w:left="160" w:hanging="155"/>
        <w:spacing w:after="0"/>
        <w:tabs>
          <w:tab w:leader="none" w:pos="16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Transactions with Directors and Executive Officers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total compensation of the Directors and Executive Officers (key management remuneration) for the years ended 31 December 2019 and 2018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140" w:type="dxa"/>
            <w:vAlign w:val="bottom"/>
            <w:shd w:val="clear" w:color="auto" w:fill="CCEEFF"/>
          </w:tcPr>
          <w:p>
            <w:pPr>
              <w:spacing w:after="0"/>
              <w:rPr>
                <w:sz w:val="13"/>
                <w:szCs w:val="13"/>
                <w:color w:val="auto"/>
              </w:rPr>
            </w:pPr>
          </w:p>
        </w:tc>
        <w:tc>
          <w:tcPr>
            <w:tcW w:w="61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49"/>
        </w:trPr>
        <w:tc>
          <w:tcPr>
            <w:tcW w:w="5140" w:type="dxa"/>
            <w:vAlign w:val="bottom"/>
            <w:shd w:val="clear" w:color="auto" w:fill="CCEEFF"/>
          </w:tcPr>
          <w:p>
            <w:pPr>
              <w:spacing w:after="0"/>
              <w:rPr>
                <w:sz w:val="12"/>
                <w:szCs w:val="12"/>
                <w:color w:val="auto"/>
              </w:rPr>
            </w:pPr>
          </w:p>
        </w:tc>
        <w:tc>
          <w:tcPr>
            <w:tcW w:w="514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December</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77"/>
        </w:trPr>
        <w:tc>
          <w:tcPr>
            <w:tcW w:w="5140" w:type="dxa"/>
            <w:vAlign w:val="bottom"/>
            <w:tcBorders>
              <w:bottom w:val="single" w:sz="8" w:color="auto"/>
            </w:tcBorders>
            <w:shd w:val="clear" w:color="auto" w:fill="CCEEFF"/>
          </w:tcPr>
          <w:p>
            <w:pPr>
              <w:spacing w:after="0"/>
              <w:rPr>
                <w:sz w:val="15"/>
                <w:szCs w:val="15"/>
                <w:color w:val="auto"/>
              </w:rPr>
            </w:pPr>
          </w:p>
        </w:tc>
        <w:tc>
          <w:tcPr>
            <w:tcW w:w="51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2019</w:t>
            </w:r>
          </w:p>
        </w:tc>
        <w:tc>
          <w:tcPr>
            <w:tcW w:w="1000" w:type="dxa"/>
            <w:vAlign w:val="bottom"/>
            <w:tcBorders>
              <w:bottom w:val="single" w:sz="8" w:color="auto"/>
            </w:tcBorders>
            <w:shd w:val="clear" w:color="auto" w:fill="CCEEFF"/>
          </w:tcPr>
          <w:p>
            <w:pPr>
              <w:spacing w:after="0"/>
              <w:rPr>
                <w:sz w:val="15"/>
                <w:szCs w:val="15"/>
                <w:color w:val="auto"/>
              </w:rPr>
            </w:pPr>
          </w:p>
        </w:tc>
      </w:tr>
      <w:tr>
        <w:trPr>
          <w:trHeight w:val="182"/>
        </w:trPr>
        <w:tc>
          <w:tcPr>
            <w:tcW w:w="5140" w:type="dxa"/>
            <w:vAlign w:val="bottom"/>
          </w:tcPr>
          <w:p>
            <w:pPr>
              <w:spacing w:after="0"/>
              <w:rPr>
                <w:sz w:val="15"/>
                <w:szCs w:val="15"/>
                <w:color w:val="auto"/>
              </w:rPr>
            </w:pPr>
          </w:p>
        </w:tc>
        <w:tc>
          <w:tcPr>
            <w:tcW w:w="5140" w:type="dxa"/>
            <w:vAlign w:val="bottom"/>
          </w:tcPr>
          <w:p>
            <w:pPr>
              <w:jc w:val="right"/>
              <w:ind w:right="416"/>
              <w:spacing w:after="0"/>
              <w:rPr>
                <w:sz w:val="20"/>
                <w:szCs w:val="20"/>
                <w:color w:val="auto"/>
              </w:rPr>
            </w:pPr>
            <w:r>
              <w:rPr>
                <w:rFonts w:ascii="Arial" w:cs="Arial" w:eastAsia="Arial" w:hAnsi="Arial"/>
                <w:sz w:val="13"/>
                <w:szCs w:val="13"/>
                <w:b w:val="1"/>
                <w:bCs w:val="1"/>
                <w:color w:val="auto"/>
              </w:rPr>
              <w:t>$’000</w:t>
            </w:r>
          </w:p>
        </w:tc>
        <w:tc>
          <w:tcPr>
            <w:tcW w:w="10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9"/>
        </w:trPr>
        <w:tc>
          <w:tcPr>
            <w:tcW w:w="514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83"/>
        </w:trPr>
        <w:tc>
          <w:tcPr>
            <w:tcW w:w="5140" w:type="dxa"/>
            <w:vAlign w:val="bottom"/>
          </w:tcPr>
          <w:p>
            <w:pPr>
              <w:ind w:left="20"/>
              <w:spacing w:after="0"/>
              <w:rPr>
                <w:sz w:val="20"/>
                <w:szCs w:val="20"/>
                <w:color w:val="auto"/>
              </w:rPr>
            </w:pPr>
            <w:r>
              <w:rPr>
                <w:rFonts w:ascii="Arial" w:cs="Arial" w:eastAsia="Arial" w:hAnsi="Arial"/>
                <w:sz w:val="13"/>
                <w:szCs w:val="13"/>
                <w:color w:val="auto"/>
              </w:rPr>
              <w:t>Salary and fees</w:t>
            </w:r>
          </w:p>
        </w:tc>
        <w:tc>
          <w:tcPr>
            <w:tcW w:w="5140" w:type="dxa"/>
            <w:vAlign w:val="bottom"/>
          </w:tcPr>
          <w:p>
            <w:pPr>
              <w:jc w:val="right"/>
              <w:ind w:right="556"/>
              <w:spacing w:after="0"/>
              <w:rPr>
                <w:sz w:val="20"/>
                <w:szCs w:val="20"/>
                <w:color w:val="auto"/>
              </w:rPr>
            </w:pPr>
            <w:r>
              <w:rPr>
                <w:rFonts w:ascii="Arial" w:cs="Arial" w:eastAsia="Arial" w:hAnsi="Arial"/>
                <w:sz w:val="13"/>
                <w:szCs w:val="13"/>
                <w:b w:val="1"/>
                <w:bCs w:val="1"/>
                <w:color w:val="auto"/>
              </w:rPr>
              <w:t>2,772</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2,876</w:t>
            </w:r>
          </w:p>
        </w:tc>
      </w:tr>
      <w:tr>
        <w:trPr>
          <w:trHeight w:val="199"/>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Bonus</w:t>
            </w:r>
          </w:p>
        </w:tc>
        <w:tc>
          <w:tcPr>
            <w:tcW w:w="5140" w:type="dxa"/>
            <w:vAlign w:val="bottom"/>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1,220</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1,423</w:t>
            </w:r>
          </w:p>
        </w:tc>
      </w:tr>
      <w:tr>
        <w:trPr>
          <w:trHeight w:val="183"/>
        </w:trPr>
        <w:tc>
          <w:tcPr>
            <w:tcW w:w="5140" w:type="dxa"/>
            <w:vAlign w:val="bottom"/>
          </w:tcPr>
          <w:p>
            <w:pPr>
              <w:ind w:left="20"/>
              <w:spacing w:after="0"/>
              <w:rPr>
                <w:sz w:val="20"/>
                <w:szCs w:val="20"/>
                <w:color w:val="auto"/>
              </w:rPr>
            </w:pPr>
            <w:r>
              <w:rPr>
                <w:rFonts w:ascii="Arial" w:cs="Arial" w:eastAsia="Arial" w:hAnsi="Arial"/>
                <w:sz w:val="13"/>
                <w:szCs w:val="13"/>
                <w:color w:val="auto"/>
              </w:rPr>
              <w:t>Other benefits</w:t>
            </w:r>
          </w:p>
        </w:tc>
        <w:tc>
          <w:tcPr>
            <w:tcW w:w="5140" w:type="dxa"/>
            <w:vAlign w:val="bottom"/>
          </w:tcPr>
          <w:p>
            <w:pPr>
              <w:jc w:val="right"/>
              <w:ind w:right="556"/>
              <w:spacing w:after="0"/>
              <w:rPr>
                <w:sz w:val="20"/>
                <w:szCs w:val="20"/>
                <w:color w:val="auto"/>
              </w:rPr>
            </w:pPr>
            <w:r>
              <w:rPr>
                <w:rFonts w:ascii="Arial" w:cs="Arial" w:eastAsia="Arial" w:hAnsi="Arial"/>
                <w:sz w:val="13"/>
                <w:szCs w:val="13"/>
                <w:b w:val="1"/>
                <w:bCs w:val="1"/>
                <w:color w:val="auto"/>
              </w:rPr>
              <w:t>57</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228</w:t>
            </w:r>
          </w:p>
        </w:tc>
      </w:tr>
      <w:tr>
        <w:trPr>
          <w:trHeight w:val="199"/>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contributions</w:t>
            </w:r>
          </w:p>
        </w:tc>
        <w:tc>
          <w:tcPr>
            <w:tcW w:w="5140" w:type="dxa"/>
            <w:vAlign w:val="bottom"/>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245</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273</w:t>
            </w:r>
          </w:p>
        </w:tc>
      </w:tr>
      <w:tr>
        <w:trPr>
          <w:trHeight w:val="18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Share-based payments</w:t>
            </w:r>
          </w:p>
        </w:tc>
        <w:tc>
          <w:tcPr>
            <w:tcW w:w="514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8,955</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6,849</w:t>
            </w:r>
          </w:p>
        </w:tc>
      </w:tr>
      <w:tr>
        <w:trPr>
          <w:trHeight w:val="189"/>
        </w:trPr>
        <w:tc>
          <w:tcPr>
            <w:tcW w:w="5140" w:type="dxa"/>
            <w:vAlign w:val="bottom"/>
            <w:shd w:val="clear" w:color="auto" w:fill="CCEEFF"/>
          </w:tcPr>
          <w:p>
            <w:pPr>
              <w:spacing w:after="0"/>
              <w:rPr>
                <w:sz w:val="16"/>
                <w:szCs w:val="16"/>
                <w:color w:val="auto"/>
              </w:rPr>
            </w:pPr>
          </w:p>
        </w:tc>
        <w:tc>
          <w:tcPr>
            <w:tcW w:w="5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2"/>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514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13,249</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11,649</w:t>
            </w:r>
          </w:p>
        </w:tc>
      </w:tr>
    </w:tbl>
    <w:p>
      <w:pPr>
        <w:spacing w:after="0" w:line="2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 xml:space="preserve">Details of ordinary shares, share options, RSUs and PSUs held by the Directors and Executive Officers and details of transactions entered into by Directors and Key Executive Officers in shares and share options of the Company during the year ended 31 December 2019 are set out in </w:t>
      </w:r>
      <w:r>
        <w:rPr>
          <w:rFonts w:ascii="Arial" w:cs="Arial" w:eastAsia="Arial" w:hAnsi="Arial"/>
          <w:sz w:val="13"/>
          <w:szCs w:val="13"/>
          <w:i w:val="1"/>
          <w:iCs w:val="1"/>
          <w:color w:val="auto"/>
        </w:rPr>
        <w:t>note 9 Payroll and related benefits</w:t>
      </w:r>
      <w:r>
        <w:rPr>
          <w:rFonts w:ascii="Arial" w:cs="Arial" w:eastAsia="Arial" w:hAnsi="Arial"/>
          <w:sz w:val="13"/>
          <w:szCs w:val="13"/>
          <w:color w:val="auto"/>
        </w:rPr>
        <w:t>.</w:t>
      </w:r>
    </w:p>
    <w:p>
      <w:pPr>
        <w:spacing w:after="0" w:line="172" w:lineRule="exact"/>
        <w:rPr>
          <w:sz w:val="20"/>
          <w:szCs w:val="20"/>
          <w:color w:val="auto"/>
        </w:rPr>
      </w:pPr>
    </w:p>
    <w:p>
      <w:pPr>
        <w:ind w:left="180" w:hanging="175"/>
        <w:spacing w:after="0"/>
        <w:tabs>
          <w:tab w:leader="none" w:pos="18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Other related party transactions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Subsidiaries of the Company earned revenue of $95,000 (2018: $633,000) from DS Biopharma Limited (formerly Dignity Sciences Limited) during the year. Dr. John Climax is Chief Executive Officer and both Dr. John Climax and Dr. Ronan Lambe are Directors and shareholders of DS Biopharma Limited. $36,000 was recorded as due from DS Biopharma Limited at 31 December 2019 (2018: $338,000). Dr Ronan Lambe resigned as a Director of ICON plc on 24 July 2018. The contract terms were agreed on an arm’s length basis.</w:t>
      </w:r>
    </w:p>
    <w:p>
      <w:pPr>
        <w:spacing w:after="0" w:line="186" w:lineRule="exact"/>
        <w:rPr>
          <w:sz w:val="20"/>
          <w:szCs w:val="20"/>
          <w:color w:val="auto"/>
        </w:rPr>
      </w:pPr>
    </w:p>
    <w:p>
      <w:pPr>
        <w:ind w:right="100"/>
        <w:spacing w:after="0" w:line="258" w:lineRule="auto"/>
        <w:rPr>
          <w:sz w:val="20"/>
          <w:szCs w:val="20"/>
          <w:color w:val="auto"/>
        </w:rPr>
      </w:pPr>
      <w:r>
        <w:rPr>
          <w:rFonts w:ascii="Arial" w:cs="Arial" w:eastAsia="Arial" w:hAnsi="Arial"/>
          <w:sz w:val="12"/>
          <w:szCs w:val="12"/>
          <w:color w:val="auto"/>
        </w:rPr>
        <w:t>During the year ended 31 December 2017, personal expenses totaling $178,000 were settled by the Company on behalf of Mr. Ciaran Murray. Payment was received in advance from Mr. Murray in respect of these expenses. The Company transferred ownership of an asset at fair value ($77,000) to Mr. Ciaran Murray effective 1 November 2017. Payment was received in full in January 2018.</w:t>
      </w:r>
    </w:p>
    <w:p>
      <w:pPr>
        <w:jc w:val="both"/>
        <w:spacing w:after="0" w:line="241" w:lineRule="auto"/>
        <w:rPr>
          <w:sz w:val="20"/>
          <w:szCs w:val="20"/>
          <w:color w:val="auto"/>
        </w:rPr>
      </w:pPr>
      <w:r>
        <w:rPr>
          <w:rFonts w:ascii="Arial" w:cs="Arial" w:eastAsia="Arial" w:hAnsi="Arial"/>
          <w:sz w:val="13"/>
          <w:szCs w:val="13"/>
          <w:color w:val="auto"/>
        </w:rPr>
        <w:t>On 22 July 2016, Mr. Thomas Lynch retired as a Director of the Company, having previously resigned as Chairman of the Company in March 2016. The terms of the consultancy agreement expired on 31 July 2019. A charge of $151,360 was recorded during 2019 in respect of consultancy services provided by a company controlled by Mr. Lynch (2018: $274,519). The terms of the consultancy agreement expired on 31 July 2019. There were no amounts due to Mr. Lynch at 31 December 2019 (2018: $64,000).</w:t>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31. Subsequent events</w:t>
      </w:r>
    </w:p>
    <w:p>
      <w:pPr>
        <w:spacing w:after="0" w:line="259" w:lineRule="exact"/>
        <w:rPr>
          <w:sz w:val="20"/>
          <w:szCs w:val="20"/>
          <w:color w:val="auto"/>
        </w:rPr>
      </w:pPr>
    </w:p>
    <w:p>
      <w:pPr>
        <w:ind w:right="60"/>
        <w:spacing w:after="0" w:line="244" w:lineRule="auto"/>
        <w:rPr>
          <w:sz w:val="20"/>
          <w:szCs w:val="20"/>
          <w:color w:val="auto"/>
        </w:rPr>
      </w:pPr>
      <w:r>
        <w:rPr>
          <w:rFonts w:ascii="Arial" w:cs="Arial" w:eastAsia="Arial" w:hAnsi="Arial"/>
          <w:sz w:val="13"/>
          <w:szCs w:val="13"/>
          <w:color w:val="auto"/>
        </w:rPr>
        <w:t>The Group has evaluated subsequent events from the balance sheet date through 21 April 2020, the date at which the consolidated financial statements were approved. The following items were identified;</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On 14 January 2020, the Company announced a share buyback programme of up to 1.0 million to be executed opportunistically during 2020 depending on cash commitments. All ordinary shares that are redeemed under the buyback programme will be cancelled in accordance with the constitutional documents of the Company and the nominal value of these shares transferred to an undenominated capital fund as required under Irish Company law.</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On 22 January 2020 a subsidiary of the Company, ICON Investments Limited acquired 100% of the equity share capital of Medpass Group Limited. The initial consideration on acquisition is $46.9 million. The opening balance sheet remains under preparation and our initial estimate of the net assets of the Medpass Group is approximately $5.0 million. MedPass is the leading European medical device CRO, regulatory and reimbursement consultancy that specialises in medical device development and market access. The acquisition of MedPass further enhances ICON's Medical Device and Diagnostic Research Services through the addition of new regulatory and clinical capabilities in Europe. The integration of MedPass's services brings expertise in complex class 3 medical devices, interventional cardiology and structural heart devices.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280"/>
          </w:cols>
          <w:pgMar w:left="300" w:top="696" w:right="31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31. Subsequent events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On March 9, 2020, ICON exercised their option to call the outstanding shares in the noncontrolling interest to take 100% ownership of MeDiNova.</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In the period since year-end, as a result of the global spread of COVID-19, the Company has begun to experience a negative impact on our operations. At this point in time, there continues to be significant uncertainty relating to the potential effect of COVID-19 on our business. We have experienced restrictions on our ability to ensure laboratory samples are collected and analysed on time, our ability to monitor our clinical trials, on the ability of patients or other service providers to travel, and our ability to travel, as a result of the outbreak. The impact has resulted in a requirement to increase investment in impact prevention and increased operating costs. As it is a non-adjusting post balance sheet event, the events as they have unfolded in the period since year-end do not result in any adjustment to the carrying value of assets or liabilities as at 31 December 2019 or on our results in the year-ended 31 December 2019 as a result of the outbreak.</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determined that there are no other items to disclose.</w:t>
      </w: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As at 31 December 2019 the Group had the following principal subsidiary undertakings: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980" w:type="dxa"/>
            <w:vAlign w:val="bottom"/>
            <w:shd w:val="clear" w:color="auto" w:fill="CCEEFF"/>
          </w:tcPr>
          <w:p>
            <w:pPr>
              <w:ind w:left="940"/>
              <w:spacing w:after="0"/>
              <w:rPr>
                <w:sz w:val="20"/>
                <w:szCs w:val="20"/>
                <w:color w:val="auto"/>
              </w:rPr>
            </w:pPr>
            <w:r>
              <w:rPr>
                <w:rFonts w:ascii="Arial" w:cs="Arial" w:eastAsia="Arial" w:hAnsi="Arial"/>
                <w:sz w:val="13"/>
                <w:szCs w:val="13"/>
                <w:b w:val="1"/>
                <w:bCs w:val="1"/>
                <w:color w:val="auto"/>
              </w:rPr>
              <w:t>Registered Office</w:t>
            </w:r>
          </w:p>
        </w:tc>
        <w:tc>
          <w:tcPr>
            <w:tcW w:w="172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Nature of business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77"/>
        </w:trPr>
        <w:tc>
          <w:tcPr>
            <w:tcW w:w="3140" w:type="dxa"/>
            <w:vAlign w:val="bottom"/>
            <w:tcBorders>
              <w:bottom w:val="single" w:sz="8" w:color="auto"/>
            </w:tcBorders>
            <w:shd w:val="clear" w:color="auto" w:fill="CCEEFF"/>
          </w:tcPr>
          <w:p>
            <w:pPr>
              <w:spacing w:after="0"/>
              <w:rPr>
                <w:sz w:val="15"/>
                <w:szCs w:val="15"/>
                <w:color w:val="auto"/>
              </w:rPr>
            </w:pPr>
          </w:p>
        </w:tc>
        <w:tc>
          <w:tcPr>
            <w:tcW w:w="398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spacing w:after="0"/>
              <w:rPr>
                <w:sz w:val="15"/>
                <w:szCs w:val="15"/>
                <w:color w:val="auto"/>
              </w:rPr>
            </w:pPr>
          </w:p>
        </w:tc>
        <w:tc>
          <w:tcPr>
            <w:tcW w:w="2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69"/>
        </w:trPr>
        <w:tc>
          <w:tcPr>
            <w:tcW w:w="3140" w:type="dxa"/>
            <w:vAlign w:val="bottom"/>
          </w:tcPr>
          <w:p>
            <w:pPr>
              <w:ind w:left="20"/>
              <w:spacing w:after="0"/>
              <w:rPr>
                <w:sz w:val="20"/>
                <w:szCs w:val="20"/>
                <w:color w:val="auto"/>
              </w:rPr>
            </w:pPr>
            <w:r>
              <w:rPr>
                <w:rFonts w:ascii="Arial" w:cs="Arial" w:eastAsia="Arial" w:hAnsi="Arial"/>
                <w:sz w:val="13"/>
                <w:szCs w:val="13"/>
                <w:color w:val="auto"/>
              </w:rPr>
              <w:t>ICON Clinical Research, S.A.</w:t>
            </w:r>
          </w:p>
        </w:tc>
        <w:tc>
          <w:tcPr>
            <w:tcW w:w="3980" w:type="dxa"/>
            <w:vAlign w:val="bottom"/>
          </w:tcPr>
          <w:p>
            <w:pPr>
              <w:ind w:left="940"/>
              <w:spacing w:after="0"/>
              <w:rPr>
                <w:sz w:val="20"/>
                <w:szCs w:val="20"/>
                <w:color w:val="auto"/>
              </w:rPr>
            </w:pPr>
            <w:r>
              <w:rPr>
                <w:rFonts w:ascii="Arial" w:cs="Arial" w:eastAsia="Arial" w:hAnsi="Arial"/>
                <w:sz w:val="13"/>
                <w:szCs w:val="13"/>
                <w:color w:val="auto"/>
              </w:rPr>
              <w:t>Cecilia Grierson 255, Floor 6</w:t>
            </w:r>
          </w:p>
        </w:tc>
        <w:tc>
          <w:tcPr>
            <w:tcW w:w="1720" w:type="dxa"/>
            <w:vAlign w:val="bottom"/>
          </w:tcPr>
          <w:p>
            <w:pPr>
              <w:ind w:left="8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3140" w:type="dxa"/>
            <w:vAlign w:val="bottom"/>
          </w:tcPr>
          <w:p>
            <w:pPr>
              <w:spacing w:after="0"/>
              <w:rPr>
                <w:sz w:val="12"/>
                <w:szCs w:val="12"/>
                <w:color w:val="auto"/>
              </w:rPr>
            </w:pPr>
          </w:p>
        </w:tc>
        <w:tc>
          <w:tcPr>
            <w:tcW w:w="3980" w:type="dxa"/>
            <w:vAlign w:val="bottom"/>
          </w:tcPr>
          <w:p>
            <w:pPr>
              <w:ind w:left="940"/>
              <w:spacing w:after="0"/>
              <w:rPr>
                <w:sz w:val="20"/>
                <w:szCs w:val="20"/>
                <w:color w:val="auto"/>
              </w:rPr>
            </w:pPr>
            <w:r>
              <w:rPr>
                <w:rFonts w:ascii="Arial" w:cs="Arial" w:eastAsia="Arial" w:hAnsi="Arial"/>
                <w:sz w:val="13"/>
                <w:szCs w:val="13"/>
                <w:color w:val="auto"/>
              </w:rPr>
              <w:t>City of Buenos Aires</w:t>
            </w:r>
          </w:p>
        </w:tc>
        <w:tc>
          <w:tcPr>
            <w:tcW w:w="17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3140" w:type="dxa"/>
            <w:vAlign w:val="bottom"/>
          </w:tcPr>
          <w:p>
            <w:pPr>
              <w:spacing w:after="0"/>
              <w:rPr>
                <w:sz w:val="12"/>
                <w:szCs w:val="12"/>
                <w:color w:val="auto"/>
              </w:rPr>
            </w:pPr>
          </w:p>
        </w:tc>
        <w:tc>
          <w:tcPr>
            <w:tcW w:w="3980" w:type="dxa"/>
            <w:vAlign w:val="bottom"/>
          </w:tcPr>
          <w:p>
            <w:pPr>
              <w:ind w:left="940"/>
              <w:spacing w:after="0"/>
              <w:rPr>
                <w:sz w:val="20"/>
                <w:szCs w:val="20"/>
                <w:color w:val="auto"/>
              </w:rPr>
            </w:pPr>
            <w:r>
              <w:rPr>
                <w:rFonts w:ascii="Arial" w:cs="Arial" w:eastAsia="Arial" w:hAnsi="Arial"/>
                <w:sz w:val="13"/>
                <w:szCs w:val="13"/>
                <w:color w:val="auto"/>
              </w:rPr>
              <w:t>C1107CPE</w:t>
            </w:r>
          </w:p>
        </w:tc>
        <w:tc>
          <w:tcPr>
            <w:tcW w:w="17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3140" w:type="dxa"/>
            <w:vAlign w:val="bottom"/>
          </w:tcPr>
          <w:p>
            <w:pPr>
              <w:spacing w:after="0"/>
              <w:rPr>
                <w:sz w:val="13"/>
                <w:szCs w:val="13"/>
                <w:color w:val="auto"/>
              </w:rPr>
            </w:pPr>
          </w:p>
        </w:tc>
        <w:tc>
          <w:tcPr>
            <w:tcW w:w="3980" w:type="dxa"/>
            <w:vAlign w:val="bottom"/>
          </w:tcPr>
          <w:p>
            <w:pPr>
              <w:ind w:left="940"/>
              <w:spacing w:after="0"/>
              <w:rPr>
                <w:sz w:val="20"/>
                <w:szCs w:val="20"/>
                <w:color w:val="auto"/>
              </w:rPr>
            </w:pPr>
            <w:r>
              <w:rPr>
                <w:rFonts w:ascii="Arial" w:cs="Arial" w:eastAsia="Arial" w:hAnsi="Arial"/>
                <w:sz w:val="13"/>
                <w:szCs w:val="13"/>
                <w:color w:val="auto"/>
              </w:rPr>
              <w:t>Argentina</w:t>
            </w:r>
          </w:p>
        </w:tc>
        <w:tc>
          <w:tcPr>
            <w:tcW w:w="172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46"/>
        </w:trPr>
        <w:tc>
          <w:tcPr>
            <w:tcW w:w="314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ICON Clinical Research PTY Limited</w:t>
            </w:r>
          </w:p>
        </w:tc>
        <w:tc>
          <w:tcPr>
            <w:tcW w:w="5700" w:type="dxa"/>
            <w:vAlign w:val="bottom"/>
            <w:gridSpan w:val="2"/>
            <w:shd w:val="clear" w:color="auto" w:fill="CCEEFF"/>
          </w:tcPr>
          <w:p>
            <w:pPr>
              <w:ind w:left="940"/>
              <w:spacing w:after="0" w:line="146" w:lineRule="exact"/>
              <w:rPr>
                <w:sz w:val="20"/>
                <w:szCs w:val="20"/>
                <w:color w:val="auto"/>
              </w:rPr>
            </w:pPr>
            <w:r>
              <w:rPr>
                <w:rFonts w:ascii="Arial" w:cs="Arial" w:eastAsia="Arial" w:hAnsi="Arial"/>
                <w:sz w:val="13"/>
                <w:szCs w:val="13"/>
                <w:color w:val="auto"/>
              </w:rPr>
              <w:t xml:space="preserve">Suite 201, </w:t>
            </w:r>
            <w:r>
              <w:rPr>
                <w:rFonts w:ascii="MS PGothic" w:cs="MS PGothic" w:eastAsia="MS PGothic" w:hAnsi="MS PGothic"/>
                <w:sz w:val="13"/>
                <w:szCs w:val="13"/>
                <w:color w:val="auto"/>
              </w:rPr>
              <w:t> </w:t>
            </w:r>
            <w:r>
              <w:rPr>
                <w:rFonts w:ascii="Arial" w:cs="Arial" w:eastAsia="Arial" w:hAnsi="Arial"/>
                <w:sz w:val="13"/>
                <w:szCs w:val="13"/>
                <w:color w:val="auto"/>
              </w:rPr>
              <w:t xml:space="preserve">Level 2, 2-4 Lyon Park Road, </w:t>
            </w:r>
            <w:r>
              <w:rPr>
                <w:rFonts w:ascii="MS PGothic" w:cs="MS PGothic" w:eastAsia="MS PGothic" w:hAnsi="MS PGothic"/>
                <w:sz w:val="13"/>
                <w:szCs w:val="13"/>
                <w:color w:val="auto"/>
              </w:rPr>
              <w:t> </w:t>
            </w:r>
            <w:r>
              <w:rPr>
                <w:rFonts w:ascii="Arial" w:cs="Arial" w:eastAsia="Arial" w:hAnsi="Arial"/>
                <w:sz w:val="13"/>
                <w:szCs w:val="13"/>
                <w:color w:val="auto"/>
              </w:rPr>
              <w:t xml:space="preserve">North Ryde, </w:t>
            </w:r>
            <w:r>
              <w:rPr>
                <w:rFonts w:ascii="MS PGothic" w:cs="MS PGothic" w:eastAsia="MS PGothic" w:hAnsi="MS PGothic"/>
                <w:sz w:val="13"/>
                <w:szCs w:val="13"/>
                <w:color w:val="auto"/>
              </w:rPr>
              <w:t> </w:t>
            </w: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100%*</w:t>
            </w:r>
          </w:p>
        </w:tc>
      </w:tr>
      <w:tr>
        <w:trPr>
          <w:trHeight w:val="200"/>
        </w:trPr>
        <w:tc>
          <w:tcPr>
            <w:tcW w:w="3140" w:type="dxa"/>
            <w:vAlign w:val="bottom"/>
            <w:shd w:val="clear" w:color="auto" w:fill="CCEEFF"/>
          </w:tcPr>
          <w:p>
            <w:pPr>
              <w:spacing w:after="0"/>
              <w:rPr>
                <w:sz w:val="17"/>
                <w:szCs w:val="17"/>
                <w:color w:val="auto"/>
              </w:rPr>
            </w:pPr>
          </w:p>
        </w:tc>
        <w:tc>
          <w:tcPr>
            <w:tcW w:w="3980" w:type="dxa"/>
            <w:vAlign w:val="bottom"/>
            <w:shd w:val="clear" w:color="auto" w:fill="CCEEFF"/>
          </w:tcPr>
          <w:p>
            <w:pPr>
              <w:ind w:left="940"/>
              <w:spacing w:after="0" w:line="150" w:lineRule="exact"/>
              <w:rPr>
                <w:sz w:val="20"/>
                <w:szCs w:val="20"/>
                <w:color w:val="auto"/>
              </w:rPr>
            </w:pPr>
            <w:r>
              <w:rPr>
                <w:rFonts w:ascii="Arial" w:cs="Arial" w:eastAsia="Arial" w:hAnsi="Arial"/>
                <w:sz w:val="13"/>
                <w:szCs w:val="13"/>
                <w:color w:val="auto"/>
              </w:rPr>
              <w:t xml:space="preserve">NSW 2113 </w:t>
            </w:r>
            <w:r>
              <w:rPr>
                <w:rFonts w:ascii="MS PGothic" w:cs="MS PGothic" w:eastAsia="MS PGothic" w:hAnsi="MS PGothic"/>
                <w:sz w:val="13"/>
                <w:szCs w:val="13"/>
                <w:color w:val="auto"/>
              </w:rPr>
              <w:t> </w:t>
            </w:r>
            <w:r>
              <w:rPr>
                <w:rFonts w:ascii="Arial" w:cs="Arial" w:eastAsia="Arial" w:hAnsi="Arial"/>
                <w:sz w:val="13"/>
                <w:szCs w:val="13"/>
                <w:color w:val="auto"/>
              </w:rPr>
              <w:t>Australia</w:t>
            </w:r>
          </w:p>
        </w:tc>
        <w:tc>
          <w:tcPr>
            <w:tcW w:w="17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r>
      <w:tr>
        <w:trPr>
          <w:trHeight w:val="192"/>
        </w:trPr>
        <w:tc>
          <w:tcPr>
            <w:tcW w:w="3140" w:type="dxa"/>
            <w:vAlign w:val="bottom"/>
            <w:shd w:val="clear" w:color="auto" w:fill="CCEEFF"/>
          </w:tcPr>
          <w:p>
            <w:pPr>
              <w:spacing w:after="0"/>
              <w:rPr>
                <w:sz w:val="16"/>
                <w:szCs w:val="16"/>
                <w:color w:val="auto"/>
              </w:rPr>
            </w:pPr>
          </w:p>
        </w:tc>
        <w:tc>
          <w:tcPr>
            <w:tcW w:w="39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r>
      <w:tr>
        <w:trPr>
          <w:trHeight w:val="200"/>
        </w:trPr>
        <w:tc>
          <w:tcPr>
            <w:tcW w:w="3140" w:type="dxa"/>
            <w:vAlign w:val="bottom"/>
          </w:tcPr>
          <w:p>
            <w:pPr>
              <w:ind w:left="20"/>
              <w:spacing w:after="0"/>
              <w:rPr>
                <w:sz w:val="20"/>
                <w:szCs w:val="20"/>
                <w:color w:val="auto"/>
              </w:rPr>
            </w:pPr>
            <w:r>
              <w:rPr>
                <w:rFonts w:ascii="Arial" w:cs="Arial" w:eastAsia="Arial" w:hAnsi="Arial"/>
                <w:sz w:val="13"/>
                <w:szCs w:val="13"/>
                <w:color w:val="auto"/>
              </w:rPr>
              <w:t>ICON Clinical Research Austria GmbH</w:t>
            </w:r>
          </w:p>
        </w:tc>
        <w:tc>
          <w:tcPr>
            <w:tcW w:w="3980" w:type="dxa"/>
            <w:vAlign w:val="bottom"/>
          </w:tcPr>
          <w:p>
            <w:pPr>
              <w:ind w:left="940"/>
              <w:spacing w:after="0" w:line="150" w:lineRule="exact"/>
              <w:rPr>
                <w:sz w:val="20"/>
                <w:szCs w:val="20"/>
                <w:color w:val="auto"/>
              </w:rPr>
            </w:pPr>
            <w:r>
              <w:rPr>
                <w:rFonts w:ascii="Arial" w:cs="Arial" w:eastAsia="Arial" w:hAnsi="Arial"/>
                <w:sz w:val="13"/>
                <w:szCs w:val="13"/>
                <w:color w:val="auto"/>
              </w:rPr>
              <w:t xml:space="preserve">Pyrkergasse 10/6, </w:t>
            </w:r>
            <w:r>
              <w:rPr>
                <w:rFonts w:ascii="MS PGothic" w:cs="MS PGothic" w:eastAsia="MS PGothic" w:hAnsi="MS PGothic"/>
                <w:sz w:val="13"/>
                <w:szCs w:val="13"/>
                <w:color w:val="auto"/>
              </w:rPr>
              <w:t> </w:t>
            </w:r>
            <w:r>
              <w:rPr>
                <w:rFonts w:ascii="Arial" w:cs="Arial" w:eastAsia="Arial" w:hAnsi="Arial"/>
                <w:sz w:val="13"/>
                <w:szCs w:val="13"/>
                <w:color w:val="auto"/>
              </w:rPr>
              <w:t xml:space="preserve">1190 Vienna, </w:t>
            </w:r>
            <w:r>
              <w:rPr>
                <w:rFonts w:ascii="MS PGothic" w:cs="MS PGothic" w:eastAsia="MS PGothic" w:hAnsi="MS PGothic"/>
                <w:sz w:val="13"/>
                <w:szCs w:val="13"/>
                <w:color w:val="auto"/>
              </w:rPr>
              <w:t> </w:t>
            </w:r>
            <w:r>
              <w:rPr>
                <w:rFonts w:ascii="Arial" w:cs="Arial" w:eastAsia="Arial" w:hAnsi="Arial"/>
                <w:sz w:val="13"/>
                <w:szCs w:val="13"/>
                <w:color w:val="auto"/>
              </w:rPr>
              <w:t>Austria</w:t>
            </w:r>
          </w:p>
        </w:tc>
        <w:tc>
          <w:tcPr>
            <w:tcW w:w="1720" w:type="dxa"/>
            <w:vAlign w:val="bottom"/>
          </w:tcPr>
          <w:p>
            <w:pPr>
              <w:ind w:left="8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82"/>
        </w:trPr>
        <w:tc>
          <w:tcPr>
            <w:tcW w:w="314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138"/>
        </w:trPr>
        <w:tc>
          <w:tcPr>
            <w:tcW w:w="314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DOCS International Belgium N.V.</w:t>
            </w:r>
          </w:p>
        </w:tc>
        <w:tc>
          <w:tcPr>
            <w:tcW w:w="3980" w:type="dxa"/>
            <w:vAlign w:val="bottom"/>
            <w:shd w:val="clear" w:color="auto" w:fill="CCEEFF"/>
          </w:tcPr>
          <w:p>
            <w:pPr>
              <w:ind w:left="940"/>
              <w:spacing w:after="0" w:line="139" w:lineRule="exact"/>
              <w:rPr>
                <w:sz w:val="20"/>
                <w:szCs w:val="20"/>
                <w:color w:val="auto"/>
              </w:rPr>
            </w:pPr>
            <w:r>
              <w:rPr>
                <w:rFonts w:ascii="Arial" w:cs="Arial" w:eastAsia="Arial" w:hAnsi="Arial"/>
                <w:sz w:val="13"/>
                <w:szCs w:val="13"/>
                <w:color w:val="auto"/>
              </w:rPr>
              <w:t>Interleuvenlaan 62,</w:t>
            </w:r>
          </w:p>
        </w:tc>
        <w:tc>
          <w:tcPr>
            <w:tcW w:w="172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200"/>
        </w:trPr>
        <w:tc>
          <w:tcPr>
            <w:tcW w:w="3140" w:type="dxa"/>
            <w:vAlign w:val="bottom"/>
            <w:shd w:val="clear" w:color="auto" w:fill="CCEEFF"/>
          </w:tcPr>
          <w:p>
            <w:pPr>
              <w:spacing w:after="0"/>
              <w:rPr>
                <w:sz w:val="17"/>
                <w:szCs w:val="17"/>
                <w:color w:val="auto"/>
              </w:rPr>
            </w:pPr>
          </w:p>
        </w:tc>
        <w:tc>
          <w:tcPr>
            <w:tcW w:w="3980" w:type="dxa"/>
            <w:vAlign w:val="bottom"/>
            <w:shd w:val="clear" w:color="auto" w:fill="CCEEFF"/>
          </w:tcPr>
          <w:p>
            <w:pPr>
              <w:ind w:left="940"/>
              <w:spacing w:after="0" w:line="150" w:lineRule="exact"/>
              <w:rPr>
                <w:sz w:val="20"/>
                <w:szCs w:val="20"/>
                <w:color w:val="auto"/>
              </w:rPr>
            </w:pPr>
            <w:r>
              <w:rPr>
                <w:rFonts w:ascii="Arial" w:cs="Arial" w:eastAsia="Arial" w:hAnsi="Arial"/>
                <w:sz w:val="13"/>
                <w:szCs w:val="13"/>
                <w:color w:val="auto"/>
              </w:rPr>
              <w:t xml:space="preserve">3001 Heverlee, </w:t>
            </w:r>
            <w:r>
              <w:rPr>
                <w:rFonts w:ascii="MS PGothic" w:cs="MS PGothic" w:eastAsia="MS PGothic" w:hAnsi="MS PGothic"/>
                <w:sz w:val="13"/>
                <w:szCs w:val="13"/>
                <w:color w:val="auto"/>
              </w:rPr>
              <w:t> </w:t>
            </w:r>
            <w:r>
              <w:rPr>
                <w:rFonts w:ascii="Arial" w:cs="Arial" w:eastAsia="Arial" w:hAnsi="Arial"/>
                <w:sz w:val="13"/>
                <w:szCs w:val="13"/>
                <w:color w:val="auto"/>
              </w:rPr>
              <w:t>Belgium</w:t>
            </w:r>
          </w:p>
        </w:tc>
        <w:tc>
          <w:tcPr>
            <w:tcW w:w="17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r>
      <w:tr>
        <w:trPr>
          <w:trHeight w:val="192"/>
        </w:trPr>
        <w:tc>
          <w:tcPr>
            <w:tcW w:w="3140" w:type="dxa"/>
            <w:vAlign w:val="bottom"/>
            <w:shd w:val="clear" w:color="auto" w:fill="CCEEFF"/>
          </w:tcPr>
          <w:p>
            <w:pPr>
              <w:spacing w:after="0"/>
              <w:rPr>
                <w:sz w:val="16"/>
                <w:szCs w:val="16"/>
                <w:color w:val="auto"/>
              </w:rPr>
            </w:pPr>
          </w:p>
        </w:tc>
        <w:tc>
          <w:tcPr>
            <w:tcW w:w="5700" w:type="dxa"/>
            <w:vAlign w:val="bottom"/>
            <w:gridSpan w:val="2"/>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r>
      <w:tr>
        <w:trPr>
          <w:trHeight w:val="138"/>
        </w:trPr>
        <w:tc>
          <w:tcPr>
            <w:tcW w:w="3140" w:type="dxa"/>
            <w:vAlign w:val="bottom"/>
          </w:tcPr>
          <w:p>
            <w:pPr>
              <w:ind w:left="20"/>
              <w:spacing w:after="0" w:line="139" w:lineRule="exact"/>
              <w:rPr>
                <w:sz w:val="20"/>
                <w:szCs w:val="20"/>
                <w:color w:val="auto"/>
              </w:rPr>
            </w:pPr>
            <w:r>
              <w:rPr>
                <w:rFonts w:ascii="Arial" w:cs="Arial" w:eastAsia="Arial" w:hAnsi="Arial"/>
                <w:sz w:val="13"/>
                <w:szCs w:val="13"/>
                <w:color w:val="auto"/>
              </w:rPr>
              <w:t>ICON Pesquisas Clínicas LTDA.</w:t>
            </w:r>
          </w:p>
        </w:tc>
        <w:tc>
          <w:tcPr>
            <w:tcW w:w="5700" w:type="dxa"/>
            <w:vAlign w:val="bottom"/>
            <w:gridSpan w:val="2"/>
          </w:tcPr>
          <w:p>
            <w:pPr>
              <w:ind w:left="940"/>
              <w:spacing w:after="0" w:line="139" w:lineRule="exact"/>
              <w:rPr>
                <w:sz w:val="20"/>
                <w:szCs w:val="20"/>
                <w:color w:val="auto"/>
              </w:rPr>
            </w:pPr>
            <w:r>
              <w:rPr>
                <w:rFonts w:ascii="Arial" w:cs="Arial" w:eastAsia="Arial" w:hAnsi="Arial"/>
                <w:sz w:val="13"/>
                <w:szCs w:val="13"/>
                <w:color w:val="auto"/>
              </w:rPr>
              <w:t xml:space="preserve">Av. Ibirapuera 2332, </w:t>
            </w:r>
            <w:r>
              <w:rPr>
                <w:rFonts w:ascii="MS PGothic" w:cs="MS PGothic" w:eastAsia="MS PGothic" w:hAnsi="MS PGothic"/>
                <w:sz w:val="13"/>
                <w:szCs w:val="13"/>
                <w:color w:val="auto"/>
              </w:rPr>
              <w:t> </w:t>
            </w:r>
            <w:r>
              <w:rPr>
                <w:rFonts w:ascii="Arial" w:cs="Arial" w:eastAsia="Arial" w:hAnsi="Arial"/>
                <w:sz w:val="13"/>
                <w:szCs w:val="13"/>
                <w:color w:val="auto"/>
              </w:rPr>
              <w:t xml:space="preserve">Torre II 4º Andar, </w:t>
            </w:r>
            <w:r>
              <w:rPr>
                <w:rFonts w:ascii="MS PGothic" w:cs="MS PGothic" w:eastAsia="MS PGothic" w:hAnsi="MS PGothic"/>
                <w:sz w:val="13"/>
                <w:szCs w:val="13"/>
                <w:color w:val="auto"/>
              </w:rPr>
              <w:t> </w:t>
            </w:r>
            <w:r>
              <w:rPr>
                <w:rFonts w:ascii="Arial" w:cs="Arial" w:eastAsia="Arial" w:hAnsi="Arial"/>
                <w:sz w:val="13"/>
                <w:szCs w:val="13"/>
                <w:color w:val="auto"/>
              </w:rPr>
              <w:t xml:space="preserve">São Paulo, SP, </w:t>
            </w:r>
            <w:r>
              <w:rPr>
                <w:rFonts w:ascii="MS PGothic" w:cs="MS PGothic" w:eastAsia="MS PGothic" w:hAnsi="MS PGothic"/>
                <w:sz w:val="13"/>
                <w:szCs w:val="13"/>
                <w:color w:val="auto"/>
              </w:rPr>
              <w:t> </w:t>
            </w:r>
            <w:r>
              <w:rPr>
                <w:rFonts w:ascii="Arial" w:cs="Arial" w:eastAsia="Arial" w:hAnsi="Arial"/>
                <w:sz w:val="13"/>
                <w:szCs w:val="13"/>
                <w:color w:val="auto"/>
              </w:rPr>
              <w:t>Clinical research services</w:t>
            </w:r>
          </w:p>
        </w:tc>
        <w:tc>
          <w:tcPr>
            <w:tcW w:w="242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200"/>
        </w:trPr>
        <w:tc>
          <w:tcPr>
            <w:tcW w:w="3140" w:type="dxa"/>
            <w:vAlign w:val="bottom"/>
          </w:tcPr>
          <w:p>
            <w:pPr>
              <w:spacing w:after="0"/>
              <w:rPr>
                <w:sz w:val="17"/>
                <w:szCs w:val="17"/>
                <w:color w:val="auto"/>
              </w:rPr>
            </w:pPr>
          </w:p>
        </w:tc>
        <w:tc>
          <w:tcPr>
            <w:tcW w:w="3980" w:type="dxa"/>
            <w:vAlign w:val="bottom"/>
          </w:tcPr>
          <w:p>
            <w:pPr>
              <w:ind w:left="940"/>
              <w:spacing w:after="0" w:line="150" w:lineRule="exact"/>
              <w:rPr>
                <w:sz w:val="20"/>
                <w:szCs w:val="20"/>
                <w:color w:val="auto"/>
              </w:rPr>
            </w:pPr>
            <w:r>
              <w:rPr>
                <w:rFonts w:ascii="Arial" w:cs="Arial" w:eastAsia="Arial" w:hAnsi="Arial"/>
                <w:sz w:val="13"/>
                <w:szCs w:val="13"/>
                <w:color w:val="auto"/>
              </w:rPr>
              <w:t xml:space="preserve">Brazil </w:t>
            </w:r>
            <w:r>
              <w:rPr>
                <w:rFonts w:ascii="MS PGothic" w:cs="MS PGothic" w:eastAsia="MS PGothic" w:hAnsi="MS PGothic"/>
                <w:sz w:val="13"/>
                <w:szCs w:val="13"/>
                <w:color w:val="auto"/>
              </w:rPr>
              <w:t> </w:t>
            </w:r>
            <w:r>
              <w:rPr>
                <w:rFonts w:ascii="Arial" w:cs="Arial" w:eastAsia="Arial" w:hAnsi="Arial"/>
                <w:sz w:val="13"/>
                <w:szCs w:val="13"/>
                <w:color w:val="auto"/>
              </w:rPr>
              <w:t>CEP 04028-003</w:t>
            </w:r>
          </w:p>
        </w:tc>
        <w:tc>
          <w:tcPr>
            <w:tcW w:w="172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192"/>
        </w:trPr>
        <w:tc>
          <w:tcPr>
            <w:tcW w:w="31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171"/>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Clinical Research EOOD</w:t>
            </w:r>
          </w:p>
        </w:tc>
        <w:tc>
          <w:tcPr>
            <w:tcW w:w="3980" w:type="dxa"/>
            <w:vAlign w:val="bottom"/>
            <w:shd w:val="clear" w:color="auto" w:fill="CCEEFF"/>
          </w:tcPr>
          <w:p>
            <w:pPr>
              <w:ind w:left="940"/>
              <w:spacing w:after="0" w:line="150" w:lineRule="exact"/>
              <w:rPr>
                <w:sz w:val="20"/>
                <w:szCs w:val="20"/>
                <w:color w:val="auto"/>
              </w:rPr>
            </w:pPr>
            <w:r>
              <w:rPr>
                <w:rFonts w:ascii="Arial" w:cs="Arial" w:eastAsia="Arial" w:hAnsi="Arial"/>
                <w:sz w:val="13"/>
                <w:szCs w:val="13"/>
                <w:color w:val="auto"/>
                <w:w w:val="99"/>
              </w:rPr>
              <w:t xml:space="preserve">2A, Saborna Str., </w:t>
            </w:r>
            <w:r>
              <w:rPr>
                <w:rFonts w:ascii="MS PGothic" w:cs="MS PGothic" w:eastAsia="MS PGothic" w:hAnsi="MS PGothic"/>
                <w:sz w:val="13"/>
                <w:szCs w:val="13"/>
                <w:color w:val="auto"/>
                <w:w w:val="99"/>
              </w:rPr>
              <w:t> </w:t>
            </w:r>
            <w:r>
              <w:rPr>
                <w:rFonts w:ascii="Arial" w:cs="Arial" w:eastAsia="Arial" w:hAnsi="Arial"/>
                <w:sz w:val="13"/>
                <w:szCs w:val="13"/>
                <w:color w:val="auto"/>
                <w:w w:val="99"/>
              </w:rPr>
              <w:t xml:space="preserve">4th floor, Sofia – 1000, </w:t>
            </w:r>
            <w:r>
              <w:rPr>
                <w:rFonts w:ascii="MS PGothic" w:cs="MS PGothic" w:eastAsia="MS PGothic" w:hAnsi="MS PGothic"/>
                <w:sz w:val="13"/>
                <w:szCs w:val="13"/>
                <w:color w:val="auto"/>
                <w:w w:val="99"/>
              </w:rPr>
              <w:t> </w:t>
            </w:r>
            <w:r>
              <w:rPr>
                <w:rFonts w:ascii="Arial" w:cs="Arial" w:eastAsia="Arial" w:hAnsi="Arial"/>
                <w:sz w:val="13"/>
                <w:szCs w:val="13"/>
                <w:color w:val="auto"/>
                <w:w w:val="99"/>
              </w:rPr>
              <w:t>Republic of</w:t>
            </w:r>
          </w:p>
        </w:tc>
        <w:tc>
          <w:tcPr>
            <w:tcW w:w="17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53"/>
        </w:trPr>
        <w:tc>
          <w:tcPr>
            <w:tcW w:w="3140" w:type="dxa"/>
            <w:vAlign w:val="bottom"/>
            <w:shd w:val="clear" w:color="auto" w:fill="CCEEFF"/>
          </w:tcPr>
          <w:p>
            <w:pPr>
              <w:spacing w:after="0"/>
              <w:rPr>
                <w:sz w:val="13"/>
                <w:szCs w:val="13"/>
                <w:color w:val="auto"/>
              </w:rPr>
            </w:pPr>
          </w:p>
        </w:tc>
        <w:tc>
          <w:tcPr>
            <w:tcW w:w="3980" w:type="dxa"/>
            <w:vAlign w:val="bottom"/>
            <w:shd w:val="clear" w:color="auto" w:fill="CCEEFF"/>
          </w:tcPr>
          <w:p>
            <w:pPr>
              <w:ind w:left="940"/>
              <w:spacing w:after="0"/>
              <w:rPr>
                <w:sz w:val="20"/>
                <w:szCs w:val="20"/>
                <w:color w:val="auto"/>
              </w:rPr>
            </w:pPr>
            <w:r>
              <w:rPr>
                <w:rFonts w:ascii="Arial" w:cs="Arial" w:eastAsia="Arial" w:hAnsi="Arial"/>
                <w:sz w:val="13"/>
                <w:szCs w:val="13"/>
                <w:color w:val="auto"/>
              </w:rPr>
              <w:t>Bulgaria</w:t>
            </w:r>
          </w:p>
        </w:tc>
        <w:tc>
          <w:tcPr>
            <w:tcW w:w="172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r>
      <w:tr>
        <w:trPr>
          <w:trHeight w:val="206"/>
        </w:trPr>
        <w:tc>
          <w:tcPr>
            <w:tcW w:w="314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r>
      <w:tr>
        <w:trPr>
          <w:trHeight w:val="138"/>
        </w:trPr>
        <w:tc>
          <w:tcPr>
            <w:tcW w:w="3140" w:type="dxa"/>
            <w:vAlign w:val="bottom"/>
          </w:tcPr>
          <w:p>
            <w:pPr>
              <w:ind w:left="20"/>
              <w:spacing w:after="0" w:line="139" w:lineRule="exact"/>
              <w:rPr>
                <w:sz w:val="20"/>
                <w:szCs w:val="20"/>
                <w:color w:val="auto"/>
              </w:rPr>
            </w:pPr>
            <w:r>
              <w:rPr>
                <w:rFonts w:ascii="Arial" w:cs="Arial" w:eastAsia="Arial" w:hAnsi="Arial"/>
                <w:sz w:val="13"/>
                <w:szCs w:val="13"/>
                <w:color w:val="auto"/>
              </w:rPr>
              <w:t>ICON Clinical Research (Canada) Inc.</w:t>
            </w:r>
          </w:p>
        </w:tc>
        <w:tc>
          <w:tcPr>
            <w:tcW w:w="3980" w:type="dxa"/>
            <w:vAlign w:val="bottom"/>
          </w:tcPr>
          <w:p>
            <w:pPr>
              <w:ind w:left="940"/>
              <w:spacing w:after="0" w:line="139" w:lineRule="exact"/>
              <w:rPr>
                <w:sz w:val="20"/>
                <w:szCs w:val="20"/>
                <w:color w:val="auto"/>
              </w:rPr>
            </w:pPr>
            <w:r>
              <w:rPr>
                <w:rFonts w:ascii="Arial" w:cs="Arial" w:eastAsia="Arial" w:hAnsi="Arial"/>
                <w:sz w:val="13"/>
                <w:szCs w:val="13"/>
                <w:color w:val="auto"/>
              </w:rPr>
              <w:t xml:space="preserve">7405 Trans-Canada Highway, </w:t>
            </w:r>
            <w:r>
              <w:rPr>
                <w:rFonts w:ascii="MS PGothic" w:cs="MS PGothic" w:eastAsia="MS PGothic" w:hAnsi="MS PGothic"/>
                <w:sz w:val="13"/>
                <w:szCs w:val="13"/>
                <w:color w:val="auto"/>
              </w:rPr>
              <w:t> </w:t>
            </w:r>
            <w:r>
              <w:rPr>
                <w:rFonts w:ascii="Arial" w:cs="Arial" w:eastAsia="Arial" w:hAnsi="Arial"/>
                <w:sz w:val="13"/>
                <w:szCs w:val="13"/>
                <w:color w:val="auto"/>
              </w:rPr>
              <w:t>Suite 300 Saint-</w:t>
            </w:r>
          </w:p>
        </w:tc>
        <w:tc>
          <w:tcPr>
            <w:tcW w:w="1720" w:type="dxa"/>
            <w:vAlign w:val="bottom"/>
          </w:tcPr>
          <w:p>
            <w:pPr>
              <w:ind w:left="80"/>
              <w:spacing w:after="0" w:line="139" w:lineRule="exact"/>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line="139" w:lineRule="exact"/>
              <w:rPr>
                <w:sz w:val="20"/>
                <w:szCs w:val="20"/>
                <w:color w:val="auto"/>
              </w:rPr>
            </w:pPr>
            <w:r>
              <w:rPr>
                <w:rFonts w:ascii="Arial" w:cs="Arial" w:eastAsia="Arial" w:hAnsi="Arial"/>
                <w:sz w:val="13"/>
                <w:szCs w:val="13"/>
                <w:color w:val="auto"/>
              </w:rPr>
              <w:t>100%</w:t>
            </w:r>
          </w:p>
        </w:tc>
      </w:tr>
      <w:tr>
        <w:trPr>
          <w:trHeight w:val="200"/>
        </w:trPr>
        <w:tc>
          <w:tcPr>
            <w:tcW w:w="3140" w:type="dxa"/>
            <w:vAlign w:val="bottom"/>
          </w:tcPr>
          <w:p>
            <w:pPr>
              <w:spacing w:after="0"/>
              <w:rPr>
                <w:sz w:val="17"/>
                <w:szCs w:val="17"/>
                <w:color w:val="auto"/>
              </w:rPr>
            </w:pPr>
          </w:p>
        </w:tc>
        <w:tc>
          <w:tcPr>
            <w:tcW w:w="3980" w:type="dxa"/>
            <w:vAlign w:val="bottom"/>
          </w:tcPr>
          <w:p>
            <w:pPr>
              <w:ind w:left="940"/>
              <w:spacing w:after="0" w:line="150" w:lineRule="exact"/>
              <w:rPr>
                <w:sz w:val="20"/>
                <w:szCs w:val="20"/>
                <w:color w:val="auto"/>
              </w:rPr>
            </w:pPr>
            <w:r>
              <w:rPr>
                <w:rFonts w:ascii="Arial" w:cs="Arial" w:eastAsia="Arial" w:hAnsi="Arial"/>
                <w:sz w:val="13"/>
                <w:szCs w:val="13"/>
                <w:color w:val="auto"/>
              </w:rPr>
              <w:t xml:space="preserve">Laurent, </w:t>
            </w:r>
            <w:r>
              <w:rPr>
                <w:rFonts w:ascii="MS PGothic" w:cs="MS PGothic" w:eastAsia="MS PGothic" w:hAnsi="MS PGothic"/>
                <w:sz w:val="13"/>
                <w:szCs w:val="13"/>
                <w:color w:val="auto"/>
              </w:rPr>
              <w:t> </w:t>
            </w:r>
            <w:r>
              <w:rPr>
                <w:rFonts w:ascii="Arial" w:cs="Arial" w:eastAsia="Arial" w:hAnsi="Arial"/>
                <w:sz w:val="13"/>
                <w:szCs w:val="13"/>
                <w:color w:val="auto"/>
              </w:rPr>
              <w:t xml:space="preserve">Quebec, H4T 1Z2 </w:t>
            </w:r>
            <w:r>
              <w:rPr>
                <w:rFonts w:ascii="MS PGothic" w:cs="MS PGothic" w:eastAsia="MS PGothic" w:hAnsi="MS PGothic"/>
                <w:sz w:val="13"/>
                <w:szCs w:val="13"/>
                <w:color w:val="auto"/>
              </w:rPr>
              <w:t> </w:t>
            </w:r>
            <w:r>
              <w:rPr>
                <w:rFonts w:ascii="Arial" w:cs="Arial" w:eastAsia="Arial" w:hAnsi="Arial"/>
                <w:sz w:val="13"/>
                <w:szCs w:val="13"/>
                <w:color w:val="auto"/>
              </w:rPr>
              <w:t>Canada</w:t>
            </w:r>
          </w:p>
        </w:tc>
        <w:tc>
          <w:tcPr>
            <w:tcW w:w="1720" w:type="dxa"/>
            <w:vAlign w:val="bottom"/>
          </w:tcPr>
          <w:p>
            <w:pPr>
              <w:spacing w:after="0"/>
              <w:rPr>
                <w:sz w:val="17"/>
                <w:szCs w:val="17"/>
                <w:color w:val="auto"/>
              </w:rPr>
            </w:pPr>
          </w:p>
        </w:tc>
        <w:tc>
          <w:tcPr>
            <w:tcW w:w="24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280"/>
          </w:cols>
          <w:pgMar w:left="300" w:top="696" w:right="31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Registered Office</w:t>
            </w:r>
          </w:p>
        </w:tc>
        <w:tc>
          <w:tcPr>
            <w:tcW w:w="172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Nature of business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69"/>
        </w:trPr>
        <w:tc>
          <w:tcPr>
            <w:tcW w:w="406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53"/>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Oxford Outcomes LTD.</w:t>
            </w:r>
          </w:p>
        </w:tc>
        <w:tc>
          <w:tcPr>
            <w:tcW w:w="3060" w:type="dxa"/>
            <w:vAlign w:val="bottom"/>
            <w:shd w:val="clear" w:color="auto" w:fill="CCEEFF"/>
          </w:tcPr>
          <w:p>
            <w:pPr>
              <w:ind w:left="20"/>
              <w:spacing w:after="0" w:line="150" w:lineRule="exact"/>
              <w:rPr>
                <w:sz w:val="20"/>
                <w:szCs w:val="20"/>
                <w:color w:val="auto"/>
              </w:rPr>
            </w:pPr>
            <w:r>
              <w:rPr>
                <w:rFonts w:ascii="Arial" w:cs="Arial" w:eastAsia="Arial" w:hAnsi="Arial"/>
                <w:sz w:val="13"/>
                <w:szCs w:val="13"/>
                <w:color w:val="auto"/>
                <w:w w:val="99"/>
              </w:rPr>
              <w:t xml:space="preserve">19th Floor, </w:t>
            </w:r>
            <w:r>
              <w:rPr>
                <w:rFonts w:ascii="MS PGothic" w:cs="MS PGothic" w:eastAsia="MS PGothic" w:hAnsi="MS PGothic"/>
                <w:sz w:val="13"/>
                <w:szCs w:val="13"/>
                <w:color w:val="auto"/>
                <w:w w:val="99"/>
              </w:rPr>
              <w:t> </w:t>
            </w:r>
            <w:r>
              <w:rPr>
                <w:rFonts w:ascii="Arial" w:cs="Arial" w:eastAsia="Arial" w:hAnsi="Arial"/>
                <w:sz w:val="13"/>
                <w:szCs w:val="13"/>
                <w:color w:val="auto"/>
                <w:w w:val="99"/>
              </w:rPr>
              <w:t xml:space="preserve">885 West Georgia Street, </w:t>
            </w:r>
            <w:r>
              <w:rPr>
                <w:rFonts w:ascii="MS PGothic" w:cs="MS PGothic" w:eastAsia="MS PGothic" w:hAnsi="MS PGothic"/>
                <w:sz w:val="13"/>
                <w:szCs w:val="13"/>
                <w:color w:val="auto"/>
                <w:w w:val="99"/>
              </w:rPr>
              <w:t> </w:t>
            </w:r>
            <w:r>
              <w:rPr>
                <w:rFonts w:ascii="Arial" w:cs="Arial" w:eastAsia="Arial" w:hAnsi="Arial"/>
                <w:sz w:val="13"/>
                <w:szCs w:val="13"/>
                <w:color w:val="auto"/>
                <w:w w:val="99"/>
              </w:rPr>
              <w:t>Vancouver BC,</w:t>
            </w:r>
          </w:p>
        </w:tc>
        <w:tc>
          <w:tcPr>
            <w:tcW w:w="17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200"/>
        </w:trPr>
        <w:tc>
          <w:tcPr>
            <w:tcW w:w="4060" w:type="dxa"/>
            <w:vAlign w:val="bottom"/>
            <w:shd w:val="clear" w:color="auto" w:fill="CCEEFF"/>
          </w:tcPr>
          <w:p>
            <w:pPr>
              <w:spacing w:after="0"/>
              <w:rPr>
                <w:sz w:val="17"/>
                <w:szCs w:val="17"/>
                <w:color w:val="auto"/>
              </w:rPr>
            </w:pPr>
          </w:p>
        </w:tc>
        <w:tc>
          <w:tcPr>
            <w:tcW w:w="3060" w:type="dxa"/>
            <w:vAlign w:val="bottom"/>
            <w:shd w:val="clear" w:color="auto" w:fill="CCEEFF"/>
          </w:tcPr>
          <w:p>
            <w:pPr>
              <w:ind w:left="20"/>
              <w:spacing w:after="0" w:line="150" w:lineRule="exact"/>
              <w:rPr>
                <w:sz w:val="20"/>
                <w:szCs w:val="20"/>
                <w:color w:val="auto"/>
              </w:rPr>
            </w:pPr>
            <w:r>
              <w:rPr>
                <w:rFonts w:ascii="Arial" w:cs="Arial" w:eastAsia="Arial" w:hAnsi="Arial"/>
                <w:sz w:val="13"/>
                <w:szCs w:val="13"/>
                <w:color w:val="auto"/>
              </w:rPr>
              <w:t xml:space="preserve">V6C 3H4 </w:t>
            </w:r>
            <w:r>
              <w:rPr>
                <w:rFonts w:ascii="MS PGothic" w:cs="MS PGothic" w:eastAsia="MS PGothic" w:hAnsi="MS PGothic"/>
                <w:sz w:val="13"/>
                <w:szCs w:val="13"/>
                <w:color w:val="auto"/>
              </w:rPr>
              <w:t> </w:t>
            </w:r>
            <w:r>
              <w:rPr>
                <w:rFonts w:ascii="Arial" w:cs="Arial" w:eastAsia="Arial" w:hAnsi="Arial"/>
                <w:sz w:val="13"/>
                <w:szCs w:val="13"/>
                <w:color w:val="auto"/>
              </w:rPr>
              <w:t>Canada</w:t>
            </w:r>
          </w:p>
        </w:tc>
        <w:tc>
          <w:tcPr>
            <w:tcW w:w="17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r>
      <w:tr>
        <w:trPr>
          <w:trHeight w:val="192"/>
        </w:trPr>
        <w:tc>
          <w:tcPr>
            <w:tcW w:w="4060" w:type="dxa"/>
            <w:vAlign w:val="bottom"/>
            <w:shd w:val="clear" w:color="auto" w:fill="CCEEFF"/>
          </w:tcPr>
          <w:p>
            <w:pPr>
              <w:spacing w:after="0"/>
              <w:rPr>
                <w:sz w:val="16"/>
                <w:szCs w:val="16"/>
                <w:color w:val="auto"/>
              </w:rPr>
            </w:pPr>
          </w:p>
        </w:tc>
        <w:tc>
          <w:tcPr>
            <w:tcW w:w="4780" w:type="dxa"/>
            <w:vAlign w:val="bottom"/>
            <w:gridSpan w:val="2"/>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r>
      <w:tr>
        <w:trPr>
          <w:trHeight w:val="183"/>
        </w:trPr>
        <w:tc>
          <w:tcPr>
            <w:tcW w:w="4060" w:type="dxa"/>
            <w:vAlign w:val="bottom"/>
          </w:tcPr>
          <w:p>
            <w:pPr>
              <w:ind w:left="20"/>
              <w:spacing w:after="0"/>
              <w:rPr>
                <w:sz w:val="20"/>
                <w:szCs w:val="20"/>
                <w:color w:val="auto"/>
              </w:rPr>
            </w:pPr>
            <w:r>
              <w:rPr>
                <w:rFonts w:ascii="Arial" w:cs="Arial" w:eastAsia="Arial" w:hAnsi="Arial"/>
                <w:sz w:val="13"/>
                <w:szCs w:val="13"/>
                <w:color w:val="auto"/>
              </w:rPr>
              <w:t>Mapi Life Sciences Canada Inc.***</w:t>
            </w:r>
          </w:p>
        </w:tc>
        <w:tc>
          <w:tcPr>
            <w:tcW w:w="4780" w:type="dxa"/>
            <w:vAlign w:val="bottom"/>
            <w:gridSpan w:val="2"/>
          </w:tcPr>
          <w:p>
            <w:pPr>
              <w:ind w:left="20"/>
              <w:spacing w:after="0"/>
              <w:rPr>
                <w:sz w:val="20"/>
                <w:szCs w:val="20"/>
                <w:color w:val="auto"/>
              </w:rPr>
            </w:pPr>
            <w:r>
              <w:rPr>
                <w:rFonts w:ascii="Arial" w:cs="Arial" w:eastAsia="Arial" w:hAnsi="Arial"/>
                <w:sz w:val="13"/>
                <w:szCs w:val="13"/>
                <w:color w:val="auto"/>
              </w:rPr>
              <w:t>4 Innovation Drive, Dundas, Ontario L9H 7P3, Canada 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208"/>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Chile Limitada</w:t>
            </w:r>
          </w:p>
        </w:tc>
        <w:tc>
          <w:tcPr>
            <w:tcW w:w="3060" w:type="dxa"/>
            <w:vAlign w:val="bottom"/>
            <w:shd w:val="clear" w:color="auto" w:fill="CCEEFF"/>
          </w:tcPr>
          <w:p>
            <w:pPr>
              <w:ind w:left="20"/>
              <w:spacing w:after="0" w:line="150" w:lineRule="exact"/>
              <w:rPr>
                <w:sz w:val="20"/>
                <w:szCs w:val="20"/>
                <w:color w:val="auto"/>
              </w:rPr>
            </w:pPr>
            <w:r>
              <w:rPr>
                <w:rFonts w:ascii="Arial" w:cs="Arial" w:eastAsia="Arial" w:hAnsi="Arial"/>
                <w:sz w:val="13"/>
                <w:szCs w:val="13"/>
                <w:color w:val="auto"/>
              </w:rPr>
              <w:t xml:space="preserve">Huerfanos 770, </w:t>
            </w:r>
            <w:r>
              <w:rPr>
                <w:rFonts w:ascii="MS PGothic" w:cs="MS PGothic" w:eastAsia="MS PGothic" w:hAnsi="MS PGothic"/>
                <w:sz w:val="13"/>
                <w:szCs w:val="13"/>
                <w:color w:val="auto"/>
              </w:rPr>
              <w:t> </w:t>
            </w:r>
            <w:r>
              <w:rPr>
                <w:rFonts w:ascii="Arial" w:cs="Arial" w:eastAsia="Arial" w:hAnsi="Arial"/>
                <w:sz w:val="13"/>
                <w:szCs w:val="13"/>
                <w:color w:val="auto"/>
              </w:rPr>
              <w:t xml:space="preserve">Piso 4, </w:t>
            </w:r>
            <w:r>
              <w:rPr>
                <w:rFonts w:ascii="MS PGothic" w:cs="MS PGothic" w:eastAsia="MS PGothic" w:hAnsi="MS PGothic"/>
                <w:sz w:val="13"/>
                <w:szCs w:val="13"/>
                <w:color w:val="auto"/>
              </w:rPr>
              <w:t> </w:t>
            </w:r>
            <w:r>
              <w:rPr>
                <w:rFonts w:ascii="Arial" w:cs="Arial" w:eastAsia="Arial" w:hAnsi="Arial"/>
                <w:sz w:val="13"/>
                <w:szCs w:val="13"/>
                <w:color w:val="auto"/>
              </w:rPr>
              <w:t xml:space="preserve">Oficina 402, </w:t>
            </w:r>
            <w:r>
              <w:rPr>
                <w:rFonts w:ascii="MS PGothic" w:cs="MS PGothic" w:eastAsia="MS PGothic" w:hAnsi="MS PGothic"/>
                <w:sz w:val="13"/>
                <w:szCs w:val="13"/>
                <w:color w:val="auto"/>
              </w:rPr>
              <w:t> </w:t>
            </w:r>
            <w:r>
              <w:rPr>
                <w:rFonts w:ascii="Arial" w:cs="Arial" w:eastAsia="Arial" w:hAnsi="Arial"/>
                <w:sz w:val="13"/>
                <w:szCs w:val="13"/>
                <w:color w:val="auto"/>
              </w:rPr>
              <w:t xml:space="preserve">Santiago, </w:t>
            </w:r>
            <w:r>
              <w:rPr>
                <w:rFonts w:ascii="MS PGothic" w:cs="MS PGothic" w:eastAsia="MS PGothic" w:hAnsi="MS PGothic"/>
                <w:sz w:val="13"/>
                <w:szCs w:val="13"/>
                <w:color w:val="auto"/>
              </w:rPr>
              <w:t> </w:t>
            </w:r>
            <w:r>
              <w:rPr>
                <w:rFonts w:ascii="Arial" w:cs="Arial" w:eastAsia="Arial" w:hAnsi="Arial"/>
                <w:sz w:val="13"/>
                <w:szCs w:val="13"/>
                <w:color w:val="auto"/>
              </w:rPr>
              <w:t>Chile</w:t>
            </w:r>
          </w:p>
        </w:tc>
        <w:tc>
          <w:tcPr>
            <w:tcW w:w="17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82"/>
        </w:trPr>
        <w:tc>
          <w:tcPr>
            <w:tcW w:w="406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ICON Clinical Research (Beijing No.2) Co., Ltd</w:t>
            </w:r>
          </w:p>
        </w:tc>
        <w:tc>
          <w:tcPr>
            <w:tcW w:w="3060" w:type="dxa"/>
            <w:vAlign w:val="bottom"/>
          </w:tcPr>
          <w:p>
            <w:pPr>
              <w:ind w:left="20"/>
              <w:spacing w:after="0"/>
              <w:rPr>
                <w:sz w:val="20"/>
                <w:szCs w:val="20"/>
                <w:color w:val="auto"/>
              </w:rPr>
            </w:pPr>
            <w:r>
              <w:rPr>
                <w:rFonts w:ascii="Arial" w:cs="Arial" w:eastAsia="Arial" w:hAnsi="Arial"/>
                <w:sz w:val="13"/>
                <w:szCs w:val="13"/>
                <w:color w:val="auto"/>
              </w:rPr>
              <w:t>Room 335,</w:t>
            </w:r>
          </w:p>
        </w:tc>
        <w:tc>
          <w:tcPr>
            <w:tcW w:w="1720" w:type="dxa"/>
            <w:vAlign w:val="bottom"/>
          </w:tcPr>
          <w:p>
            <w:pPr>
              <w:ind w:left="8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No.8, An Ning Zhuang East Road,</w:t>
            </w:r>
          </w:p>
        </w:tc>
        <w:tc>
          <w:tcPr>
            <w:tcW w:w="17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Haidian District,</w:t>
            </w:r>
          </w:p>
        </w:tc>
        <w:tc>
          <w:tcPr>
            <w:tcW w:w="17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Beijing,</w:t>
            </w:r>
          </w:p>
        </w:tc>
        <w:tc>
          <w:tcPr>
            <w:tcW w:w="17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China</w:t>
            </w:r>
          </w:p>
        </w:tc>
        <w:tc>
          <w:tcPr>
            <w:tcW w:w="172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Clinical Research (Beijing) Co., Ltd</w:t>
            </w: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Floor 1-3,</w:t>
            </w:r>
          </w:p>
        </w:tc>
        <w:tc>
          <w:tcPr>
            <w:tcW w:w="17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Building No. 3,</w:t>
            </w:r>
          </w:p>
        </w:tc>
        <w:tc>
          <w:tcPr>
            <w:tcW w:w="172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 8 Hongda North Road,</w:t>
            </w:r>
          </w:p>
        </w:tc>
        <w:tc>
          <w:tcPr>
            <w:tcW w:w="172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Beijing Economic - Technologies Development Zone,</w:t>
            </w:r>
          </w:p>
        </w:tc>
        <w:tc>
          <w:tcPr>
            <w:tcW w:w="172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Beijing,</w:t>
            </w:r>
          </w:p>
        </w:tc>
        <w:tc>
          <w:tcPr>
            <w:tcW w:w="172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China</w:t>
            </w:r>
          </w:p>
        </w:tc>
        <w:tc>
          <w:tcPr>
            <w:tcW w:w="17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Ispitivanja ICON d.o.o (ICON Research Ltd.)</w:t>
            </w:r>
          </w:p>
        </w:tc>
        <w:tc>
          <w:tcPr>
            <w:tcW w:w="3060" w:type="dxa"/>
            <w:vAlign w:val="bottom"/>
          </w:tcPr>
          <w:p>
            <w:pPr>
              <w:ind w:left="20"/>
              <w:spacing w:after="0"/>
              <w:rPr>
                <w:sz w:val="20"/>
                <w:szCs w:val="20"/>
                <w:color w:val="auto"/>
              </w:rPr>
            </w:pPr>
            <w:r>
              <w:rPr>
                <w:rFonts w:ascii="Arial" w:cs="Arial" w:eastAsia="Arial" w:hAnsi="Arial"/>
                <w:sz w:val="13"/>
                <w:szCs w:val="13"/>
                <w:color w:val="auto"/>
              </w:rPr>
              <w:t>Zagreb,</w:t>
            </w:r>
          </w:p>
        </w:tc>
        <w:tc>
          <w:tcPr>
            <w:tcW w:w="1720" w:type="dxa"/>
            <w:vAlign w:val="bottom"/>
          </w:tcPr>
          <w:p>
            <w:pPr>
              <w:ind w:left="8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Radnicka cesta 80,</w:t>
            </w:r>
          </w:p>
        </w:tc>
        <w:tc>
          <w:tcPr>
            <w:tcW w:w="17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Croatia</w:t>
            </w:r>
          </w:p>
        </w:tc>
        <w:tc>
          <w:tcPr>
            <w:tcW w:w="172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Clinical Research s.r.o.</w:t>
            </w: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V parku 2335/20,</w:t>
            </w:r>
          </w:p>
        </w:tc>
        <w:tc>
          <w:tcPr>
            <w:tcW w:w="17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Praha 4 - Chodov,</w:t>
            </w:r>
          </w:p>
        </w:tc>
        <w:tc>
          <w:tcPr>
            <w:tcW w:w="172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PSČ 148 00</w:t>
            </w:r>
          </w:p>
        </w:tc>
        <w:tc>
          <w:tcPr>
            <w:tcW w:w="172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Czech Republic</w:t>
            </w:r>
          </w:p>
        </w:tc>
        <w:tc>
          <w:tcPr>
            <w:tcW w:w="17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DOCS International Nordic Countries A/S</w:t>
            </w:r>
          </w:p>
        </w:tc>
        <w:tc>
          <w:tcPr>
            <w:tcW w:w="3060" w:type="dxa"/>
            <w:vAlign w:val="bottom"/>
          </w:tcPr>
          <w:p>
            <w:pPr>
              <w:ind w:left="20"/>
              <w:spacing w:after="0"/>
              <w:rPr>
                <w:sz w:val="20"/>
                <w:szCs w:val="20"/>
                <w:color w:val="auto"/>
              </w:rPr>
            </w:pPr>
            <w:r>
              <w:rPr>
                <w:rFonts w:ascii="Arial" w:cs="Arial" w:eastAsia="Arial" w:hAnsi="Arial"/>
                <w:sz w:val="13"/>
                <w:szCs w:val="13"/>
                <w:color w:val="auto"/>
              </w:rPr>
              <w:t>c/o Husen Advokater,</w:t>
            </w:r>
          </w:p>
        </w:tc>
        <w:tc>
          <w:tcPr>
            <w:tcW w:w="1720" w:type="dxa"/>
            <w:vAlign w:val="bottom"/>
          </w:tcPr>
          <w:p>
            <w:pPr>
              <w:ind w:left="8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Bryggernes Plads,</w:t>
            </w:r>
          </w:p>
        </w:tc>
        <w:tc>
          <w:tcPr>
            <w:tcW w:w="17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2 sal,</w:t>
            </w:r>
          </w:p>
        </w:tc>
        <w:tc>
          <w:tcPr>
            <w:tcW w:w="17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1799 København V,</w:t>
            </w:r>
          </w:p>
        </w:tc>
        <w:tc>
          <w:tcPr>
            <w:tcW w:w="17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Denmark</w:t>
            </w:r>
          </w:p>
        </w:tc>
        <w:tc>
          <w:tcPr>
            <w:tcW w:w="172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DOCS International Finland Oy</w:t>
            </w: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Mannerheimintie 12B,</w:t>
            </w:r>
          </w:p>
        </w:tc>
        <w:tc>
          <w:tcPr>
            <w:tcW w:w="17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00100 Helsinki,</w:t>
            </w:r>
          </w:p>
        </w:tc>
        <w:tc>
          <w:tcPr>
            <w:tcW w:w="172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Finland</w:t>
            </w:r>
          </w:p>
        </w:tc>
        <w:tc>
          <w:tcPr>
            <w:tcW w:w="17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DOCS International France S.A.S.</w:t>
            </w:r>
          </w:p>
        </w:tc>
        <w:tc>
          <w:tcPr>
            <w:tcW w:w="3060" w:type="dxa"/>
            <w:vAlign w:val="bottom"/>
          </w:tcPr>
          <w:p>
            <w:pPr>
              <w:ind w:left="20"/>
              <w:spacing w:after="0"/>
              <w:rPr>
                <w:sz w:val="20"/>
                <w:szCs w:val="20"/>
                <w:color w:val="auto"/>
              </w:rPr>
            </w:pPr>
            <w:r>
              <w:rPr>
                <w:rFonts w:ascii="Arial" w:cs="Arial" w:eastAsia="Arial" w:hAnsi="Arial"/>
                <w:sz w:val="13"/>
                <w:szCs w:val="13"/>
                <w:color w:val="auto"/>
              </w:rPr>
              <w:t>55 Avenue des Champs Pierreux,</w:t>
            </w:r>
          </w:p>
        </w:tc>
        <w:tc>
          <w:tcPr>
            <w:tcW w:w="1720" w:type="dxa"/>
            <w:vAlign w:val="bottom"/>
          </w:tcPr>
          <w:p>
            <w:pPr>
              <w:ind w:left="8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Immeuble le Capitole,</w:t>
            </w:r>
          </w:p>
        </w:tc>
        <w:tc>
          <w:tcPr>
            <w:tcW w:w="17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92000 Nanterre,</w:t>
            </w:r>
          </w:p>
        </w:tc>
        <w:tc>
          <w:tcPr>
            <w:tcW w:w="17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53"/>
        </w:trPr>
        <w:tc>
          <w:tcPr>
            <w:tcW w:w="4060" w:type="dxa"/>
            <w:vAlign w:val="bottom"/>
          </w:tcPr>
          <w:p>
            <w:pPr>
              <w:spacing w:after="0"/>
              <w:rPr>
                <w:sz w:val="13"/>
                <w:szCs w:val="13"/>
                <w:color w:val="auto"/>
              </w:rPr>
            </w:pPr>
          </w:p>
        </w:tc>
        <w:tc>
          <w:tcPr>
            <w:tcW w:w="3060" w:type="dxa"/>
            <w:vAlign w:val="bottom"/>
          </w:tcPr>
          <w:p>
            <w:pPr>
              <w:ind w:left="20"/>
              <w:spacing w:after="0"/>
              <w:rPr>
                <w:sz w:val="20"/>
                <w:szCs w:val="20"/>
                <w:color w:val="auto"/>
              </w:rPr>
            </w:pPr>
            <w:r>
              <w:rPr>
                <w:rFonts w:ascii="Arial" w:cs="Arial" w:eastAsia="Arial" w:hAnsi="Arial"/>
                <w:sz w:val="13"/>
                <w:szCs w:val="13"/>
                <w:color w:val="auto"/>
              </w:rPr>
              <w:t>France</w:t>
            </w:r>
          </w:p>
        </w:tc>
        <w:tc>
          <w:tcPr>
            <w:tcW w:w="1720" w:type="dxa"/>
            <w:vAlign w:val="bottom"/>
          </w:tcPr>
          <w:p>
            <w:pPr>
              <w:spacing w:after="0"/>
              <w:rPr>
                <w:sz w:val="13"/>
                <w:szCs w:val="13"/>
                <w:color w:val="auto"/>
              </w:rPr>
            </w:pPr>
          </w:p>
        </w:tc>
        <w:tc>
          <w:tcPr>
            <w:tcW w:w="2420" w:type="dxa"/>
            <w:vAlign w:val="bottom"/>
          </w:tcPr>
          <w:p>
            <w:pPr>
              <w:spacing w:after="0"/>
              <w:rPr>
                <w:sz w:val="13"/>
                <w:szCs w:val="13"/>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1260"/>
          </w:cols>
          <w:pgMar w:left="300" w:top="696"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0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Registered Office</w:t>
            </w:r>
          </w:p>
        </w:tc>
        <w:tc>
          <w:tcPr>
            <w:tcW w:w="174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Nature of business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69"/>
        </w:trPr>
        <w:tc>
          <w:tcPr>
            <w:tcW w:w="4060" w:type="dxa"/>
            <w:vAlign w:val="bottom"/>
            <w:shd w:val="clear" w:color="auto" w:fill="CCEEFF"/>
          </w:tcPr>
          <w:p>
            <w:pPr>
              <w:spacing w:after="0"/>
              <w:rPr>
                <w:sz w:val="14"/>
                <w:szCs w:val="14"/>
                <w:color w:val="auto"/>
              </w:rPr>
            </w:pPr>
          </w:p>
        </w:tc>
        <w:tc>
          <w:tcPr>
            <w:tcW w:w="30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86"/>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Clinical Research S.A.R.L.</w:t>
            </w:r>
          </w:p>
        </w:tc>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55 Avenue des Champs Pierreux,</w:t>
            </w:r>
          </w:p>
        </w:tc>
        <w:tc>
          <w:tcPr>
            <w:tcW w:w="1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Immeuble le Capitole,</w:t>
            </w:r>
          </w:p>
        </w:tc>
        <w:tc>
          <w:tcPr>
            <w:tcW w:w="17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92000 Nanterre,</w:t>
            </w:r>
          </w:p>
        </w:tc>
        <w:tc>
          <w:tcPr>
            <w:tcW w:w="17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France</w:t>
            </w:r>
          </w:p>
        </w:tc>
        <w:tc>
          <w:tcPr>
            <w:tcW w:w="174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Mapi Développement SAS</w:t>
            </w:r>
          </w:p>
        </w:tc>
        <w:tc>
          <w:tcPr>
            <w:tcW w:w="3040" w:type="dxa"/>
            <w:vAlign w:val="bottom"/>
          </w:tcPr>
          <w:p>
            <w:pPr>
              <w:ind w:left="20"/>
              <w:spacing w:after="0"/>
              <w:rPr>
                <w:sz w:val="20"/>
                <w:szCs w:val="20"/>
                <w:color w:val="auto"/>
              </w:rPr>
            </w:pPr>
            <w:r>
              <w:rPr>
                <w:rFonts w:ascii="Arial" w:cs="Arial" w:eastAsia="Arial" w:hAnsi="Arial"/>
                <w:sz w:val="13"/>
                <w:szCs w:val="13"/>
                <w:color w:val="auto"/>
              </w:rPr>
              <w:t>27 rue de la Villette,</w:t>
            </w:r>
          </w:p>
        </w:tc>
        <w:tc>
          <w:tcPr>
            <w:tcW w:w="1740" w:type="dxa"/>
            <w:vAlign w:val="bottom"/>
          </w:tcPr>
          <w:p>
            <w:pPr>
              <w:ind w:left="10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3040" w:type="dxa"/>
            <w:vAlign w:val="bottom"/>
          </w:tcPr>
          <w:p>
            <w:pPr>
              <w:ind w:left="20"/>
              <w:spacing w:after="0"/>
              <w:rPr>
                <w:sz w:val="20"/>
                <w:szCs w:val="20"/>
                <w:color w:val="auto"/>
              </w:rPr>
            </w:pPr>
            <w:r>
              <w:rPr>
                <w:rFonts w:ascii="Arial" w:cs="Arial" w:eastAsia="Arial" w:hAnsi="Arial"/>
                <w:sz w:val="13"/>
                <w:szCs w:val="13"/>
                <w:color w:val="auto"/>
              </w:rPr>
              <w:t>69003 Lyon,</w:t>
            </w:r>
          </w:p>
        </w:tc>
        <w:tc>
          <w:tcPr>
            <w:tcW w:w="17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3040" w:type="dxa"/>
            <w:vAlign w:val="bottom"/>
          </w:tcPr>
          <w:p>
            <w:pPr>
              <w:ind w:left="20"/>
              <w:spacing w:after="0"/>
              <w:rPr>
                <w:sz w:val="20"/>
                <w:szCs w:val="20"/>
                <w:color w:val="auto"/>
              </w:rPr>
            </w:pPr>
            <w:r>
              <w:rPr>
                <w:rFonts w:ascii="Arial" w:cs="Arial" w:eastAsia="Arial" w:hAnsi="Arial"/>
                <w:sz w:val="13"/>
                <w:szCs w:val="13"/>
                <w:color w:val="auto"/>
              </w:rPr>
              <w:t>France</w:t>
            </w:r>
          </w:p>
        </w:tc>
        <w:tc>
          <w:tcPr>
            <w:tcW w:w="174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9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Mapi Research Trust****</w:t>
            </w:r>
          </w:p>
        </w:tc>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27 rue de la Villette, 69003 Lyon, France</w:t>
            </w:r>
          </w:p>
        </w:tc>
        <w:tc>
          <w:tcPr>
            <w:tcW w:w="1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83"/>
        </w:trPr>
        <w:tc>
          <w:tcPr>
            <w:tcW w:w="4060" w:type="dxa"/>
            <w:vAlign w:val="bottom"/>
          </w:tcPr>
          <w:p>
            <w:pPr>
              <w:ind w:left="20"/>
              <w:spacing w:after="0"/>
              <w:rPr>
                <w:sz w:val="20"/>
                <w:szCs w:val="20"/>
                <w:color w:val="auto"/>
              </w:rPr>
            </w:pPr>
            <w:r>
              <w:rPr>
                <w:rFonts w:ascii="Arial" w:cs="Arial" w:eastAsia="Arial" w:hAnsi="Arial"/>
                <w:sz w:val="13"/>
                <w:szCs w:val="13"/>
                <w:color w:val="auto"/>
              </w:rPr>
              <w:t>Mapi SAS</w:t>
            </w:r>
          </w:p>
        </w:tc>
        <w:tc>
          <w:tcPr>
            <w:tcW w:w="3040" w:type="dxa"/>
            <w:vAlign w:val="bottom"/>
          </w:tcPr>
          <w:p>
            <w:pPr>
              <w:ind w:left="20"/>
              <w:spacing w:after="0"/>
              <w:rPr>
                <w:sz w:val="20"/>
                <w:szCs w:val="20"/>
                <w:color w:val="auto"/>
              </w:rPr>
            </w:pPr>
            <w:r>
              <w:rPr>
                <w:rFonts w:ascii="Arial" w:cs="Arial" w:eastAsia="Arial" w:hAnsi="Arial"/>
                <w:sz w:val="13"/>
                <w:szCs w:val="13"/>
                <w:color w:val="auto"/>
              </w:rPr>
              <w:t>27 rue de la Villette, 69003 Lyon, France</w:t>
            </w:r>
          </w:p>
        </w:tc>
        <w:tc>
          <w:tcPr>
            <w:tcW w:w="1740" w:type="dxa"/>
            <w:vAlign w:val="bottom"/>
          </w:tcPr>
          <w:p>
            <w:pPr>
              <w:ind w:left="10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DOCS International Germany GmbH</w:t>
            </w:r>
          </w:p>
        </w:tc>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Konrad-Zuse-Platz 11</w:t>
            </w:r>
          </w:p>
        </w:tc>
        <w:tc>
          <w:tcPr>
            <w:tcW w:w="1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81829 München</w:t>
            </w:r>
          </w:p>
        </w:tc>
        <w:tc>
          <w:tcPr>
            <w:tcW w:w="17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Germany</w:t>
            </w:r>
          </w:p>
        </w:tc>
        <w:tc>
          <w:tcPr>
            <w:tcW w:w="174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ICON Clinical Research GmbH</w:t>
            </w:r>
          </w:p>
        </w:tc>
        <w:tc>
          <w:tcPr>
            <w:tcW w:w="3040" w:type="dxa"/>
            <w:vAlign w:val="bottom"/>
          </w:tcPr>
          <w:p>
            <w:pPr>
              <w:ind w:left="20"/>
              <w:spacing w:after="0"/>
              <w:rPr>
                <w:sz w:val="20"/>
                <w:szCs w:val="20"/>
                <w:color w:val="auto"/>
              </w:rPr>
            </w:pPr>
            <w:r>
              <w:rPr>
                <w:rFonts w:ascii="Arial" w:cs="Arial" w:eastAsia="Arial" w:hAnsi="Arial"/>
                <w:sz w:val="13"/>
                <w:szCs w:val="13"/>
                <w:color w:val="auto"/>
              </w:rPr>
              <w:t>Heinrich-Hertz-Straße 26,</w:t>
            </w:r>
          </w:p>
        </w:tc>
        <w:tc>
          <w:tcPr>
            <w:tcW w:w="1740" w:type="dxa"/>
            <w:vAlign w:val="bottom"/>
          </w:tcPr>
          <w:p>
            <w:pPr>
              <w:ind w:left="10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3040" w:type="dxa"/>
            <w:vAlign w:val="bottom"/>
          </w:tcPr>
          <w:p>
            <w:pPr>
              <w:ind w:left="20"/>
              <w:spacing w:after="0"/>
              <w:rPr>
                <w:sz w:val="20"/>
                <w:szCs w:val="20"/>
                <w:color w:val="auto"/>
              </w:rPr>
            </w:pPr>
            <w:r>
              <w:rPr>
                <w:rFonts w:ascii="Arial" w:cs="Arial" w:eastAsia="Arial" w:hAnsi="Arial"/>
                <w:sz w:val="13"/>
                <w:szCs w:val="13"/>
                <w:color w:val="auto"/>
              </w:rPr>
              <w:t>63225,</w:t>
            </w:r>
          </w:p>
        </w:tc>
        <w:tc>
          <w:tcPr>
            <w:tcW w:w="17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3040" w:type="dxa"/>
            <w:vAlign w:val="bottom"/>
          </w:tcPr>
          <w:p>
            <w:pPr>
              <w:ind w:left="20"/>
              <w:spacing w:after="0"/>
              <w:rPr>
                <w:sz w:val="20"/>
                <w:szCs w:val="20"/>
                <w:color w:val="auto"/>
              </w:rPr>
            </w:pPr>
            <w:r>
              <w:rPr>
                <w:rFonts w:ascii="Arial" w:cs="Arial" w:eastAsia="Arial" w:hAnsi="Arial"/>
                <w:sz w:val="13"/>
                <w:szCs w:val="13"/>
                <w:color w:val="auto"/>
              </w:rPr>
              <w:t>Langen,</w:t>
            </w:r>
          </w:p>
        </w:tc>
        <w:tc>
          <w:tcPr>
            <w:tcW w:w="17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3040" w:type="dxa"/>
            <w:vAlign w:val="bottom"/>
          </w:tcPr>
          <w:p>
            <w:pPr>
              <w:ind w:left="20"/>
              <w:spacing w:after="0"/>
              <w:rPr>
                <w:sz w:val="20"/>
                <w:szCs w:val="20"/>
                <w:color w:val="auto"/>
              </w:rPr>
            </w:pPr>
            <w:r>
              <w:rPr>
                <w:rFonts w:ascii="Arial" w:cs="Arial" w:eastAsia="Arial" w:hAnsi="Arial"/>
                <w:sz w:val="13"/>
                <w:szCs w:val="13"/>
                <w:color w:val="auto"/>
              </w:rPr>
              <w:t>Hessen,</w:t>
            </w:r>
          </w:p>
        </w:tc>
        <w:tc>
          <w:tcPr>
            <w:tcW w:w="17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3040" w:type="dxa"/>
            <w:vAlign w:val="bottom"/>
          </w:tcPr>
          <w:p>
            <w:pPr>
              <w:ind w:left="20"/>
              <w:spacing w:after="0"/>
              <w:rPr>
                <w:sz w:val="20"/>
                <w:szCs w:val="20"/>
                <w:color w:val="auto"/>
              </w:rPr>
            </w:pPr>
            <w:r>
              <w:rPr>
                <w:rFonts w:ascii="Arial" w:cs="Arial" w:eastAsia="Arial" w:hAnsi="Arial"/>
                <w:sz w:val="13"/>
                <w:szCs w:val="13"/>
                <w:color w:val="auto"/>
              </w:rPr>
              <w:t>Germany</w:t>
            </w:r>
          </w:p>
        </w:tc>
        <w:tc>
          <w:tcPr>
            <w:tcW w:w="174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45"/>
        </w:trPr>
        <w:tc>
          <w:tcPr>
            <w:tcW w:w="406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ICON Clinical Research Hong Kong Limited</w:t>
            </w:r>
          </w:p>
        </w:tc>
        <w:tc>
          <w:tcPr>
            <w:tcW w:w="304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 xml:space="preserve">Unit 4333 &amp; 4335C, 43/F, </w:t>
            </w:r>
            <w:r>
              <w:rPr>
                <w:rFonts w:ascii="MS PGothic" w:cs="MS PGothic" w:eastAsia="MS PGothic" w:hAnsi="MS PGothic"/>
                <w:sz w:val="13"/>
                <w:szCs w:val="13"/>
                <w:color w:val="auto"/>
              </w:rPr>
              <w:t> </w:t>
            </w:r>
            <w:r>
              <w:rPr>
                <w:rFonts w:ascii="Arial" w:cs="Arial" w:eastAsia="Arial" w:hAnsi="Arial"/>
                <w:sz w:val="13"/>
                <w:szCs w:val="13"/>
                <w:color w:val="auto"/>
              </w:rPr>
              <w:t xml:space="preserve">AIA Tower, </w:t>
            </w:r>
            <w:r>
              <w:rPr>
                <w:rFonts w:ascii="MS PGothic" w:cs="MS PGothic" w:eastAsia="MS PGothic" w:hAnsi="MS PGothic"/>
                <w:sz w:val="13"/>
                <w:szCs w:val="13"/>
                <w:color w:val="auto"/>
              </w:rPr>
              <w:t> </w:t>
            </w:r>
            <w:r>
              <w:rPr>
                <w:rFonts w:ascii="Arial" w:cs="Arial" w:eastAsia="Arial" w:hAnsi="Arial"/>
                <w:sz w:val="13"/>
                <w:szCs w:val="13"/>
                <w:color w:val="auto"/>
              </w:rPr>
              <w:t>183 Electric</w:t>
            </w:r>
          </w:p>
        </w:tc>
        <w:tc>
          <w:tcPr>
            <w:tcW w:w="174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100%</w:t>
            </w:r>
          </w:p>
        </w:tc>
      </w:tr>
      <w:tr>
        <w:trPr>
          <w:trHeight w:val="200"/>
        </w:trPr>
        <w:tc>
          <w:tcPr>
            <w:tcW w:w="4060" w:type="dxa"/>
            <w:vAlign w:val="bottom"/>
            <w:shd w:val="clear" w:color="auto" w:fill="CCEEFF"/>
          </w:tcPr>
          <w:p>
            <w:pPr>
              <w:spacing w:after="0"/>
              <w:rPr>
                <w:sz w:val="17"/>
                <w:szCs w:val="17"/>
                <w:color w:val="auto"/>
              </w:rPr>
            </w:pPr>
          </w:p>
        </w:tc>
        <w:tc>
          <w:tcPr>
            <w:tcW w:w="3040" w:type="dxa"/>
            <w:vAlign w:val="bottom"/>
            <w:shd w:val="clear" w:color="auto" w:fill="CCEEFF"/>
          </w:tcPr>
          <w:p>
            <w:pPr>
              <w:ind w:left="20"/>
              <w:spacing w:after="0" w:line="150" w:lineRule="exact"/>
              <w:rPr>
                <w:sz w:val="20"/>
                <w:szCs w:val="20"/>
                <w:color w:val="auto"/>
              </w:rPr>
            </w:pPr>
            <w:r>
              <w:rPr>
                <w:rFonts w:ascii="Arial" w:cs="Arial" w:eastAsia="Arial" w:hAnsi="Arial"/>
                <w:sz w:val="13"/>
                <w:szCs w:val="13"/>
                <w:color w:val="auto"/>
              </w:rPr>
              <w:t xml:space="preserve">Road, </w:t>
            </w:r>
            <w:r>
              <w:rPr>
                <w:rFonts w:ascii="MS PGothic" w:cs="MS PGothic" w:eastAsia="MS PGothic" w:hAnsi="MS PGothic"/>
                <w:sz w:val="13"/>
                <w:szCs w:val="13"/>
                <w:color w:val="auto"/>
              </w:rPr>
              <w:t> </w:t>
            </w:r>
            <w:r>
              <w:rPr>
                <w:rFonts w:ascii="Arial" w:cs="Arial" w:eastAsia="Arial" w:hAnsi="Arial"/>
                <w:sz w:val="13"/>
                <w:szCs w:val="13"/>
                <w:color w:val="auto"/>
              </w:rPr>
              <w:t xml:space="preserve">North Point, </w:t>
            </w:r>
            <w:r>
              <w:rPr>
                <w:rFonts w:ascii="MS PGothic" w:cs="MS PGothic" w:eastAsia="MS PGothic" w:hAnsi="MS PGothic"/>
                <w:sz w:val="13"/>
                <w:szCs w:val="13"/>
                <w:color w:val="auto"/>
              </w:rPr>
              <w:t> </w:t>
            </w:r>
            <w:r>
              <w:rPr>
                <w:rFonts w:ascii="Arial" w:cs="Arial" w:eastAsia="Arial" w:hAnsi="Arial"/>
                <w:sz w:val="13"/>
                <w:szCs w:val="13"/>
                <w:color w:val="auto"/>
              </w:rPr>
              <w:t>Hong Kong</w:t>
            </w:r>
          </w:p>
        </w:tc>
        <w:tc>
          <w:tcPr>
            <w:tcW w:w="17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r>
      <w:tr>
        <w:trPr>
          <w:trHeight w:val="129"/>
        </w:trPr>
        <w:tc>
          <w:tcPr>
            <w:tcW w:w="4060" w:type="dxa"/>
            <w:vAlign w:val="bottom"/>
            <w:shd w:val="clear" w:color="auto" w:fill="CCEEFF"/>
          </w:tcPr>
          <w:p>
            <w:pPr>
              <w:spacing w:after="0"/>
              <w:rPr>
                <w:sz w:val="11"/>
                <w:szCs w:val="11"/>
                <w:color w:val="auto"/>
              </w:rPr>
            </w:pPr>
          </w:p>
        </w:tc>
        <w:tc>
          <w:tcPr>
            <w:tcW w:w="30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ICON Klinikai Kutató Korlátolt Felelősségű Társaság</w:t>
            </w:r>
          </w:p>
        </w:tc>
        <w:tc>
          <w:tcPr>
            <w:tcW w:w="3040" w:type="dxa"/>
            <w:vAlign w:val="bottom"/>
          </w:tcPr>
          <w:p>
            <w:pPr>
              <w:ind w:left="20"/>
              <w:spacing w:after="0"/>
              <w:rPr>
                <w:sz w:val="20"/>
                <w:szCs w:val="20"/>
                <w:color w:val="auto"/>
              </w:rPr>
            </w:pPr>
            <w:r>
              <w:rPr>
                <w:rFonts w:ascii="Arial" w:cs="Arial" w:eastAsia="Arial" w:hAnsi="Arial"/>
                <w:sz w:val="13"/>
                <w:szCs w:val="13"/>
                <w:color w:val="auto"/>
              </w:rPr>
              <w:t>1037 Budapest,</w:t>
            </w:r>
          </w:p>
        </w:tc>
        <w:tc>
          <w:tcPr>
            <w:tcW w:w="1740" w:type="dxa"/>
            <w:vAlign w:val="bottom"/>
          </w:tcPr>
          <w:p>
            <w:pPr>
              <w:ind w:left="10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ind w:left="20"/>
              <w:spacing w:after="0"/>
              <w:rPr>
                <w:sz w:val="20"/>
                <w:szCs w:val="20"/>
                <w:color w:val="auto"/>
              </w:rPr>
            </w:pPr>
            <w:r>
              <w:rPr>
                <w:rFonts w:ascii="Arial" w:cs="Arial" w:eastAsia="Arial" w:hAnsi="Arial"/>
                <w:sz w:val="13"/>
                <w:szCs w:val="13"/>
                <w:color w:val="auto"/>
              </w:rPr>
              <w:t>(ICON Clinical Research Limited Liability Company)</w:t>
            </w:r>
          </w:p>
        </w:tc>
        <w:tc>
          <w:tcPr>
            <w:tcW w:w="3040" w:type="dxa"/>
            <w:vAlign w:val="bottom"/>
          </w:tcPr>
          <w:p>
            <w:pPr>
              <w:ind w:left="20"/>
              <w:spacing w:after="0"/>
              <w:rPr>
                <w:sz w:val="20"/>
                <w:szCs w:val="20"/>
                <w:color w:val="auto"/>
              </w:rPr>
            </w:pPr>
            <w:r>
              <w:rPr>
                <w:rFonts w:ascii="Arial" w:cs="Arial" w:eastAsia="Arial" w:hAnsi="Arial"/>
                <w:sz w:val="13"/>
                <w:szCs w:val="13"/>
                <w:color w:val="auto"/>
              </w:rPr>
              <w:t>Szépvölgyi út 39.,</w:t>
            </w:r>
          </w:p>
        </w:tc>
        <w:tc>
          <w:tcPr>
            <w:tcW w:w="17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3040" w:type="dxa"/>
            <w:vAlign w:val="bottom"/>
          </w:tcPr>
          <w:p>
            <w:pPr>
              <w:ind w:left="20"/>
              <w:spacing w:after="0"/>
              <w:rPr>
                <w:sz w:val="20"/>
                <w:szCs w:val="20"/>
                <w:color w:val="auto"/>
              </w:rPr>
            </w:pPr>
            <w:r>
              <w:rPr>
                <w:rFonts w:ascii="Arial" w:cs="Arial" w:eastAsia="Arial" w:hAnsi="Arial"/>
                <w:sz w:val="13"/>
                <w:szCs w:val="13"/>
                <w:color w:val="auto"/>
              </w:rPr>
              <w:t>Hungary</w:t>
            </w:r>
          </w:p>
        </w:tc>
        <w:tc>
          <w:tcPr>
            <w:tcW w:w="174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Clinical Research India Private Limited</w:t>
            </w:r>
          </w:p>
        </w:tc>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CHENNAI ONE IT PARK ITE/ITES SEZ North Block</w:t>
            </w:r>
          </w:p>
        </w:tc>
        <w:tc>
          <w:tcPr>
            <w:tcW w:w="1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Block B, 4th Floor, Thoraipakkam</w:t>
            </w:r>
          </w:p>
        </w:tc>
        <w:tc>
          <w:tcPr>
            <w:tcW w:w="17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Chennai</w:t>
            </w:r>
          </w:p>
        </w:tc>
        <w:tc>
          <w:tcPr>
            <w:tcW w:w="17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Tamil Nadu-TN</w:t>
            </w:r>
          </w:p>
        </w:tc>
        <w:tc>
          <w:tcPr>
            <w:tcW w:w="17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600097</w:t>
            </w:r>
          </w:p>
        </w:tc>
        <w:tc>
          <w:tcPr>
            <w:tcW w:w="17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India</w:t>
            </w:r>
          </w:p>
        </w:tc>
        <w:tc>
          <w:tcPr>
            <w:tcW w:w="174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DOCS Resourcing Limited</w:t>
            </w:r>
          </w:p>
        </w:tc>
        <w:tc>
          <w:tcPr>
            <w:tcW w:w="3040" w:type="dxa"/>
            <w:vAlign w:val="bottom"/>
          </w:tcPr>
          <w:p>
            <w:pPr>
              <w:ind w:left="20"/>
              <w:spacing w:after="0"/>
              <w:rPr>
                <w:sz w:val="20"/>
                <w:szCs w:val="20"/>
                <w:color w:val="auto"/>
              </w:rPr>
            </w:pPr>
            <w:r>
              <w:rPr>
                <w:rFonts w:ascii="Arial" w:cs="Arial" w:eastAsia="Arial" w:hAnsi="Arial"/>
                <w:sz w:val="13"/>
                <w:szCs w:val="13"/>
                <w:color w:val="auto"/>
              </w:rPr>
              <w:t>South County Business Park,</w:t>
            </w:r>
          </w:p>
        </w:tc>
        <w:tc>
          <w:tcPr>
            <w:tcW w:w="1740" w:type="dxa"/>
            <w:vAlign w:val="bottom"/>
          </w:tcPr>
          <w:p>
            <w:pPr>
              <w:ind w:left="10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3040" w:type="dxa"/>
            <w:vAlign w:val="bottom"/>
          </w:tcPr>
          <w:p>
            <w:pPr>
              <w:ind w:left="20"/>
              <w:spacing w:after="0"/>
              <w:rPr>
                <w:sz w:val="20"/>
                <w:szCs w:val="20"/>
                <w:color w:val="auto"/>
              </w:rPr>
            </w:pPr>
            <w:r>
              <w:rPr>
                <w:rFonts w:ascii="Arial" w:cs="Arial" w:eastAsia="Arial" w:hAnsi="Arial"/>
                <w:sz w:val="13"/>
                <w:szCs w:val="13"/>
                <w:color w:val="auto"/>
              </w:rPr>
              <w:t>Leopardstown,</w:t>
            </w:r>
          </w:p>
        </w:tc>
        <w:tc>
          <w:tcPr>
            <w:tcW w:w="17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3040" w:type="dxa"/>
            <w:vAlign w:val="bottom"/>
          </w:tcPr>
          <w:p>
            <w:pPr>
              <w:ind w:left="20"/>
              <w:spacing w:after="0"/>
              <w:rPr>
                <w:sz w:val="20"/>
                <w:szCs w:val="20"/>
                <w:color w:val="auto"/>
              </w:rPr>
            </w:pPr>
            <w:r>
              <w:rPr>
                <w:rFonts w:ascii="Arial" w:cs="Arial" w:eastAsia="Arial" w:hAnsi="Arial"/>
                <w:sz w:val="13"/>
                <w:szCs w:val="13"/>
                <w:color w:val="auto"/>
              </w:rPr>
              <w:t>Dublin 18,</w:t>
            </w:r>
          </w:p>
        </w:tc>
        <w:tc>
          <w:tcPr>
            <w:tcW w:w="17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3040" w:type="dxa"/>
            <w:vAlign w:val="bottom"/>
          </w:tcPr>
          <w:p>
            <w:pPr>
              <w:ind w:left="20"/>
              <w:spacing w:after="0"/>
              <w:rPr>
                <w:sz w:val="20"/>
                <w:szCs w:val="20"/>
                <w:color w:val="auto"/>
              </w:rPr>
            </w:pPr>
            <w:r>
              <w:rPr>
                <w:rFonts w:ascii="Arial" w:cs="Arial" w:eastAsia="Arial" w:hAnsi="Arial"/>
                <w:sz w:val="13"/>
                <w:szCs w:val="13"/>
                <w:color w:val="auto"/>
              </w:rPr>
              <w:t>Republic of Ireland</w:t>
            </w:r>
          </w:p>
        </w:tc>
        <w:tc>
          <w:tcPr>
            <w:tcW w:w="174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(LR) Limited</w:t>
            </w:r>
          </w:p>
        </w:tc>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 County Business Park,</w:t>
            </w:r>
          </w:p>
        </w:tc>
        <w:tc>
          <w:tcPr>
            <w:tcW w:w="1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Leopardstown,</w:t>
            </w:r>
          </w:p>
        </w:tc>
        <w:tc>
          <w:tcPr>
            <w:tcW w:w="17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Dublin 18,</w:t>
            </w:r>
          </w:p>
        </w:tc>
        <w:tc>
          <w:tcPr>
            <w:tcW w:w="17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Republic of Ireland</w:t>
            </w:r>
          </w:p>
        </w:tc>
        <w:tc>
          <w:tcPr>
            <w:tcW w:w="174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260"/>
          </w:cols>
          <w:pgMar w:left="300" w:top="696"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Registered Office</w:t>
            </w:r>
          </w:p>
        </w:tc>
        <w:tc>
          <w:tcPr>
            <w:tcW w:w="2460" w:type="dxa"/>
            <w:vAlign w:val="bottom"/>
            <w:shd w:val="clear" w:color="auto" w:fill="CCEEFF"/>
          </w:tcPr>
          <w:p>
            <w:pPr>
              <w:ind w:left="740"/>
              <w:spacing w:after="0"/>
              <w:rPr>
                <w:sz w:val="20"/>
                <w:szCs w:val="20"/>
                <w:color w:val="auto"/>
              </w:rPr>
            </w:pPr>
            <w:r>
              <w:rPr>
                <w:rFonts w:ascii="Arial" w:cs="Arial" w:eastAsia="Arial" w:hAnsi="Arial"/>
                <w:sz w:val="13"/>
                <w:szCs w:val="13"/>
                <w:b w:val="1"/>
                <w:bCs w:val="1"/>
                <w:color w:val="auto"/>
              </w:rPr>
              <w:t>Nature of business</w:t>
            </w:r>
          </w:p>
        </w:tc>
        <w:tc>
          <w:tcPr>
            <w:tcW w:w="23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Proportion held by</w:t>
            </w:r>
          </w:p>
        </w:tc>
      </w:tr>
      <w:tr>
        <w:trPr>
          <w:trHeight w:val="184"/>
        </w:trPr>
        <w:tc>
          <w:tcPr>
            <w:tcW w:w="386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23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Group</w:t>
            </w:r>
          </w:p>
        </w:tc>
      </w:tr>
      <w:tr>
        <w:trPr>
          <w:trHeight w:val="171"/>
        </w:trPr>
        <w:tc>
          <w:tcPr>
            <w:tcW w:w="3860" w:type="dxa"/>
            <w:vAlign w:val="bottom"/>
          </w:tcPr>
          <w:p>
            <w:pPr>
              <w:ind w:left="20"/>
              <w:spacing w:after="0"/>
              <w:rPr>
                <w:sz w:val="20"/>
                <w:szCs w:val="20"/>
                <w:color w:val="auto"/>
              </w:rPr>
            </w:pPr>
            <w:r>
              <w:rPr>
                <w:rFonts w:ascii="Arial" w:cs="Arial" w:eastAsia="Arial" w:hAnsi="Arial"/>
                <w:sz w:val="13"/>
                <w:szCs w:val="13"/>
                <w:color w:val="auto"/>
              </w:rPr>
              <w:t>ICON Clinical International Unlimited Company</w:t>
            </w:r>
          </w:p>
        </w:tc>
        <w:tc>
          <w:tcPr>
            <w:tcW w:w="2600" w:type="dxa"/>
            <w:vAlign w:val="bottom"/>
          </w:tcPr>
          <w:p>
            <w:pPr>
              <w:ind w:left="220"/>
              <w:spacing w:after="0"/>
              <w:rPr>
                <w:sz w:val="20"/>
                <w:szCs w:val="20"/>
                <w:color w:val="auto"/>
              </w:rPr>
            </w:pPr>
            <w:r>
              <w:rPr>
                <w:rFonts w:ascii="Arial" w:cs="Arial" w:eastAsia="Arial" w:hAnsi="Arial"/>
                <w:sz w:val="13"/>
                <w:szCs w:val="13"/>
                <w:color w:val="auto"/>
              </w:rPr>
              <w:t>South County Business Park,</w:t>
            </w:r>
          </w:p>
        </w:tc>
        <w:tc>
          <w:tcPr>
            <w:tcW w:w="2460" w:type="dxa"/>
            <w:vAlign w:val="bottom"/>
          </w:tcPr>
          <w:p>
            <w:pPr>
              <w:ind w:left="740"/>
              <w:spacing w:after="0"/>
              <w:rPr>
                <w:sz w:val="20"/>
                <w:szCs w:val="20"/>
                <w:color w:val="auto"/>
              </w:rPr>
            </w:pPr>
            <w:r>
              <w:rPr>
                <w:rFonts w:ascii="Arial" w:cs="Arial" w:eastAsia="Arial" w:hAnsi="Arial"/>
                <w:sz w:val="13"/>
                <w:szCs w:val="13"/>
                <w:color w:val="auto"/>
              </w:rPr>
              <w:t>Clinical research services</w:t>
            </w:r>
          </w:p>
        </w:tc>
        <w:tc>
          <w:tcPr>
            <w:tcW w:w="2340" w:type="dxa"/>
            <w:vAlign w:val="bottom"/>
          </w:tcPr>
          <w:p>
            <w:pPr>
              <w:ind w:left="120"/>
              <w:spacing w:after="0"/>
              <w:rPr>
                <w:sz w:val="20"/>
                <w:szCs w:val="20"/>
                <w:color w:val="auto"/>
              </w:rPr>
            </w:pPr>
            <w:r>
              <w:rPr>
                <w:rFonts w:ascii="Arial" w:cs="Arial" w:eastAsia="Arial" w:hAnsi="Arial"/>
                <w:sz w:val="13"/>
                <w:szCs w:val="13"/>
                <w:color w:val="auto"/>
              </w:rPr>
              <w:t>100%</w:t>
            </w:r>
          </w:p>
        </w:tc>
      </w:tr>
      <w:tr>
        <w:trPr>
          <w:trHeight w:val="149"/>
        </w:trPr>
        <w:tc>
          <w:tcPr>
            <w:tcW w:w="3860" w:type="dxa"/>
            <w:vAlign w:val="bottom"/>
          </w:tcPr>
          <w:p>
            <w:pPr>
              <w:spacing w:after="0"/>
              <w:rPr>
                <w:sz w:val="12"/>
                <w:szCs w:val="12"/>
                <w:color w:val="auto"/>
              </w:rPr>
            </w:pPr>
          </w:p>
        </w:tc>
        <w:tc>
          <w:tcPr>
            <w:tcW w:w="2600" w:type="dxa"/>
            <w:vAlign w:val="bottom"/>
          </w:tcPr>
          <w:p>
            <w:pPr>
              <w:ind w:left="220"/>
              <w:spacing w:after="0"/>
              <w:rPr>
                <w:sz w:val="20"/>
                <w:szCs w:val="20"/>
                <w:color w:val="auto"/>
              </w:rPr>
            </w:pPr>
            <w:r>
              <w:rPr>
                <w:rFonts w:ascii="Arial" w:cs="Arial" w:eastAsia="Arial" w:hAnsi="Arial"/>
                <w:sz w:val="13"/>
                <w:szCs w:val="13"/>
                <w:color w:val="auto"/>
              </w:rPr>
              <w:t>Leopardstown,</w:t>
            </w:r>
          </w:p>
        </w:tc>
        <w:tc>
          <w:tcPr>
            <w:tcW w:w="246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49"/>
        </w:trPr>
        <w:tc>
          <w:tcPr>
            <w:tcW w:w="3860" w:type="dxa"/>
            <w:vAlign w:val="bottom"/>
          </w:tcPr>
          <w:p>
            <w:pPr>
              <w:spacing w:after="0"/>
              <w:rPr>
                <w:sz w:val="12"/>
                <w:szCs w:val="12"/>
                <w:color w:val="auto"/>
              </w:rPr>
            </w:pPr>
          </w:p>
        </w:tc>
        <w:tc>
          <w:tcPr>
            <w:tcW w:w="2600" w:type="dxa"/>
            <w:vAlign w:val="bottom"/>
          </w:tcPr>
          <w:p>
            <w:pPr>
              <w:ind w:left="220"/>
              <w:spacing w:after="0"/>
              <w:rPr>
                <w:sz w:val="20"/>
                <w:szCs w:val="20"/>
                <w:color w:val="auto"/>
              </w:rPr>
            </w:pPr>
            <w:r>
              <w:rPr>
                <w:rFonts w:ascii="Arial" w:cs="Arial" w:eastAsia="Arial" w:hAnsi="Arial"/>
                <w:sz w:val="13"/>
                <w:szCs w:val="13"/>
                <w:color w:val="auto"/>
              </w:rPr>
              <w:t>Dublin 18,</w:t>
            </w:r>
          </w:p>
        </w:tc>
        <w:tc>
          <w:tcPr>
            <w:tcW w:w="246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61"/>
        </w:trPr>
        <w:tc>
          <w:tcPr>
            <w:tcW w:w="3860" w:type="dxa"/>
            <w:vAlign w:val="bottom"/>
          </w:tcPr>
          <w:p>
            <w:pPr>
              <w:spacing w:after="0"/>
              <w:rPr>
                <w:sz w:val="13"/>
                <w:szCs w:val="13"/>
                <w:color w:val="auto"/>
              </w:rPr>
            </w:pPr>
          </w:p>
        </w:tc>
        <w:tc>
          <w:tcPr>
            <w:tcW w:w="2600" w:type="dxa"/>
            <w:vAlign w:val="bottom"/>
          </w:tcPr>
          <w:p>
            <w:pPr>
              <w:ind w:left="220"/>
              <w:spacing w:after="0"/>
              <w:rPr>
                <w:sz w:val="20"/>
                <w:szCs w:val="20"/>
                <w:color w:val="auto"/>
              </w:rPr>
            </w:pPr>
            <w:r>
              <w:rPr>
                <w:rFonts w:ascii="Arial" w:cs="Arial" w:eastAsia="Arial" w:hAnsi="Arial"/>
                <w:sz w:val="13"/>
                <w:szCs w:val="13"/>
                <w:color w:val="auto"/>
              </w:rPr>
              <w:t>Republic of Ireland</w:t>
            </w:r>
          </w:p>
        </w:tc>
        <w:tc>
          <w:tcPr>
            <w:tcW w:w="246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179"/>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Clinical Research Limited</w:t>
            </w: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South County Business Park,</w:t>
            </w:r>
          </w:p>
        </w:tc>
        <w:tc>
          <w:tcPr>
            <w:tcW w:w="2460" w:type="dxa"/>
            <w:vAlign w:val="bottom"/>
            <w:shd w:val="clear" w:color="auto" w:fill="CCEEFF"/>
          </w:tcPr>
          <w:p>
            <w:pPr>
              <w:ind w:left="740"/>
              <w:spacing w:after="0"/>
              <w:rPr>
                <w:sz w:val="20"/>
                <w:szCs w:val="20"/>
                <w:color w:val="auto"/>
              </w:rPr>
            </w:pPr>
            <w:r>
              <w:rPr>
                <w:rFonts w:ascii="Arial" w:cs="Arial" w:eastAsia="Arial" w:hAnsi="Arial"/>
                <w:sz w:val="13"/>
                <w:szCs w:val="13"/>
                <w:color w:val="auto"/>
              </w:rPr>
              <w:t>Clinical research services</w:t>
            </w:r>
          </w:p>
        </w:tc>
        <w:tc>
          <w:tcPr>
            <w:tcW w:w="23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100%*</w:t>
            </w:r>
          </w:p>
        </w:tc>
      </w:tr>
      <w:tr>
        <w:trPr>
          <w:trHeight w:val="149"/>
        </w:trPr>
        <w:tc>
          <w:tcPr>
            <w:tcW w:w="3860" w:type="dxa"/>
            <w:vAlign w:val="bottom"/>
            <w:shd w:val="clear" w:color="auto" w:fill="CCEEFF"/>
          </w:tcPr>
          <w:p>
            <w:pPr>
              <w:spacing w:after="0"/>
              <w:rPr>
                <w:sz w:val="12"/>
                <w:szCs w:val="12"/>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Leopardstown,</w:t>
            </w:r>
          </w:p>
        </w:tc>
        <w:tc>
          <w:tcPr>
            <w:tcW w:w="246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r>
      <w:tr>
        <w:trPr>
          <w:trHeight w:val="149"/>
        </w:trPr>
        <w:tc>
          <w:tcPr>
            <w:tcW w:w="3860" w:type="dxa"/>
            <w:vAlign w:val="bottom"/>
            <w:shd w:val="clear" w:color="auto" w:fill="CCEEFF"/>
          </w:tcPr>
          <w:p>
            <w:pPr>
              <w:spacing w:after="0"/>
              <w:rPr>
                <w:sz w:val="12"/>
                <w:szCs w:val="12"/>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Dublin 18,</w:t>
            </w:r>
          </w:p>
        </w:tc>
        <w:tc>
          <w:tcPr>
            <w:tcW w:w="246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r>
      <w:tr>
        <w:trPr>
          <w:trHeight w:val="168"/>
        </w:trPr>
        <w:tc>
          <w:tcPr>
            <w:tcW w:w="3860" w:type="dxa"/>
            <w:vAlign w:val="bottom"/>
            <w:shd w:val="clear" w:color="auto" w:fill="CCEEFF"/>
          </w:tcPr>
          <w:p>
            <w:pPr>
              <w:spacing w:after="0"/>
              <w:rPr>
                <w:sz w:val="14"/>
                <w:szCs w:val="14"/>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Republic of Ireland</w:t>
            </w:r>
          </w:p>
        </w:tc>
        <w:tc>
          <w:tcPr>
            <w:tcW w:w="246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r>
      <w:tr>
        <w:trPr>
          <w:trHeight w:val="171"/>
        </w:trPr>
        <w:tc>
          <w:tcPr>
            <w:tcW w:w="3860" w:type="dxa"/>
            <w:vAlign w:val="bottom"/>
          </w:tcPr>
          <w:p>
            <w:pPr>
              <w:ind w:left="20"/>
              <w:spacing w:after="0"/>
              <w:rPr>
                <w:sz w:val="20"/>
                <w:szCs w:val="20"/>
                <w:color w:val="auto"/>
              </w:rPr>
            </w:pPr>
            <w:r>
              <w:rPr>
                <w:rFonts w:ascii="Arial" w:cs="Arial" w:eastAsia="Arial" w:hAnsi="Arial"/>
                <w:sz w:val="13"/>
                <w:szCs w:val="13"/>
                <w:color w:val="auto"/>
              </w:rPr>
              <w:t>ICON Clinical Research Property Development (Ireland) Limited</w:t>
            </w:r>
          </w:p>
        </w:tc>
        <w:tc>
          <w:tcPr>
            <w:tcW w:w="2600" w:type="dxa"/>
            <w:vAlign w:val="bottom"/>
          </w:tcPr>
          <w:p>
            <w:pPr>
              <w:ind w:left="220"/>
              <w:spacing w:after="0"/>
              <w:rPr>
                <w:sz w:val="20"/>
                <w:szCs w:val="20"/>
                <w:color w:val="auto"/>
              </w:rPr>
            </w:pPr>
            <w:r>
              <w:rPr>
                <w:rFonts w:ascii="Arial" w:cs="Arial" w:eastAsia="Arial" w:hAnsi="Arial"/>
                <w:sz w:val="13"/>
                <w:szCs w:val="13"/>
                <w:color w:val="auto"/>
              </w:rPr>
              <w:t>South County Business Park,</w:t>
            </w:r>
          </w:p>
        </w:tc>
        <w:tc>
          <w:tcPr>
            <w:tcW w:w="4800" w:type="dxa"/>
            <w:vAlign w:val="bottom"/>
            <w:gridSpan w:val="2"/>
          </w:tcPr>
          <w:p>
            <w:pPr>
              <w:ind w:left="740"/>
              <w:spacing w:after="0"/>
              <w:rPr>
                <w:sz w:val="20"/>
                <w:szCs w:val="20"/>
                <w:color w:val="auto"/>
              </w:rPr>
            </w:pPr>
            <w:r>
              <w:rPr>
                <w:rFonts w:ascii="Arial" w:cs="Arial" w:eastAsia="Arial" w:hAnsi="Arial"/>
                <w:sz w:val="13"/>
                <w:szCs w:val="13"/>
                <w:color w:val="auto"/>
              </w:rPr>
              <w:t>Property management company 100%*</w:t>
            </w:r>
          </w:p>
        </w:tc>
      </w:tr>
      <w:tr>
        <w:trPr>
          <w:trHeight w:val="149"/>
        </w:trPr>
        <w:tc>
          <w:tcPr>
            <w:tcW w:w="3860" w:type="dxa"/>
            <w:vAlign w:val="bottom"/>
          </w:tcPr>
          <w:p>
            <w:pPr>
              <w:spacing w:after="0"/>
              <w:rPr>
                <w:sz w:val="12"/>
                <w:szCs w:val="12"/>
                <w:color w:val="auto"/>
              </w:rPr>
            </w:pPr>
          </w:p>
        </w:tc>
        <w:tc>
          <w:tcPr>
            <w:tcW w:w="2600" w:type="dxa"/>
            <w:vAlign w:val="bottom"/>
          </w:tcPr>
          <w:p>
            <w:pPr>
              <w:ind w:left="220"/>
              <w:spacing w:after="0"/>
              <w:rPr>
                <w:sz w:val="20"/>
                <w:szCs w:val="20"/>
                <w:color w:val="auto"/>
              </w:rPr>
            </w:pPr>
            <w:r>
              <w:rPr>
                <w:rFonts w:ascii="Arial" w:cs="Arial" w:eastAsia="Arial" w:hAnsi="Arial"/>
                <w:sz w:val="13"/>
                <w:szCs w:val="13"/>
                <w:color w:val="auto"/>
              </w:rPr>
              <w:t>Leopardstown,</w:t>
            </w:r>
          </w:p>
        </w:tc>
        <w:tc>
          <w:tcPr>
            <w:tcW w:w="246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49"/>
        </w:trPr>
        <w:tc>
          <w:tcPr>
            <w:tcW w:w="3860" w:type="dxa"/>
            <w:vAlign w:val="bottom"/>
          </w:tcPr>
          <w:p>
            <w:pPr>
              <w:spacing w:after="0"/>
              <w:rPr>
                <w:sz w:val="12"/>
                <w:szCs w:val="12"/>
                <w:color w:val="auto"/>
              </w:rPr>
            </w:pPr>
          </w:p>
        </w:tc>
        <w:tc>
          <w:tcPr>
            <w:tcW w:w="2600" w:type="dxa"/>
            <w:vAlign w:val="bottom"/>
          </w:tcPr>
          <w:p>
            <w:pPr>
              <w:ind w:left="220"/>
              <w:spacing w:after="0"/>
              <w:rPr>
                <w:sz w:val="20"/>
                <w:szCs w:val="20"/>
                <w:color w:val="auto"/>
              </w:rPr>
            </w:pPr>
            <w:r>
              <w:rPr>
                <w:rFonts w:ascii="Arial" w:cs="Arial" w:eastAsia="Arial" w:hAnsi="Arial"/>
                <w:sz w:val="13"/>
                <w:szCs w:val="13"/>
                <w:color w:val="auto"/>
              </w:rPr>
              <w:t>Dublin 18,</w:t>
            </w:r>
          </w:p>
        </w:tc>
        <w:tc>
          <w:tcPr>
            <w:tcW w:w="246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61"/>
        </w:trPr>
        <w:tc>
          <w:tcPr>
            <w:tcW w:w="3860" w:type="dxa"/>
            <w:vAlign w:val="bottom"/>
          </w:tcPr>
          <w:p>
            <w:pPr>
              <w:spacing w:after="0"/>
              <w:rPr>
                <w:sz w:val="13"/>
                <w:szCs w:val="13"/>
                <w:color w:val="auto"/>
              </w:rPr>
            </w:pPr>
          </w:p>
        </w:tc>
        <w:tc>
          <w:tcPr>
            <w:tcW w:w="2600" w:type="dxa"/>
            <w:vAlign w:val="bottom"/>
          </w:tcPr>
          <w:p>
            <w:pPr>
              <w:ind w:left="220"/>
              <w:spacing w:after="0"/>
              <w:rPr>
                <w:sz w:val="20"/>
                <w:szCs w:val="20"/>
                <w:color w:val="auto"/>
              </w:rPr>
            </w:pPr>
            <w:r>
              <w:rPr>
                <w:rFonts w:ascii="Arial" w:cs="Arial" w:eastAsia="Arial" w:hAnsi="Arial"/>
                <w:sz w:val="13"/>
                <w:szCs w:val="13"/>
                <w:color w:val="auto"/>
              </w:rPr>
              <w:t>Republic of Ireland</w:t>
            </w:r>
          </w:p>
        </w:tc>
        <w:tc>
          <w:tcPr>
            <w:tcW w:w="246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179"/>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Global Treasury Limited</w:t>
            </w: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South County Business Park,</w:t>
            </w:r>
          </w:p>
        </w:tc>
        <w:tc>
          <w:tcPr>
            <w:tcW w:w="2460" w:type="dxa"/>
            <w:vAlign w:val="bottom"/>
            <w:shd w:val="clear" w:color="auto" w:fill="CCEEFF"/>
          </w:tcPr>
          <w:p>
            <w:pPr>
              <w:ind w:left="740"/>
              <w:spacing w:after="0"/>
              <w:rPr>
                <w:sz w:val="20"/>
                <w:szCs w:val="20"/>
                <w:color w:val="auto"/>
              </w:rPr>
            </w:pPr>
            <w:r>
              <w:rPr>
                <w:rFonts w:ascii="Arial" w:cs="Arial" w:eastAsia="Arial" w:hAnsi="Arial"/>
                <w:sz w:val="13"/>
                <w:szCs w:val="13"/>
                <w:color w:val="auto"/>
              </w:rPr>
              <w:t>Treasury Company</w:t>
            </w:r>
          </w:p>
        </w:tc>
        <w:tc>
          <w:tcPr>
            <w:tcW w:w="23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100%</w:t>
            </w:r>
          </w:p>
        </w:tc>
      </w:tr>
      <w:tr>
        <w:trPr>
          <w:trHeight w:val="149"/>
        </w:trPr>
        <w:tc>
          <w:tcPr>
            <w:tcW w:w="3860" w:type="dxa"/>
            <w:vAlign w:val="bottom"/>
            <w:shd w:val="clear" w:color="auto" w:fill="CCEEFF"/>
          </w:tcPr>
          <w:p>
            <w:pPr>
              <w:spacing w:after="0"/>
              <w:rPr>
                <w:sz w:val="12"/>
                <w:szCs w:val="12"/>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Leopardstown,</w:t>
            </w:r>
          </w:p>
        </w:tc>
        <w:tc>
          <w:tcPr>
            <w:tcW w:w="246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r>
      <w:tr>
        <w:trPr>
          <w:trHeight w:val="149"/>
        </w:trPr>
        <w:tc>
          <w:tcPr>
            <w:tcW w:w="3860" w:type="dxa"/>
            <w:vAlign w:val="bottom"/>
            <w:shd w:val="clear" w:color="auto" w:fill="CCEEFF"/>
          </w:tcPr>
          <w:p>
            <w:pPr>
              <w:spacing w:after="0"/>
              <w:rPr>
                <w:sz w:val="12"/>
                <w:szCs w:val="12"/>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Dublin 18,</w:t>
            </w:r>
          </w:p>
        </w:tc>
        <w:tc>
          <w:tcPr>
            <w:tcW w:w="246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r>
      <w:tr>
        <w:trPr>
          <w:trHeight w:val="168"/>
        </w:trPr>
        <w:tc>
          <w:tcPr>
            <w:tcW w:w="3860" w:type="dxa"/>
            <w:vAlign w:val="bottom"/>
            <w:shd w:val="clear" w:color="auto" w:fill="CCEEFF"/>
          </w:tcPr>
          <w:p>
            <w:pPr>
              <w:spacing w:after="0"/>
              <w:rPr>
                <w:sz w:val="14"/>
                <w:szCs w:val="14"/>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Republic of Ireland</w:t>
            </w:r>
          </w:p>
        </w:tc>
        <w:tc>
          <w:tcPr>
            <w:tcW w:w="246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r>
      <w:tr>
        <w:trPr>
          <w:trHeight w:val="171"/>
        </w:trPr>
        <w:tc>
          <w:tcPr>
            <w:tcW w:w="3860" w:type="dxa"/>
            <w:vAlign w:val="bottom"/>
          </w:tcPr>
          <w:p>
            <w:pPr>
              <w:ind w:left="20"/>
              <w:spacing w:after="0"/>
              <w:rPr>
                <w:sz w:val="20"/>
                <w:szCs w:val="20"/>
                <w:color w:val="auto"/>
              </w:rPr>
            </w:pPr>
            <w:r>
              <w:rPr>
                <w:rFonts w:ascii="Arial" w:cs="Arial" w:eastAsia="Arial" w:hAnsi="Arial"/>
                <w:sz w:val="13"/>
                <w:szCs w:val="13"/>
                <w:color w:val="auto"/>
              </w:rPr>
              <w:t>ICON Holdings Unlimited Company</w:t>
            </w:r>
          </w:p>
        </w:tc>
        <w:tc>
          <w:tcPr>
            <w:tcW w:w="2600" w:type="dxa"/>
            <w:vAlign w:val="bottom"/>
          </w:tcPr>
          <w:p>
            <w:pPr>
              <w:ind w:left="220"/>
              <w:spacing w:after="0"/>
              <w:rPr>
                <w:sz w:val="20"/>
                <w:szCs w:val="20"/>
                <w:color w:val="auto"/>
              </w:rPr>
            </w:pPr>
            <w:r>
              <w:rPr>
                <w:rFonts w:ascii="Arial" w:cs="Arial" w:eastAsia="Arial" w:hAnsi="Arial"/>
                <w:sz w:val="13"/>
                <w:szCs w:val="13"/>
                <w:color w:val="auto"/>
              </w:rPr>
              <w:t>South County Business Park,</w:t>
            </w:r>
          </w:p>
        </w:tc>
        <w:tc>
          <w:tcPr>
            <w:tcW w:w="2460" w:type="dxa"/>
            <w:vAlign w:val="bottom"/>
          </w:tcPr>
          <w:p>
            <w:pPr>
              <w:ind w:left="740"/>
              <w:spacing w:after="0"/>
              <w:rPr>
                <w:sz w:val="20"/>
                <w:szCs w:val="20"/>
                <w:color w:val="auto"/>
              </w:rPr>
            </w:pPr>
            <w:r>
              <w:rPr>
                <w:rFonts w:ascii="Arial" w:cs="Arial" w:eastAsia="Arial" w:hAnsi="Arial"/>
                <w:sz w:val="13"/>
                <w:szCs w:val="13"/>
                <w:color w:val="auto"/>
              </w:rPr>
              <w:t>Investment holding company</w:t>
            </w:r>
          </w:p>
        </w:tc>
        <w:tc>
          <w:tcPr>
            <w:tcW w:w="2340" w:type="dxa"/>
            <w:vAlign w:val="bottom"/>
          </w:tcPr>
          <w:p>
            <w:pPr>
              <w:ind w:left="120"/>
              <w:spacing w:after="0"/>
              <w:rPr>
                <w:sz w:val="20"/>
                <w:szCs w:val="20"/>
                <w:color w:val="auto"/>
              </w:rPr>
            </w:pPr>
            <w:r>
              <w:rPr>
                <w:rFonts w:ascii="Arial" w:cs="Arial" w:eastAsia="Arial" w:hAnsi="Arial"/>
                <w:sz w:val="13"/>
                <w:szCs w:val="13"/>
                <w:color w:val="auto"/>
              </w:rPr>
              <w:t>100%*</w:t>
            </w:r>
          </w:p>
        </w:tc>
      </w:tr>
      <w:tr>
        <w:trPr>
          <w:trHeight w:val="149"/>
        </w:trPr>
        <w:tc>
          <w:tcPr>
            <w:tcW w:w="3860" w:type="dxa"/>
            <w:vAlign w:val="bottom"/>
          </w:tcPr>
          <w:p>
            <w:pPr>
              <w:spacing w:after="0"/>
              <w:rPr>
                <w:sz w:val="12"/>
                <w:szCs w:val="12"/>
                <w:color w:val="auto"/>
              </w:rPr>
            </w:pPr>
          </w:p>
        </w:tc>
        <w:tc>
          <w:tcPr>
            <w:tcW w:w="2600" w:type="dxa"/>
            <w:vAlign w:val="bottom"/>
          </w:tcPr>
          <w:p>
            <w:pPr>
              <w:ind w:left="220"/>
              <w:spacing w:after="0"/>
              <w:rPr>
                <w:sz w:val="20"/>
                <w:szCs w:val="20"/>
                <w:color w:val="auto"/>
              </w:rPr>
            </w:pPr>
            <w:r>
              <w:rPr>
                <w:rFonts w:ascii="Arial" w:cs="Arial" w:eastAsia="Arial" w:hAnsi="Arial"/>
                <w:sz w:val="13"/>
                <w:szCs w:val="13"/>
                <w:color w:val="auto"/>
              </w:rPr>
              <w:t>Leopardstown,</w:t>
            </w:r>
          </w:p>
        </w:tc>
        <w:tc>
          <w:tcPr>
            <w:tcW w:w="246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49"/>
        </w:trPr>
        <w:tc>
          <w:tcPr>
            <w:tcW w:w="3860" w:type="dxa"/>
            <w:vAlign w:val="bottom"/>
          </w:tcPr>
          <w:p>
            <w:pPr>
              <w:spacing w:after="0"/>
              <w:rPr>
                <w:sz w:val="12"/>
                <w:szCs w:val="12"/>
                <w:color w:val="auto"/>
              </w:rPr>
            </w:pPr>
          </w:p>
        </w:tc>
        <w:tc>
          <w:tcPr>
            <w:tcW w:w="2600" w:type="dxa"/>
            <w:vAlign w:val="bottom"/>
          </w:tcPr>
          <w:p>
            <w:pPr>
              <w:ind w:left="220"/>
              <w:spacing w:after="0"/>
              <w:rPr>
                <w:sz w:val="20"/>
                <w:szCs w:val="20"/>
                <w:color w:val="auto"/>
              </w:rPr>
            </w:pPr>
            <w:r>
              <w:rPr>
                <w:rFonts w:ascii="Arial" w:cs="Arial" w:eastAsia="Arial" w:hAnsi="Arial"/>
                <w:sz w:val="13"/>
                <w:szCs w:val="13"/>
                <w:color w:val="auto"/>
              </w:rPr>
              <w:t>Dublin 18,</w:t>
            </w:r>
          </w:p>
        </w:tc>
        <w:tc>
          <w:tcPr>
            <w:tcW w:w="246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61"/>
        </w:trPr>
        <w:tc>
          <w:tcPr>
            <w:tcW w:w="3860" w:type="dxa"/>
            <w:vAlign w:val="bottom"/>
          </w:tcPr>
          <w:p>
            <w:pPr>
              <w:spacing w:after="0"/>
              <w:rPr>
                <w:sz w:val="13"/>
                <w:szCs w:val="13"/>
                <w:color w:val="auto"/>
              </w:rPr>
            </w:pPr>
          </w:p>
        </w:tc>
        <w:tc>
          <w:tcPr>
            <w:tcW w:w="2600" w:type="dxa"/>
            <w:vAlign w:val="bottom"/>
          </w:tcPr>
          <w:p>
            <w:pPr>
              <w:ind w:left="220"/>
              <w:spacing w:after="0"/>
              <w:rPr>
                <w:sz w:val="20"/>
                <w:szCs w:val="20"/>
                <w:color w:val="auto"/>
              </w:rPr>
            </w:pPr>
            <w:r>
              <w:rPr>
                <w:rFonts w:ascii="Arial" w:cs="Arial" w:eastAsia="Arial" w:hAnsi="Arial"/>
                <w:sz w:val="13"/>
                <w:szCs w:val="13"/>
                <w:color w:val="auto"/>
              </w:rPr>
              <w:t>Republic of Ireland</w:t>
            </w:r>
          </w:p>
        </w:tc>
        <w:tc>
          <w:tcPr>
            <w:tcW w:w="246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179"/>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Holdings Clinical Research International Limited</w:t>
            </w: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South County Business Park,</w:t>
            </w:r>
          </w:p>
        </w:tc>
        <w:tc>
          <w:tcPr>
            <w:tcW w:w="2460" w:type="dxa"/>
            <w:vAlign w:val="bottom"/>
            <w:shd w:val="clear" w:color="auto" w:fill="CCEEFF"/>
          </w:tcPr>
          <w:p>
            <w:pPr>
              <w:ind w:left="740"/>
              <w:spacing w:after="0"/>
              <w:rPr>
                <w:sz w:val="20"/>
                <w:szCs w:val="20"/>
                <w:color w:val="auto"/>
              </w:rPr>
            </w:pPr>
            <w:r>
              <w:rPr>
                <w:rFonts w:ascii="Arial" w:cs="Arial" w:eastAsia="Arial" w:hAnsi="Arial"/>
                <w:sz w:val="13"/>
                <w:szCs w:val="13"/>
                <w:color w:val="auto"/>
              </w:rPr>
              <w:t>Investment holding company</w:t>
            </w:r>
          </w:p>
        </w:tc>
        <w:tc>
          <w:tcPr>
            <w:tcW w:w="23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100%</w:t>
            </w:r>
          </w:p>
        </w:tc>
      </w:tr>
      <w:tr>
        <w:trPr>
          <w:trHeight w:val="149"/>
        </w:trPr>
        <w:tc>
          <w:tcPr>
            <w:tcW w:w="3860" w:type="dxa"/>
            <w:vAlign w:val="bottom"/>
            <w:shd w:val="clear" w:color="auto" w:fill="CCEEFF"/>
          </w:tcPr>
          <w:p>
            <w:pPr>
              <w:spacing w:after="0"/>
              <w:rPr>
                <w:sz w:val="12"/>
                <w:szCs w:val="12"/>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Leopardstown,</w:t>
            </w:r>
          </w:p>
        </w:tc>
        <w:tc>
          <w:tcPr>
            <w:tcW w:w="246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r>
      <w:tr>
        <w:trPr>
          <w:trHeight w:val="149"/>
        </w:trPr>
        <w:tc>
          <w:tcPr>
            <w:tcW w:w="3860" w:type="dxa"/>
            <w:vAlign w:val="bottom"/>
            <w:shd w:val="clear" w:color="auto" w:fill="CCEEFF"/>
          </w:tcPr>
          <w:p>
            <w:pPr>
              <w:spacing w:after="0"/>
              <w:rPr>
                <w:sz w:val="12"/>
                <w:szCs w:val="12"/>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Dublin 18,</w:t>
            </w:r>
          </w:p>
        </w:tc>
        <w:tc>
          <w:tcPr>
            <w:tcW w:w="246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r>
      <w:tr>
        <w:trPr>
          <w:trHeight w:val="168"/>
        </w:trPr>
        <w:tc>
          <w:tcPr>
            <w:tcW w:w="3860" w:type="dxa"/>
            <w:vAlign w:val="bottom"/>
            <w:shd w:val="clear" w:color="auto" w:fill="CCEEFF"/>
          </w:tcPr>
          <w:p>
            <w:pPr>
              <w:spacing w:after="0"/>
              <w:rPr>
                <w:sz w:val="14"/>
                <w:szCs w:val="14"/>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Republic of Ireland</w:t>
            </w:r>
          </w:p>
        </w:tc>
        <w:tc>
          <w:tcPr>
            <w:tcW w:w="246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r>
      <w:tr>
        <w:trPr>
          <w:trHeight w:val="171"/>
        </w:trPr>
        <w:tc>
          <w:tcPr>
            <w:tcW w:w="3860" w:type="dxa"/>
            <w:vAlign w:val="bottom"/>
          </w:tcPr>
          <w:p>
            <w:pPr>
              <w:ind w:left="20"/>
              <w:spacing w:after="0"/>
              <w:rPr>
                <w:sz w:val="20"/>
                <w:szCs w:val="20"/>
                <w:color w:val="auto"/>
              </w:rPr>
            </w:pPr>
            <w:r>
              <w:rPr>
                <w:rFonts w:ascii="Arial" w:cs="Arial" w:eastAsia="Arial" w:hAnsi="Arial"/>
                <w:sz w:val="13"/>
                <w:szCs w:val="13"/>
                <w:color w:val="auto"/>
              </w:rPr>
              <w:t>ICON Investments Five Unlimited Company</w:t>
            </w:r>
          </w:p>
        </w:tc>
        <w:tc>
          <w:tcPr>
            <w:tcW w:w="2600" w:type="dxa"/>
            <w:vAlign w:val="bottom"/>
          </w:tcPr>
          <w:p>
            <w:pPr>
              <w:ind w:left="220"/>
              <w:spacing w:after="0"/>
              <w:rPr>
                <w:sz w:val="20"/>
                <w:szCs w:val="20"/>
                <w:color w:val="auto"/>
              </w:rPr>
            </w:pPr>
            <w:r>
              <w:rPr>
                <w:rFonts w:ascii="Arial" w:cs="Arial" w:eastAsia="Arial" w:hAnsi="Arial"/>
                <w:sz w:val="13"/>
                <w:szCs w:val="13"/>
                <w:color w:val="auto"/>
              </w:rPr>
              <w:t>South County Business Park,</w:t>
            </w:r>
          </w:p>
        </w:tc>
        <w:tc>
          <w:tcPr>
            <w:tcW w:w="2460" w:type="dxa"/>
            <w:vAlign w:val="bottom"/>
          </w:tcPr>
          <w:p>
            <w:pPr>
              <w:ind w:left="740"/>
              <w:spacing w:after="0"/>
              <w:rPr>
                <w:sz w:val="20"/>
                <w:szCs w:val="20"/>
                <w:color w:val="auto"/>
              </w:rPr>
            </w:pPr>
            <w:r>
              <w:rPr>
                <w:rFonts w:ascii="Arial" w:cs="Arial" w:eastAsia="Arial" w:hAnsi="Arial"/>
                <w:sz w:val="13"/>
                <w:szCs w:val="13"/>
                <w:color w:val="auto"/>
              </w:rPr>
              <w:t>Investment holding and</w:t>
            </w:r>
          </w:p>
        </w:tc>
        <w:tc>
          <w:tcPr>
            <w:tcW w:w="2340" w:type="dxa"/>
            <w:vAlign w:val="bottom"/>
          </w:tcPr>
          <w:p>
            <w:pPr>
              <w:ind w:left="120"/>
              <w:spacing w:after="0"/>
              <w:rPr>
                <w:sz w:val="20"/>
                <w:szCs w:val="20"/>
                <w:color w:val="auto"/>
              </w:rPr>
            </w:pPr>
            <w:r>
              <w:rPr>
                <w:rFonts w:ascii="Arial" w:cs="Arial" w:eastAsia="Arial" w:hAnsi="Arial"/>
                <w:sz w:val="13"/>
                <w:szCs w:val="13"/>
                <w:color w:val="auto"/>
              </w:rPr>
              <w:t>100%*</w:t>
            </w:r>
          </w:p>
        </w:tc>
      </w:tr>
      <w:tr>
        <w:trPr>
          <w:trHeight w:val="149"/>
        </w:trPr>
        <w:tc>
          <w:tcPr>
            <w:tcW w:w="3860" w:type="dxa"/>
            <w:vAlign w:val="bottom"/>
          </w:tcPr>
          <w:p>
            <w:pPr>
              <w:spacing w:after="0"/>
              <w:rPr>
                <w:sz w:val="12"/>
                <w:szCs w:val="12"/>
                <w:color w:val="auto"/>
              </w:rPr>
            </w:pPr>
          </w:p>
        </w:tc>
        <w:tc>
          <w:tcPr>
            <w:tcW w:w="2600" w:type="dxa"/>
            <w:vAlign w:val="bottom"/>
          </w:tcPr>
          <w:p>
            <w:pPr>
              <w:ind w:left="220"/>
              <w:spacing w:after="0"/>
              <w:rPr>
                <w:sz w:val="20"/>
                <w:szCs w:val="20"/>
                <w:color w:val="auto"/>
              </w:rPr>
            </w:pPr>
            <w:r>
              <w:rPr>
                <w:rFonts w:ascii="Arial" w:cs="Arial" w:eastAsia="Arial" w:hAnsi="Arial"/>
                <w:sz w:val="13"/>
                <w:szCs w:val="13"/>
                <w:color w:val="auto"/>
              </w:rPr>
              <w:t>Leopardstown,</w:t>
            </w:r>
          </w:p>
        </w:tc>
        <w:tc>
          <w:tcPr>
            <w:tcW w:w="2460" w:type="dxa"/>
            <w:vAlign w:val="bottom"/>
          </w:tcPr>
          <w:p>
            <w:pPr>
              <w:ind w:left="740"/>
              <w:spacing w:after="0"/>
              <w:rPr>
                <w:sz w:val="20"/>
                <w:szCs w:val="20"/>
                <w:color w:val="auto"/>
              </w:rPr>
            </w:pPr>
            <w:r>
              <w:rPr>
                <w:rFonts w:ascii="Arial" w:cs="Arial" w:eastAsia="Arial" w:hAnsi="Arial"/>
                <w:sz w:val="13"/>
                <w:szCs w:val="13"/>
                <w:color w:val="auto"/>
              </w:rPr>
              <w:t>financing company</w:t>
            </w:r>
          </w:p>
        </w:tc>
        <w:tc>
          <w:tcPr>
            <w:tcW w:w="2340" w:type="dxa"/>
            <w:vAlign w:val="bottom"/>
          </w:tcPr>
          <w:p>
            <w:pPr>
              <w:spacing w:after="0"/>
              <w:rPr>
                <w:sz w:val="12"/>
                <w:szCs w:val="12"/>
                <w:color w:val="auto"/>
              </w:rPr>
            </w:pPr>
          </w:p>
        </w:tc>
      </w:tr>
      <w:tr>
        <w:trPr>
          <w:trHeight w:val="149"/>
        </w:trPr>
        <w:tc>
          <w:tcPr>
            <w:tcW w:w="3860" w:type="dxa"/>
            <w:vAlign w:val="bottom"/>
          </w:tcPr>
          <w:p>
            <w:pPr>
              <w:spacing w:after="0"/>
              <w:rPr>
                <w:sz w:val="12"/>
                <w:szCs w:val="12"/>
                <w:color w:val="auto"/>
              </w:rPr>
            </w:pPr>
          </w:p>
        </w:tc>
        <w:tc>
          <w:tcPr>
            <w:tcW w:w="2600" w:type="dxa"/>
            <w:vAlign w:val="bottom"/>
          </w:tcPr>
          <w:p>
            <w:pPr>
              <w:ind w:left="220"/>
              <w:spacing w:after="0"/>
              <w:rPr>
                <w:sz w:val="20"/>
                <w:szCs w:val="20"/>
                <w:color w:val="auto"/>
              </w:rPr>
            </w:pPr>
            <w:r>
              <w:rPr>
                <w:rFonts w:ascii="Arial" w:cs="Arial" w:eastAsia="Arial" w:hAnsi="Arial"/>
                <w:sz w:val="13"/>
                <w:szCs w:val="13"/>
                <w:color w:val="auto"/>
              </w:rPr>
              <w:t>Dublin 18,</w:t>
            </w:r>
          </w:p>
        </w:tc>
        <w:tc>
          <w:tcPr>
            <w:tcW w:w="246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61"/>
        </w:trPr>
        <w:tc>
          <w:tcPr>
            <w:tcW w:w="3860" w:type="dxa"/>
            <w:vAlign w:val="bottom"/>
          </w:tcPr>
          <w:p>
            <w:pPr>
              <w:spacing w:after="0"/>
              <w:rPr>
                <w:sz w:val="13"/>
                <w:szCs w:val="13"/>
                <w:color w:val="auto"/>
              </w:rPr>
            </w:pPr>
          </w:p>
        </w:tc>
        <w:tc>
          <w:tcPr>
            <w:tcW w:w="2600" w:type="dxa"/>
            <w:vAlign w:val="bottom"/>
          </w:tcPr>
          <w:p>
            <w:pPr>
              <w:ind w:left="220"/>
              <w:spacing w:after="0"/>
              <w:rPr>
                <w:sz w:val="20"/>
                <w:szCs w:val="20"/>
                <w:color w:val="auto"/>
              </w:rPr>
            </w:pPr>
            <w:r>
              <w:rPr>
                <w:rFonts w:ascii="Arial" w:cs="Arial" w:eastAsia="Arial" w:hAnsi="Arial"/>
                <w:sz w:val="13"/>
                <w:szCs w:val="13"/>
                <w:color w:val="auto"/>
              </w:rPr>
              <w:t>Republic of Ireland</w:t>
            </w:r>
          </w:p>
        </w:tc>
        <w:tc>
          <w:tcPr>
            <w:tcW w:w="246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179"/>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Investments Four Unlimited Company</w:t>
            </w: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South County Business Park,</w:t>
            </w:r>
          </w:p>
        </w:tc>
        <w:tc>
          <w:tcPr>
            <w:tcW w:w="2460" w:type="dxa"/>
            <w:vAlign w:val="bottom"/>
            <w:shd w:val="clear" w:color="auto" w:fill="CCEEFF"/>
          </w:tcPr>
          <w:p>
            <w:pPr>
              <w:ind w:left="740"/>
              <w:spacing w:after="0"/>
              <w:rPr>
                <w:sz w:val="20"/>
                <w:szCs w:val="20"/>
                <w:color w:val="auto"/>
              </w:rPr>
            </w:pPr>
            <w:r>
              <w:rPr>
                <w:rFonts w:ascii="Arial" w:cs="Arial" w:eastAsia="Arial" w:hAnsi="Arial"/>
                <w:sz w:val="13"/>
                <w:szCs w:val="13"/>
                <w:color w:val="auto"/>
              </w:rPr>
              <w:t>Investment holding and</w:t>
            </w:r>
          </w:p>
        </w:tc>
        <w:tc>
          <w:tcPr>
            <w:tcW w:w="23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100%*</w:t>
            </w:r>
          </w:p>
        </w:tc>
      </w:tr>
      <w:tr>
        <w:trPr>
          <w:trHeight w:val="149"/>
        </w:trPr>
        <w:tc>
          <w:tcPr>
            <w:tcW w:w="3860" w:type="dxa"/>
            <w:vAlign w:val="bottom"/>
            <w:shd w:val="clear" w:color="auto" w:fill="CCEEFF"/>
          </w:tcPr>
          <w:p>
            <w:pPr>
              <w:spacing w:after="0"/>
              <w:rPr>
                <w:sz w:val="12"/>
                <w:szCs w:val="12"/>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Leopardstown,</w:t>
            </w:r>
          </w:p>
        </w:tc>
        <w:tc>
          <w:tcPr>
            <w:tcW w:w="2460" w:type="dxa"/>
            <w:vAlign w:val="bottom"/>
            <w:shd w:val="clear" w:color="auto" w:fill="CCEEFF"/>
          </w:tcPr>
          <w:p>
            <w:pPr>
              <w:ind w:left="740"/>
              <w:spacing w:after="0"/>
              <w:rPr>
                <w:sz w:val="20"/>
                <w:szCs w:val="20"/>
                <w:color w:val="auto"/>
              </w:rPr>
            </w:pPr>
            <w:r>
              <w:rPr>
                <w:rFonts w:ascii="Arial" w:cs="Arial" w:eastAsia="Arial" w:hAnsi="Arial"/>
                <w:sz w:val="13"/>
                <w:szCs w:val="13"/>
                <w:color w:val="auto"/>
              </w:rPr>
              <w:t>financing company</w:t>
            </w:r>
          </w:p>
        </w:tc>
        <w:tc>
          <w:tcPr>
            <w:tcW w:w="2340" w:type="dxa"/>
            <w:vAlign w:val="bottom"/>
            <w:shd w:val="clear" w:color="auto" w:fill="CCEEFF"/>
          </w:tcPr>
          <w:p>
            <w:pPr>
              <w:spacing w:after="0"/>
              <w:rPr>
                <w:sz w:val="12"/>
                <w:szCs w:val="12"/>
                <w:color w:val="auto"/>
              </w:rPr>
            </w:pPr>
          </w:p>
        </w:tc>
      </w:tr>
      <w:tr>
        <w:trPr>
          <w:trHeight w:val="149"/>
        </w:trPr>
        <w:tc>
          <w:tcPr>
            <w:tcW w:w="3860" w:type="dxa"/>
            <w:vAlign w:val="bottom"/>
            <w:shd w:val="clear" w:color="auto" w:fill="CCEEFF"/>
          </w:tcPr>
          <w:p>
            <w:pPr>
              <w:spacing w:after="0"/>
              <w:rPr>
                <w:sz w:val="12"/>
                <w:szCs w:val="12"/>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Dublin 18,</w:t>
            </w:r>
          </w:p>
        </w:tc>
        <w:tc>
          <w:tcPr>
            <w:tcW w:w="246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r>
      <w:tr>
        <w:trPr>
          <w:trHeight w:val="168"/>
        </w:trPr>
        <w:tc>
          <w:tcPr>
            <w:tcW w:w="3860" w:type="dxa"/>
            <w:vAlign w:val="bottom"/>
            <w:shd w:val="clear" w:color="auto" w:fill="CCEEFF"/>
          </w:tcPr>
          <w:p>
            <w:pPr>
              <w:spacing w:after="0"/>
              <w:rPr>
                <w:sz w:val="14"/>
                <w:szCs w:val="14"/>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Republic of Ireland</w:t>
            </w:r>
          </w:p>
        </w:tc>
        <w:tc>
          <w:tcPr>
            <w:tcW w:w="246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r>
      <w:tr>
        <w:trPr>
          <w:trHeight w:val="171"/>
        </w:trPr>
        <w:tc>
          <w:tcPr>
            <w:tcW w:w="3860" w:type="dxa"/>
            <w:vAlign w:val="bottom"/>
          </w:tcPr>
          <w:p>
            <w:pPr>
              <w:ind w:left="20"/>
              <w:spacing w:after="0"/>
              <w:rPr>
                <w:sz w:val="20"/>
                <w:szCs w:val="20"/>
                <w:color w:val="auto"/>
              </w:rPr>
            </w:pPr>
            <w:r>
              <w:rPr>
                <w:rFonts w:ascii="Arial" w:cs="Arial" w:eastAsia="Arial" w:hAnsi="Arial"/>
                <w:sz w:val="13"/>
                <w:szCs w:val="13"/>
                <w:color w:val="auto"/>
              </w:rPr>
              <w:t>ICON Clinical Research Israel LTD.</w:t>
            </w:r>
          </w:p>
        </w:tc>
        <w:tc>
          <w:tcPr>
            <w:tcW w:w="2600" w:type="dxa"/>
            <w:vAlign w:val="bottom"/>
          </w:tcPr>
          <w:p>
            <w:pPr>
              <w:ind w:left="220"/>
              <w:spacing w:after="0"/>
              <w:rPr>
                <w:sz w:val="20"/>
                <w:szCs w:val="20"/>
                <w:color w:val="auto"/>
              </w:rPr>
            </w:pPr>
            <w:r>
              <w:rPr>
                <w:rFonts w:ascii="Arial" w:cs="Arial" w:eastAsia="Arial" w:hAnsi="Arial"/>
                <w:sz w:val="13"/>
                <w:szCs w:val="13"/>
                <w:color w:val="auto"/>
              </w:rPr>
              <w:t>6 Haba'al Shem Tov st.,</w:t>
            </w:r>
          </w:p>
        </w:tc>
        <w:tc>
          <w:tcPr>
            <w:tcW w:w="2460" w:type="dxa"/>
            <w:vAlign w:val="bottom"/>
          </w:tcPr>
          <w:p>
            <w:pPr>
              <w:ind w:left="740"/>
              <w:spacing w:after="0"/>
              <w:rPr>
                <w:sz w:val="20"/>
                <w:szCs w:val="20"/>
                <w:color w:val="auto"/>
              </w:rPr>
            </w:pPr>
            <w:r>
              <w:rPr>
                <w:rFonts w:ascii="Arial" w:cs="Arial" w:eastAsia="Arial" w:hAnsi="Arial"/>
                <w:sz w:val="13"/>
                <w:szCs w:val="13"/>
                <w:color w:val="auto"/>
              </w:rPr>
              <w:t>Clinical research services</w:t>
            </w:r>
          </w:p>
        </w:tc>
        <w:tc>
          <w:tcPr>
            <w:tcW w:w="2340" w:type="dxa"/>
            <w:vAlign w:val="bottom"/>
          </w:tcPr>
          <w:p>
            <w:pPr>
              <w:ind w:left="120"/>
              <w:spacing w:after="0"/>
              <w:rPr>
                <w:sz w:val="20"/>
                <w:szCs w:val="20"/>
                <w:color w:val="auto"/>
              </w:rPr>
            </w:pPr>
            <w:r>
              <w:rPr>
                <w:rFonts w:ascii="Arial" w:cs="Arial" w:eastAsia="Arial" w:hAnsi="Arial"/>
                <w:sz w:val="13"/>
                <w:szCs w:val="13"/>
                <w:color w:val="auto"/>
              </w:rPr>
              <w:t>100%</w:t>
            </w:r>
          </w:p>
        </w:tc>
      </w:tr>
      <w:tr>
        <w:trPr>
          <w:trHeight w:val="149"/>
        </w:trPr>
        <w:tc>
          <w:tcPr>
            <w:tcW w:w="3860" w:type="dxa"/>
            <w:vAlign w:val="bottom"/>
          </w:tcPr>
          <w:p>
            <w:pPr>
              <w:spacing w:after="0"/>
              <w:rPr>
                <w:sz w:val="12"/>
                <w:szCs w:val="12"/>
                <w:color w:val="auto"/>
              </w:rPr>
            </w:pPr>
          </w:p>
        </w:tc>
        <w:tc>
          <w:tcPr>
            <w:tcW w:w="2600" w:type="dxa"/>
            <w:vAlign w:val="bottom"/>
          </w:tcPr>
          <w:p>
            <w:pPr>
              <w:ind w:left="220"/>
              <w:spacing w:after="0"/>
              <w:rPr>
                <w:sz w:val="20"/>
                <w:szCs w:val="20"/>
                <w:color w:val="auto"/>
              </w:rPr>
            </w:pPr>
            <w:r>
              <w:rPr>
                <w:rFonts w:ascii="Arial" w:cs="Arial" w:eastAsia="Arial" w:hAnsi="Arial"/>
                <w:sz w:val="13"/>
                <w:szCs w:val="13"/>
                <w:color w:val="auto"/>
              </w:rPr>
              <w:t>North Industrial Area,</w:t>
            </w:r>
          </w:p>
        </w:tc>
        <w:tc>
          <w:tcPr>
            <w:tcW w:w="246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49"/>
        </w:trPr>
        <w:tc>
          <w:tcPr>
            <w:tcW w:w="3860" w:type="dxa"/>
            <w:vAlign w:val="bottom"/>
          </w:tcPr>
          <w:p>
            <w:pPr>
              <w:spacing w:after="0"/>
              <w:rPr>
                <w:sz w:val="12"/>
                <w:szCs w:val="12"/>
                <w:color w:val="auto"/>
              </w:rPr>
            </w:pPr>
          </w:p>
        </w:tc>
        <w:tc>
          <w:tcPr>
            <w:tcW w:w="2600" w:type="dxa"/>
            <w:vAlign w:val="bottom"/>
          </w:tcPr>
          <w:p>
            <w:pPr>
              <w:ind w:left="220"/>
              <w:spacing w:after="0"/>
              <w:rPr>
                <w:sz w:val="20"/>
                <w:szCs w:val="20"/>
                <w:color w:val="auto"/>
              </w:rPr>
            </w:pPr>
            <w:r>
              <w:rPr>
                <w:rFonts w:ascii="Arial" w:cs="Arial" w:eastAsia="Arial" w:hAnsi="Arial"/>
                <w:sz w:val="13"/>
                <w:szCs w:val="13"/>
                <w:color w:val="auto"/>
              </w:rPr>
              <w:t>Lod,</w:t>
            </w:r>
          </w:p>
        </w:tc>
        <w:tc>
          <w:tcPr>
            <w:tcW w:w="246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61"/>
        </w:trPr>
        <w:tc>
          <w:tcPr>
            <w:tcW w:w="3860" w:type="dxa"/>
            <w:vAlign w:val="bottom"/>
          </w:tcPr>
          <w:p>
            <w:pPr>
              <w:spacing w:after="0"/>
              <w:rPr>
                <w:sz w:val="13"/>
                <w:szCs w:val="13"/>
                <w:color w:val="auto"/>
              </w:rPr>
            </w:pPr>
          </w:p>
        </w:tc>
        <w:tc>
          <w:tcPr>
            <w:tcW w:w="2600" w:type="dxa"/>
            <w:vAlign w:val="bottom"/>
          </w:tcPr>
          <w:p>
            <w:pPr>
              <w:ind w:left="220"/>
              <w:spacing w:after="0"/>
              <w:rPr>
                <w:sz w:val="20"/>
                <w:szCs w:val="20"/>
                <w:color w:val="auto"/>
              </w:rPr>
            </w:pPr>
            <w:r>
              <w:rPr>
                <w:rFonts w:ascii="Arial" w:cs="Arial" w:eastAsia="Arial" w:hAnsi="Arial"/>
                <w:sz w:val="13"/>
                <w:szCs w:val="13"/>
                <w:color w:val="auto"/>
              </w:rPr>
              <w:t>Israel, 7128906</w:t>
            </w:r>
          </w:p>
        </w:tc>
        <w:tc>
          <w:tcPr>
            <w:tcW w:w="246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179"/>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DOCS Italia S.R.L.</w:t>
            </w: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Via Benigno Crespi, 23,</w:t>
            </w:r>
          </w:p>
        </w:tc>
        <w:tc>
          <w:tcPr>
            <w:tcW w:w="2460" w:type="dxa"/>
            <w:vAlign w:val="bottom"/>
            <w:shd w:val="clear" w:color="auto" w:fill="CCEEFF"/>
          </w:tcPr>
          <w:p>
            <w:pPr>
              <w:ind w:left="740"/>
              <w:spacing w:after="0"/>
              <w:rPr>
                <w:sz w:val="20"/>
                <w:szCs w:val="20"/>
                <w:color w:val="auto"/>
              </w:rPr>
            </w:pPr>
            <w:r>
              <w:rPr>
                <w:rFonts w:ascii="Arial" w:cs="Arial" w:eastAsia="Arial" w:hAnsi="Arial"/>
                <w:sz w:val="13"/>
                <w:szCs w:val="13"/>
                <w:color w:val="auto"/>
              </w:rPr>
              <w:t>Clinical research services</w:t>
            </w:r>
          </w:p>
        </w:tc>
        <w:tc>
          <w:tcPr>
            <w:tcW w:w="23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100%</w:t>
            </w:r>
          </w:p>
        </w:tc>
      </w:tr>
      <w:tr>
        <w:trPr>
          <w:trHeight w:val="149"/>
        </w:trPr>
        <w:tc>
          <w:tcPr>
            <w:tcW w:w="3860" w:type="dxa"/>
            <w:vAlign w:val="bottom"/>
            <w:shd w:val="clear" w:color="auto" w:fill="CCEEFF"/>
          </w:tcPr>
          <w:p>
            <w:pPr>
              <w:spacing w:after="0"/>
              <w:rPr>
                <w:sz w:val="12"/>
                <w:szCs w:val="12"/>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20159 Milano,</w:t>
            </w:r>
          </w:p>
        </w:tc>
        <w:tc>
          <w:tcPr>
            <w:tcW w:w="246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r>
      <w:tr>
        <w:trPr>
          <w:trHeight w:val="168"/>
        </w:trPr>
        <w:tc>
          <w:tcPr>
            <w:tcW w:w="3860" w:type="dxa"/>
            <w:vAlign w:val="bottom"/>
            <w:shd w:val="clear" w:color="auto" w:fill="CCEEFF"/>
          </w:tcPr>
          <w:p>
            <w:pPr>
              <w:spacing w:after="0"/>
              <w:rPr>
                <w:sz w:val="14"/>
                <w:szCs w:val="14"/>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Italy</w:t>
            </w:r>
          </w:p>
        </w:tc>
        <w:tc>
          <w:tcPr>
            <w:tcW w:w="246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r>
      <w:tr>
        <w:trPr>
          <w:trHeight w:val="171"/>
        </w:trPr>
        <w:tc>
          <w:tcPr>
            <w:tcW w:w="3860" w:type="dxa"/>
            <w:vAlign w:val="bottom"/>
          </w:tcPr>
          <w:p>
            <w:pPr>
              <w:ind w:left="20"/>
              <w:spacing w:after="0"/>
              <w:rPr>
                <w:sz w:val="20"/>
                <w:szCs w:val="20"/>
                <w:color w:val="auto"/>
              </w:rPr>
            </w:pPr>
            <w:r>
              <w:rPr>
                <w:rFonts w:ascii="Arial" w:cs="Arial" w:eastAsia="Arial" w:hAnsi="Arial"/>
                <w:sz w:val="13"/>
                <w:szCs w:val="13"/>
                <w:color w:val="auto"/>
              </w:rPr>
              <w:t>ICON Japan K.K.</w:t>
            </w:r>
          </w:p>
        </w:tc>
        <w:tc>
          <w:tcPr>
            <w:tcW w:w="2600" w:type="dxa"/>
            <w:vAlign w:val="bottom"/>
          </w:tcPr>
          <w:p>
            <w:pPr>
              <w:ind w:left="220"/>
              <w:spacing w:after="0"/>
              <w:rPr>
                <w:sz w:val="20"/>
                <w:szCs w:val="20"/>
                <w:color w:val="auto"/>
              </w:rPr>
            </w:pPr>
            <w:r>
              <w:rPr>
                <w:rFonts w:ascii="Arial" w:cs="Arial" w:eastAsia="Arial" w:hAnsi="Arial"/>
                <w:sz w:val="13"/>
                <w:szCs w:val="13"/>
                <w:color w:val="auto"/>
              </w:rPr>
              <w:t>4-3-9 Toranomon,</w:t>
            </w:r>
          </w:p>
        </w:tc>
        <w:tc>
          <w:tcPr>
            <w:tcW w:w="2460" w:type="dxa"/>
            <w:vAlign w:val="bottom"/>
          </w:tcPr>
          <w:p>
            <w:pPr>
              <w:ind w:left="740"/>
              <w:spacing w:after="0"/>
              <w:rPr>
                <w:sz w:val="20"/>
                <w:szCs w:val="20"/>
                <w:color w:val="auto"/>
              </w:rPr>
            </w:pPr>
            <w:r>
              <w:rPr>
                <w:rFonts w:ascii="Arial" w:cs="Arial" w:eastAsia="Arial" w:hAnsi="Arial"/>
                <w:sz w:val="13"/>
                <w:szCs w:val="13"/>
                <w:color w:val="auto"/>
              </w:rPr>
              <w:t>Clinical research services</w:t>
            </w:r>
          </w:p>
        </w:tc>
        <w:tc>
          <w:tcPr>
            <w:tcW w:w="2340" w:type="dxa"/>
            <w:vAlign w:val="bottom"/>
          </w:tcPr>
          <w:p>
            <w:pPr>
              <w:ind w:left="120"/>
              <w:spacing w:after="0"/>
              <w:rPr>
                <w:sz w:val="20"/>
                <w:szCs w:val="20"/>
                <w:color w:val="auto"/>
              </w:rPr>
            </w:pPr>
            <w:r>
              <w:rPr>
                <w:rFonts w:ascii="Arial" w:cs="Arial" w:eastAsia="Arial" w:hAnsi="Arial"/>
                <w:sz w:val="13"/>
                <w:szCs w:val="13"/>
                <w:color w:val="auto"/>
              </w:rPr>
              <w:t>100%*</w:t>
            </w:r>
          </w:p>
        </w:tc>
      </w:tr>
      <w:tr>
        <w:trPr>
          <w:trHeight w:val="149"/>
        </w:trPr>
        <w:tc>
          <w:tcPr>
            <w:tcW w:w="3860" w:type="dxa"/>
            <w:vAlign w:val="bottom"/>
          </w:tcPr>
          <w:p>
            <w:pPr>
              <w:spacing w:after="0"/>
              <w:rPr>
                <w:sz w:val="12"/>
                <w:szCs w:val="12"/>
                <w:color w:val="auto"/>
              </w:rPr>
            </w:pPr>
          </w:p>
        </w:tc>
        <w:tc>
          <w:tcPr>
            <w:tcW w:w="2600" w:type="dxa"/>
            <w:vAlign w:val="bottom"/>
          </w:tcPr>
          <w:p>
            <w:pPr>
              <w:ind w:left="220"/>
              <w:spacing w:after="0"/>
              <w:rPr>
                <w:sz w:val="20"/>
                <w:szCs w:val="20"/>
                <w:color w:val="auto"/>
              </w:rPr>
            </w:pPr>
            <w:r>
              <w:rPr>
                <w:rFonts w:ascii="Arial" w:cs="Arial" w:eastAsia="Arial" w:hAnsi="Arial"/>
                <w:sz w:val="13"/>
                <w:szCs w:val="13"/>
                <w:color w:val="auto"/>
              </w:rPr>
              <w:t>Minato-ku</w:t>
            </w:r>
          </w:p>
        </w:tc>
        <w:tc>
          <w:tcPr>
            <w:tcW w:w="246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49"/>
        </w:trPr>
        <w:tc>
          <w:tcPr>
            <w:tcW w:w="3860" w:type="dxa"/>
            <w:vAlign w:val="bottom"/>
          </w:tcPr>
          <w:p>
            <w:pPr>
              <w:spacing w:after="0"/>
              <w:rPr>
                <w:sz w:val="12"/>
                <w:szCs w:val="12"/>
                <w:color w:val="auto"/>
              </w:rPr>
            </w:pPr>
          </w:p>
        </w:tc>
        <w:tc>
          <w:tcPr>
            <w:tcW w:w="2600" w:type="dxa"/>
            <w:vAlign w:val="bottom"/>
          </w:tcPr>
          <w:p>
            <w:pPr>
              <w:ind w:left="220"/>
              <w:spacing w:after="0"/>
              <w:rPr>
                <w:sz w:val="20"/>
                <w:szCs w:val="20"/>
                <w:color w:val="auto"/>
              </w:rPr>
            </w:pPr>
            <w:r>
              <w:rPr>
                <w:rFonts w:ascii="Arial" w:cs="Arial" w:eastAsia="Arial" w:hAnsi="Arial"/>
                <w:sz w:val="13"/>
                <w:szCs w:val="13"/>
                <w:color w:val="auto"/>
              </w:rPr>
              <w:t>Tokyo,</w:t>
            </w:r>
          </w:p>
        </w:tc>
        <w:tc>
          <w:tcPr>
            <w:tcW w:w="246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61"/>
        </w:trPr>
        <w:tc>
          <w:tcPr>
            <w:tcW w:w="3860" w:type="dxa"/>
            <w:vAlign w:val="bottom"/>
          </w:tcPr>
          <w:p>
            <w:pPr>
              <w:spacing w:after="0"/>
              <w:rPr>
                <w:sz w:val="13"/>
                <w:szCs w:val="13"/>
                <w:color w:val="auto"/>
              </w:rPr>
            </w:pPr>
          </w:p>
        </w:tc>
        <w:tc>
          <w:tcPr>
            <w:tcW w:w="2600" w:type="dxa"/>
            <w:vAlign w:val="bottom"/>
          </w:tcPr>
          <w:p>
            <w:pPr>
              <w:ind w:left="220"/>
              <w:spacing w:after="0"/>
              <w:rPr>
                <w:sz w:val="20"/>
                <w:szCs w:val="20"/>
                <w:color w:val="auto"/>
              </w:rPr>
            </w:pPr>
            <w:r>
              <w:rPr>
                <w:rFonts w:ascii="Arial" w:cs="Arial" w:eastAsia="Arial" w:hAnsi="Arial"/>
                <w:sz w:val="13"/>
                <w:szCs w:val="13"/>
                <w:color w:val="auto"/>
              </w:rPr>
              <w:t>Japan</w:t>
            </w:r>
          </w:p>
        </w:tc>
        <w:tc>
          <w:tcPr>
            <w:tcW w:w="246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179"/>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Investments Limited</w:t>
            </w: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SG Hambros House</w:t>
            </w:r>
          </w:p>
        </w:tc>
        <w:tc>
          <w:tcPr>
            <w:tcW w:w="2460" w:type="dxa"/>
            <w:vAlign w:val="bottom"/>
            <w:shd w:val="clear" w:color="auto" w:fill="CCEEFF"/>
          </w:tcPr>
          <w:p>
            <w:pPr>
              <w:ind w:left="740"/>
              <w:spacing w:after="0"/>
              <w:rPr>
                <w:sz w:val="20"/>
                <w:szCs w:val="20"/>
                <w:color w:val="auto"/>
              </w:rPr>
            </w:pPr>
            <w:r>
              <w:rPr>
                <w:rFonts w:ascii="Arial" w:cs="Arial" w:eastAsia="Arial" w:hAnsi="Arial"/>
                <w:sz w:val="13"/>
                <w:szCs w:val="13"/>
                <w:color w:val="auto"/>
              </w:rPr>
              <w:t>Investment holding company</w:t>
            </w:r>
          </w:p>
        </w:tc>
        <w:tc>
          <w:tcPr>
            <w:tcW w:w="23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100%*</w:t>
            </w:r>
          </w:p>
        </w:tc>
      </w:tr>
      <w:tr>
        <w:trPr>
          <w:trHeight w:val="149"/>
        </w:trPr>
        <w:tc>
          <w:tcPr>
            <w:tcW w:w="3860" w:type="dxa"/>
            <w:vAlign w:val="bottom"/>
            <w:shd w:val="clear" w:color="auto" w:fill="CCEEFF"/>
          </w:tcPr>
          <w:p>
            <w:pPr>
              <w:spacing w:after="0"/>
              <w:rPr>
                <w:sz w:val="12"/>
                <w:szCs w:val="12"/>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18 Esplanade</w:t>
            </w:r>
          </w:p>
        </w:tc>
        <w:tc>
          <w:tcPr>
            <w:tcW w:w="246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r>
      <w:tr>
        <w:trPr>
          <w:trHeight w:val="149"/>
        </w:trPr>
        <w:tc>
          <w:tcPr>
            <w:tcW w:w="3860" w:type="dxa"/>
            <w:vAlign w:val="bottom"/>
            <w:shd w:val="clear" w:color="auto" w:fill="CCEEFF"/>
          </w:tcPr>
          <w:p>
            <w:pPr>
              <w:spacing w:after="0"/>
              <w:rPr>
                <w:sz w:val="12"/>
                <w:szCs w:val="12"/>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St Helier</w:t>
            </w:r>
          </w:p>
        </w:tc>
        <w:tc>
          <w:tcPr>
            <w:tcW w:w="246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r>
      <w:tr>
        <w:trPr>
          <w:trHeight w:val="149"/>
        </w:trPr>
        <w:tc>
          <w:tcPr>
            <w:tcW w:w="3860" w:type="dxa"/>
            <w:vAlign w:val="bottom"/>
            <w:shd w:val="clear" w:color="auto" w:fill="CCEEFF"/>
          </w:tcPr>
          <w:p>
            <w:pPr>
              <w:spacing w:after="0"/>
              <w:rPr>
                <w:sz w:val="12"/>
                <w:szCs w:val="12"/>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JE4 8RT</w:t>
            </w:r>
          </w:p>
        </w:tc>
        <w:tc>
          <w:tcPr>
            <w:tcW w:w="246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r>
      <w:tr>
        <w:trPr>
          <w:trHeight w:val="168"/>
        </w:trPr>
        <w:tc>
          <w:tcPr>
            <w:tcW w:w="3860" w:type="dxa"/>
            <w:vAlign w:val="bottom"/>
            <w:shd w:val="clear" w:color="auto" w:fill="CCEEFF"/>
          </w:tcPr>
          <w:p>
            <w:pPr>
              <w:spacing w:after="0"/>
              <w:rPr>
                <w:sz w:val="14"/>
                <w:szCs w:val="14"/>
                <w:color w:val="auto"/>
              </w:rPr>
            </w:pPr>
          </w:p>
        </w:tc>
        <w:tc>
          <w:tcPr>
            <w:tcW w:w="2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Jersey</w:t>
            </w:r>
          </w:p>
        </w:tc>
        <w:tc>
          <w:tcPr>
            <w:tcW w:w="246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1260"/>
          </w:cols>
          <w:pgMar w:left="300" w:top="696"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3380" w:type="dxa"/>
            <w:vAlign w:val="bottom"/>
            <w:shd w:val="clear" w:color="auto" w:fill="CCEEFF"/>
          </w:tcPr>
          <w:p>
            <w:pPr>
              <w:ind w:left="640"/>
              <w:spacing w:after="0"/>
              <w:rPr>
                <w:sz w:val="20"/>
                <w:szCs w:val="20"/>
                <w:color w:val="auto"/>
              </w:rPr>
            </w:pPr>
            <w:r>
              <w:rPr>
                <w:rFonts w:ascii="Arial" w:cs="Arial" w:eastAsia="Arial" w:hAnsi="Arial"/>
                <w:sz w:val="13"/>
                <w:szCs w:val="13"/>
                <w:b w:val="1"/>
                <w:bCs w:val="1"/>
                <w:color w:val="auto"/>
              </w:rPr>
              <w:t>Registered Office</w:t>
            </w:r>
          </w:p>
        </w:tc>
        <w:tc>
          <w:tcPr>
            <w:tcW w:w="2020" w:type="dxa"/>
            <w:vAlign w:val="bottom"/>
            <w:shd w:val="clear" w:color="auto" w:fill="CCEEFF"/>
          </w:tcPr>
          <w:p>
            <w:pPr>
              <w:ind w:left="380"/>
              <w:spacing w:after="0"/>
              <w:rPr>
                <w:sz w:val="20"/>
                <w:szCs w:val="20"/>
                <w:color w:val="auto"/>
              </w:rPr>
            </w:pPr>
            <w:r>
              <w:rPr>
                <w:rFonts w:ascii="Arial" w:cs="Arial" w:eastAsia="Arial" w:hAnsi="Arial"/>
                <w:sz w:val="13"/>
                <w:szCs w:val="13"/>
                <w:b w:val="1"/>
                <w:bCs w:val="1"/>
                <w:color w:val="auto"/>
              </w:rPr>
              <w:t>Nature of business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84"/>
        </w:trPr>
        <w:tc>
          <w:tcPr>
            <w:tcW w:w="344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71"/>
        </w:trPr>
        <w:tc>
          <w:tcPr>
            <w:tcW w:w="3440" w:type="dxa"/>
            <w:vAlign w:val="bottom"/>
          </w:tcPr>
          <w:p>
            <w:pPr>
              <w:ind w:left="20"/>
              <w:spacing w:after="0"/>
              <w:rPr>
                <w:sz w:val="20"/>
                <w:szCs w:val="20"/>
                <w:color w:val="auto"/>
              </w:rPr>
            </w:pPr>
            <w:r>
              <w:rPr>
                <w:rFonts w:ascii="Arial" w:cs="Arial" w:eastAsia="Arial" w:hAnsi="Arial"/>
                <w:sz w:val="13"/>
                <w:szCs w:val="13"/>
                <w:color w:val="auto"/>
              </w:rPr>
              <w:t>ICON Clinical Research Korea Yuhan Hoesa</w:t>
            </w:r>
          </w:p>
        </w:tc>
        <w:tc>
          <w:tcPr>
            <w:tcW w:w="3380" w:type="dxa"/>
            <w:vAlign w:val="bottom"/>
          </w:tcPr>
          <w:p>
            <w:pPr>
              <w:ind w:left="640"/>
              <w:spacing w:after="0"/>
              <w:rPr>
                <w:sz w:val="20"/>
                <w:szCs w:val="20"/>
                <w:color w:val="auto"/>
              </w:rPr>
            </w:pPr>
            <w:r>
              <w:rPr>
                <w:rFonts w:ascii="Arial" w:cs="Arial" w:eastAsia="Arial" w:hAnsi="Arial"/>
                <w:sz w:val="13"/>
                <w:szCs w:val="13"/>
                <w:color w:val="auto"/>
              </w:rPr>
              <w:t>142 Taeheran-ro</w:t>
            </w:r>
          </w:p>
        </w:tc>
        <w:tc>
          <w:tcPr>
            <w:tcW w:w="2020" w:type="dxa"/>
            <w:vAlign w:val="bottom"/>
          </w:tcPr>
          <w:p>
            <w:pPr>
              <w:ind w:left="38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3440" w:type="dxa"/>
            <w:vAlign w:val="bottom"/>
          </w:tcPr>
          <w:p>
            <w:pPr>
              <w:spacing w:after="0"/>
              <w:rPr>
                <w:sz w:val="12"/>
                <w:szCs w:val="12"/>
                <w:color w:val="auto"/>
              </w:rPr>
            </w:pPr>
          </w:p>
        </w:tc>
        <w:tc>
          <w:tcPr>
            <w:tcW w:w="3380" w:type="dxa"/>
            <w:vAlign w:val="bottom"/>
          </w:tcPr>
          <w:p>
            <w:pPr>
              <w:ind w:left="640"/>
              <w:spacing w:after="0"/>
              <w:rPr>
                <w:sz w:val="20"/>
                <w:szCs w:val="20"/>
                <w:color w:val="auto"/>
              </w:rPr>
            </w:pPr>
            <w:r>
              <w:rPr>
                <w:rFonts w:ascii="Arial" w:cs="Arial" w:eastAsia="Arial" w:hAnsi="Arial"/>
                <w:sz w:val="13"/>
                <w:szCs w:val="13"/>
                <w:color w:val="auto"/>
              </w:rPr>
              <w:t>Gangnam-gu,</w:t>
            </w:r>
          </w:p>
        </w:tc>
        <w:tc>
          <w:tcPr>
            <w:tcW w:w="20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3440" w:type="dxa"/>
            <w:vAlign w:val="bottom"/>
          </w:tcPr>
          <w:p>
            <w:pPr>
              <w:spacing w:after="0"/>
              <w:rPr>
                <w:sz w:val="12"/>
                <w:szCs w:val="12"/>
                <w:color w:val="auto"/>
              </w:rPr>
            </w:pPr>
          </w:p>
        </w:tc>
        <w:tc>
          <w:tcPr>
            <w:tcW w:w="3380" w:type="dxa"/>
            <w:vAlign w:val="bottom"/>
          </w:tcPr>
          <w:p>
            <w:pPr>
              <w:ind w:left="640"/>
              <w:spacing w:after="0"/>
              <w:rPr>
                <w:sz w:val="20"/>
                <w:szCs w:val="20"/>
                <w:color w:val="auto"/>
              </w:rPr>
            </w:pPr>
            <w:r>
              <w:rPr>
                <w:rFonts w:ascii="Arial" w:cs="Arial" w:eastAsia="Arial" w:hAnsi="Arial"/>
                <w:sz w:val="13"/>
                <w:szCs w:val="13"/>
                <w:color w:val="auto"/>
              </w:rPr>
              <w:t>18th Floor (Yeoksam-dong, Capital Tower)</w:t>
            </w:r>
          </w:p>
        </w:tc>
        <w:tc>
          <w:tcPr>
            <w:tcW w:w="20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3440" w:type="dxa"/>
            <w:vAlign w:val="bottom"/>
          </w:tcPr>
          <w:p>
            <w:pPr>
              <w:spacing w:after="0"/>
              <w:rPr>
                <w:sz w:val="12"/>
                <w:szCs w:val="12"/>
                <w:color w:val="auto"/>
              </w:rPr>
            </w:pPr>
          </w:p>
        </w:tc>
        <w:tc>
          <w:tcPr>
            <w:tcW w:w="3380" w:type="dxa"/>
            <w:vAlign w:val="bottom"/>
          </w:tcPr>
          <w:p>
            <w:pPr>
              <w:ind w:left="640"/>
              <w:spacing w:after="0"/>
              <w:rPr>
                <w:sz w:val="20"/>
                <w:szCs w:val="20"/>
                <w:color w:val="auto"/>
              </w:rPr>
            </w:pPr>
            <w:r>
              <w:rPr>
                <w:rFonts w:ascii="Arial" w:cs="Arial" w:eastAsia="Arial" w:hAnsi="Arial"/>
                <w:sz w:val="13"/>
                <w:szCs w:val="13"/>
                <w:color w:val="auto"/>
              </w:rPr>
              <w:t>Seoul</w:t>
            </w:r>
          </w:p>
        </w:tc>
        <w:tc>
          <w:tcPr>
            <w:tcW w:w="20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3440" w:type="dxa"/>
            <w:vAlign w:val="bottom"/>
          </w:tcPr>
          <w:p>
            <w:pPr>
              <w:spacing w:after="0"/>
              <w:rPr>
                <w:sz w:val="13"/>
                <w:szCs w:val="13"/>
                <w:color w:val="auto"/>
              </w:rPr>
            </w:pPr>
          </w:p>
        </w:tc>
        <w:tc>
          <w:tcPr>
            <w:tcW w:w="3380" w:type="dxa"/>
            <w:vAlign w:val="bottom"/>
          </w:tcPr>
          <w:p>
            <w:pPr>
              <w:ind w:left="640"/>
              <w:spacing w:after="0"/>
              <w:rPr>
                <w:sz w:val="20"/>
                <w:szCs w:val="20"/>
                <w:color w:val="auto"/>
              </w:rPr>
            </w:pPr>
            <w:r>
              <w:rPr>
                <w:rFonts w:ascii="Arial" w:cs="Arial" w:eastAsia="Arial" w:hAnsi="Arial"/>
                <w:sz w:val="13"/>
                <w:szCs w:val="13"/>
                <w:color w:val="auto"/>
              </w:rPr>
              <w:t>Republic of Korea</w:t>
            </w:r>
          </w:p>
        </w:tc>
        <w:tc>
          <w:tcPr>
            <w:tcW w:w="202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CRO Malaysia SDN. BHD.</w:t>
            </w:r>
          </w:p>
        </w:tc>
        <w:tc>
          <w:tcPr>
            <w:tcW w:w="3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Level 11,</w:t>
            </w:r>
          </w:p>
        </w:tc>
        <w:tc>
          <w:tcPr>
            <w:tcW w:w="20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3440" w:type="dxa"/>
            <w:vAlign w:val="bottom"/>
            <w:shd w:val="clear" w:color="auto" w:fill="CCEEFF"/>
          </w:tcPr>
          <w:p>
            <w:pPr>
              <w:spacing w:after="0"/>
              <w:rPr>
                <w:sz w:val="12"/>
                <w:szCs w:val="12"/>
                <w:color w:val="auto"/>
              </w:rPr>
            </w:pPr>
          </w:p>
        </w:tc>
        <w:tc>
          <w:tcPr>
            <w:tcW w:w="3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1 Sentral,</w:t>
            </w:r>
          </w:p>
        </w:tc>
        <w:tc>
          <w:tcPr>
            <w:tcW w:w="202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3440" w:type="dxa"/>
            <w:vAlign w:val="bottom"/>
            <w:shd w:val="clear" w:color="auto" w:fill="CCEEFF"/>
          </w:tcPr>
          <w:p>
            <w:pPr>
              <w:spacing w:after="0"/>
              <w:rPr>
                <w:sz w:val="12"/>
                <w:szCs w:val="12"/>
                <w:color w:val="auto"/>
              </w:rPr>
            </w:pPr>
          </w:p>
        </w:tc>
        <w:tc>
          <w:tcPr>
            <w:tcW w:w="3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Jalan Travers,</w:t>
            </w:r>
          </w:p>
        </w:tc>
        <w:tc>
          <w:tcPr>
            <w:tcW w:w="202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3440" w:type="dxa"/>
            <w:vAlign w:val="bottom"/>
            <w:shd w:val="clear" w:color="auto" w:fill="CCEEFF"/>
          </w:tcPr>
          <w:p>
            <w:pPr>
              <w:spacing w:after="0"/>
              <w:rPr>
                <w:sz w:val="12"/>
                <w:szCs w:val="12"/>
                <w:color w:val="auto"/>
              </w:rPr>
            </w:pPr>
          </w:p>
        </w:tc>
        <w:tc>
          <w:tcPr>
            <w:tcW w:w="3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Kuala Lumpur Sentral,</w:t>
            </w:r>
          </w:p>
        </w:tc>
        <w:tc>
          <w:tcPr>
            <w:tcW w:w="202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3440" w:type="dxa"/>
            <w:vAlign w:val="bottom"/>
            <w:shd w:val="clear" w:color="auto" w:fill="CCEEFF"/>
          </w:tcPr>
          <w:p>
            <w:pPr>
              <w:spacing w:after="0"/>
              <w:rPr>
                <w:sz w:val="12"/>
                <w:szCs w:val="12"/>
                <w:color w:val="auto"/>
              </w:rPr>
            </w:pPr>
          </w:p>
        </w:tc>
        <w:tc>
          <w:tcPr>
            <w:tcW w:w="3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50470 Kuala Lumpur,</w:t>
            </w:r>
          </w:p>
        </w:tc>
        <w:tc>
          <w:tcPr>
            <w:tcW w:w="202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3440" w:type="dxa"/>
            <w:vAlign w:val="bottom"/>
            <w:shd w:val="clear" w:color="auto" w:fill="CCEEFF"/>
          </w:tcPr>
          <w:p>
            <w:pPr>
              <w:spacing w:after="0"/>
              <w:rPr>
                <w:sz w:val="14"/>
                <w:szCs w:val="14"/>
                <w:color w:val="auto"/>
              </w:rPr>
            </w:pPr>
          </w:p>
        </w:tc>
        <w:tc>
          <w:tcPr>
            <w:tcW w:w="3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Malaysia</w:t>
            </w:r>
          </w:p>
        </w:tc>
        <w:tc>
          <w:tcPr>
            <w:tcW w:w="20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3440" w:type="dxa"/>
            <w:vAlign w:val="bottom"/>
          </w:tcPr>
          <w:p>
            <w:pPr>
              <w:ind w:left="20"/>
              <w:spacing w:after="0"/>
              <w:rPr>
                <w:sz w:val="20"/>
                <w:szCs w:val="20"/>
                <w:color w:val="auto"/>
              </w:rPr>
            </w:pPr>
            <w:r>
              <w:rPr>
                <w:rFonts w:ascii="Arial" w:cs="Arial" w:eastAsia="Arial" w:hAnsi="Arial"/>
                <w:sz w:val="13"/>
                <w:szCs w:val="13"/>
                <w:color w:val="auto"/>
              </w:rPr>
              <w:t>ICON Clinical Research México, S.A. de C.V.</w:t>
            </w:r>
          </w:p>
        </w:tc>
        <w:tc>
          <w:tcPr>
            <w:tcW w:w="3380" w:type="dxa"/>
            <w:vAlign w:val="bottom"/>
          </w:tcPr>
          <w:p>
            <w:pPr>
              <w:ind w:left="640"/>
              <w:spacing w:after="0"/>
              <w:rPr>
                <w:sz w:val="20"/>
                <w:szCs w:val="20"/>
                <w:color w:val="auto"/>
              </w:rPr>
            </w:pPr>
            <w:r>
              <w:rPr>
                <w:rFonts w:ascii="Arial" w:cs="Arial" w:eastAsia="Arial" w:hAnsi="Arial"/>
                <w:sz w:val="13"/>
                <w:szCs w:val="13"/>
                <w:color w:val="auto"/>
              </w:rPr>
              <w:t>Av. Barranca del Muerto 329 3rd Floor,</w:t>
            </w:r>
          </w:p>
        </w:tc>
        <w:tc>
          <w:tcPr>
            <w:tcW w:w="2020" w:type="dxa"/>
            <w:vAlign w:val="bottom"/>
          </w:tcPr>
          <w:p>
            <w:pPr>
              <w:ind w:left="38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3440" w:type="dxa"/>
            <w:vAlign w:val="bottom"/>
          </w:tcPr>
          <w:p>
            <w:pPr>
              <w:spacing w:after="0"/>
              <w:rPr>
                <w:sz w:val="12"/>
                <w:szCs w:val="12"/>
                <w:color w:val="auto"/>
              </w:rPr>
            </w:pPr>
          </w:p>
        </w:tc>
        <w:tc>
          <w:tcPr>
            <w:tcW w:w="3380" w:type="dxa"/>
            <w:vAlign w:val="bottom"/>
          </w:tcPr>
          <w:p>
            <w:pPr>
              <w:ind w:left="640"/>
              <w:spacing w:after="0"/>
              <w:rPr>
                <w:sz w:val="20"/>
                <w:szCs w:val="20"/>
                <w:color w:val="auto"/>
              </w:rPr>
            </w:pPr>
            <w:r>
              <w:rPr>
                <w:rFonts w:ascii="Arial" w:cs="Arial" w:eastAsia="Arial" w:hAnsi="Arial"/>
                <w:sz w:val="13"/>
                <w:szCs w:val="13"/>
                <w:color w:val="auto"/>
              </w:rPr>
              <w:t>Col. San Jose Insugentes,</w:t>
            </w:r>
          </w:p>
        </w:tc>
        <w:tc>
          <w:tcPr>
            <w:tcW w:w="20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3440" w:type="dxa"/>
            <w:vAlign w:val="bottom"/>
          </w:tcPr>
          <w:p>
            <w:pPr>
              <w:spacing w:after="0"/>
              <w:rPr>
                <w:sz w:val="13"/>
                <w:szCs w:val="13"/>
                <w:color w:val="auto"/>
              </w:rPr>
            </w:pPr>
          </w:p>
        </w:tc>
        <w:tc>
          <w:tcPr>
            <w:tcW w:w="3380" w:type="dxa"/>
            <w:vAlign w:val="bottom"/>
          </w:tcPr>
          <w:p>
            <w:pPr>
              <w:ind w:left="640"/>
              <w:spacing w:after="0"/>
              <w:rPr>
                <w:sz w:val="20"/>
                <w:szCs w:val="20"/>
                <w:color w:val="auto"/>
              </w:rPr>
            </w:pPr>
            <w:r>
              <w:rPr>
                <w:rFonts w:ascii="Arial" w:cs="Arial" w:eastAsia="Arial" w:hAnsi="Arial"/>
                <w:sz w:val="13"/>
                <w:szCs w:val="13"/>
                <w:color w:val="auto"/>
              </w:rPr>
              <w:t>03900 Mexico D.F.</w:t>
            </w:r>
          </w:p>
        </w:tc>
        <w:tc>
          <w:tcPr>
            <w:tcW w:w="202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DOCS Insourcing B.V.</w:t>
            </w:r>
          </w:p>
        </w:tc>
        <w:tc>
          <w:tcPr>
            <w:tcW w:w="3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Boeing Avenue 62-68,</w:t>
            </w:r>
          </w:p>
        </w:tc>
        <w:tc>
          <w:tcPr>
            <w:tcW w:w="20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3440" w:type="dxa"/>
            <w:vAlign w:val="bottom"/>
            <w:shd w:val="clear" w:color="auto" w:fill="CCEEFF"/>
          </w:tcPr>
          <w:p>
            <w:pPr>
              <w:spacing w:after="0"/>
              <w:rPr>
                <w:sz w:val="12"/>
                <w:szCs w:val="12"/>
                <w:color w:val="auto"/>
              </w:rPr>
            </w:pPr>
          </w:p>
        </w:tc>
        <w:tc>
          <w:tcPr>
            <w:tcW w:w="3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1119PE Schiphol-Rijk,</w:t>
            </w:r>
          </w:p>
        </w:tc>
        <w:tc>
          <w:tcPr>
            <w:tcW w:w="202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3440" w:type="dxa"/>
            <w:vAlign w:val="bottom"/>
            <w:shd w:val="clear" w:color="auto" w:fill="CCEEFF"/>
          </w:tcPr>
          <w:p>
            <w:pPr>
              <w:spacing w:after="0"/>
              <w:rPr>
                <w:sz w:val="14"/>
                <w:szCs w:val="14"/>
                <w:color w:val="auto"/>
              </w:rPr>
            </w:pPr>
          </w:p>
        </w:tc>
        <w:tc>
          <w:tcPr>
            <w:tcW w:w="3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Netherlands</w:t>
            </w:r>
          </w:p>
        </w:tc>
        <w:tc>
          <w:tcPr>
            <w:tcW w:w="20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3440" w:type="dxa"/>
            <w:vAlign w:val="bottom"/>
          </w:tcPr>
          <w:p>
            <w:pPr>
              <w:ind w:left="20"/>
              <w:spacing w:after="0"/>
              <w:rPr>
                <w:sz w:val="20"/>
                <w:szCs w:val="20"/>
                <w:color w:val="auto"/>
              </w:rPr>
            </w:pPr>
            <w:r>
              <w:rPr>
                <w:rFonts w:ascii="Arial" w:cs="Arial" w:eastAsia="Arial" w:hAnsi="Arial"/>
                <w:sz w:val="13"/>
                <w:szCs w:val="13"/>
                <w:color w:val="auto"/>
              </w:rPr>
              <w:t>DOCS International B.V.</w:t>
            </w:r>
          </w:p>
        </w:tc>
        <w:tc>
          <w:tcPr>
            <w:tcW w:w="3380" w:type="dxa"/>
            <w:vAlign w:val="bottom"/>
          </w:tcPr>
          <w:p>
            <w:pPr>
              <w:ind w:left="640"/>
              <w:spacing w:after="0"/>
              <w:rPr>
                <w:sz w:val="20"/>
                <w:szCs w:val="20"/>
                <w:color w:val="auto"/>
              </w:rPr>
            </w:pPr>
            <w:r>
              <w:rPr>
                <w:rFonts w:ascii="Arial" w:cs="Arial" w:eastAsia="Arial" w:hAnsi="Arial"/>
                <w:sz w:val="13"/>
                <w:szCs w:val="13"/>
                <w:color w:val="auto"/>
              </w:rPr>
              <w:t>Boeing Avenue 62-68,</w:t>
            </w:r>
          </w:p>
        </w:tc>
        <w:tc>
          <w:tcPr>
            <w:tcW w:w="2020" w:type="dxa"/>
            <w:vAlign w:val="bottom"/>
          </w:tcPr>
          <w:p>
            <w:pPr>
              <w:ind w:left="38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3440" w:type="dxa"/>
            <w:vAlign w:val="bottom"/>
          </w:tcPr>
          <w:p>
            <w:pPr>
              <w:spacing w:after="0"/>
              <w:rPr>
                <w:sz w:val="12"/>
                <w:szCs w:val="12"/>
                <w:color w:val="auto"/>
              </w:rPr>
            </w:pPr>
          </w:p>
        </w:tc>
        <w:tc>
          <w:tcPr>
            <w:tcW w:w="3380" w:type="dxa"/>
            <w:vAlign w:val="bottom"/>
          </w:tcPr>
          <w:p>
            <w:pPr>
              <w:ind w:left="640"/>
              <w:spacing w:after="0"/>
              <w:rPr>
                <w:sz w:val="20"/>
                <w:szCs w:val="20"/>
                <w:color w:val="auto"/>
              </w:rPr>
            </w:pPr>
            <w:r>
              <w:rPr>
                <w:rFonts w:ascii="Arial" w:cs="Arial" w:eastAsia="Arial" w:hAnsi="Arial"/>
                <w:sz w:val="13"/>
                <w:szCs w:val="13"/>
                <w:color w:val="auto"/>
              </w:rPr>
              <w:t>1119PE Schiphol-Rijk,</w:t>
            </w:r>
          </w:p>
        </w:tc>
        <w:tc>
          <w:tcPr>
            <w:tcW w:w="20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3440" w:type="dxa"/>
            <w:vAlign w:val="bottom"/>
          </w:tcPr>
          <w:p>
            <w:pPr>
              <w:spacing w:after="0"/>
              <w:rPr>
                <w:sz w:val="13"/>
                <w:szCs w:val="13"/>
                <w:color w:val="auto"/>
              </w:rPr>
            </w:pPr>
          </w:p>
        </w:tc>
        <w:tc>
          <w:tcPr>
            <w:tcW w:w="3380" w:type="dxa"/>
            <w:vAlign w:val="bottom"/>
          </w:tcPr>
          <w:p>
            <w:pPr>
              <w:ind w:left="640"/>
              <w:spacing w:after="0"/>
              <w:rPr>
                <w:sz w:val="20"/>
                <w:szCs w:val="20"/>
                <w:color w:val="auto"/>
              </w:rPr>
            </w:pPr>
            <w:r>
              <w:rPr>
                <w:rFonts w:ascii="Arial" w:cs="Arial" w:eastAsia="Arial" w:hAnsi="Arial"/>
                <w:sz w:val="13"/>
                <w:szCs w:val="13"/>
                <w:color w:val="auto"/>
              </w:rPr>
              <w:t>Netherlands</w:t>
            </w:r>
          </w:p>
        </w:tc>
        <w:tc>
          <w:tcPr>
            <w:tcW w:w="202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Contracting Solutions Holdings B.V.</w:t>
            </w:r>
          </w:p>
        </w:tc>
        <w:tc>
          <w:tcPr>
            <w:tcW w:w="3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Boeing Avenue 62-68</w:t>
            </w:r>
          </w:p>
        </w:tc>
        <w:tc>
          <w:tcPr>
            <w:tcW w:w="20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3440" w:type="dxa"/>
            <w:vAlign w:val="bottom"/>
            <w:shd w:val="clear" w:color="auto" w:fill="CCEEFF"/>
          </w:tcPr>
          <w:p>
            <w:pPr>
              <w:spacing w:after="0"/>
              <w:rPr>
                <w:sz w:val="12"/>
                <w:szCs w:val="12"/>
                <w:color w:val="auto"/>
              </w:rPr>
            </w:pPr>
          </w:p>
        </w:tc>
        <w:tc>
          <w:tcPr>
            <w:tcW w:w="3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1119PE Schiphol-Rijk</w:t>
            </w:r>
          </w:p>
        </w:tc>
        <w:tc>
          <w:tcPr>
            <w:tcW w:w="202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3440" w:type="dxa"/>
            <w:vAlign w:val="bottom"/>
            <w:shd w:val="clear" w:color="auto" w:fill="CCEEFF"/>
          </w:tcPr>
          <w:p>
            <w:pPr>
              <w:spacing w:after="0"/>
              <w:rPr>
                <w:sz w:val="14"/>
                <w:szCs w:val="14"/>
                <w:color w:val="auto"/>
              </w:rPr>
            </w:pPr>
          </w:p>
        </w:tc>
        <w:tc>
          <w:tcPr>
            <w:tcW w:w="3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The Netherlands</w:t>
            </w:r>
          </w:p>
        </w:tc>
        <w:tc>
          <w:tcPr>
            <w:tcW w:w="20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3440" w:type="dxa"/>
            <w:vAlign w:val="bottom"/>
          </w:tcPr>
          <w:p>
            <w:pPr>
              <w:ind w:left="20"/>
              <w:spacing w:after="0"/>
              <w:rPr>
                <w:sz w:val="20"/>
                <w:szCs w:val="20"/>
                <w:color w:val="auto"/>
              </w:rPr>
            </w:pPr>
            <w:r>
              <w:rPr>
                <w:rFonts w:ascii="Arial" w:cs="Arial" w:eastAsia="Arial" w:hAnsi="Arial"/>
                <w:sz w:val="13"/>
                <w:szCs w:val="13"/>
                <w:color w:val="auto"/>
              </w:rPr>
              <w:t>ICON Clinical Research (New Zealand) Limited</w:t>
            </w:r>
          </w:p>
        </w:tc>
        <w:tc>
          <w:tcPr>
            <w:tcW w:w="3380" w:type="dxa"/>
            <w:vAlign w:val="bottom"/>
          </w:tcPr>
          <w:p>
            <w:pPr>
              <w:ind w:left="640"/>
              <w:spacing w:after="0"/>
              <w:rPr>
                <w:sz w:val="20"/>
                <w:szCs w:val="20"/>
                <w:color w:val="auto"/>
              </w:rPr>
            </w:pPr>
            <w:r>
              <w:rPr>
                <w:rFonts w:ascii="Arial" w:cs="Arial" w:eastAsia="Arial" w:hAnsi="Arial"/>
                <w:sz w:val="13"/>
                <w:szCs w:val="13"/>
                <w:color w:val="auto"/>
              </w:rPr>
              <w:t>Plaza Level,</w:t>
            </w:r>
          </w:p>
        </w:tc>
        <w:tc>
          <w:tcPr>
            <w:tcW w:w="2020" w:type="dxa"/>
            <w:vAlign w:val="bottom"/>
          </w:tcPr>
          <w:p>
            <w:pPr>
              <w:ind w:left="38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3440" w:type="dxa"/>
            <w:vAlign w:val="bottom"/>
          </w:tcPr>
          <w:p>
            <w:pPr>
              <w:spacing w:after="0"/>
              <w:rPr>
                <w:sz w:val="12"/>
                <w:szCs w:val="12"/>
                <w:color w:val="auto"/>
              </w:rPr>
            </w:pPr>
          </w:p>
        </w:tc>
        <w:tc>
          <w:tcPr>
            <w:tcW w:w="3380" w:type="dxa"/>
            <w:vAlign w:val="bottom"/>
          </w:tcPr>
          <w:p>
            <w:pPr>
              <w:ind w:left="640"/>
              <w:spacing w:after="0"/>
              <w:rPr>
                <w:sz w:val="20"/>
                <w:szCs w:val="20"/>
                <w:color w:val="auto"/>
              </w:rPr>
            </w:pPr>
            <w:r>
              <w:rPr>
                <w:rFonts w:ascii="Arial" w:cs="Arial" w:eastAsia="Arial" w:hAnsi="Arial"/>
                <w:sz w:val="13"/>
                <w:szCs w:val="13"/>
                <w:color w:val="auto"/>
              </w:rPr>
              <w:t>41 Shortland Street,</w:t>
            </w:r>
          </w:p>
        </w:tc>
        <w:tc>
          <w:tcPr>
            <w:tcW w:w="20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3440" w:type="dxa"/>
            <w:vAlign w:val="bottom"/>
          </w:tcPr>
          <w:p>
            <w:pPr>
              <w:spacing w:after="0"/>
              <w:rPr>
                <w:sz w:val="12"/>
                <w:szCs w:val="12"/>
                <w:color w:val="auto"/>
              </w:rPr>
            </w:pPr>
          </w:p>
        </w:tc>
        <w:tc>
          <w:tcPr>
            <w:tcW w:w="3380" w:type="dxa"/>
            <w:vAlign w:val="bottom"/>
          </w:tcPr>
          <w:p>
            <w:pPr>
              <w:ind w:left="640"/>
              <w:spacing w:after="0"/>
              <w:rPr>
                <w:sz w:val="20"/>
                <w:szCs w:val="20"/>
                <w:color w:val="auto"/>
              </w:rPr>
            </w:pPr>
            <w:r>
              <w:rPr>
                <w:rFonts w:ascii="Arial" w:cs="Arial" w:eastAsia="Arial" w:hAnsi="Arial"/>
                <w:sz w:val="13"/>
                <w:szCs w:val="13"/>
                <w:color w:val="auto"/>
              </w:rPr>
              <w:t>Auckland,</w:t>
            </w:r>
          </w:p>
        </w:tc>
        <w:tc>
          <w:tcPr>
            <w:tcW w:w="20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3440" w:type="dxa"/>
            <w:vAlign w:val="bottom"/>
          </w:tcPr>
          <w:p>
            <w:pPr>
              <w:spacing w:after="0"/>
              <w:rPr>
                <w:sz w:val="13"/>
                <w:szCs w:val="13"/>
                <w:color w:val="auto"/>
              </w:rPr>
            </w:pPr>
          </w:p>
        </w:tc>
        <w:tc>
          <w:tcPr>
            <w:tcW w:w="3380" w:type="dxa"/>
            <w:vAlign w:val="bottom"/>
          </w:tcPr>
          <w:p>
            <w:pPr>
              <w:ind w:left="640"/>
              <w:spacing w:after="0"/>
              <w:rPr>
                <w:sz w:val="20"/>
                <w:szCs w:val="20"/>
                <w:color w:val="auto"/>
              </w:rPr>
            </w:pPr>
            <w:r>
              <w:rPr>
                <w:rFonts w:ascii="Arial" w:cs="Arial" w:eastAsia="Arial" w:hAnsi="Arial"/>
                <w:sz w:val="13"/>
                <w:szCs w:val="13"/>
                <w:color w:val="auto"/>
              </w:rPr>
              <w:t>New Zealand 1010</w:t>
            </w:r>
          </w:p>
        </w:tc>
        <w:tc>
          <w:tcPr>
            <w:tcW w:w="202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Clinical Research Peru S.A.</w:t>
            </w:r>
          </w:p>
        </w:tc>
        <w:tc>
          <w:tcPr>
            <w:tcW w:w="3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Av. Paseo de la Republica 5895,</w:t>
            </w:r>
          </w:p>
        </w:tc>
        <w:tc>
          <w:tcPr>
            <w:tcW w:w="20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3440" w:type="dxa"/>
            <w:vAlign w:val="bottom"/>
            <w:shd w:val="clear" w:color="auto" w:fill="CCEEFF"/>
          </w:tcPr>
          <w:p>
            <w:pPr>
              <w:spacing w:after="0"/>
              <w:rPr>
                <w:sz w:val="12"/>
                <w:szCs w:val="12"/>
                <w:color w:val="auto"/>
              </w:rPr>
            </w:pPr>
          </w:p>
        </w:tc>
        <w:tc>
          <w:tcPr>
            <w:tcW w:w="3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Oficina 606,</w:t>
            </w:r>
          </w:p>
        </w:tc>
        <w:tc>
          <w:tcPr>
            <w:tcW w:w="202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3440" w:type="dxa"/>
            <w:vAlign w:val="bottom"/>
            <w:shd w:val="clear" w:color="auto" w:fill="CCEEFF"/>
          </w:tcPr>
          <w:p>
            <w:pPr>
              <w:spacing w:after="0"/>
              <w:rPr>
                <w:sz w:val="12"/>
                <w:szCs w:val="12"/>
                <w:color w:val="auto"/>
              </w:rPr>
            </w:pPr>
          </w:p>
        </w:tc>
        <w:tc>
          <w:tcPr>
            <w:tcW w:w="3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Miraflores,</w:t>
            </w:r>
          </w:p>
        </w:tc>
        <w:tc>
          <w:tcPr>
            <w:tcW w:w="202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3440" w:type="dxa"/>
            <w:vAlign w:val="bottom"/>
            <w:shd w:val="clear" w:color="auto" w:fill="CCEEFF"/>
          </w:tcPr>
          <w:p>
            <w:pPr>
              <w:spacing w:after="0"/>
              <w:rPr>
                <w:sz w:val="12"/>
                <w:szCs w:val="12"/>
                <w:color w:val="auto"/>
              </w:rPr>
            </w:pPr>
          </w:p>
        </w:tc>
        <w:tc>
          <w:tcPr>
            <w:tcW w:w="3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Lima 18,</w:t>
            </w:r>
          </w:p>
        </w:tc>
        <w:tc>
          <w:tcPr>
            <w:tcW w:w="202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3440" w:type="dxa"/>
            <w:vAlign w:val="bottom"/>
            <w:shd w:val="clear" w:color="auto" w:fill="CCEEFF"/>
          </w:tcPr>
          <w:p>
            <w:pPr>
              <w:spacing w:after="0"/>
              <w:rPr>
                <w:sz w:val="14"/>
                <w:szCs w:val="14"/>
                <w:color w:val="auto"/>
              </w:rPr>
            </w:pPr>
          </w:p>
        </w:tc>
        <w:tc>
          <w:tcPr>
            <w:tcW w:w="3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Peru</w:t>
            </w:r>
          </w:p>
        </w:tc>
        <w:tc>
          <w:tcPr>
            <w:tcW w:w="20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3440" w:type="dxa"/>
            <w:vAlign w:val="bottom"/>
          </w:tcPr>
          <w:p>
            <w:pPr>
              <w:ind w:left="20"/>
              <w:spacing w:after="0"/>
              <w:rPr>
                <w:sz w:val="20"/>
                <w:szCs w:val="20"/>
                <w:color w:val="auto"/>
              </w:rPr>
            </w:pPr>
            <w:r>
              <w:rPr>
                <w:rFonts w:ascii="Arial" w:cs="Arial" w:eastAsia="Arial" w:hAnsi="Arial"/>
                <w:sz w:val="13"/>
                <w:szCs w:val="13"/>
                <w:color w:val="auto"/>
              </w:rPr>
              <w:t>ICON Clinical Research Services Philippines, Inc.</w:t>
            </w:r>
          </w:p>
        </w:tc>
        <w:tc>
          <w:tcPr>
            <w:tcW w:w="3380" w:type="dxa"/>
            <w:vAlign w:val="bottom"/>
          </w:tcPr>
          <w:p>
            <w:pPr>
              <w:ind w:left="640"/>
              <w:spacing w:after="0"/>
              <w:rPr>
                <w:sz w:val="20"/>
                <w:szCs w:val="20"/>
                <w:color w:val="auto"/>
              </w:rPr>
            </w:pPr>
            <w:r>
              <w:rPr>
                <w:rFonts w:ascii="Arial" w:cs="Arial" w:eastAsia="Arial" w:hAnsi="Arial"/>
                <w:sz w:val="13"/>
                <w:szCs w:val="13"/>
                <w:color w:val="auto"/>
              </w:rPr>
              <w:t>24th Floor Salcedo Towers,</w:t>
            </w:r>
          </w:p>
        </w:tc>
        <w:tc>
          <w:tcPr>
            <w:tcW w:w="2020" w:type="dxa"/>
            <w:vAlign w:val="bottom"/>
          </w:tcPr>
          <w:p>
            <w:pPr>
              <w:ind w:left="38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3440" w:type="dxa"/>
            <w:vAlign w:val="bottom"/>
          </w:tcPr>
          <w:p>
            <w:pPr>
              <w:spacing w:after="0"/>
              <w:rPr>
                <w:sz w:val="12"/>
                <w:szCs w:val="12"/>
                <w:color w:val="auto"/>
              </w:rPr>
            </w:pPr>
          </w:p>
        </w:tc>
        <w:tc>
          <w:tcPr>
            <w:tcW w:w="3380" w:type="dxa"/>
            <w:vAlign w:val="bottom"/>
          </w:tcPr>
          <w:p>
            <w:pPr>
              <w:ind w:left="640"/>
              <w:spacing w:after="0"/>
              <w:rPr>
                <w:sz w:val="20"/>
                <w:szCs w:val="20"/>
                <w:color w:val="auto"/>
              </w:rPr>
            </w:pPr>
            <w:r>
              <w:rPr>
                <w:rFonts w:ascii="Arial" w:cs="Arial" w:eastAsia="Arial" w:hAnsi="Arial"/>
                <w:sz w:val="13"/>
                <w:szCs w:val="13"/>
                <w:color w:val="auto"/>
              </w:rPr>
              <w:t>169 H.V. Dela Costa Street,</w:t>
            </w:r>
          </w:p>
        </w:tc>
        <w:tc>
          <w:tcPr>
            <w:tcW w:w="20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3440" w:type="dxa"/>
            <w:vAlign w:val="bottom"/>
          </w:tcPr>
          <w:p>
            <w:pPr>
              <w:spacing w:after="0"/>
              <w:rPr>
                <w:sz w:val="12"/>
                <w:szCs w:val="12"/>
                <w:color w:val="auto"/>
              </w:rPr>
            </w:pPr>
          </w:p>
        </w:tc>
        <w:tc>
          <w:tcPr>
            <w:tcW w:w="3380" w:type="dxa"/>
            <w:vAlign w:val="bottom"/>
          </w:tcPr>
          <w:p>
            <w:pPr>
              <w:ind w:left="640"/>
              <w:spacing w:after="0"/>
              <w:rPr>
                <w:sz w:val="20"/>
                <w:szCs w:val="20"/>
                <w:color w:val="auto"/>
              </w:rPr>
            </w:pPr>
            <w:r>
              <w:rPr>
                <w:rFonts w:ascii="Arial" w:cs="Arial" w:eastAsia="Arial" w:hAnsi="Arial"/>
                <w:sz w:val="13"/>
                <w:szCs w:val="13"/>
                <w:color w:val="auto"/>
              </w:rPr>
              <w:t>Salcedo Village,</w:t>
            </w:r>
          </w:p>
        </w:tc>
        <w:tc>
          <w:tcPr>
            <w:tcW w:w="20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3440" w:type="dxa"/>
            <w:vAlign w:val="bottom"/>
          </w:tcPr>
          <w:p>
            <w:pPr>
              <w:spacing w:after="0"/>
              <w:rPr>
                <w:sz w:val="12"/>
                <w:szCs w:val="12"/>
                <w:color w:val="auto"/>
              </w:rPr>
            </w:pPr>
          </w:p>
        </w:tc>
        <w:tc>
          <w:tcPr>
            <w:tcW w:w="3380" w:type="dxa"/>
            <w:vAlign w:val="bottom"/>
          </w:tcPr>
          <w:p>
            <w:pPr>
              <w:ind w:left="640"/>
              <w:spacing w:after="0"/>
              <w:rPr>
                <w:sz w:val="20"/>
                <w:szCs w:val="20"/>
                <w:color w:val="auto"/>
              </w:rPr>
            </w:pPr>
            <w:r>
              <w:rPr>
                <w:rFonts w:ascii="Arial" w:cs="Arial" w:eastAsia="Arial" w:hAnsi="Arial"/>
                <w:sz w:val="13"/>
                <w:szCs w:val="13"/>
                <w:color w:val="auto"/>
              </w:rPr>
              <w:t>Makati City,</w:t>
            </w:r>
          </w:p>
        </w:tc>
        <w:tc>
          <w:tcPr>
            <w:tcW w:w="20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3440" w:type="dxa"/>
            <w:vAlign w:val="bottom"/>
          </w:tcPr>
          <w:p>
            <w:pPr>
              <w:spacing w:after="0"/>
              <w:rPr>
                <w:sz w:val="13"/>
                <w:szCs w:val="13"/>
                <w:color w:val="auto"/>
              </w:rPr>
            </w:pPr>
          </w:p>
        </w:tc>
        <w:tc>
          <w:tcPr>
            <w:tcW w:w="3380" w:type="dxa"/>
            <w:vAlign w:val="bottom"/>
          </w:tcPr>
          <w:p>
            <w:pPr>
              <w:ind w:left="640"/>
              <w:spacing w:after="0"/>
              <w:rPr>
                <w:sz w:val="20"/>
                <w:szCs w:val="20"/>
                <w:color w:val="auto"/>
              </w:rPr>
            </w:pPr>
            <w:r>
              <w:rPr>
                <w:rFonts w:ascii="Arial" w:cs="Arial" w:eastAsia="Arial" w:hAnsi="Arial"/>
                <w:sz w:val="13"/>
                <w:szCs w:val="13"/>
                <w:color w:val="auto"/>
              </w:rPr>
              <w:t>Philippines 1227</w:t>
            </w:r>
          </w:p>
        </w:tc>
        <w:tc>
          <w:tcPr>
            <w:tcW w:w="202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DOCS International Poland Sp. z o.o.</w:t>
            </w:r>
          </w:p>
        </w:tc>
        <w:tc>
          <w:tcPr>
            <w:tcW w:w="3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Ul. Grojecka 5,</w:t>
            </w:r>
          </w:p>
        </w:tc>
        <w:tc>
          <w:tcPr>
            <w:tcW w:w="20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3440" w:type="dxa"/>
            <w:vAlign w:val="bottom"/>
            <w:shd w:val="clear" w:color="auto" w:fill="CCEEFF"/>
          </w:tcPr>
          <w:p>
            <w:pPr>
              <w:spacing w:after="0"/>
              <w:rPr>
                <w:sz w:val="12"/>
                <w:szCs w:val="12"/>
                <w:color w:val="auto"/>
              </w:rPr>
            </w:pPr>
          </w:p>
        </w:tc>
        <w:tc>
          <w:tcPr>
            <w:tcW w:w="3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02-019 Warsaw,</w:t>
            </w:r>
          </w:p>
        </w:tc>
        <w:tc>
          <w:tcPr>
            <w:tcW w:w="202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3440" w:type="dxa"/>
            <w:vAlign w:val="bottom"/>
            <w:shd w:val="clear" w:color="auto" w:fill="CCEEFF"/>
          </w:tcPr>
          <w:p>
            <w:pPr>
              <w:spacing w:after="0"/>
              <w:rPr>
                <w:sz w:val="14"/>
                <w:szCs w:val="14"/>
                <w:color w:val="auto"/>
              </w:rPr>
            </w:pPr>
          </w:p>
        </w:tc>
        <w:tc>
          <w:tcPr>
            <w:tcW w:w="33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Poland</w:t>
            </w:r>
          </w:p>
        </w:tc>
        <w:tc>
          <w:tcPr>
            <w:tcW w:w="20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3440" w:type="dxa"/>
            <w:vAlign w:val="bottom"/>
          </w:tcPr>
          <w:p>
            <w:pPr>
              <w:ind w:left="20"/>
              <w:spacing w:after="0"/>
              <w:rPr>
                <w:sz w:val="20"/>
                <w:szCs w:val="20"/>
                <w:color w:val="auto"/>
              </w:rPr>
            </w:pPr>
            <w:r>
              <w:rPr>
                <w:rFonts w:ascii="Arial" w:cs="Arial" w:eastAsia="Arial" w:hAnsi="Arial"/>
                <w:sz w:val="13"/>
                <w:szCs w:val="13"/>
                <w:color w:val="auto"/>
              </w:rPr>
              <w:t>ICON Clinical Research Sp. z o.o.</w:t>
            </w:r>
          </w:p>
        </w:tc>
        <w:tc>
          <w:tcPr>
            <w:tcW w:w="3380" w:type="dxa"/>
            <w:vAlign w:val="bottom"/>
          </w:tcPr>
          <w:p>
            <w:pPr>
              <w:ind w:left="640"/>
              <w:spacing w:after="0"/>
              <w:rPr>
                <w:sz w:val="20"/>
                <w:szCs w:val="20"/>
                <w:color w:val="auto"/>
              </w:rPr>
            </w:pPr>
            <w:r>
              <w:rPr>
                <w:rFonts w:ascii="Arial" w:cs="Arial" w:eastAsia="Arial" w:hAnsi="Arial"/>
                <w:sz w:val="13"/>
                <w:szCs w:val="13"/>
                <w:color w:val="auto"/>
              </w:rPr>
              <w:t>Al. Jerozolimskie 56C,</w:t>
            </w:r>
          </w:p>
        </w:tc>
        <w:tc>
          <w:tcPr>
            <w:tcW w:w="2020" w:type="dxa"/>
            <w:vAlign w:val="bottom"/>
          </w:tcPr>
          <w:p>
            <w:pPr>
              <w:ind w:left="38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3440" w:type="dxa"/>
            <w:vAlign w:val="bottom"/>
          </w:tcPr>
          <w:p>
            <w:pPr>
              <w:spacing w:after="0"/>
              <w:rPr>
                <w:sz w:val="12"/>
                <w:szCs w:val="12"/>
                <w:color w:val="auto"/>
              </w:rPr>
            </w:pPr>
          </w:p>
        </w:tc>
        <w:tc>
          <w:tcPr>
            <w:tcW w:w="3380" w:type="dxa"/>
            <w:vAlign w:val="bottom"/>
          </w:tcPr>
          <w:p>
            <w:pPr>
              <w:ind w:left="640"/>
              <w:spacing w:after="0"/>
              <w:rPr>
                <w:sz w:val="20"/>
                <w:szCs w:val="20"/>
                <w:color w:val="auto"/>
              </w:rPr>
            </w:pPr>
            <w:r>
              <w:rPr>
                <w:rFonts w:ascii="Arial" w:cs="Arial" w:eastAsia="Arial" w:hAnsi="Arial"/>
                <w:sz w:val="13"/>
                <w:szCs w:val="13"/>
                <w:color w:val="auto"/>
              </w:rPr>
              <w:t>00-803,</w:t>
            </w:r>
          </w:p>
        </w:tc>
        <w:tc>
          <w:tcPr>
            <w:tcW w:w="20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3440" w:type="dxa"/>
            <w:vAlign w:val="bottom"/>
          </w:tcPr>
          <w:p>
            <w:pPr>
              <w:spacing w:after="0"/>
              <w:rPr>
                <w:sz w:val="12"/>
                <w:szCs w:val="12"/>
                <w:color w:val="auto"/>
              </w:rPr>
            </w:pPr>
          </w:p>
        </w:tc>
        <w:tc>
          <w:tcPr>
            <w:tcW w:w="3380" w:type="dxa"/>
            <w:vAlign w:val="bottom"/>
          </w:tcPr>
          <w:p>
            <w:pPr>
              <w:ind w:left="640"/>
              <w:spacing w:after="0"/>
              <w:rPr>
                <w:sz w:val="20"/>
                <w:szCs w:val="20"/>
                <w:color w:val="auto"/>
              </w:rPr>
            </w:pPr>
            <w:r>
              <w:rPr>
                <w:rFonts w:ascii="Arial" w:cs="Arial" w:eastAsia="Arial" w:hAnsi="Arial"/>
                <w:sz w:val="13"/>
                <w:szCs w:val="13"/>
                <w:color w:val="auto"/>
              </w:rPr>
              <w:t>Warsaw,</w:t>
            </w:r>
          </w:p>
        </w:tc>
        <w:tc>
          <w:tcPr>
            <w:tcW w:w="20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53"/>
        </w:trPr>
        <w:tc>
          <w:tcPr>
            <w:tcW w:w="3440" w:type="dxa"/>
            <w:vAlign w:val="bottom"/>
          </w:tcPr>
          <w:p>
            <w:pPr>
              <w:spacing w:after="0"/>
              <w:rPr>
                <w:sz w:val="13"/>
                <w:szCs w:val="13"/>
                <w:color w:val="auto"/>
              </w:rPr>
            </w:pPr>
          </w:p>
        </w:tc>
        <w:tc>
          <w:tcPr>
            <w:tcW w:w="3380" w:type="dxa"/>
            <w:vAlign w:val="bottom"/>
          </w:tcPr>
          <w:p>
            <w:pPr>
              <w:ind w:left="640"/>
              <w:spacing w:after="0"/>
              <w:rPr>
                <w:sz w:val="20"/>
                <w:szCs w:val="20"/>
                <w:color w:val="auto"/>
              </w:rPr>
            </w:pPr>
            <w:r>
              <w:rPr>
                <w:rFonts w:ascii="Arial" w:cs="Arial" w:eastAsia="Arial" w:hAnsi="Arial"/>
                <w:sz w:val="13"/>
                <w:szCs w:val="13"/>
                <w:color w:val="auto"/>
              </w:rPr>
              <w:t>Poland</w:t>
            </w:r>
          </w:p>
        </w:tc>
        <w:tc>
          <w:tcPr>
            <w:tcW w:w="2020" w:type="dxa"/>
            <w:vAlign w:val="bottom"/>
          </w:tcPr>
          <w:p>
            <w:pPr>
              <w:spacing w:after="0"/>
              <w:rPr>
                <w:sz w:val="13"/>
                <w:szCs w:val="13"/>
                <w:color w:val="auto"/>
              </w:rPr>
            </w:pPr>
          </w:p>
        </w:tc>
        <w:tc>
          <w:tcPr>
            <w:tcW w:w="2420" w:type="dxa"/>
            <w:vAlign w:val="bottom"/>
          </w:tcPr>
          <w:p>
            <w:pPr>
              <w:spacing w:after="0"/>
              <w:rPr>
                <w:sz w:val="13"/>
                <w:szCs w:val="13"/>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260"/>
          </w:cols>
          <w:pgMar w:left="300" w:top="696"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Registered Office</w:t>
            </w:r>
          </w:p>
        </w:tc>
        <w:tc>
          <w:tcPr>
            <w:tcW w:w="2300" w:type="dxa"/>
            <w:vAlign w:val="bottom"/>
            <w:shd w:val="clear" w:color="auto" w:fill="CCEEFF"/>
          </w:tcPr>
          <w:p>
            <w:pPr>
              <w:ind w:left="660"/>
              <w:spacing w:after="0"/>
              <w:rPr>
                <w:sz w:val="20"/>
                <w:szCs w:val="20"/>
                <w:color w:val="auto"/>
              </w:rPr>
            </w:pPr>
            <w:r>
              <w:rPr>
                <w:rFonts w:ascii="Arial" w:cs="Arial" w:eastAsia="Arial" w:hAnsi="Arial"/>
                <w:sz w:val="13"/>
                <w:szCs w:val="13"/>
                <w:b w:val="1"/>
                <w:bCs w:val="1"/>
                <w:color w:val="auto"/>
              </w:rPr>
              <w:t>Nature of business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69"/>
        </w:trPr>
        <w:tc>
          <w:tcPr>
            <w:tcW w:w="40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86"/>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Symphony Clinical Research Sp. z.o.o.</w:t>
            </w: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ul. Potokowa 26,</w:t>
            </w:r>
          </w:p>
        </w:tc>
        <w:tc>
          <w:tcPr>
            <w:tcW w:w="23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80-283</w:t>
            </w:r>
          </w:p>
        </w:tc>
        <w:tc>
          <w:tcPr>
            <w:tcW w:w="23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Gdansk,</w:t>
            </w:r>
          </w:p>
        </w:tc>
        <w:tc>
          <w:tcPr>
            <w:tcW w:w="23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Poland.</w:t>
            </w:r>
          </w:p>
        </w:tc>
        <w:tc>
          <w:tcPr>
            <w:tcW w:w="230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ICON Clinical Research S.R.L.</w:t>
            </w:r>
          </w:p>
        </w:tc>
        <w:tc>
          <w:tcPr>
            <w:tcW w:w="2480" w:type="dxa"/>
            <w:vAlign w:val="bottom"/>
          </w:tcPr>
          <w:p>
            <w:pPr>
              <w:ind w:left="20"/>
              <w:spacing w:after="0"/>
              <w:rPr>
                <w:sz w:val="20"/>
                <w:szCs w:val="20"/>
                <w:color w:val="auto"/>
              </w:rPr>
            </w:pPr>
            <w:r>
              <w:rPr>
                <w:rFonts w:ascii="Arial" w:cs="Arial" w:eastAsia="Arial" w:hAnsi="Arial"/>
                <w:sz w:val="13"/>
                <w:szCs w:val="13"/>
                <w:color w:val="auto"/>
              </w:rPr>
              <w:t>Calea Floreasca,</w:t>
            </w:r>
          </w:p>
        </w:tc>
        <w:tc>
          <w:tcPr>
            <w:tcW w:w="2300" w:type="dxa"/>
            <w:vAlign w:val="bottom"/>
          </w:tcPr>
          <w:p>
            <w:pPr>
              <w:ind w:left="66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Nr 133-137, Et. 3,</w:t>
            </w:r>
          </w:p>
        </w:tc>
        <w:tc>
          <w:tcPr>
            <w:tcW w:w="230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Bucuruesti,</w:t>
            </w:r>
          </w:p>
        </w:tc>
        <w:tc>
          <w:tcPr>
            <w:tcW w:w="230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Sector 1,</w:t>
            </w:r>
          </w:p>
        </w:tc>
        <w:tc>
          <w:tcPr>
            <w:tcW w:w="230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Romania</w:t>
            </w:r>
          </w:p>
        </w:tc>
        <w:tc>
          <w:tcPr>
            <w:tcW w:w="230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Clinical Research (Rus) LLC</w:t>
            </w: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24D Smolnaya Street,</w:t>
            </w:r>
          </w:p>
        </w:tc>
        <w:tc>
          <w:tcPr>
            <w:tcW w:w="23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Moscow, 125445,</w:t>
            </w:r>
          </w:p>
        </w:tc>
        <w:tc>
          <w:tcPr>
            <w:tcW w:w="23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Russian Federation</w:t>
            </w:r>
          </w:p>
        </w:tc>
        <w:tc>
          <w:tcPr>
            <w:tcW w:w="230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ICON Clinical Research d.o.o. Beograd</w:t>
            </w:r>
          </w:p>
        </w:tc>
        <w:tc>
          <w:tcPr>
            <w:tcW w:w="2480" w:type="dxa"/>
            <w:vAlign w:val="bottom"/>
          </w:tcPr>
          <w:p>
            <w:pPr>
              <w:ind w:left="20"/>
              <w:spacing w:after="0"/>
              <w:rPr>
                <w:sz w:val="20"/>
                <w:szCs w:val="20"/>
                <w:color w:val="auto"/>
              </w:rPr>
            </w:pPr>
            <w:r>
              <w:rPr>
                <w:rFonts w:ascii="Arial" w:cs="Arial" w:eastAsia="Arial" w:hAnsi="Arial"/>
                <w:sz w:val="13"/>
                <w:szCs w:val="13"/>
                <w:color w:val="auto"/>
              </w:rPr>
              <w:t>4th Floor,</w:t>
            </w:r>
          </w:p>
        </w:tc>
        <w:tc>
          <w:tcPr>
            <w:tcW w:w="2300" w:type="dxa"/>
            <w:vAlign w:val="bottom"/>
          </w:tcPr>
          <w:p>
            <w:pPr>
              <w:ind w:left="66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Bulevar Zorana Djindjica 64a,</w:t>
            </w:r>
          </w:p>
        </w:tc>
        <w:tc>
          <w:tcPr>
            <w:tcW w:w="230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11070 Belgrade,</w:t>
            </w:r>
          </w:p>
        </w:tc>
        <w:tc>
          <w:tcPr>
            <w:tcW w:w="230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Serbia</w:t>
            </w:r>
          </w:p>
        </w:tc>
        <w:tc>
          <w:tcPr>
            <w:tcW w:w="230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Clinical Research (Pte) Limited</w:t>
            </w: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30 Loyang Way,</w:t>
            </w:r>
          </w:p>
        </w:tc>
        <w:tc>
          <w:tcPr>
            <w:tcW w:w="23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#02/12,</w:t>
            </w:r>
          </w:p>
        </w:tc>
        <w:tc>
          <w:tcPr>
            <w:tcW w:w="23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Loyang Industrial Estate,</w:t>
            </w:r>
          </w:p>
        </w:tc>
        <w:tc>
          <w:tcPr>
            <w:tcW w:w="23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508769,</w:t>
            </w:r>
          </w:p>
        </w:tc>
        <w:tc>
          <w:tcPr>
            <w:tcW w:w="23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Singapore</w:t>
            </w:r>
          </w:p>
        </w:tc>
        <w:tc>
          <w:tcPr>
            <w:tcW w:w="230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ICON Clinical Research Slovakia, s.r.o.</w:t>
            </w:r>
          </w:p>
        </w:tc>
        <w:tc>
          <w:tcPr>
            <w:tcW w:w="2480" w:type="dxa"/>
            <w:vAlign w:val="bottom"/>
          </w:tcPr>
          <w:p>
            <w:pPr>
              <w:ind w:left="20"/>
              <w:spacing w:after="0" w:line="150" w:lineRule="exact"/>
              <w:rPr>
                <w:sz w:val="20"/>
                <w:szCs w:val="20"/>
                <w:color w:val="auto"/>
              </w:rPr>
            </w:pPr>
            <w:r>
              <w:rPr>
                <w:rFonts w:ascii="Arial" w:cs="Arial" w:eastAsia="Arial" w:hAnsi="Arial"/>
                <w:sz w:val="13"/>
                <w:szCs w:val="13"/>
                <w:color w:val="auto"/>
              </w:rPr>
              <w:t>Suché m</w:t>
            </w:r>
            <w:r>
              <w:rPr>
                <w:rFonts w:ascii="MS PGothic" w:cs="MS PGothic" w:eastAsia="MS PGothic" w:hAnsi="MS PGothic"/>
                <w:sz w:val="13"/>
                <w:szCs w:val="13"/>
                <w:color w:val="auto"/>
              </w:rPr>
              <w:t>☒</w:t>
            </w:r>
            <w:r>
              <w:rPr>
                <w:rFonts w:ascii="Arial" w:cs="Arial" w:eastAsia="Arial" w:hAnsi="Arial"/>
                <w:sz w:val="13"/>
                <w:szCs w:val="13"/>
                <w:color w:val="auto"/>
              </w:rPr>
              <w:t>to 1,</w:t>
            </w:r>
          </w:p>
        </w:tc>
        <w:tc>
          <w:tcPr>
            <w:tcW w:w="2300" w:type="dxa"/>
            <w:vAlign w:val="bottom"/>
          </w:tcPr>
          <w:p>
            <w:pPr>
              <w:ind w:left="66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811 03 Bratislava,</w:t>
            </w:r>
          </w:p>
        </w:tc>
        <w:tc>
          <w:tcPr>
            <w:tcW w:w="230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Slovak Republic</w:t>
            </w:r>
          </w:p>
        </w:tc>
        <w:tc>
          <w:tcPr>
            <w:tcW w:w="230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MeDiNova Merc Clinical Research (SA) Pty Limited**</w:t>
            </w: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11 Dolerite Crescent,</w:t>
            </w:r>
          </w:p>
        </w:tc>
        <w:tc>
          <w:tcPr>
            <w:tcW w:w="23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60%</w:t>
            </w:r>
          </w:p>
        </w:tc>
      </w:tr>
      <w:tr>
        <w:trPr>
          <w:trHeight w:val="149"/>
        </w:trPr>
        <w:tc>
          <w:tcPr>
            <w:tcW w:w="4060" w:type="dxa"/>
            <w:vAlign w:val="bottom"/>
            <w:shd w:val="clear" w:color="auto" w:fill="CCEEFF"/>
          </w:tcPr>
          <w:p>
            <w:pPr>
              <w:spacing w:after="0"/>
              <w:rPr>
                <w:sz w:val="12"/>
                <w:szCs w:val="12"/>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Aerorand,</w:t>
            </w:r>
          </w:p>
        </w:tc>
        <w:tc>
          <w:tcPr>
            <w:tcW w:w="23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Middelburg,</w:t>
            </w:r>
          </w:p>
        </w:tc>
        <w:tc>
          <w:tcPr>
            <w:tcW w:w="23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Mpumalanga 1050,</w:t>
            </w:r>
          </w:p>
        </w:tc>
        <w:tc>
          <w:tcPr>
            <w:tcW w:w="23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 Africa.</w:t>
            </w:r>
          </w:p>
        </w:tc>
        <w:tc>
          <w:tcPr>
            <w:tcW w:w="230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ICON Clinical Research España, S.L.</w:t>
            </w:r>
          </w:p>
        </w:tc>
        <w:tc>
          <w:tcPr>
            <w:tcW w:w="2480" w:type="dxa"/>
            <w:vAlign w:val="bottom"/>
          </w:tcPr>
          <w:p>
            <w:pPr>
              <w:ind w:left="20"/>
              <w:spacing w:after="0"/>
              <w:rPr>
                <w:sz w:val="20"/>
                <w:szCs w:val="20"/>
                <w:color w:val="auto"/>
              </w:rPr>
            </w:pPr>
            <w:r>
              <w:rPr>
                <w:rFonts w:ascii="Arial" w:cs="Arial" w:eastAsia="Arial" w:hAnsi="Arial"/>
                <w:sz w:val="13"/>
                <w:szCs w:val="13"/>
                <w:color w:val="auto"/>
              </w:rPr>
              <w:t>Calle Josep Pla,</w:t>
            </w:r>
          </w:p>
        </w:tc>
        <w:tc>
          <w:tcPr>
            <w:tcW w:w="2300" w:type="dxa"/>
            <w:vAlign w:val="bottom"/>
          </w:tcPr>
          <w:p>
            <w:pPr>
              <w:ind w:left="66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Numero 2, Torre Diagonal Mar,</w:t>
            </w:r>
          </w:p>
        </w:tc>
        <w:tc>
          <w:tcPr>
            <w:tcW w:w="230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Piso 11, Modulo 1,</w:t>
            </w:r>
          </w:p>
        </w:tc>
        <w:tc>
          <w:tcPr>
            <w:tcW w:w="230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Barcelona,</w:t>
            </w:r>
          </w:p>
        </w:tc>
        <w:tc>
          <w:tcPr>
            <w:tcW w:w="230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Spain</w:t>
            </w:r>
          </w:p>
        </w:tc>
        <w:tc>
          <w:tcPr>
            <w:tcW w:w="230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MeDiNova Investigacion y Desarrollo S.L.</w:t>
            </w: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Calle Marques de Valdavia 103,</w:t>
            </w:r>
          </w:p>
        </w:tc>
        <w:tc>
          <w:tcPr>
            <w:tcW w:w="23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Portal 5,</w:t>
            </w:r>
          </w:p>
        </w:tc>
        <w:tc>
          <w:tcPr>
            <w:tcW w:w="23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28100 Alcobendas,</w:t>
            </w:r>
          </w:p>
        </w:tc>
        <w:tc>
          <w:tcPr>
            <w:tcW w:w="23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Madrid,</w:t>
            </w:r>
          </w:p>
        </w:tc>
        <w:tc>
          <w:tcPr>
            <w:tcW w:w="23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Spain.</w:t>
            </w:r>
          </w:p>
        </w:tc>
        <w:tc>
          <w:tcPr>
            <w:tcW w:w="230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DOCS International Sweden AB</w:t>
            </w:r>
          </w:p>
        </w:tc>
        <w:tc>
          <w:tcPr>
            <w:tcW w:w="2480" w:type="dxa"/>
            <w:vAlign w:val="bottom"/>
          </w:tcPr>
          <w:p>
            <w:pPr>
              <w:ind w:left="20"/>
              <w:spacing w:after="0"/>
              <w:rPr>
                <w:sz w:val="20"/>
                <w:szCs w:val="20"/>
                <w:color w:val="auto"/>
              </w:rPr>
            </w:pPr>
            <w:r>
              <w:rPr>
                <w:rFonts w:ascii="Arial" w:cs="Arial" w:eastAsia="Arial" w:hAnsi="Arial"/>
                <w:sz w:val="13"/>
                <w:szCs w:val="13"/>
                <w:color w:val="auto"/>
              </w:rPr>
              <w:t>Building B, Floor 10</w:t>
            </w:r>
          </w:p>
        </w:tc>
        <w:tc>
          <w:tcPr>
            <w:tcW w:w="2300" w:type="dxa"/>
            <w:vAlign w:val="bottom"/>
          </w:tcPr>
          <w:p>
            <w:pPr>
              <w:ind w:left="66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Klarabergsviadukten 90</w:t>
            </w:r>
          </w:p>
        </w:tc>
        <w:tc>
          <w:tcPr>
            <w:tcW w:w="230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111 64 Stockholm</w:t>
            </w:r>
          </w:p>
        </w:tc>
        <w:tc>
          <w:tcPr>
            <w:tcW w:w="230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Sweden</w:t>
            </w:r>
          </w:p>
        </w:tc>
        <w:tc>
          <w:tcPr>
            <w:tcW w:w="230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DOCS International Switzerland GmbH</w:t>
            </w: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 Experfina AG</w:t>
            </w:r>
          </w:p>
        </w:tc>
        <w:tc>
          <w:tcPr>
            <w:tcW w:w="23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Picassoplatz 8</w:t>
            </w:r>
          </w:p>
        </w:tc>
        <w:tc>
          <w:tcPr>
            <w:tcW w:w="23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4052 Basel</w:t>
            </w:r>
          </w:p>
        </w:tc>
        <w:tc>
          <w:tcPr>
            <w:tcW w:w="23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Switzerland</w:t>
            </w:r>
          </w:p>
        </w:tc>
        <w:tc>
          <w:tcPr>
            <w:tcW w:w="230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ICON Clinical Research (Switzerland) GmbH</w:t>
            </w:r>
          </w:p>
        </w:tc>
        <w:tc>
          <w:tcPr>
            <w:tcW w:w="2480" w:type="dxa"/>
            <w:vAlign w:val="bottom"/>
          </w:tcPr>
          <w:p>
            <w:pPr>
              <w:ind w:left="20"/>
              <w:spacing w:after="0"/>
              <w:rPr>
                <w:sz w:val="20"/>
                <w:szCs w:val="20"/>
                <w:color w:val="auto"/>
              </w:rPr>
            </w:pPr>
            <w:r>
              <w:rPr>
                <w:rFonts w:ascii="Arial" w:cs="Arial" w:eastAsia="Arial" w:hAnsi="Arial"/>
                <w:sz w:val="13"/>
                <w:szCs w:val="13"/>
                <w:color w:val="auto"/>
              </w:rPr>
              <w:t>c/o Experfina AG</w:t>
            </w:r>
          </w:p>
        </w:tc>
        <w:tc>
          <w:tcPr>
            <w:tcW w:w="2300" w:type="dxa"/>
            <w:vAlign w:val="bottom"/>
          </w:tcPr>
          <w:p>
            <w:pPr>
              <w:ind w:left="66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Picassoplatz 8</w:t>
            </w:r>
          </w:p>
        </w:tc>
        <w:tc>
          <w:tcPr>
            <w:tcW w:w="230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4052 Basel</w:t>
            </w:r>
          </w:p>
        </w:tc>
        <w:tc>
          <w:tcPr>
            <w:tcW w:w="230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Switzerland</w:t>
            </w:r>
          </w:p>
        </w:tc>
        <w:tc>
          <w:tcPr>
            <w:tcW w:w="230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Clinical Research Taiwan Limited</w:t>
            </w: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2F, No. 96, Sec. 1,</w:t>
            </w:r>
          </w:p>
        </w:tc>
        <w:tc>
          <w:tcPr>
            <w:tcW w:w="23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Chien Kou North Road,</w:t>
            </w:r>
          </w:p>
        </w:tc>
        <w:tc>
          <w:tcPr>
            <w:tcW w:w="23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Taipei 10495,</w:t>
            </w:r>
          </w:p>
        </w:tc>
        <w:tc>
          <w:tcPr>
            <w:tcW w:w="23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Taiwan, R.O.C.</w:t>
            </w:r>
          </w:p>
        </w:tc>
        <w:tc>
          <w:tcPr>
            <w:tcW w:w="230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260"/>
          </w:cols>
          <w:pgMar w:left="300" w:top="696"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b w:val="1"/>
                <w:bCs w:val="1"/>
                <w:color w:val="auto"/>
              </w:rPr>
              <w:t>Registered Office</w:t>
            </w:r>
          </w:p>
        </w:tc>
        <w:tc>
          <w:tcPr>
            <w:tcW w:w="2440" w:type="dxa"/>
            <w:vAlign w:val="bottom"/>
            <w:shd w:val="clear" w:color="auto" w:fill="CCEEFF"/>
          </w:tcPr>
          <w:p>
            <w:pPr>
              <w:ind w:left="800"/>
              <w:spacing w:after="0"/>
              <w:rPr>
                <w:sz w:val="20"/>
                <w:szCs w:val="20"/>
                <w:color w:val="auto"/>
              </w:rPr>
            </w:pPr>
            <w:r>
              <w:rPr>
                <w:rFonts w:ascii="Arial" w:cs="Arial" w:eastAsia="Arial" w:hAnsi="Arial"/>
                <w:sz w:val="13"/>
                <w:szCs w:val="13"/>
                <w:b w:val="1"/>
                <w:bCs w:val="1"/>
                <w:color w:val="auto"/>
              </w:rPr>
              <w:t>Nature of business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84"/>
        </w:trPr>
        <w:tc>
          <w:tcPr>
            <w:tcW w:w="364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71"/>
        </w:trPr>
        <w:tc>
          <w:tcPr>
            <w:tcW w:w="3640" w:type="dxa"/>
            <w:vAlign w:val="bottom"/>
          </w:tcPr>
          <w:p>
            <w:pPr>
              <w:ind w:left="20"/>
              <w:spacing w:after="0"/>
              <w:rPr>
                <w:sz w:val="20"/>
                <w:szCs w:val="20"/>
                <w:color w:val="auto"/>
              </w:rPr>
            </w:pPr>
            <w:r>
              <w:rPr>
                <w:rFonts w:ascii="Arial" w:cs="Arial" w:eastAsia="Arial" w:hAnsi="Arial"/>
                <w:sz w:val="13"/>
                <w:szCs w:val="13"/>
                <w:color w:val="auto"/>
              </w:rPr>
              <w:t>ICON Clinical Research (Thailand) Limited</w:t>
            </w:r>
          </w:p>
        </w:tc>
        <w:tc>
          <w:tcPr>
            <w:tcW w:w="2760" w:type="dxa"/>
            <w:vAlign w:val="bottom"/>
          </w:tcPr>
          <w:p>
            <w:pPr>
              <w:ind w:left="440"/>
              <w:spacing w:after="0"/>
              <w:rPr>
                <w:sz w:val="20"/>
                <w:szCs w:val="20"/>
                <w:color w:val="auto"/>
              </w:rPr>
            </w:pPr>
            <w:r>
              <w:rPr>
                <w:rFonts w:ascii="Arial" w:cs="Arial" w:eastAsia="Arial" w:hAnsi="Arial"/>
                <w:sz w:val="13"/>
                <w:szCs w:val="13"/>
                <w:color w:val="auto"/>
              </w:rPr>
              <w:t>1 Empire Tower,</w:t>
            </w:r>
          </w:p>
        </w:tc>
        <w:tc>
          <w:tcPr>
            <w:tcW w:w="2440" w:type="dxa"/>
            <w:vAlign w:val="bottom"/>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3640" w:type="dxa"/>
            <w:vAlign w:val="bottom"/>
          </w:tcPr>
          <w:p>
            <w:pPr>
              <w:spacing w:after="0"/>
              <w:rPr>
                <w:sz w:val="12"/>
                <w:szCs w:val="12"/>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24th Floor, Unit 2408,</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South Sathorn Road,</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Yannawa, Sathorn,</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Bangkok, 10120</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3640" w:type="dxa"/>
            <w:vAlign w:val="bottom"/>
          </w:tcPr>
          <w:p>
            <w:pPr>
              <w:spacing w:after="0"/>
              <w:rPr>
                <w:sz w:val="13"/>
                <w:szCs w:val="13"/>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Thailand</w:t>
            </w:r>
          </w:p>
        </w:tc>
        <w:tc>
          <w:tcPr>
            <w:tcW w:w="244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Ankara Klinik Arastirma Dis Ticaret Anonim Sirketi</w:t>
            </w: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Sogutozu mah,</w:t>
            </w:r>
          </w:p>
        </w:tc>
        <w:tc>
          <w:tcPr>
            <w:tcW w:w="2440" w:type="dxa"/>
            <w:vAlign w:val="bottom"/>
            <w:shd w:val="clear" w:color="auto" w:fill="CCEEFF"/>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3640" w:type="dxa"/>
            <w:vAlign w:val="bottom"/>
            <w:shd w:val="clear" w:color="auto" w:fill="CCEEFF"/>
          </w:tcPr>
          <w:p>
            <w:pPr>
              <w:spacing w:after="0"/>
              <w:rPr>
                <w:sz w:val="12"/>
                <w:szCs w:val="12"/>
                <w:color w:val="auto"/>
              </w:rPr>
            </w:pP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Eskisehir Yolu Cad.2176.,</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3640" w:type="dxa"/>
            <w:vAlign w:val="bottom"/>
            <w:shd w:val="clear" w:color="auto" w:fill="CCEEFF"/>
          </w:tcPr>
          <w:p>
            <w:pPr>
              <w:spacing w:after="0"/>
              <w:rPr>
                <w:sz w:val="12"/>
                <w:szCs w:val="12"/>
                <w:color w:val="auto"/>
              </w:rPr>
            </w:pP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SK No.9,</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3640" w:type="dxa"/>
            <w:vAlign w:val="bottom"/>
            <w:shd w:val="clear" w:color="auto" w:fill="CCEEFF"/>
          </w:tcPr>
          <w:p>
            <w:pPr>
              <w:spacing w:after="0"/>
              <w:rPr>
                <w:sz w:val="12"/>
                <w:szCs w:val="12"/>
                <w:color w:val="auto"/>
              </w:rPr>
            </w:pP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Posta Kodu: 06510,</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3640" w:type="dxa"/>
            <w:vAlign w:val="bottom"/>
            <w:shd w:val="clear" w:color="auto" w:fill="CCEEFF"/>
          </w:tcPr>
          <w:p>
            <w:pPr>
              <w:spacing w:after="0"/>
              <w:rPr>
                <w:sz w:val="12"/>
                <w:szCs w:val="12"/>
                <w:color w:val="auto"/>
              </w:rPr>
            </w:pP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Cankaya Ankara,</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3640" w:type="dxa"/>
            <w:vAlign w:val="bottom"/>
            <w:shd w:val="clear" w:color="auto" w:fill="CCEEFF"/>
          </w:tcPr>
          <w:p>
            <w:pPr>
              <w:spacing w:after="0"/>
              <w:rPr>
                <w:sz w:val="14"/>
                <w:szCs w:val="14"/>
                <w:color w:val="auto"/>
              </w:rPr>
            </w:pP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Turkey</w:t>
            </w:r>
          </w:p>
        </w:tc>
        <w:tc>
          <w:tcPr>
            <w:tcW w:w="244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3640" w:type="dxa"/>
            <w:vAlign w:val="bottom"/>
          </w:tcPr>
          <w:p>
            <w:pPr>
              <w:ind w:left="20"/>
              <w:spacing w:after="0"/>
              <w:rPr>
                <w:sz w:val="20"/>
                <w:szCs w:val="20"/>
                <w:color w:val="auto"/>
              </w:rPr>
            </w:pPr>
            <w:r>
              <w:rPr>
                <w:rFonts w:ascii="Arial" w:cs="Arial" w:eastAsia="Arial" w:hAnsi="Arial"/>
                <w:sz w:val="13"/>
                <w:szCs w:val="13"/>
                <w:color w:val="auto"/>
              </w:rPr>
              <w:t>DOCS International UK Limited</w:t>
            </w:r>
          </w:p>
        </w:tc>
        <w:tc>
          <w:tcPr>
            <w:tcW w:w="2760" w:type="dxa"/>
            <w:vAlign w:val="bottom"/>
          </w:tcPr>
          <w:p>
            <w:pPr>
              <w:ind w:left="440"/>
              <w:spacing w:after="0"/>
              <w:rPr>
                <w:sz w:val="20"/>
                <w:szCs w:val="20"/>
                <w:color w:val="auto"/>
              </w:rPr>
            </w:pPr>
            <w:r>
              <w:rPr>
                <w:rFonts w:ascii="Arial" w:cs="Arial" w:eastAsia="Arial" w:hAnsi="Arial"/>
                <w:sz w:val="13"/>
                <w:szCs w:val="13"/>
                <w:color w:val="auto"/>
              </w:rPr>
              <w:t>Concept House,</w:t>
            </w:r>
          </w:p>
        </w:tc>
        <w:tc>
          <w:tcPr>
            <w:tcW w:w="2440" w:type="dxa"/>
            <w:vAlign w:val="bottom"/>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3640" w:type="dxa"/>
            <w:vAlign w:val="bottom"/>
          </w:tcPr>
          <w:p>
            <w:pPr>
              <w:spacing w:after="0"/>
              <w:rPr>
                <w:sz w:val="12"/>
                <w:szCs w:val="12"/>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6 Stoneycroft Rise,</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Chandlers Ford,</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Eastleigh,</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Hampshire,</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SO53 3LD</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3640" w:type="dxa"/>
            <w:vAlign w:val="bottom"/>
          </w:tcPr>
          <w:p>
            <w:pPr>
              <w:spacing w:after="0"/>
              <w:rPr>
                <w:sz w:val="13"/>
                <w:szCs w:val="13"/>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United Kingdom</w:t>
            </w:r>
          </w:p>
        </w:tc>
        <w:tc>
          <w:tcPr>
            <w:tcW w:w="244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Development Solutions Limited</w:t>
            </w: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Concept House,</w:t>
            </w:r>
          </w:p>
        </w:tc>
        <w:tc>
          <w:tcPr>
            <w:tcW w:w="2440" w:type="dxa"/>
            <w:vAlign w:val="bottom"/>
            <w:shd w:val="clear" w:color="auto" w:fill="CCEEFF"/>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3640" w:type="dxa"/>
            <w:vAlign w:val="bottom"/>
            <w:shd w:val="clear" w:color="auto" w:fill="CCEEFF"/>
          </w:tcPr>
          <w:p>
            <w:pPr>
              <w:spacing w:after="0"/>
              <w:rPr>
                <w:sz w:val="12"/>
                <w:szCs w:val="12"/>
                <w:color w:val="auto"/>
              </w:rPr>
            </w:pP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6 Stoneycroft Rise,</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3640" w:type="dxa"/>
            <w:vAlign w:val="bottom"/>
            <w:shd w:val="clear" w:color="auto" w:fill="CCEEFF"/>
          </w:tcPr>
          <w:p>
            <w:pPr>
              <w:spacing w:after="0"/>
              <w:rPr>
                <w:sz w:val="12"/>
                <w:szCs w:val="12"/>
                <w:color w:val="auto"/>
              </w:rPr>
            </w:pP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Chandlers Ford,</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3640" w:type="dxa"/>
            <w:vAlign w:val="bottom"/>
            <w:shd w:val="clear" w:color="auto" w:fill="CCEEFF"/>
          </w:tcPr>
          <w:p>
            <w:pPr>
              <w:spacing w:after="0"/>
              <w:rPr>
                <w:sz w:val="12"/>
                <w:szCs w:val="12"/>
                <w:color w:val="auto"/>
              </w:rPr>
            </w:pP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Eastleigh,</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3640" w:type="dxa"/>
            <w:vAlign w:val="bottom"/>
            <w:shd w:val="clear" w:color="auto" w:fill="CCEEFF"/>
          </w:tcPr>
          <w:p>
            <w:pPr>
              <w:spacing w:after="0"/>
              <w:rPr>
                <w:sz w:val="12"/>
                <w:szCs w:val="12"/>
                <w:color w:val="auto"/>
              </w:rPr>
            </w:pP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Hampshire,</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3640" w:type="dxa"/>
            <w:vAlign w:val="bottom"/>
            <w:shd w:val="clear" w:color="auto" w:fill="CCEEFF"/>
          </w:tcPr>
          <w:p>
            <w:pPr>
              <w:spacing w:after="0"/>
              <w:rPr>
                <w:sz w:val="12"/>
                <w:szCs w:val="12"/>
                <w:color w:val="auto"/>
              </w:rPr>
            </w:pP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SO53 3LD</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3640" w:type="dxa"/>
            <w:vAlign w:val="bottom"/>
            <w:shd w:val="clear" w:color="auto" w:fill="CCEEFF"/>
          </w:tcPr>
          <w:p>
            <w:pPr>
              <w:spacing w:after="0"/>
              <w:rPr>
                <w:sz w:val="14"/>
                <w:szCs w:val="14"/>
                <w:color w:val="auto"/>
              </w:rPr>
            </w:pP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Kingdom</w:t>
            </w:r>
          </w:p>
        </w:tc>
        <w:tc>
          <w:tcPr>
            <w:tcW w:w="244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3640" w:type="dxa"/>
            <w:vAlign w:val="bottom"/>
          </w:tcPr>
          <w:p>
            <w:pPr>
              <w:ind w:left="20"/>
              <w:spacing w:after="0"/>
              <w:rPr>
                <w:sz w:val="20"/>
                <w:szCs w:val="20"/>
                <w:color w:val="auto"/>
              </w:rPr>
            </w:pPr>
            <w:r>
              <w:rPr>
                <w:rFonts w:ascii="Arial" w:cs="Arial" w:eastAsia="Arial" w:hAnsi="Arial"/>
                <w:sz w:val="13"/>
                <w:szCs w:val="13"/>
                <w:color w:val="auto"/>
              </w:rPr>
              <w:t>DOCS Ukraine LLC</w:t>
            </w:r>
          </w:p>
        </w:tc>
        <w:tc>
          <w:tcPr>
            <w:tcW w:w="2760" w:type="dxa"/>
            <w:vAlign w:val="bottom"/>
          </w:tcPr>
          <w:p>
            <w:pPr>
              <w:ind w:left="440"/>
              <w:spacing w:after="0"/>
              <w:rPr>
                <w:sz w:val="20"/>
                <w:szCs w:val="20"/>
                <w:color w:val="auto"/>
              </w:rPr>
            </w:pPr>
            <w:r>
              <w:rPr>
                <w:rFonts w:ascii="Arial" w:cs="Arial" w:eastAsia="Arial" w:hAnsi="Arial"/>
                <w:sz w:val="13"/>
                <w:szCs w:val="13"/>
                <w:color w:val="auto"/>
              </w:rPr>
              <w:t>4th Floor,</w:t>
            </w:r>
          </w:p>
        </w:tc>
        <w:tc>
          <w:tcPr>
            <w:tcW w:w="2440" w:type="dxa"/>
            <w:vAlign w:val="bottom"/>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3640" w:type="dxa"/>
            <w:vAlign w:val="bottom"/>
          </w:tcPr>
          <w:p>
            <w:pPr>
              <w:spacing w:after="0"/>
              <w:rPr>
                <w:sz w:val="12"/>
                <w:szCs w:val="12"/>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St. Poleva 24,</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Kiev,</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3640" w:type="dxa"/>
            <w:vAlign w:val="bottom"/>
          </w:tcPr>
          <w:p>
            <w:pPr>
              <w:spacing w:after="0"/>
              <w:rPr>
                <w:sz w:val="13"/>
                <w:szCs w:val="13"/>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Ukraine, 03056</w:t>
            </w:r>
          </w:p>
        </w:tc>
        <w:tc>
          <w:tcPr>
            <w:tcW w:w="244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Clinical Research LLC</w:t>
            </w: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4th Floor,</w:t>
            </w:r>
          </w:p>
        </w:tc>
        <w:tc>
          <w:tcPr>
            <w:tcW w:w="2440" w:type="dxa"/>
            <w:vAlign w:val="bottom"/>
            <w:shd w:val="clear" w:color="auto" w:fill="CCEEFF"/>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3640" w:type="dxa"/>
            <w:vAlign w:val="bottom"/>
            <w:shd w:val="clear" w:color="auto" w:fill="CCEEFF"/>
          </w:tcPr>
          <w:p>
            <w:pPr>
              <w:spacing w:after="0"/>
              <w:rPr>
                <w:sz w:val="12"/>
                <w:szCs w:val="12"/>
                <w:color w:val="auto"/>
              </w:rPr>
            </w:pP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St. Poleva 24,</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3640" w:type="dxa"/>
            <w:vAlign w:val="bottom"/>
            <w:shd w:val="clear" w:color="auto" w:fill="CCEEFF"/>
          </w:tcPr>
          <w:p>
            <w:pPr>
              <w:spacing w:after="0"/>
              <w:rPr>
                <w:sz w:val="12"/>
                <w:szCs w:val="12"/>
                <w:color w:val="auto"/>
              </w:rPr>
            </w:pP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Kiev,</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3640" w:type="dxa"/>
            <w:vAlign w:val="bottom"/>
            <w:shd w:val="clear" w:color="auto" w:fill="CCEEFF"/>
          </w:tcPr>
          <w:p>
            <w:pPr>
              <w:spacing w:after="0"/>
              <w:rPr>
                <w:sz w:val="14"/>
                <w:szCs w:val="14"/>
                <w:color w:val="auto"/>
              </w:rPr>
            </w:pP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Ukraine, 03056</w:t>
            </w:r>
          </w:p>
        </w:tc>
        <w:tc>
          <w:tcPr>
            <w:tcW w:w="244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3640" w:type="dxa"/>
            <w:vAlign w:val="bottom"/>
          </w:tcPr>
          <w:p>
            <w:pPr>
              <w:ind w:left="20"/>
              <w:spacing w:after="0"/>
              <w:rPr>
                <w:sz w:val="20"/>
                <w:szCs w:val="20"/>
                <w:color w:val="auto"/>
              </w:rPr>
            </w:pPr>
            <w:r>
              <w:rPr>
                <w:rFonts w:ascii="Arial" w:cs="Arial" w:eastAsia="Arial" w:hAnsi="Arial"/>
                <w:sz w:val="13"/>
                <w:szCs w:val="13"/>
                <w:color w:val="auto"/>
              </w:rPr>
              <w:t>ICON Clinical Research (U.K.) Limited</w:t>
            </w:r>
          </w:p>
        </w:tc>
        <w:tc>
          <w:tcPr>
            <w:tcW w:w="2760" w:type="dxa"/>
            <w:vAlign w:val="bottom"/>
          </w:tcPr>
          <w:p>
            <w:pPr>
              <w:ind w:left="440"/>
              <w:spacing w:after="0"/>
              <w:rPr>
                <w:sz w:val="20"/>
                <w:szCs w:val="20"/>
                <w:color w:val="auto"/>
              </w:rPr>
            </w:pPr>
            <w:r>
              <w:rPr>
                <w:rFonts w:ascii="Arial" w:cs="Arial" w:eastAsia="Arial" w:hAnsi="Arial"/>
                <w:sz w:val="13"/>
                <w:szCs w:val="13"/>
                <w:color w:val="auto"/>
              </w:rPr>
              <w:t>Concept House,</w:t>
            </w:r>
          </w:p>
        </w:tc>
        <w:tc>
          <w:tcPr>
            <w:tcW w:w="2440" w:type="dxa"/>
            <w:vAlign w:val="bottom"/>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3640" w:type="dxa"/>
            <w:vAlign w:val="bottom"/>
          </w:tcPr>
          <w:p>
            <w:pPr>
              <w:spacing w:after="0"/>
              <w:rPr>
                <w:sz w:val="12"/>
                <w:szCs w:val="12"/>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6 Stoneycroft Rise</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Chandlers Ford, Eastleigh,</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Hampshire, SO53 3LD</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3640" w:type="dxa"/>
            <w:vAlign w:val="bottom"/>
          </w:tcPr>
          <w:p>
            <w:pPr>
              <w:spacing w:after="0"/>
              <w:rPr>
                <w:sz w:val="13"/>
                <w:szCs w:val="13"/>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United Kingdom</w:t>
            </w:r>
          </w:p>
        </w:tc>
        <w:tc>
          <w:tcPr>
            <w:tcW w:w="244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3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Mapi Life Sciences UK Limited</w:t>
            </w: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Concept House,</w:t>
            </w:r>
          </w:p>
        </w:tc>
        <w:tc>
          <w:tcPr>
            <w:tcW w:w="2440" w:type="dxa"/>
            <w:vAlign w:val="bottom"/>
            <w:shd w:val="clear" w:color="auto" w:fill="CCEEFF"/>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3640" w:type="dxa"/>
            <w:vAlign w:val="bottom"/>
            <w:shd w:val="clear" w:color="auto" w:fill="CCEEFF"/>
          </w:tcPr>
          <w:p>
            <w:pPr>
              <w:spacing w:after="0"/>
              <w:rPr>
                <w:sz w:val="12"/>
                <w:szCs w:val="12"/>
                <w:color w:val="auto"/>
              </w:rPr>
            </w:pP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6 Stoneycroft Rise</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3640" w:type="dxa"/>
            <w:vAlign w:val="bottom"/>
            <w:shd w:val="clear" w:color="auto" w:fill="CCEEFF"/>
          </w:tcPr>
          <w:p>
            <w:pPr>
              <w:spacing w:after="0"/>
              <w:rPr>
                <w:sz w:val="12"/>
                <w:szCs w:val="12"/>
                <w:color w:val="auto"/>
              </w:rPr>
            </w:pP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Chandlers Ford,</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3640" w:type="dxa"/>
            <w:vAlign w:val="bottom"/>
            <w:shd w:val="clear" w:color="auto" w:fill="CCEEFF"/>
          </w:tcPr>
          <w:p>
            <w:pPr>
              <w:spacing w:after="0"/>
              <w:rPr>
                <w:sz w:val="12"/>
                <w:szCs w:val="12"/>
                <w:color w:val="auto"/>
              </w:rPr>
            </w:pP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Eastleigh,</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3640" w:type="dxa"/>
            <w:vAlign w:val="bottom"/>
            <w:shd w:val="clear" w:color="auto" w:fill="CCEEFF"/>
          </w:tcPr>
          <w:p>
            <w:pPr>
              <w:spacing w:after="0"/>
              <w:rPr>
                <w:sz w:val="12"/>
                <w:szCs w:val="12"/>
                <w:color w:val="auto"/>
              </w:rPr>
            </w:pP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Hampshire,</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3640" w:type="dxa"/>
            <w:vAlign w:val="bottom"/>
            <w:shd w:val="clear" w:color="auto" w:fill="CCEEFF"/>
          </w:tcPr>
          <w:p>
            <w:pPr>
              <w:spacing w:after="0"/>
              <w:rPr>
                <w:sz w:val="12"/>
                <w:szCs w:val="12"/>
                <w:color w:val="auto"/>
              </w:rPr>
            </w:pP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SO53 3LD</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3640" w:type="dxa"/>
            <w:vAlign w:val="bottom"/>
            <w:shd w:val="clear" w:color="auto" w:fill="CCEEFF"/>
          </w:tcPr>
          <w:p>
            <w:pPr>
              <w:spacing w:after="0"/>
              <w:rPr>
                <w:sz w:val="14"/>
                <w:szCs w:val="14"/>
                <w:color w:val="auto"/>
              </w:rPr>
            </w:pPr>
          </w:p>
        </w:tc>
        <w:tc>
          <w:tcPr>
            <w:tcW w:w="27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United Kingdom</w:t>
            </w:r>
          </w:p>
        </w:tc>
        <w:tc>
          <w:tcPr>
            <w:tcW w:w="244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3640" w:type="dxa"/>
            <w:vAlign w:val="bottom"/>
          </w:tcPr>
          <w:p>
            <w:pPr>
              <w:ind w:left="20"/>
              <w:spacing w:after="0"/>
              <w:rPr>
                <w:sz w:val="20"/>
                <w:szCs w:val="20"/>
                <w:color w:val="auto"/>
              </w:rPr>
            </w:pPr>
            <w:r>
              <w:rPr>
                <w:rFonts w:ascii="Arial" w:cs="Arial" w:eastAsia="Arial" w:hAnsi="Arial"/>
                <w:sz w:val="13"/>
                <w:szCs w:val="13"/>
                <w:color w:val="auto"/>
              </w:rPr>
              <w:t>VSK (Kenilworth) Limited**</w:t>
            </w:r>
          </w:p>
        </w:tc>
        <w:tc>
          <w:tcPr>
            <w:tcW w:w="2760" w:type="dxa"/>
            <w:vAlign w:val="bottom"/>
          </w:tcPr>
          <w:p>
            <w:pPr>
              <w:ind w:left="440"/>
              <w:spacing w:after="0"/>
              <w:rPr>
                <w:sz w:val="20"/>
                <w:szCs w:val="20"/>
                <w:color w:val="auto"/>
              </w:rPr>
            </w:pPr>
            <w:r>
              <w:rPr>
                <w:rFonts w:ascii="Arial" w:cs="Arial" w:eastAsia="Arial" w:hAnsi="Arial"/>
                <w:sz w:val="13"/>
                <w:szCs w:val="13"/>
                <w:color w:val="auto"/>
              </w:rPr>
              <w:t>Concept House,</w:t>
            </w:r>
          </w:p>
        </w:tc>
        <w:tc>
          <w:tcPr>
            <w:tcW w:w="2440" w:type="dxa"/>
            <w:vAlign w:val="bottom"/>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60%</w:t>
            </w:r>
          </w:p>
        </w:tc>
      </w:tr>
      <w:tr>
        <w:trPr>
          <w:trHeight w:val="149"/>
        </w:trPr>
        <w:tc>
          <w:tcPr>
            <w:tcW w:w="3640" w:type="dxa"/>
            <w:vAlign w:val="bottom"/>
          </w:tcPr>
          <w:p>
            <w:pPr>
              <w:spacing w:after="0"/>
              <w:rPr>
                <w:sz w:val="12"/>
                <w:szCs w:val="12"/>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6 Stoneycroft Rise,</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Chandlers Ford,</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Eastleigh,</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Hampshire,</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SO53 3LD,</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53"/>
        </w:trPr>
        <w:tc>
          <w:tcPr>
            <w:tcW w:w="3640" w:type="dxa"/>
            <w:vAlign w:val="bottom"/>
          </w:tcPr>
          <w:p>
            <w:pPr>
              <w:spacing w:after="0"/>
              <w:rPr>
                <w:sz w:val="13"/>
                <w:szCs w:val="13"/>
                <w:color w:val="auto"/>
              </w:rPr>
            </w:pPr>
          </w:p>
        </w:tc>
        <w:tc>
          <w:tcPr>
            <w:tcW w:w="2760" w:type="dxa"/>
            <w:vAlign w:val="bottom"/>
          </w:tcPr>
          <w:p>
            <w:pPr>
              <w:ind w:left="440"/>
              <w:spacing w:after="0"/>
              <w:rPr>
                <w:sz w:val="20"/>
                <w:szCs w:val="20"/>
                <w:color w:val="auto"/>
              </w:rPr>
            </w:pPr>
            <w:r>
              <w:rPr>
                <w:rFonts w:ascii="Arial" w:cs="Arial" w:eastAsia="Arial" w:hAnsi="Arial"/>
                <w:sz w:val="13"/>
                <w:szCs w:val="13"/>
                <w:color w:val="auto"/>
              </w:rPr>
              <w:t>United Kingdom.</w:t>
            </w:r>
          </w:p>
        </w:tc>
        <w:tc>
          <w:tcPr>
            <w:tcW w:w="2440" w:type="dxa"/>
            <w:vAlign w:val="bottom"/>
          </w:tcPr>
          <w:p>
            <w:pPr>
              <w:spacing w:after="0"/>
              <w:rPr>
                <w:sz w:val="13"/>
                <w:szCs w:val="13"/>
                <w:color w:val="auto"/>
              </w:rPr>
            </w:pPr>
          </w:p>
        </w:tc>
        <w:tc>
          <w:tcPr>
            <w:tcW w:w="2420" w:type="dxa"/>
            <w:vAlign w:val="bottom"/>
          </w:tcPr>
          <w:p>
            <w:pPr>
              <w:spacing w:after="0"/>
              <w:rPr>
                <w:sz w:val="13"/>
                <w:szCs w:val="13"/>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260"/>
          </w:cols>
          <w:pgMar w:left="300" w:top="696"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Registered Office</w:t>
            </w:r>
          </w:p>
        </w:tc>
        <w:tc>
          <w:tcPr>
            <w:tcW w:w="2460" w:type="dxa"/>
            <w:vAlign w:val="bottom"/>
            <w:shd w:val="clear" w:color="auto" w:fill="CCEEFF"/>
          </w:tcPr>
          <w:p>
            <w:pPr>
              <w:ind w:left="820"/>
              <w:spacing w:after="0"/>
              <w:rPr>
                <w:sz w:val="20"/>
                <w:szCs w:val="20"/>
                <w:color w:val="auto"/>
              </w:rPr>
            </w:pPr>
            <w:r>
              <w:rPr>
                <w:rFonts w:ascii="Arial" w:cs="Arial" w:eastAsia="Arial" w:hAnsi="Arial"/>
                <w:sz w:val="13"/>
                <w:szCs w:val="13"/>
                <w:b w:val="1"/>
                <w:bCs w:val="1"/>
                <w:color w:val="auto"/>
              </w:rPr>
              <w:t>Nature of business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69"/>
        </w:trPr>
        <w:tc>
          <w:tcPr>
            <w:tcW w:w="40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86"/>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MeDiNova Limited**</w:t>
            </w: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Concept House,</w:t>
            </w:r>
          </w:p>
        </w:tc>
        <w:tc>
          <w:tcPr>
            <w:tcW w:w="2460" w:type="dxa"/>
            <w:vAlign w:val="bottom"/>
            <w:shd w:val="clear" w:color="auto" w:fill="CCEEFF"/>
          </w:tcPr>
          <w:p>
            <w:pPr>
              <w:ind w:left="82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60%</w:t>
            </w:r>
          </w:p>
        </w:tc>
      </w:tr>
      <w:tr>
        <w:trPr>
          <w:trHeight w:val="149"/>
        </w:trPr>
        <w:tc>
          <w:tcPr>
            <w:tcW w:w="4060" w:type="dxa"/>
            <w:vAlign w:val="bottom"/>
            <w:shd w:val="clear" w:color="auto" w:fill="CCEEFF"/>
          </w:tcPr>
          <w:p>
            <w:pPr>
              <w:spacing w:after="0"/>
              <w:rPr>
                <w:sz w:val="12"/>
                <w:szCs w:val="12"/>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6 Stoneycroft Rise,</w:t>
            </w:r>
          </w:p>
        </w:tc>
        <w:tc>
          <w:tcPr>
            <w:tcW w:w="24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Chandlers Ford,</w:t>
            </w:r>
          </w:p>
        </w:tc>
        <w:tc>
          <w:tcPr>
            <w:tcW w:w="24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Eastleigh,</w:t>
            </w:r>
          </w:p>
        </w:tc>
        <w:tc>
          <w:tcPr>
            <w:tcW w:w="24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Hampshire,</w:t>
            </w:r>
          </w:p>
        </w:tc>
        <w:tc>
          <w:tcPr>
            <w:tcW w:w="24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SO53 3LD,</w:t>
            </w:r>
          </w:p>
        </w:tc>
        <w:tc>
          <w:tcPr>
            <w:tcW w:w="24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Kingdom.</w:t>
            </w:r>
          </w:p>
        </w:tc>
        <w:tc>
          <w:tcPr>
            <w:tcW w:w="24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MeDiNova Lakeside Clinical Research Limited**</w:t>
            </w:r>
          </w:p>
        </w:tc>
        <w:tc>
          <w:tcPr>
            <w:tcW w:w="2320" w:type="dxa"/>
            <w:vAlign w:val="bottom"/>
          </w:tcPr>
          <w:p>
            <w:pPr>
              <w:ind w:left="20"/>
              <w:spacing w:after="0"/>
              <w:rPr>
                <w:sz w:val="20"/>
                <w:szCs w:val="20"/>
                <w:color w:val="auto"/>
              </w:rPr>
            </w:pPr>
            <w:r>
              <w:rPr>
                <w:rFonts w:ascii="Arial" w:cs="Arial" w:eastAsia="Arial" w:hAnsi="Arial"/>
                <w:sz w:val="13"/>
                <w:szCs w:val="13"/>
                <w:color w:val="auto"/>
              </w:rPr>
              <w:t>Concept House,</w:t>
            </w:r>
          </w:p>
        </w:tc>
        <w:tc>
          <w:tcPr>
            <w:tcW w:w="2460" w:type="dxa"/>
            <w:vAlign w:val="bottom"/>
          </w:tcPr>
          <w:p>
            <w:pPr>
              <w:ind w:left="82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60%</w:t>
            </w:r>
          </w:p>
        </w:tc>
      </w:tr>
      <w:tr>
        <w:trPr>
          <w:trHeight w:val="149"/>
        </w:trPr>
        <w:tc>
          <w:tcPr>
            <w:tcW w:w="4060" w:type="dxa"/>
            <w:vAlign w:val="bottom"/>
          </w:tcPr>
          <w:p>
            <w:pPr>
              <w:spacing w:after="0"/>
              <w:rPr>
                <w:sz w:val="12"/>
                <w:szCs w:val="1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6 Stoneycroft Rise,</w:t>
            </w:r>
          </w:p>
        </w:tc>
        <w:tc>
          <w:tcPr>
            <w:tcW w:w="246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Chandlers Ford,</w:t>
            </w:r>
          </w:p>
        </w:tc>
        <w:tc>
          <w:tcPr>
            <w:tcW w:w="246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Eastleigh,</w:t>
            </w:r>
          </w:p>
        </w:tc>
        <w:tc>
          <w:tcPr>
            <w:tcW w:w="246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Hampshire,</w:t>
            </w:r>
          </w:p>
        </w:tc>
        <w:tc>
          <w:tcPr>
            <w:tcW w:w="246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SO53 3LD,</w:t>
            </w:r>
          </w:p>
        </w:tc>
        <w:tc>
          <w:tcPr>
            <w:tcW w:w="246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United Kingdom.</w:t>
            </w:r>
          </w:p>
        </w:tc>
        <w:tc>
          <w:tcPr>
            <w:tcW w:w="246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MeDiNova Merc (UK) Limited**</w:t>
            </w: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Concept House,</w:t>
            </w:r>
          </w:p>
        </w:tc>
        <w:tc>
          <w:tcPr>
            <w:tcW w:w="2460" w:type="dxa"/>
            <w:vAlign w:val="bottom"/>
            <w:shd w:val="clear" w:color="auto" w:fill="CCEEFF"/>
          </w:tcPr>
          <w:p>
            <w:pPr>
              <w:ind w:left="82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60%</w:t>
            </w:r>
          </w:p>
        </w:tc>
      </w:tr>
      <w:tr>
        <w:trPr>
          <w:trHeight w:val="149"/>
        </w:trPr>
        <w:tc>
          <w:tcPr>
            <w:tcW w:w="4060" w:type="dxa"/>
            <w:vAlign w:val="bottom"/>
            <w:shd w:val="clear" w:color="auto" w:fill="CCEEFF"/>
          </w:tcPr>
          <w:p>
            <w:pPr>
              <w:spacing w:after="0"/>
              <w:rPr>
                <w:sz w:val="12"/>
                <w:szCs w:val="12"/>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6 Stoneycroft Rise,</w:t>
            </w:r>
          </w:p>
        </w:tc>
        <w:tc>
          <w:tcPr>
            <w:tcW w:w="24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Chandlers Ford,</w:t>
            </w:r>
          </w:p>
        </w:tc>
        <w:tc>
          <w:tcPr>
            <w:tcW w:w="24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Eastleigh,</w:t>
            </w:r>
          </w:p>
        </w:tc>
        <w:tc>
          <w:tcPr>
            <w:tcW w:w="24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Hampshire,</w:t>
            </w:r>
          </w:p>
        </w:tc>
        <w:tc>
          <w:tcPr>
            <w:tcW w:w="24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SO53 3LD,</w:t>
            </w:r>
          </w:p>
        </w:tc>
        <w:tc>
          <w:tcPr>
            <w:tcW w:w="24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Kingdom.</w:t>
            </w:r>
          </w:p>
        </w:tc>
        <w:tc>
          <w:tcPr>
            <w:tcW w:w="24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Improving Treatments Limited**</w:t>
            </w:r>
          </w:p>
        </w:tc>
        <w:tc>
          <w:tcPr>
            <w:tcW w:w="2320" w:type="dxa"/>
            <w:vAlign w:val="bottom"/>
          </w:tcPr>
          <w:p>
            <w:pPr>
              <w:ind w:left="20"/>
              <w:spacing w:after="0"/>
              <w:rPr>
                <w:sz w:val="20"/>
                <w:szCs w:val="20"/>
                <w:color w:val="auto"/>
              </w:rPr>
            </w:pPr>
            <w:r>
              <w:rPr>
                <w:rFonts w:ascii="Arial" w:cs="Arial" w:eastAsia="Arial" w:hAnsi="Arial"/>
                <w:sz w:val="13"/>
                <w:szCs w:val="13"/>
                <w:color w:val="auto"/>
              </w:rPr>
              <w:t>Concept House,</w:t>
            </w:r>
          </w:p>
        </w:tc>
        <w:tc>
          <w:tcPr>
            <w:tcW w:w="2460" w:type="dxa"/>
            <w:vAlign w:val="bottom"/>
          </w:tcPr>
          <w:p>
            <w:pPr>
              <w:ind w:left="82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60%</w:t>
            </w:r>
          </w:p>
        </w:tc>
      </w:tr>
      <w:tr>
        <w:trPr>
          <w:trHeight w:val="149"/>
        </w:trPr>
        <w:tc>
          <w:tcPr>
            <w:tcW w:w="4060" w:type="dxa"/>
            <w:vAlign w:val="bottom"/>
          </w:tcPr>
          <w:p>
            <w:pPr>
              <w:spacing w:after="0"/>
              <w:rPr>
                <w:sz w:val="12"/>
                <w:szCs w:val="1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6 Stoneycroft Rise,</w:t>
            </w:r>
          </w:p>
        </w:tc>
        <w:tc>
          <w:tcPr>
            <w:tcW w:w="246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Chandlers Ford,</w:t>
            </w:r>
          </w:p>
        </w:tc>
        <w:tc>
          <w:tcPr>
            <w:tcW w:w="246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Eastleigh,</w:t>
            </w:r>
          </w:p>
        </w:tc>
        <w:tc>
          <w:tcPr>
            <w:tcW w:w="246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Hampshire,</w:t>
            </w:r>
          </w:p>
        </w:tc>
        <w:tc>
          <w:tcPr>
            <w:tcW w:w="246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SO53 3LD,</w:t>
            </w:r>
          </w:p>
        </w:tc>
        <w:tc>
          <w:tcPr>
            <w:tcW w:w="246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United Kingdom.</w:t>
            </w:r>
          </w:p>
        </w:tc>
        <w:tc>
          <w:tcPr>
            <w:tcW w:w="246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Early Phase Services, LLC</w:t>
            </w: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8307 Gault Lane,</w:t>
            </w:r>
          </w:p>
        </w:tc>
        <w:tc>
          <w:tcPr>
            <w:tcW w:w="2460" w:type="dxa"/>
            <w:vAlign w:val="bottom"/>
            <w:shd w:val="clear" w:color="auto" w:fill="CCEEFF"/>
          </w:tcPr>
          <w:p>
            <w:pPr>
              <w:ind w:left="82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 Antonio,</w:t>
            </w:r>
          </w:p>
        </w:tc>
        <w:tc>
          <w:tcPr>
            <w:tcW w:w="24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TX 78209-1015</w:t>
            </w:r>
          </w:p>
        </w:tc>
        <w:tc>
          <w:tcPr>
            <w:tcW w:w="24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USA</w:t>
            </w:r>
          </w:p>
        </w:tc>
        <w:tc>
          <w:tcPr>
            <w:tcW w:w="24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Beacon Bioscience, Inc</w:t>
            </w:r>
          </w:p>
        </w:tc>
        <w:tc>
          <w:tcPr>
            <w:tcW w:w="2320" w:type="dxa"/>
            <w:vAlign w:val="bottom"/>
          </w:tcPr>
          <w:p>
            <w:pPr>
              <w:ind w:left="20"/>
              <w:spacing w:after="0"/>
              <w:rPr>
                <w:sz w:val="20"/>
                <w:szCs w:val="20"/>
                <w:color w:val="auto"/>
              </w:rPr>
            </w:pPr>
            <w:r>
              <w:rPr>
                <w:rFonts w:ascii="Arial" w:cs="Arial" w:eastAsia="Arial" w:hAnsi="Arial"/>
                <w:sz w:val="13"/>
                <w:szCs w:val="13"/>
                <w:color w:val="auto"/>
              </w:rPr>
              <w:t>2100 Pennbrook Parkway,</w:t>
            </w:r>
          </w:p>
        </w:tc>
        <w:tc>
          <w:tcPr>
            <w:tcW w:w="2460" w:type="dxa"/>
            <w:vAlign w:val="bottom"/>
          </w:tcPr>
          <w:p>
            <w:pPr>
              <w:ind w:left="82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North Wales,</w:t>
            </w:r>
          </w:p>
        </w:tc>
        <w:tc>
          <w:tcPr>
            <w:tcW w:w="246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PA 19454</w:t>
            </w:r>
          </w:p>
        </w:tc>
        <w:tc>
          <w:tcPr>
            <w:tcW w:w="246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USA</w:t>
            </w:r>
          </w:p>
        </w:tc>
        <w:tc>
          <w:tcPr>
            <w:tcW w:w="246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C4 MedSolutions, LLC</w:t>
            </w: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19 West College Ave</w:t>
            </w:r>
          </w:p>
        </w:tc>
        <w:tc>
          <w:tcPr>
            <w:tcW w:w="2460" w:type="dxa"/>
            <w:vAlign w:val="bottom"/>
            <w:shd w:val="clear" w:color="auto" w:fill="CCEEFF"/>
          </w:tcPr>
          <w:p>
            <w:pPr>
              <w:ind w:left="82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Suite 100</w:t>
            </w:r>
          </w:p>
        </w:tc>
        <w:tc>
          <w:tcPr>
            <w:tcW w:w="24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Yardley, PA 19067</w:t>
            </w:r>
          </w:p>
        </w:tc>
        <w:tc>
          <w:tcPr>
            <w:tcW w:w="24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CHC Group, LLC</w:t>
            </w:r>
          </w:p>
        </w:tc>
        <w:tc>
          <w:tcPr>
            <w:tcW w:w="2320" w:type="dxa"/>
            <w:vAlign w:val="bottom"/>
          </w:tcPr>
          <w:p>
            <w:pPr>
              <w:ind w:left="20"/>
              <w:spacing w:after="0"/>
              <w:rPr>
                <w:sz w:val="20"/>
                <w:szCs w:val="20"/>
                <w:color w:val="auto"/>
              </w:rPr>
            </w:pPr>
            <w:r>
              <w:rPr>
                <w:rFonts w:ascii="Arial" w:cs="Arial" w:eastAsia="Arial" w:hAnsi="Arial"/>
                <w:sz w:val="13"/>
                <w:szCs w:val="13"/>
                <w:color w:val="auto"/>
              </w:rPr>
              <w:t>19 West College Ave</w:t>
            </w:r>
          </w:p>
        </w:tc>
        <w:tc>
          <w:tcPr>
            <w:tcW w:w="2460" w:type="dxa"/>
            <w:vAlign w:val="bottom"/>
          </w:tcPr>
          <w:p>
            <w:pPr>
              <w:ind w:left="82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Suite 100</w:t>
            </w:r>
          </w:p>
        </w:tc>
        <w:tc>
          <w:tcPr>
            <w:tcW w:w="246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53"/>
        </w:trPr>
        <w:tc>
          <w:tcPr>
            <w:tcW w:w="4060" w:type="dxa"/>
            <w:vAlign w:val="bottom"/>
          </w:tcPr>
          <w:p>
            <w:pPr>
              <w:spacing w:after="0"/>
              <w:rPr>
                <w:sz w:val="13"/>
                <w:szCs w:val="13"/>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Yardley, PA 19067</w:t>
            </w:r>
          </w:p>
        </w:tc>
        <w:tc>
          <w:tcPr>
            <w:tcW w:w="246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64"/>
        </w:trPr>
        <w:tc>
          <w:tcPr>
            <w:tcW w:w="40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71"/>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Global Pharmaceutical Strategies Group, LLC</w:t>
            </w: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19 West College Ave</w:t>
            </w:r>
          </w:p>
        </w:tc>
        <w:tc>
          <w:tcPr>
            <w:tcW w:w="2460" w:type="dxa"/>
            <w:vAlign w:val="bottom"/>
            <w:shd w:val="clear" w:color="auto" w:fill="CCEEFF"/>
          </w:tcPr>
          <w:p>
            <w:pPr>
              <w:ind w:left="82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Suite 100</w:t>
            </w:r>
          </w:p>
        </w:tc>
        <w:tc>
          <w:tcPr>
            <w:tcW w:w="24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Yardley, PA 19067</w:t>
            </w:r>
          </w:p>
        </w:tc>
        <w:tc>
          <w:tcPr>
            <w:tcW w:w="24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ICON Clinical Research LLC</w:t>
            </w:r>
          </w:p>
        </w:tc>
        <w:tc>
          <w:tcPr>
            <w:tcW w:w="2320" w:type="dxa"/>
            <w:vAlign w:val="bottom"/>
          </w:tcPr>
          <w:p>
            <w:pPr>
              <w:ind w:left="20"/>
              <w:spacing w:after="0"/>
              <w:rPr>
                <w:sz w:val="20"/>
                <w:szCs w:val="20"/>
                <w:color w:val="auto"/>
              </w:rPr>
            </w:pPr>
            <w:r>
              <w:rPr>
                <w:rFonts w:ascii="Arial" w:cs="Arial" w:eastAsia="Arial" w:hAnsi="Arial"/>
                <w:sz w:val="13"/>
                <w:szCs w:val="13"/>
                <w:color w:val="auto"/>
              </w:rPr>
              <w:t>19 West College Ave</w:t>
            </w:r>
          </w:p>
        </w:tc>
        <w:tc>
          <w:tcPr>
            <w:tcW w:w="2460" w:type="dxa"/>
            <w:vAlign w:val="bottom"/>
          </w:tcPr>
          <w:p>
            <w:pPr>
              <w:ind w:left="82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Suite 100</w:t>
            </w:r>
          </w:p>
        </w:tc>
        <w:tc>
          <w:tcPr>
            <w:tcW w:w="246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53"/>
        </w:trPr>
        <w:tc>
          <w:tcPr>
            <w:tcW w:w="4060" w:type="dxa"/>
            <w:vAlign w:val="bottom"/>
          </w:tcPr>
          <w:p>
            <w:pPr>
              <w:spacing w:after="0"/>
              <w:rPr>
                <w:sz w:val="13"/>
                <w:szCs w:val="13"/>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Yardley, PA 19067</w:t>
            </w:r>
          </w:p>
        </w:tc>
        <w:tc>
          <w:tcPr>
            <w:tcW w:w="2460" w:type="dxa"/>
            <w:vAlign w:val="bottom"/>
          </w:tcPr>
          <w:p>
            <w:pPr>
              <w:spacing w:after="0"/>
              <w:rPr>
                <w:sz w:val="13"/>
                <w:szCs w:val="13"/>
                <w:color w:val="auto"/>
              </w:rPr>
            </w:pPr>
          </w:p>
        </w:tc>
        <w:tc>
          <w:tcPr>
            <w:tcW w:w="2420" w:type="dxa"/>
            <w:vAlign w:val="bottom"/>
          </w:tcPr>
          <w:p>
            <w:pPr>
              <w:spacing w:after="0"/>
              <w:rPr>
                <w:sz w:val="13"/>
                <w:szCs w:val="13"/>
                <w:color w:val="auto"/>
              </w:rPr>
            </w:pPr>
          </w:p>
        </w:tc>
      </w:tr>
    </w:tbl>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260"/>
          </w:cols>
          <w:pgMar w:left="300" w:top="696"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Registered Office</w:t>
            </w:r>
          </w:p>
        </w:tc>
        <w:tc>
          <w:tcPr>
            <w:tcW w:w="2380" w:type="dxa"/>
            <w:vAlign w:val="bottom"/>
            <w:shd w:val="clear" w:color="auto" w:fill="CCEEFF"/>
          </w:tcPr>
          <w:p>
            <w:pPr>
              <w:ind w:left="740"/>
              <w:spacing w:after="0"/>
              <w:rPr>
                <w:sz w:val="20"/>
                <w:szCs w:val="20"/>
                <w:color w:val="auto"/>
              </w:rPr>
            </w:pPr>
            <w:r>
              <w:rPr>
                <w:rFonts w:ascii="Arial" w:cs="Arial" w:eastAsia="Arial" w:hAnsi="Arial"/>
                <w:sz w:val="13"/>
                <w:szCs w:val="13"/>
                <w:b w:val="1"/>
                <w:bCs w:val="1"/>
                <w:color w:val="auto"/>
              </w:rPr>
              <w:t>Nature of business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69"/>
        </w:trPr>
        <w:tc>
          <w:tcPr>
            <w:tcW w:w="406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86"/>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ICON Laboratory Services, Inc.</w:t>
            </w: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123 Smith Street,</w:t>
            </w:r>
          </w:p>
        </w:tc>
        <w:tc>
          <w:tcPr>
            <w:tcW w:w="2380" w:type="dxa"/>
            <w:vAlign w:val="bottom"/>
            <w:shd w:val="clear" w:color="auto" w:fill="CCEEFF"/>
          </w:tcPr>
          <w:p>
            <w:pPr>
              <w:ind w:left="74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Farmingdale,</w:t>
            </w:r>
          </w:p>
        </w:tc>
        <w:tc>
          <w:tcPr>
            <w:tcW w:w="238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NY 11735</w:t>
            </w:r>
          </w:p>
        </w:tc>
        <w:tc>
          <w:tcPr>
            <w:tcW w:w="238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USA</w:t>
            </w:r>
          </w:p>
        </w:tc>
        <w:tc>
          <w:tcPr>
            <w:tcW w:w="238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ICON US Holdings Inc.</w:t>
            </w:r>
          </w:p>
        </w:tc>
        <w:tc>
          <w:tcPr>
            <w:tcW w:w="2400" w:type="dxa"/>
            <w:vAlign w:val="bottom"/>
          </w:tcPr>
          <w:p>
            <w:pPr>
              <w:ind w:left="20"/>
              <w:spacing w:after="0"/>
              <w:rPr>
                <w:sz w:val="20"/>
                <w:szCs w:val="20"/>
                <w:color w:val="auto"/>
              </w:rPr>
            </w:pPr>
            <w:r>
              <w:rPr>
                <w:rFonts w:ascii="Arial" w:cs="Arial" w:eastAsia="Arial" w:hAnsi="Arial"/>
                <w:sz w:val="13"/>
                <w:szCs w:val="13"/>
                <w:color w:val="auto"/>
              </w:rPr>
              <w:t>2100 Pennbrook Parkway,</w:t>
            </w:r>
          </w:p>
        </w:tc>
        <w:tc>
          <w:tcPr>
            <w:tcW w:w="2380" w:type="dxa"/>
            <w:vAlign w:val="bottom"/>
          </w:tcPr>
          <w:p>
            <w:pPr>
              <w:ind w:left="74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North Wales,</w:t>
            </w:r>
          </w:p>
        </w:tc>
        <w:tc>
          <w:tcPr>
            <w:tcW w:w="238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PA 19454</w:t>
            </w:r>
          </w:p>
        </w:tc>
        <w:tc>
          <w:tcPr>
            <w:tcW w:w="238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USA</w:t>
            </w:r>
          </w:p>
        </w:tc>
        <w:tc>
          <w:tcPr>
            <w:tcW w:w="238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Mapi USA, Inc.</w:t>
            </w: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2343 Alexandria Drive, Suite 100, Lexington, Kentucky 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68"/>
        </w:trPr>
        <w:tc>
          <w:tcPr>
            <w:tcW w:w="406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40504</w:t>
            </w:r>
          </w:p>
        </w:tc>
        <w:tc>
          <w:tcPr>
            <w:tcW w:w="238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MMMM Group, LLC</w:t>
            </w:r>
          </w:p>
        </w:tc>
        <w:tc>
          <w:tcPr>
            <w:tcW w:w="2400" w:type="dxa"/>
            <w:vAlign w:val="bottom"/>
          </w:tcPr>
          <w:p>
            <w:pPr>
              <w:ind w:left="20"/>
              <w:spacing w:after="0"/>
              <w:rPr>
                <w:sz w:val="20"/>
                <w:szCs w:val="20"/>
                <w:color w:val="auto"/>
              </w:rPr>
            </w:pPr>
            <w:r>
              <w:rPr>
                <w:rFonts w:ascii="Arial" w:cs="Arial" w:eastAsia="Arial" w:hAnsi="Arial"/>
                <w:sz w:val="13"/>
                <w:szCs w:val="13"/>
                <w:color w:val="auto"/>
              </w:rPr>
              <w:t>19 West College Ave</w:t>
            </w:r>
          </w:p>
        </w:tc>
        <w:tc>
          <w:tcPr>
            <w:tcW w:w="2380" w:type="dxa"/>
            <w:vAlign w:val="bottom"/>
          </w:tcPr>
          <w:p>
            <w:pPr>
              <w:ind w:left="74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Suite 100</w:t>
            </w:r>
          </w:p>
        </w:tc>
        <w:tc>
          <w:tcPr>
            <w:tcW w:w="238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Yardley, PA 19067</w:t>
            </w:r>
          </w:p>
        </w:tc>
        <w:tc>
          <w:tcPr>
            <w:tcW w:w="238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MMMM Consulting, LLC</w:t>
            </w: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19 West College Ave</w:t>
            </w:r>
          </w:p>
        </w:tc>
        <w:tc>
          <w:tcPr>
            <w:tcW w:w="2380" w:type="dxa"/>
            <w:vAlign w:val="bottom"/>
            <w:shd w:val="clear" w:color="auto" w:fill="CCEEFF"/>
          </w:tcPr>
          <w:p>
            <w:pPr>
              <w:ind w:left="74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Suite 100</w:t>
            </w:r>
          </w:p>
        </w:tc>
        <w:tc>
          <w:tcPr>
            <w:tcW w:w="238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Yardley, PA 19067</w:t>
            </w:r>
          </w:p>
        </w:tc>
        <w:tc>
          <w:tcPr>
            <w:tcW w:w="238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MolecularMD Corp.</w:t>
            </w:r>
          </w:p>
        </w:tc>
        <w:tc>
          <w:tcPr>
            <w:tcW w:w="2400" w:type="dxa"/>
            <w:vAlign w:val="bottom"/>
          </w:tcPr>
          <w:p>
            <w:pPr>
              <w:ind w:left="20"/>
              <w:spacing w:after="0"/>
              <w:rPr>
                <w:sz w:val="20"/>
                <w:szCs w:val="20"/>
                <w:color w:val="auto"/>
              </w:rPr>
            </w:pPr>
            <w:r>
              <w:rPr>
                <w:rFonts w:ascii="Arial" w:cs="Arial" w:eastAsia="Arial" w:hAnsi="Arial"/>
                <w:sz w:val="13"/>
                <w:szCs w:val="13"/>
                <w:color w:val="auto"/>
              </w:rPr>
              <w:t>1341 SW Custer Drive</w:t>
            </w:r>
          </w:p>
        </w:tc>
        <w:tc>
          <w:tcPr>
            <w:tcW w:w="2380" w:type="dxa"/>
            <w:vAlign w:val="bottom"/>
          </w:tcPr>
          <w:p>
            <w:pPr>
              <w:ind w:left="74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Portland OR 97219</w:t>
            </w:r>
          </w:p>
        </w:tc>
        <w:tc>
          <w:tcPr>
            <w:tcW w:w="238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238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PriceSpective LLC</w:t>
            </w: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2100 Pennbrook Parkway,</w:t>
            </w:r>
          </w:p>
        </w:tc>
        <w:tc>
          <w:tcPr>
            <w:tcW w:w="2380" w:type="dxa"/>
            <w:vAlign w:val="bottom"/>
            <w:shd w:val="clear" w:color="auto" w:fill="CCEEFF"/>
          </w:tcPr>
          <w:p>
            <w:pPr>
              <w:ind w:left="74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Wales,</w:t>
            </w:r>
          </w:p>
        </w:tc>
        <w:tc>
          <w:tcPr>
            <w:tcW w:w="238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 19454</w:t>
            </w:r>
          </w:p>
        </w:tc>
        <w:tc>
          <w:tcPr>
            <w:tcW w:w="238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USA</w:t>
            </w:r>
          </w:p>
        </w:tc>
        <w:tc>
          <w:tcPr>
            <w:tcW w:w="238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PubsHub LLC</w:t>
            </w:r>
          </w:p>
        </w:tc>
        <w:tc>
          <w:tcPr>
            <w:tcW w:w="2400" w:type="dxa"/>
            <w:vAlign w:val="bottom"/>
          </w:tcPr>
          <w:p>
            <w:pPr>
              <w:ind w:left="20"/>
              <w:spacing w:after="0"/>
              <w:rPr>
                <w:sz w:val="20"/>
                <w:szCs w:val="20"/>
                <w:color w:val="auto"/>
              </w:rPr>
            </w:pPr>
            <w:r>
              <w:rPr>
                <w:rFonts w:ascii="Arial" w:cs="Arial" w:eastAsia="Arial" w:hAnsi="Arial"/>
                <w:sz w:val="13"/>
                <w:szCs w:val="13"/>
                <w:color w:val="auto"/>
              </w:rPr>
              <w:t>19 West College Ave</w:t>
            </w:r>
          </w:p>
        </w:tc>
        <w:tc>
          <w:tcPr>
            <w:tcW w:w="2380" w:type="dxa"/>
            <w:vAlign w:val="bottom"/>
          </w:tcPr>
          <w:p>
            <w:pPr>
              <w:ind w:left="74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Suite 100</w:t>
            </w:r>
          </w:p>
        </w:tc>
        <w:tc>
          <w:tcPr>
            <w:tcW w:w="238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Yardley, PA 19067</w:t>
            </w:r>
          </w:p>
        </w:tc>
        <w:tc>
          <w:tcPr>
            <w:tcW w:w="238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spacing w:after="0"/>
              <w:rPr>
                <w:sz w:val="15"/>
                <w:szCs w:val="15"/>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101 West University Avenue,</w:t>
            </w:r>
          </w:p>
        </w:tc>
        <w:tc>
          <w:tcPr>
            <w:tcW w:w="238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14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PMG Research of Christie Clinic, LLC</w:t>
            </w: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Champaign,</w:t>
            </w:r>
          </w:p>
        </w:tc>
        <w:tc>
          <w:tcPr>
            <w:tcW w:w="2380" w:type="dxa"/>
            <w:vAlign w:val="bottom"/>
            <w:shd w:val="clear" w:color="auto" w:fill="CCEEFF"/>
          </w:tcPr>
          <w:p>
            <w:pPr>
              <w:ind w:left="74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IL 61820</w:t>
            </w:r>
          </w:p>
        </w:tc>
        <w:tc>
          <w:tcPr>
            <w:tcW w:w="238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USA</w:t>
            </w:r>
          </w:p>
        </w:tc>
        <w:tc>
          <w:tcPr>
            <w:tcW w:w="238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DOCS Global, Inc.</w:t>
            </w:r>
          </w:p>
        </w:tc>
        <w:tc>
          <w:tcPr>
            <w:tcW w:w="2400" w:type="dxa"/>
            <w:vAlign w:val="bottom"/>
          </w:tcPr>
          <w:p>
            <w:pPr>
              <w:ind w:left="20"/>
              <w:spacing w:after="0"/>
              <w:rPr>
                <w:sz w:val="20"/>
                <w:szCs w:val="20"/>
                <w:color w:val="auto"/>
              </w:rPr>
            </w:pPr>
            <w:r>
              <w:rPr>
                <w:rFonts w:ascii="Arial" w:cs="Arial" w:eastAsia="Arial" w:hAnsi="Arial"/>
                <w:sz w:val="13"/>
                <w:szCs w:val="13"/>
                <w:color w:val="auto"/>
              </w:rPr>
              <w:t>2100 Pennbrook Parkway,</w:t>
            </w:r>
          </w:p>
        </w:tc>
        <w:tc>
          <w:tcPr>
            <w:tcW w:w="2380" w:type="dxa"/>
            <w:vAlign w:val="bottom"/>
          </w:tcPr>
          <w:p>
            <w:pPr>
              <w:ind w:left="74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North Wales,</w:t>
            </w:r>
          </w:p>
        </w:tc>
        <w:tc>
          <w:tcPr>
            <w:tcW w:w="238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PA 19454</w:t>
            </w:r>
          </w:p>
        </w:tc>
        <w:tc>
          <w:tcPr>
            <w:tcW w:w="238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USA</w:t>
            </w:r>
          </w:p>
        </w:tc>
        <w:tc>
          <w:tcPr>
            <w:tcW w:w="238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Managed Care Strategic Solutions, L.L.C.</w:t>
            </w: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19 West College Ave</w:t>
            </w:r>
          </w:p>
        </w:tc>
        <w:tc>
          <w:tcPr>
            <w:tcW w:w="2380" w:type="dxa"/>
            <w:vAlign w:val="bottom"/>
            <w:shd w:val="clear" w:color="auto" w:fill="CCEEFF"/>
          </w:tcPr>
          <w:p>
            <w:pPr>
              <w:ind w:left="74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Suite 100</w:t>
            </w:r>
          </w:p>
        </w:tc>
        <w:tc>
          <w:tcPr>
            <w:tcW w:w="238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Yardley, PA 19067</w:t>
            </w:r>
          </w:p>
        </w:tc>
        <w:tc>
          <w:tcPr>
            <w:tcW w:w="238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PMG Research of Charlotte, LLC</w:t>
            </w:r>
          </w:p>
        </w:tc>
        <w:tc>
          <w:tcPr>
            <w:tcW w:w="2400" w:type="dxa"/>
            <w:vAlign w:val="bottom"/>
          </w:tcPr>
          <w:p>
            <w:pPr>
              <w:ind w:left="20"/>
              <w:spacing w:after="0"/>
              <w:rPr>
                <w:sz w:val="20"/>
                <w:szCs w:val="20"/>
                <w:color w:val="auto"/>
              </w:rPr>
            </w:pPr>
            <w:r>
              <w:rPr>
                <w:rFonts w:ascii="Arial" w:cs="Arial" w:eastAsia="Arial" w:hAnsi="Arial"/>
                <w:sz w:val="13"/>
                <w:szCs w:val="13"/>
                <w:color w:val="auto"/>
              </w:rPr>
              <w:t>1700 Abbey Place,</w:t>
            </w:r>
          </w:p>
        </w:tc>
        <w:tc>
          <w:tcPr>
            <w:tcW w:w="2380" w:type="dxa"/>
            <w:vAlign w:val="bottom"/>
          </w:tcPr>
          <w:p>
            <w:pPr>
              <w:ind w:left="74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Suite 201,</w:t>
            </w:r>
          </w:p>
        </w:tc>
        <w:tc>
          <w:tcPr>
            <w:tcW w:w="238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Charlotte,</w:t>
            </w:r>
          </w:p>
        </w:tc>
        <w:tc>
          <w:tcPr>
            <w:tcW w:w="238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North Carolina 28209</w:t>
            </w:r>
          </w:p>
        </w:tc>
        <w:tc>
          <w:tcPr>
            <w:tcW w:w="238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53"/>
        </w:trPr>
        <w:tc>
          <w:tcPr>
            <w:tcW w:w="4060" w:type="dxa"/>
            <w:vAlign w:val="bottom"/>
          </w:tcPr>
          <w:p>
            <w:pPr>
              <w:spacing w:after="0"/>
              <w:rPr>
                <w:sz w:val="13"/>
                <w:szCs w:val="13"/>
                <w:color w:val="auto"/>
              </w:rPr>
            </w:pPr>
          </w:p>
        </w:tc>
        <w:tc>
          <w:tcPr>
            <w:tcW w:w="2400" w:type="dxa"/>
            <w:vAlign w:val="bottom"/>
          </w:tcPr>
          <w:p>
            <w:pPr>
              <w:ind w:left="20"/>
              <w:spacing w:after="0"/>
              <w:rPr>
                <w:sz w:val="20"/>
                <w:szCs w:val="20"/>
                <w:color w:val="auto"/>
              </w:rPr>
            </w:pPr>
            <w:r>
              <w:rPr>
                <w:rFonts w:ascii="Arial" w:cs="Arial" w:eastAsia="Arial" w:hAnsi="Arial"/>
                <w:sz w:val="13"/>
                <w:szCs w:val="13"/>
                <w:color w:val="auto"/>
              </w:rPr>
              <w:t>USA</w:t>
            </w:r>
          </w:p>
        </w:tc>
        <w:tc>
          <w:tcPr>
            <w:tcW w:w="2380" w:type="dxa"/>
            <w:vAlign w:val="bottom"/>
          </w:tcPr>
          <w:p>
            <w:pPr>
              <w:spacing w:after="0"/>
              <w:rPr>
                <w:sz w:val="13"/>
                <w:szCs w:val="13"/>
                <w:color w:val="auto"/>
              </w:rPr>
            </w:pPr>
          </w:p>
        </w:tc>
        <w:tc>
          <w:tcPr>
            <w:tcW w:w="2420" w:type="dxa"/>
            <w:vAlign w:val="bottom"/>
          </w:tcPr>
          <w:p>
            <w:pPr>
              <w:spacing w:after="0"/>
              <w:rPr>
                <w:sz w:val="13"/>
                <w:szCs w:val="13"/>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1260"/>
          </w:cols>
          <w:pgMar w:left="300" w:top="696"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Registered Office</w:t>
            </w:r>
          </w:p>
        </w:tc>
        <w:tc>
          <w:tcPr>
            <w:tcW w:w="2440" w:type="dxa"/>
            <w:vAlign w:val="bottom"/>
            <w:shd w:val="clear" w:color="auto" w:fill="CCEEFF"/>
          </w:tcPr>
          <w:p>
            <w:pPr>
              <w:ind w:left="800"/>
              <w:spacing w:after="0"/>
              <w:rPr>
                <w:sz w:val="20"/>
                <w:szCs w:val="20"/>
                <w:color w:val="auto"/>
              </w:rPr>
            </w:pPr>
            <w:r>
              <w:rPr>
                <w:rFonts w:ascii="Arial" w:cs="Arial" w:eastAsia="Arial" w:hAnsi="Arial"/>
                <w:sz w:val="13"/>
                <w:szCs w:val="13"/>
                <w:b w:val="1"/>
                <w:bCs w:val="1"/>
                <w:color w:val="auto"/>
              </w:rPr>
              <w:t>Nature of business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69"/>
        </w:trPr>
        <w:tc>
          <w:tcPr>
            <w:tcW w:w="406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86"/>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PMG Research of Hickory, LLC</w:t>
            </w: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221 13th Ave Place NW</w:t>
            </w:r>
          </w:p>
        </w:tc>
        <w:tc>
          <w:tcPr>
            <w:tcW w:w="2440" w:type="dxa"/>
            <w:vAlign w:val="bottom"/>
            <w:shd w:val="clear" w:color="auto" w:fill="CCEEFF"/>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Suite 201</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Hickory</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Carolina 28601</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244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PMG Research of Raleigh, LLC</w:t>
            </w:r>
          </w:p>
        </w:tc>
        <w:tc>
          <w:tcPr>
            <w:tcW w:w="2340" w:type="dxa"/>
            <w:vAlign w:val="bottom"/>
          </w:tcPr>
          <w:p>
            <w:pPr>
              <w:ind w:left="20"/>
              <w:spacing w:after="0"/>
              <w:rPr>
                <w:sz w:val="20"/>
                <w:szCs w:val="20"/>
                <w:color w:val="auto"/>
              </w:rPr>
            </w:pPr>
            <w:r>
              <w:rPr>
                <w:rFonts w:ascii="Arial" w:cs="Arial" w:eastAsia="Arial" w:hAnsi="Arial"/>
                <w:sz w:val="13"/>
                <w:szCs w:val="13"/>
                <w:color w:val="auto"/>
              </w:rPr>
              <w:t>3521 Haworth Drive,</w:t>
            </w:r>
          </w:p>
        </w:tc>
        <w:tc>
          <w:tcPr>
            <w:tcW w:w="2440" w:type="dxa"/>
            <w:vAlign w:val="bottom"/>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340" w:type="dxa"/>
            <w:vAlign w:val="bottom"/>
          </w:tcPr>
          <w:p>
            <w:pPr>
              <w:ind w:left="20"/>
              <w:spacing w:after="0"/>
              <w:rPr>
                <w:sz w:val="20"/>
                <w:szCs w:val="20"/>
                <w:color w:val="auto"/>
              </w:rPr>
            </w:pPr>
            <w:r>
              <w:rPr>
                <w:rFonts w:ascii="Arial" w:cs="Arial" w:eastAsia="Arial" w:hAnsi="Arial"/>
                <w:sz w:val="13"/>
                <w:szCs w:val="13"/>
                <w:color w:val="auto"/>
              </w:rPr>
              <w:t>Suite 100,</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340" w:type="dxa"/>
            <w:vAlign w:val="bottom"/>
          </w:tcPr>
          <w:p>
            <w:pPr>
              <w:ind w:left="20"/>
              <w:spacing w:after="0"/>
              <w:rPr>
                <w:sz w:val="20"/>
                <w:szCs w:val="20"/>
                <w:color w:val="auto"/>
              </w:rPr>
            </w:pPr>
            <w:r>
              <w:rPr>
                <w:rFonts w:ascii="Arial" w:cs="Arial" w:eastAsia="Arial" w:hAnsi="Arial"/>
                <w:sz w:val="13"/>
                <w:szCs w:val="13"/>
                <w:color w:val="auto"/>
              </w:rPr>
              <w:t>Raleigh,</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340" w:type="dxa"/>
            <w:vAlign w:val="bottom"/>
          </w:tcPr>
          <w:p>
            <w:pPr>
              <w:ind w:left="20"/>
              <w:spacing w:after="0"/>
              <w:rPr>
                <w:sz w:val="20"/>
                <w:szCs w:val="20"/>
                <w:color w:val="auto"/>
              </w:rPr>
            </w:pPr>
            <w:r>
              <w:rPr>
                <w:rFonts w:ascii="Arial" w:cs="Arial" w:eastAsia="Arial" w:hAnsi="Arial"/>
                <w:sz w:val="13"/>
                <w:szCs w:val="13"/>
                <w:color w:val="auto"/>
              </w:rPr>
              <w:t>North Carolina 27609</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2340" w:type="dxa"/>
            <w:vAlign w:val="bottom"/>
          </w:tcPr>
          <w:p>
            <w:pPr>
              <w:ind w:left="20"/>
              <w:spacing w:after="0"/>
              <w:rPr>
                <w:sz w:val="20"/>
                <w:szCs w:val="20"/>
                <w:color w:val="auto"/>
              </w:rPr>
            </w:pPr>
            <w:r>
              <w:rPr>
                <w:rFonts w:ascii="Arial" w:cs="Arial" w:eastAsia="Arial" w:hAnsi="Arial"/>
                <w:sz w:val="13"/>
                <w:szCs w:val="13"/>
                <w:color w:val="auto"/>
              </w:rPr>
              <w:t>USA</w:t>
            </w:r>
          </w:p>
        </w:tc>
        <w:tc>
          <w:tcPr>
            <w:tcW w:w="244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PMG Research of Rocky Mount, LLC</w:t>
            </w: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901 N. Winstead Avenue,</w:t>
            </w:r>
          </w:p>
        </w:tc>
        <w:tc>
          <w:tcPr>
            <w:tcW w:w="2440" w:type="dxa"/>
            <w:vAlign w:val="bottom"/>
            <w:shd w:val="clear" w:color="auto" w:fill="CCEEFF"/>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Rocky Mount,</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Carolina 27804</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53"/>
        </w:trPr>
        <w:tc>
          <w:tcPr>
            <w:tcW w:w="4060" w:type="dxa"/>
            <w:vAlign w:val="bottom"/>
            <w:shd w:val="clear" w:color="auto" w:fill="CCEEFF"/>
          </w:tcPr>
          <w:p>
            <w:pPr>
              <w:spacing w:after="0"/>
              <w:rPr>
                <w:sz w:val="13"/>
                <w:szCs w:val="13"/>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USA</w:t>
            </w:r>
          </w:p>
        </w:tc>
        <w:tc>
          <w:tcPr>
            <w:tcW w:w="244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r>
      <w:tr>
        <w:trPr>
          <w:trHeight w:val="164"/>
        </w:trPr>
        <w:tc>
          <w:tcPr>
            <w:tcW w:w="406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PMG Research of Salisbury, LLC</w:t>
            </w:r>
          </w:p>
        </w:tc>
        <w:tc>
          <w:tcPr>
            <w:tcW w:w="2340" w:type="dxa"/>
            <w:vAlign w:val="bottom"/>
          </w:tcPr>
          <w:p>
            <w:pPr>
              <w:ind w:left="20"/>
              <w:spacing w:after="0"/>
              <w:rPr>
                <w:sz w:val="20"/>
                <w:szCs w:val="20"/>
                <w:color w:val="auto"/>
              </w:rPr>
            </w:pPr>
            <w:r>
              <w:rPr>
                <w:rFonts w:ascii="Arial" w:cs="Arial" w:eastAsia="Arial" w:hAnsi="Arial"/>
                <w:sz w:val="13"/>
                <w:szCs w:val="13"/>
                <w:color w:val="auto"/>
              </w:rPr>
              <w:t>410 Mocksville Avenue,</w:t>
            </w:r>
          </w:p>
        </w:tc>
        <w:tc>
          <w:tcPr>
            <w:tcW w:w="2440" w:type="dxa"/>
            <w:vAlign w:val="bottom"/>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340" w:type="dxa"/>
            <w:vAlign w:val="bottom"/>
          </w:tcPr>
          <w:p>
            <w:pPr>
              <w:ind w:left="20"/>
              <w:spacing w:after="0"/>
              <w:rPr>
                <w:sz w:val="20"/>
                <w:szCs w:val="20"/>
                <w:color w:val="auto"/>
              </w:rPr>
            </w:pPr>
            <w:r>
              <w:rPr>
                <w:rFonts w:ascii="Arial" w:cs="Arial" w:eastAsia="Arial" w:hAnsi="Arial"/>
                <w:sz w:val="13"/>
                <w:szCs w:val="13"/>
                <w:color w:val="auto"/>
              </w:rPr>
              <w:t>Salisbury,</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340" w:type="dxa"/>
            <w:vAlign w:val="bottom"/>
          </w:tcPr>
          <w:p>
            <w:pPr>
              <w:ind w:left="20"/>
              <w:spacing w:after="0"/>
              <w:rPr>
                <w:sz w:val="20"/>
                <w:szCs w:val="20"/>
                <w:color w:val="auto"/>
              </w:rPr>
            </w:pPr>
            <w:r>
              <w:rPr>
                <w:rFonts w:ascii="Arial" w:cs="Arial" w:eastAsia="Arial" w:hAnsi="Arial"/>
                <w:sz w:val="13"/>
                <w:szCs w:val="13"/>
                <w:color w:val="auto"/>
              </w:rPr>
              <w:t>North Carolina 28144</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2340" w:type="dxa"/>
            <w:vAlign w:val="bottom"/>
          </w:tcPr>
          <w:p>
            <w:pPr>
              <w:ind w:left="20"/>
              <w:spacing w:after="0"/>
              <w:rPr>
                <w:sz w:val="20"/>
                <w:szCs w:val="20"/>
                <w:color w:val="auto"/>
              </w:rPr>
            </w:pPr>
            <w:r>
              <w:rPr>
                <w:rFonts w:ascii="Arial" w:cs="Arial" w:eastAsia="Arial" w:hAnsi="Arial"/>
                <w:sz w:val="13"/>
                <w:szCs w:val="13"/>
                <w:color w:val="auto"/>
              </w:rPr>
              <w:t>USA</w:t>
            </w:r>
          </w:p>
        </w:tc>
        <w:tc>
          <w:tcPr>
            <w:tcW w:w="244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PMG Research of Wilmington, LLC</w:t>
            </w: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1907 Tradd Court,</w:t>
            </w:r>
          </w:p>
        </w:tc>
        <w:tc>
          <w:tcPr>
            <w:tcW w:w="2440" w:type="dxa"/>
            <w:vAlign w:val="bottom"/>
            <w:shd w:val="clear" w:color="auto" w:fill="CCEEFF"/>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Wilmington,</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Carolina 28401</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USA</w:t>
            </w:r>
          </w:p>
        </w:tc>
        <w:tc>
          <w:tcPr>
            <w:tcW w:w="244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PMG Research of Winston-Salem, LLC</w:t>
            </w:r>
          </w:p>
        </w:tc>
        <w:tc>
          <w:tcPr>
            <w:tcW w:w="2340" w:type="dxa"/>
            <w:vAlign w:val="bottom"/>
          </w:tcPr>
          <w:p>
            <w:pPr>
              <w:ind w:left="20"/>
              <w:spacing w:after="0"/>
              <w:rPr>
                <w:sz w:val="20"/>
                <w:szCs w:val="20"/>
                <w:color w:val="auto"/>
              </w:rPr>
            </w:pPr>
            <w:r>
              <w:rPr>
                <w:rFonts w:ascii="Arial" w:cs="Arial" w:eastAsia="Arial" w:hAnsi="Arial"/>
                <w:sz w:val="13"/>
                <w:szCs w:val="13"/>
                <w:color w:val="auto"/>
              </w:rPr>
              <w:t>1901 S. Hawthorne Road,</w:t>
            </w:r>
          </w:p>
        </w:tc>
        <w:tc>
          <w:tcPr>
            <w:tcW w:w="2440" w:type="dxa"/>
            <w:vAlign w:val="bottom"/>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340" w:type="dxa"/>
            <w:vAlign w:val="bottom"/>
          </w:tcPr>
          <w:p>
            <w:pPr>
              <w:ind w:left="20"/>
              <w:spacing w:after="0"/>
              <w:rPr>
                <w:sz w:val="20"/>
                <w:szCs w:val="20"/>
                <w:color w:val="auto"/>
              </w:rPr>
            </w:pPr>
            <w:r>
              <w:rPr>
                <w:rFonts w:ascii="Arial" w:cs="Arial" w:eastAsia="Arial" w:hAnsi="Arial"/>
                <w:sz w:val="13"/>
                <w:szCs w:val="13"/>
                <w:color w:val="auto"/>
              </w:rPr>
              <w:t>Suite 306,</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340" w:type="dxa"/>
            <w:vAlign w:val="bottom"/>
          </w:tcPr>
          <w:p>
            <w:pPr>
              <w:ind w:left="20"/>
              <w:spacing w:after="0"/>
              <w:rPr>
                <w:sz w:val="20"/>
                <w:szCs w:val="20"/>
                <w:color w:val="auto"/>
              </w:rPr>
            </w:pPr>
            <w:r>
              <w:rPr>
                <w:rFonts w:ascii="Arial" w:cs="Arial" w:eastAsia="Arial" w:hAnsi="Arial"/>
                <w:sz w:val="13"/>
                <w:szCs w:val="13"/>
                <w:color w:val="auto"/>
              </w:rPr>
              <w:t>Winston-Salem,</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340" w:type="dxa"/>
            <w:vAlign w:val="bottom"/>
          </w:tcPr>
          <w:p>
            <w:pPr>
              <w:ind w:left="20"/>
              <w:spacing w:after="0"/>
              <w:rPr>
                <w:sz w:val="20"/>
                <w:szCs w:val="20"/>
                <w:color w:val="auto"/>
              </w:rPr>
            </w:pPr>
            <w:r>
              <w:rPr>
                <w:rFonts w:ascii="Arial" w:cs="Arial" w:eastAsia="Arial" w:hAnsi="Arial"/>
                <w:sz w:val="13"/>
                <w:szCs w:val="13"/>
                <w:color w:val="auto"/>
              </w:rPr>
              <w:t>North Carolina 27103</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2340" w:type="dxa"/>
            <w:vAlign w:val="bottom"/>
          </w:tcPr>
          <w:p>
            <w:pPr>
              <w:ind w:left="20"/>
              <w:spacing w:after="0"/>
              <w:rPr>
                <w:sz w:val="20"/>
                <w:szCs w:val="20"/>
                <w:color w:val="auto"/>
              </w:rPr>
            </w:pPr>
            <w:r>
              <w:rPr>
                <w:rFonts w:ascii="Arial" w:cs="Arial" w:eastAsia="Arial" w:hAnsi="Arial"/>
                <w:sz w:val="13"/>
                <w:szCs w:val="13"/>
                <w:color w:val="auto"/>
              </w:rPr>
              <w:t>USA</w:t>
            </w:r>
          </w:p>
        </w:tc>
        <w:tc>
          <w:tcPr>
            <w:tcW w:w="244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PMG Research, Inc.</w:t>
            </w: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4505 Country Club Rd.,</w:t>
            </w:r>
          </w:p>
        </w:tc>
        <w:tc>
          <w:tcPr>
            <w:tcW w:w="2440" w:type="dxa"/>
            <w:vAlign w:val="bottom"/>
            <w:shd w:val="clear" w:color="auto" w:fill="CCEEFF"/>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Suite 110,</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Winston-Salem,</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NC 27104</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USA</w:t>
            </w:r>
          </w:p>
        </w:tc>
        <w:tc>
          <w:tcPr>
            <w:tcW w:w="244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Complete Healthcare Communications LLC</w:t>
            </w:r>
          </w:p>
        </w:tc>
        <w:tc>
          <w:tcPr>
            <w:tcW w:w="2340" w:type="dxa"/>
            <w:vAlign w:val="bottom"/>
          </w:tcPr>
          <w:p>
            <w:pPr>
              <w:ind w:left="20"/>
              <w:spacing w:after="0"/>
              <w:rPr>
                <w:sz w:val="20"/>
                <w:szCs w:val="20"/>
                <w:color w:val="auto"/>
              </w:rPr>
            </w:pPr>
            <w:r>
              <w:rPr>
                <w:rFonts w:ascii="Arial" w:cs="Arial" w:eastAsia="Arial" w:hAnsi="Arial"/>
                <w:sz w:val="13"/>
                <w:szCs w:val="13"/>
                <w:color w:val="auto"/>
              </w:rPr>
              <w:t>19 West College Ave</w:t>
            </w:r>
          </w:p>
        </w:tc>
        <w:tc>
          <w:tcPr>
            <w:tcW w:w="2440" w:type="dxa"/>
            <w:vAlign w:val="bottom"/>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340" w:type="dxa"/>
            <w:vAlign w:val="bottom"/>
          </w:tcPr>
          <w:p>
            <w:pPr>
              <w:ind w:left="20"/>
              <w:spacing w:after="0"/>
              <w:rPr>
                <w:sz w:val="20"/>
                <w:szCs w:val="20"/>
                <w:color w:val="auto"/>
              </w:rPr>
            </w:pPr>
            <w:r>
              <w:rPr>
                <w:rFonts w:ascii="Arial" w:cs="Arial" w:eastAsia="Arial" w:hAnsi="Arial"/>
                <w:sz w:val="13"/>
                <w:szCs w:val="13"/>
                <w:color w:val="auto"/>
              </w:rPr>
              <w:t>Suite 100</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2340" w:type="dxa"/>
            <w:vAlign w:val="bottom"/>
          </w:tcPr>
          <w:p>
            <w:pPr>
              <w:ind w:left="20"/>
              <w:spacing w:after="0"/>
              <w:rPr>
                <w:sz w:val="20"/>
                <w:szCs w:val="20"/>
                <w:color w:val="auto"/>
              </w:rPr>
            </w:pPr>
            <w:r>
              <w:rPr>
                <w:rFonts w:ascii="Arial" w:cs="Arial" w:eastAsia="Arial" w:hAnsi="Arial"/>
                <w:sz w:val="13"/>
                <w:szCs w:val="13"/>
                <w:color w:val="auto"/>
              </w:rPr>
              <w:t>Yardley, PA 19067</w:t>
            </w:r>
          </w:p>
        </w:tc>
        <w:tc>
          <w:tcPr>
            <w:tcW w:w="244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Complete Publication Solutions, LLC</w:t>
            </w: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19 West College Ave</w:t>
            </w:r>
          </w:p>
        </w:tc>
        <w:tc>
          <w:tcPr>
            <w:tcW w:w="2440" w:type="dxa"/>
            <w:vAlign w:val="bottom"/>
            <w:shd w:val="clear" w:color="auto" w:fill="CCEEFF"/>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Suite 100</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Yardley, PA 19067</w:t>
            </w:r>
          </w:p>
        </w:tc>
        <w:tc>
          <w:tcPr>
            <w:tcW w:w="244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CRN Holdings, LLC</w:t>
            </w:r>
          </w:p>
        </w:tc>
        <w:tc>
          <w:tcPr>
            <w:tcW w:w="2340" w:type="dxa"/>
            <w:vAlign w:val="bottom"/>
          </w:tcPr>
          <w:p>
            <w:pPr>
              <w:ind w:left="20"/>
              <w:spacing w:after="0"/>
              <w:rPr>
                <w:sz w:val="20"/>
                <w:szCs w:val="20"/>
                <w:color w:val="auto"/>
              </w:rPr>
            </w:pPr>
            <w:r>
              <w:rPr>
                <w:rFonts w:ascii="Arial" w:cs="Arial" w:eastAsia="Arial" w:hAnsi="Arial"/>
                <w:sz w:val="13"/>
                <w:szCs w:val="13"/>
                <w:color w:val="auto"/>
              </w:rPr>
              <w:t>700 Deerpath Drive</w:t>
            </w:r>
          </w:p>
        </w:tc>
        <w:tc>
          <w:tcPr>
            <w:tcW w:w="2440" w:type="dxa"/>
            <w:vAlign w:val="bottom"/>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340" w:type="dxa"/>
            <w:vAlign w:val="bottom"/>
          </w:tcPr>
          <w:p>
            <w:pPr>
              <w:ind w:left="20"/>
              <w:spacing w:after="0"/>
              <w:rPr>
                <w:sz w:val="20"/>
                <w:szCs w:val="20"/>
                <w:color w:val="auto"/>
              </w:rPr>
            </w:pPr>
            <w:r>
              <w:rPr>
                <w:rFonts w:ascii="Arial" w:cs="Arial" w:eastAsia="Arial" w:hAnsi="Arial"/>
                <w:sz w:val="13"/>
                <w:szCs w:val="13"/>
                <w:color w:val="auto"/>
              </w:rPr>
              <w:t>Vernon Hills IL 60061-1801</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53"/>
        </w:trPr>
        <w:tc>
          <w:tcPr>
            <w:tcW w:w="4060" w:type="dxa"/>
            <w:vAlign w:val="bottom"/>
          </w:tcPr>
          <w:p>
            <w:pPr>
              <w:spacing w:after="0"/>
              <w:rPr>
                <w:sz w:val="13"/>
                <w:szCs w:val="13"/>
                <w:color w:val="auto"/>
              </w:rPr>
            </w:pPr>
          </w:p>
        </w:tc>
        <w:tc>
          <w:tcPr>
            <w:tcW w:w="234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2440" w:type="dxa"/>
            <w:vAlign w:val="bottom"/>
          </w:tcPr>
          <w:p>
            <w:pPr>
              <w:spacing w:after="0"/>
              <w:rPr>
                <w:sz w:val="13"/>
                <w:szCs w:val="13"/>
                <w:color w:val="auto"/>
              </w:rPr>
            </w:pPr>
          </w:p>
        </w:tc>
        <w:tc>
          <w:tcPr>
            <w:tcW w:w="2420" w:type="dxa"/>
            <w:vAlign w:val="bottom"/>
          </w:tcPr>
          <w:p>
            <w:pPr>
              <w:spacing w:after="0"/>
              <w:rPr>
                <w:sz w:val="13"/>
                <w:szCs w:val="13"/>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260"/>
          </w:cols>
          <w:pgMar w:left="300" w:top="696"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32. Subsidiary undertakings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Registered Office</w:t>
            </w:r>
          </w:p>
        </w:tc>
        <w:tc>
          <w:tcPr>
            <w:tcW w:w="2440" w:type="dxa"/>
            <w:vAlign w:val="bottom"/>
            <w:shd w:val="clear" w:color="auto" w:fill="CCEEFF"/>
          </w:tcPr>
          <w:p>
            <w:pPr>
              <w:ind w:left="800"/>
              <w:spacing w:after="0"/>
              <w:rPr>
                <w:sz w:val="20"/>
                <w:szCs w:val="20"/>
                <w:color w:val="auto"/>
              </w:rPr>
            </w:pPr>
            <w:r>
              <w:rPr>
                <w:rFonts w:ascii="Arial" w:cs="Arial" w:eastAsia="Arial" w:hAnsi="Arial"/>
                <w:sz w:val="13"/>
                <w:szCs w:val="13"/>
                <w:b w:val="1"/>
                <w:bCs w:val="1"/>
                <w:color w:val="auto"/>
              </w:rPr>
              <w:t>Nature of business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Proportion held by</w:t>
            </w:r>
          </w:p>
        </w:tc>
      </w:tr>
      <w:tr>
        <w:trPr>
          <w:trHeight w:val="169"/>
        </w:trPr>
        <w:tc>
          <w:tcPr>
            <w:tcW w:w="406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Group</w:t>
            </w:r>
          </w:p>
        </w:tc>
      </w:tr>
      <w:tr>
        <w:trPr>
          <w:trHeight w:val="186"/>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Clinical Resource Network, LLC</w:t>
            </w: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700 Deerpath Drive</w:t>
            </w:r>
          </w:p>
        </w:tc>
        <w:tc>
          <w:tcPr>
            <w:tcW w:w="2440" w:type="dxa"/>
            <w:vAlign w:val="bottom"/>
            <w:shd w:val="clear" w:color="auto" w:fill="CCEEFF"/>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Vernon Hills IL 60061-1801</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244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CRN North America, LLC</w:t>
            </w:r>
          </w:p>
        </w:tc>
        <w:tc>
          <w:tcPr>
            <w:tcW w:w="2340" w:type="dxa"/>
            <w:vAlign w:val="bottom"/>
          </w:tcPr>
          <w:p>
            <w:pPr>
              <w:ind w:left="20"/>
              <w:spacing w:after="0"/>
              <w:rPr>
                <w:sz w:val="20"/>
                <w:szCs w:val="20"/>
                <w:color w:val="auto"/>
              </w:rPr>
            </w:pPr>
            <w:r>
              <w:rPr>
                <w:rFonts w:ascii="Arial" w:cs="Arial" w:eastAsia="Arial" w:hAnsi="Arial"/>
                <w:sz w:val="13"/>
                <w:szCs w:val="13"/>
                <w:color w:val="auto"/>
              </w:rPr>
              <w:t>700 Deerpath Drive</w:t>
            </w:r>
          </w:p>
        </w:tc>
        <w:tc>
          <w:tcPr>
            <w:tcW w:w="2440" w:type="dxa"/>
            <w:vAlign w:val="bottom"/>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340" w:type="dxa"/>
            <w:vAlign w:val="bottom"/>
          </w:tcPr>
          <w:p>
            <w:pPr>
              <w:ind w:left="20"/>
              <w:spacing w:after="0"/>
              <w:rPr>
                <w:sz w:val="20"/>
                <w:szCs w:val="20"/>
                <w:color w:val="auto"/>
              </w:rPr>
            </w:pPr>
            <w:r>
              <w:rPr>
                <w:rFonts w:ascii="Arial" w:cs="Arial" w:eastAsia="Arial" w:hAnsi="Arial"/>
                <w:sz w:val="13"/>
                <w:szCs w:val="13"/>
                <w:color w:val="auto"/>
              </w:rPr>
              <w:t>Vernon Hills IL 60061-1801</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234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244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PMG Research of Charleston, LLC</w:t>
            </w: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180 Wingo Way,</w:t>
            </w:r>
          </w:p>
        </w:tc>
        <w:tc>
          <w:tcPr>
            <w:tcW w:w="2440" w:type="dxa"/>
            <w:vAlign w:val="bottom"/>
            <w:shd w:val="clear" w:color="auto" w:fill="CCEEFF"/>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Suite 203,</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Mt. Pleasant,</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 Carolina 29464</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USA</w:t>
            </w:r>
          </w:p>
        </w:tc>
        <w:tc>
          <w:tcPr>
            <w:tcW w:w="244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PMG Research of Bristol, LLC</w:t>
            </w:r>
          </w:p>
        </w:tc>
        <w:tc>
          <w:tcPr>
            <w:tcW w:w="2340" w:type="dxa"/>
            <w:vAlign w:val="bottom"/>
          </w:tcPr>
          <w:p>
            <w:pPr>
              <w:ind w:left="20"/>
              <w:spacing w:after="0"/>
              <w:rPr>
                <w:sz w:val="20"/>
                <w:szCs w:val="20"/>
                <w:color w:val="auto"/>
              </w:rPr>
            </w:pPr>
            <w:r>
              <w:rPr>
                <w:rFonts w:ascii="Arial" w:cs="Arial" w:eastAsia="Arial" w:hAnsi="Arial"/>
                <w:sz w:val="13"/>
                <w:szCs w:val="13"/>
                <w:color w:val="auto"/>
              </w:rPr>
              <w:t>1958 West State Street,</w:t>
            </w:r>
          </w:p>
        </w:tc>
        <w:tc>
          <w:tcPr>
            <w:tcW w:w="2440" w:type="dxa"/>
            <w:vAlign w:val="bottom"/>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340" w:type="dxa"/>
            <w:vAlign w:val="bottom"/>
          </w:tcPr>
          <w:p>
            <w:pPr>
              <w:ind w:left="20"/>
              <w:spacing w:after="0"/>
              <w:rPr>
                <w:sz w:val="20"/>
                <w:szCs w:val="20"/>
                <w:color w:val="auto"/>
              </w:rPr>
            </w:pPr>
            <w:r>
              <w:rPr>
                <w:rFonts w:ascii="Arial" w:cs="Arial" w:eastAsia="Arial" w:hAnsi="Arial"/>
                <w:sz w:val="13"/>
                <w:szCs w:val="13"/>
                <w:color w:val="auto"/>
              </w:rPr>
              <w:t>Bristol,</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340" w:type="dxa"/>
            <w:vAlign w:val="bottom"/>
          </w:tcPr>
          <w:p>
            <w:pPr>
              <w:ind w:left="20"/>
              <w:spacing w:after="0"/>
              <w:rPr>
                <w:sz w:val="20"/>
                <w:szCs w:val="20"/>
                <w:color w:val="auto"/>
              </w:rPr>
            </w:pPr>
            <w:r>
              <w:rPr>
                <w:rFonts w:ascii="Arial" w:cs="Arial" w:eastAsia="Arial" w:hAnsi="Arial"/>
                <w:sz w:val="13"/>
                <w:szCs w:val="13"/>
                <w:color w:val="auto"/>
              </w:rPr>
              <w:t>Tennessee 37620</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2340" w:type="dxa"/>
            <w:vAlign w:val="bottom"/>
          </w:tcPr>
          <w:p>
            <w:pPr>
              <w:ind w:left="20"/>
              <w:spacing w:after="0"/>
              <w:rPr>
                <w:sz w:val="20"/>
                <w:szCs w:val="20"/>
                <w:color w:val="auto"/>
              </w:rPr>
            </w:pPr>
            <w:r>
              <w:rPr>
                <w:rFonts w:ascii="Arial" w:cs="Arial" w:eastAsia="Arial" w:hAnsi="Arial"/>
                <w:sz w:val="13"/>
                <w:szCs w:val="13"/>
                <w:color w:val="auto"/>
              </w:rPr>
              <w:t>USA</w:t>
            </w:r>
          </w:p>
        </w:tc>
        <w:tc>
          <w:tcPr>
            <w:tcW w:w="244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79"/>
        </w:trPr>
        <w:tc>
          <w:tcPr>
            <w:tcW w:w="4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Addplan Inc</w:t>
            </w: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2100 Pennbrook Parkway,</w:t>
            </w:r>
          </w:p>
        </w:tc>
        <w:tc>
          <w:tcPr>
            <w:tcW w:w="2440" w:type="dxa"/>
            <w:vAlign w:val="bottom"/>
            <w:shd w:val="clear" w:color="auto" w:fill="CCEEFF"/>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shd w:val="clear" w:color="auto" w:fill="CCEEFF"/>
          </w:tcPr>
          <w:p>
            <w:pPr>
              <w:spacing w:after="0"/>
              <w:rPr>
                <w:sz w:val="12"/>
                <w:szCs w:val="12"/>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Wales,</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Montgomery County,</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49"/>
        </w:trPr>
        <w:tc>
          <w:tcPr>
            <w:tcW w:w="4060" w:type="dxa"/>
            <w:vAlign w:val="bottom"/>
            <w:shd w:val="clear" w:color="auto" w:fill="CCEEFF"/>
          </w:tcPr>
          <w:p>
            <w:pPr>
              <w:spacing w:after="0"/>
              <w:rPr>
                <w:sz w:val="12"/>
                <w:szCs w:val="12"/>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 19454</w:t>
            </w:r>
          </w:p>
        </w:tc>
        <w:tc>
          <w:tcPr>
            <w:tcW w:w="24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r>
      <w:tr>
        <w:trPr>
          <w:trHeight w:val="168"/>
        </w:trPr>
        <w:tc>
          <w:tcPr>
            <w:tcW w:w="4060" w:type="dxa"/>
            <w:vAlign w:val="bottom"/>
            <w:shd w:val="clear" w:color="auto" w:fill="CCEEFF"/>
          </w:tcPr>
          <w:p>
            <w:pPr>
              <w:spacing w:after="0"/>
              <w:rPr>
                <w:sz w:val="14"/>
                <w:szCs w:val="14"/>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244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171"/>
        </w:trPr>
        <w:tc>
          <w:tcPr>
            <w:tcW w:w="4060" w:type="dxa"/>
            <w:vAlign w:val="bottom"/>
          </w:tcPr>
          <w:p>
            <w:pPr>
              <w:ind w:left="20"/>
              <w:spacing w:after="0"/>
              <w:rPr>
                <w:sz w:val="20"/>
                <w:szCs w:val="20"/>
                <w:color w:val="auto"/>
              </w:rPr>
            </w:pPr>
            <w:r>
              <w:rPr>
                <w:rFonts w:ascii="Arial" w:cs="Arial" w:eastAsia="Arial" w:hAnsi="Arial"/>
                <w:sz w:val="13"/>
                <w:szCs w:val="13"/>
                <w:color w:val="auto"/>
              </w:rPr>
              <w:t>ICON Government and Public Health Solutions, Inc.</w:t>
            </w:r>
          </w:p>
        </w:tc>
        <w:tc>
          <w:tcPr>
            <w:tcW w:w="2340" w:type="dxa"/>
            <w:vAlign w:val="bottom"/>
          </w:tcPr>
          <w:p>
            <w:pPr>
              <w:ind w:left="20"/>
              <w:spacing w:after="0"/>
              <w:rPr>
                <w:sz w:val="20"/>
                <w:szCs w:val="20"/>
                <w:color w:val="auto"/>
              </w:rPr>
            </w:pPr>
            <w:r>
              <w:rPr>
                <w:rFonts w:ascii="Arial" w:cs="Arial" w:eastAsia="Arial" w:hAnsi="Arial"/>
                <w:sz w:val="13"/>
                <w:szCs w:val="13"/>
                <w:color w:val="auto"/>
              </w:rPr>
              <w:t>1265 Ridge Road,</w:t>
            </w:r>
          </w:p>
        </w:tc>
        <w:tc>
          <w:tcPr>
            <w:tcW w:w="2440" w:type="dxa"/>
            <w:vAlign w:val="bottom"/>
          </w:tcPr>
          <w:p>
            <w:pPr>
              <w:ind w:left="800"/>
              <w:spacing w:after="0"/>
              <w:rPr>
                <w:sz w:val="20"/>
                <w:szCs w:val="20"/>
                <w:color w:val="auto"/>
              </w:rPr>
            </w:pPr>
            <w:r>
              <w:rPr>
                <w:rFonts w:ascii="Arial" w:cs="Arial" w:eastAsia="Arial" w:hAnsi="Arial"/>
                <w:sz w:val="13"/>
                <w:szCs w:val="13"/>
                <w:color w:val="auto"/>
              </w:rPr>
              <w:t>Clinical research services</w:t>
            </w:r>
          </w:p>
        </w:tc>
        <w:tc>
          <w:tcPr>
            <w:tcW w:w="2420" w:type="dxa"/>
            <w:vAlign w:val="bottom"/>
          </w:tcPr>
          <w:p>
            <w:pPr>
              <w:ind w:left="200"/>
              <w:spacing w:after="0"/>
              <w:rPr>
                <w:sz w:val="20"/>
                <w:szCs w:val="20"/>
                <w:color w:val="auto"/>
              </w:rPr>
            </w:pPr>
            <w:r>
              <w:rPr>
                <w:rFonts w:ascii="Arial" w:cs="Arial" w:eastAsia="Arial" w:hAnsi="Arial"/>
                <w:sz w:val="13"/>
                <w:szCs w:val="13"/>
                <w:color w:val="auto"/>
              </w:rPr>
              <w:t>100%</w:t>
            </w:r>
          </w:p>
        </w:tc>
      </w:tr>
      <w:tr>
        <w:trPr>
          <w:trHeight w:val="149"/>
        </w:trPr>
        <w:tc>
          <w:tcPr>
            <w:tcW w:w="4060" w:type="dxa"/>
            <w:vAlign w:val="bottom"/>
          </w:tcPr>
          <w:p>
            <w:pPr>
              <w:spacing w:after="0"/>
              <w:rPr>
                <w:sz w:val="12"/>
                <w:szCs w:val="12"/>
                <w:color w:val="auto"/>
              </w:rPr>
            </w:pPr>
          </w:p>
        </w:tc>
        <w:tc>
          <w:tcPr>
            <w:tcW w:w="2340" w:type="dxa"/>
            <w:vAlign w:val="bottom"/>
          </w:tcPr>
          <w:p>
            <w:pPr>
              <w:ind w:left="20"/>
              <w:spacing w:after="0"/>
              <w:rPr>
                <w:sz w:val="20"/>
                <w:szCs w:val="20"/>
                <w:color w:val="auto"/>
              </w:rPr>
            </w:pPr>
            <w:r>
              <w:rPr>
                <w:rFonts w:ascii="Arial" w:cs="Arial" w:eastAsia="Arial" w:hAnsi="Arial"/>
                <w:sz w:val="13"/>
                <w:szCs w:val="13"/>
                <w:color w:val="auto"/>
              </w:rPr>
              <w:t>Hinckley,</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340" w:type="dxa"/>
            <w:vAlign w:val="bottom"/>
          </w:tcPr>
          <w:p>
            <w:pPr>
              <w:ind w:left="20"/>
              <w:spacing w:after="0"/>
              <w:rPr>
                <w:sz w:val="20"/>
                <w:szCs w:val="20"/>
                <w:color w:val="auto"/>
              </w:rPr>
            </w:pPr>
            <w:r>
              <w:rPr>
                <w:rFonts w:ascii="Arial" w:cs="Arial" w:eastAsia="Arial" w:hAnsi="Arial"/>
                <w:sz w:val="13"/>
                <w:szCs w:val="13"/>
                <w:color w:val="auto"/>
              </w:rPr>
              <w:t>OH 44233</w:t>
            </w:r>
          </w:p>
        </w:tc>
        <w:tc>
          <w:tcPr>
            <w:tcW w:w="244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53"/>
        </w:trPr>
        <w:tc>
          <w:tcPr>
            <w:tcW w:w="4060" w:type="dxa"/>
            <w:vAlign w:val="bottom"/>
          </w:tcPr>
          <w:p>
            <w:pPr>
              <w:spacing w:after="0"/>
              <w:rPr>
                <w:sz w:val="13"/>
                <w:szCs w:val="13"/>
                <w:color w:val="auto"/>
              </w:rPr>
            </w:pPr>
          </w:p>
        </w:tc>
        <w:tc>
          <w:tcPr>
            <w:tcW w:w="234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2440" w:type="dxa"/>
            <w:vAlign w:val="bottom"/>
          </w:tcPr>
          <w:p>
            <w:pPr>
              <w:spacing w:after="0"/>
              <w:rPr>
                <w:sz w:val="13"/>
                <w:szCs w:val="13"/>
                <w:color w:val="auto"/>
              </w:rPr>
            </w:pPr>
          </w:p>
        </w:tc>
        <w:tc>
          <w:tcPr>
            <w:tcW w:w="24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48195" cy="404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40449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3"/>
          <w:szCs w:val="13"/>
          <w:color w:val="auto"/>
        </w:rPr>
        <w:t>* majority of which is held directly</w:t>
      </w:r>
    </w:p>
    <w:p>
      <w:pPr>
        <w:ind w:left="20"/>
        <w:spacing w:after="0"/>
        <w:rPr>
          <w:sz w:val="20"/>
          <w:szCs w:val="20"/>
          <w:color w:val="auto"/>
        </w:rPr>
      </w:pPr>
      <w:r>
        <w:rPr>
          <w:rFonts w:ascii="Arial" w:cs="Arial" w:eastAsia="Arial" w:hAnsi="Arial"/>
          <w:sz w:val="13"/>
          <w:szCs w:val="13"/>
          <w:color w:val="auto"/>
        </w:rPr>
        <w:t>**MeDiNova Entities - ICON acquired a majority interest in MeDiNova in May 2019 and have a right to acquire the remaining interest in 2020 (see note 14 Business Combinations for details)</w:t>
      </w:r>
    </w:p>
    <w:p>
      <w:pPr>
        <w:ind w:left="20"/>
        <w:spacing w:after="0"/>
        <w:rPr>
          <w:sz w:val="20"/>
          <w:szCs w:val="20"/>
          <w:color w:val="auto"/>
        </w:rPr>
      </w:pPr>
      <w:r>
        <w:rPr>
          <w:rFonts w:ascii="Arial" w:cs="Arial" w:eastAsia="Arial" w:hAnsi="Arial"/>
          <w:sz w:val="13"/>
          <w:szCs w:val="13"/>
          <w:color w:val="auto"/>
        </w:rPr>
        <w:t>***Mapi Life Sciences Canada Inc, changed its name to ICON Life Sciences Canada Inc. with effect from 1 February 2020.</w:t>
      </w:r>
    </w:p>
    <w:p>
      <w:pPr>
        <w:ind w:left="260" w:hanging="241"/>
        <w:spacing w:after="0"/>
        <w:tabs>
          <w:tab w:leader="none" w:pos="260" w:val="left"/>
        </w:tabs>
        <w:numPr>
          <w:ilvl w:val="1"/>
          <w:numId w:val="38"/>
        </w:numPr>
        <w:rPr>
          <w:rFonts w:ascii="Arial" w:cs="Arial" w:eastAsia="Arial" w:hAnsi="Arial"/>
          <w:sz w:val="13"/>
          <w:szCs w:val="13"/>
          <w:color w:val="auto"/>
        </w:rPr>
      </w:pPr>
      <w:r>
        <w:rPr>
          <w:rFonts w:ascii="Arial" w:cs="Arial" w:eastAsia="Arial" w:hAnsi="Arial"/>
          <w:sz w:val="13"/>
          <w:szCs w:val="13"/>
          <w:color w:val="auto"/>
        </w:rPr>
        <w:t>Mapi Research Trust is an association, its members are ICON Subsidiary entities.</w:t>
      </w:r>
    </w:p>
    <w:p>
      <w:pPr>
        <w:spacing w:after="0" w:line="269" w:lineRule="exact"/>
        <w:rPr>
          <w:rFonts w:ascii="Arial" w:cs="Arial" w:eastAsia="Arial" w:hAnsi="Arial"/>
          <w:sz w:val="13"/>
          <w:szCs w:val="13"/>
          <w:color w:val="auto"/>
        </w:rPr>
      </w:pPr>
    </w:p>
    <w:p>
      <w:pPr>
        <w:ind w:left="220" w:hanging="215"/>
        <w:spacing w:after="0"/>
        <w:tabs>
          <w:tab w:leader="none" w:pos="22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Disaggregation of Revenue</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Revenue disaggregated by customer profile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20" w:type="dxa"/>
            <w:vAlign w:val="bottom"/>
            <w:shd w:val="clear" w:color="auto" w:fill="CCEEFF"/>
          </w:tcPr>
          <w:p>
            <w:pPr>
              <w:spacing w:after="0"/>
              <w:rPr>
                <w:sz w:val="13"/>
                <w:szCs w:val="13"/>
                <w:color w:val="auto"/>
              </w:rPr>
            </w:pPr>
          </w:p>
        </w:tc>
        <w:tc>
          <w:tcPr>
            <w:tcW w:w="64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77"/>
        </w:trPr>
        <w:tc>
          <w:tcPr>
            <w:tcW w:w="4820" w:type="dxa"/>
            <w:vAlign w:val="bottom"/>
            <w:tcBorders>
              <w:bottom w:val="single" w:sz="8" w:color="auto"/>
            </w:tcBorders>
            <w:shd w:val="clear" w:color="auto" w:fill="CCEEFF"/>
          </w:tcPr>
          <w:p>
            <w:pPr>
              <w:spacing w:after="0"/>
              <w:rPr>
                <w:sz w:val="15"/>
                <w:szCs w:val="15"/>
                <w:color w:val="auto"/>
              </w:rPr>
            </w:pPr>
          </w:p>
        </w:tc>
        <w:tc>
          <w:tcPr>
            <w:tcW w:w="53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b w:val="1"/>
                <w:bCs w:val="1"/>
                <w:color w:val="auto"/>
              </w:rPr>
              <w:t>December 2019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4820" w:type="dxa"/>
            <w:vAlign w:val="bottom"/>
          </w:tcPr>
          <w:p>
            <w:pPr>
              <w:spacing w:after="0"/>
              <w:rPr>
                <w:sz w:val="15"/>
                <w:szCs w:val="15"/>
                <w:color w:val="auto"/>
              </w:rPr>
            </w:pPr>
          </w:p>
        </w:tc>
        <w:tc>
          <w:tcPr>
            <w:tcW w:w="5360" w:type="dxa"/>
            <w:vAlign w:val="bottom"/>
          </w:tcPr>
          <w:p>
            <w:pPr>
              <w:jc w:val="right"/>
              <w:ind w:right="316"/>
              <w:spacing w:after="0"/>
              <w:rPr>
                <w:sz w:val="20"/>
                <w:szCs w:val="20"/>
                <w:color w:val="auto"/>
              </w:rPr>
            </w:pPr>
            <w:r>
              <w:rPr>
                <w:rFonts w:ascii="Arial" w:cs="Arial" w:eastAsia="Arial" w:hAnsi="Arial"/>
                <w:sz w:val="13"/>
                <w:szCs w:val="13"/>
                <w:b w:val="1"/>
                <w:bCs w:val="1"/>
                <w:color w:val="auto"/>
              </w:rPr>
              <w:t>$’000</w:t>
            </w:r>
          </w:p>
        </w:tc>
        <w:tc>
          <w:tcPr>
            <w:tcW w:w="110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20"/>
        </w:trPr>
        <w:tc>
          <w:tcPr>
            <w:tcW w:w="4820" w:type="dxa"/>
            <w:vAlign w:val="bottom"/>
            <w:shd w:val="clear" w:color="auto" w:fill="CCEEFF"/>
          </w:tcPr>
          <w:p>
            <w:pPr>
              <w:spacing w:after="0"/>
              <w:rPr>
                <w:sz w:val="19"/>
                <w:szCs w:val="19"/>
                <w:color w:val="auto"/>
              </w:rPr>
            </w:pPr>
          </w:p>
        </w:tc>
        <w:tc>
          <w:tcPr>
            <w:tcW w:w="5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83"/>
        </w:trPr>
        <w:tc>
          <w:tcPr>
            <w:tcW w:w="4820" w:type="dxa"/>
            <w:vAlign w:val="bottom"/>
          </w:tcPr>
          <w:p>
            <w:pPr>
              <w:ind w:left="20"/>
              <w:spacing w:after="0"/>
              <w:rPr>
                <w:sz w:val="20"/>
                <w:szCs w:val="20"/>
                <w:color w:val="auto"/>
              </w:rPr>
            </w:pPr>
            <w:r>
              <w:rPr>
                <w:rFonts w:ascii="Arial" w:cs="Arial" w:eastAsia="Arial" w:hAnsi="Arial"/>
                <w:sz w:val="13"/>
                <w:szCs w:val="13"/>
                <w:color w:val="auto"/>
              </w:rPr>
              <w:t>Top client</w:t>
            </w:r>
          </w:p>
        </w:tc>
        <w:tc>
          <w:tcPr>
            <w:tcW w:w="5360" w:type="dxa"/>
            <w:vAlign w:val="bottom"/>
          </w:tcPr>
          <w:p>
            <w:pPr>
              <w:jc w:val="right"/>
              <w:ind w:right="456"/>
              <w:spacing w:after="0"/>
              <w:rPr>
                <w:sz w:val="20"/>
                <w:szCs w:val="20"/>
                <w:color w:val="auto"/>
              </w:rPr>
            </w:pPr>
            <w:r>
              <w:rPr>
                <w:rFonts w:ascii="Arial" w:cs="Arial" w:eastAsia="Arial" w:hAnsi="Arial"/>
                <w:sz w:val="13"/>
                <w:szCs w:val="13"/>
                <w:b w:val="1"/>
                <w:bCs w:val="1"/>
                <w:color w:val="auto"/>
              </w:rPr>
              <w:t>350,287</w:t>
            </w:r>
          </w:p>
        </w:tc>
        <w:tc>
          <w:tcPr>
            <w:tcW w:w="1100" w:type="dxa"/>
            <w:vAlign w:val="bottom"/>
          </w:tcPr>
          <w:p>
            <w:pPr>
              <w:jc w:val="right"/>
              <w:ind w:right="76"/>
              <w:spacing w:after="0"/>
              <w:rPr>
                <w:sz w:val="20"/>
                <w:szCs w:val="20"/>
                <w:color w:val="auto"/>
              </w:rPr>
            </w:pPr>
            <w:r>
              <w:rPr>
                <w:rFonts w:ascii="Arial" w:cs="Arial" w:eastAsia="Arial" w:hAnsi="Arial"/>
                <w:sz w:val="13"/>
                <w:szCs w:val="13"/>
                <w:color w:val="auto"/>
              </w:rPr>
              <w:t>352,335</w:t>
            </w:r>
          </w:p>
        </w:tc>
      </w:tr>
      <w:tr>
        <w:trPr>
          <w:trHeight w:val="199"/>
        </w:trPr>
        <w:tc>
          <w:tcPr>
            <w:tcW w:w="4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Clients 2-5</w:t>
            </w:r>
          </w:p>
        </w:tc>
        <w:tc>
          <w:tcPr>
            <w:tcW w:w="536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704,963</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671,723</w:t>
            </w:r>
          </w:p>
        </w:tc>
      </w:tr>
      <w:tr>
        <w:trPr>
          <w:trHeight w:val="183"/>
        </w:trPr>
        <w:tc>
          <w:tcPr>
            <w:tcW w:w="4820" w:type="dxa"/>
            <w:vAlign w:val="bottom"/>
          </w:tcPr>
          <w:p>
            <w:pPr>
              <w:ind w:left="20"/>
              <w:spacing w:after="0"/>
              <w:rPr>
                <w:sz w:val="20"/>
                <w:szCs w:val="20"/>
                <w:color w:val="auto"/>
              </w:rPr>
            </w:pPr>
            <w:r>
              <w:rPr>
                <w:rFonts w:ascii="Arial" w:cs="Arial" w:eastAsia="Arial" w:hAnsi="Arial"/>
                <w:sz w:val="13"/>
                <w:szCs w:val="13"/>
                <w:color w:val="auto"/>
              </w:rPr>
              <w:t>Clients 6-10</w:t>
            </w:r>
          </w:p>
        </w:tc>
        <w:tc>
          <w:tcPr>
            <w:tcW w:w="5360" w:type="dxa"/>
            <w:vAlign w:val="bottom"/>
          </w:tcPr>
          <w:p>
            <w:pPr>
              <w:jc w:val="right"/>
              <w:ind w:right="456"/>
              <w:spacing w:after="0"/>
              <w:rPr>
                <w:sz w:val="20"/>
                <w:szCs w:val="20"/>
                <w:color w:val="auto"/>
              </w:rPr>
            </w:pPr>
            <w:r>
              <w:rPr>
                <w:rFonts w:ascii="Arial" w:cs="Arial" w:eastAsia="Arial" w:hAnsi="Arial"/>
                <w:sz w:val="13"/>
                <w:szCs w:val="13"/>
                <w:b w:val="1"/>
                <w:bCs w:val="1"/>
                <w:color w:val="auto"/>
              </w:rPr>
              <w:t>347,832</w:t>
            </w:r>
          </w:p>
        </w:tc>
        <w:tc>
          <w:tcPr>
            <w:tcW w:w="1100" w:type="dxa"/>
            <w:vAlign w:val="bottom"/>
          </w:tcPr>
          <w:p>
            <w:pPr>
              <w:jc w:val="right"/>
              <w:ind w:right="76"/>
              <w:spacing w:after="0"/>
              <w:rPr>
                <w:sz w:val="20"/>
                <w:szCs w:val="20"/>
                <w:color w:val="auto"/>
              </w:rPr>
            </w:pPr>
            <w:r>
              <w:rPr>
                <w:rFonts w:ascii="Arial" w:cs="Arial" w:eastAsia="Arial" w:hAnsi="Arial"/>
                <w:sz w:val="13"/>
                <w:szCs w:val="13"/>
                <w:color w:val="auto"/>
              </w:rPr>
              <w:t>385,741</w:t>
            </w:r>
          </w:p>
        </w:tc>
      </w:tr>
      <w:tr>
        <w:trPr>
          <w:trHeight w:val="199"/>
        </w:trPr>
        <w:tc>
          <w:tcPr>
            <w:tcW w:w="4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Clients 11-25</w:t>
            </w:r>
          </w:p>
        </w:tc>
        <w:tc>
          <w:tcPr>
            <w:tcW w:w="536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529,713</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461,351</w:t>
            </w:r>
          </w:p>
        </w:tc>
      </w:tr>
      <w:tr>
        <w:trPr>
          <w:trHeight w:val="183"/>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w:t>
            </w:r>
          </w:p>
        </w:tc>
        <w:tc>
          <w:tcPr>
            <w:tcW w:w="536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873,044</w:t>
            </w: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724,627</w:t>
            </w:r>
          </w:p>
        </w:tc>
      </w:tr>
      <w:tr>
        <w:trPr>
          <w:trHeight w:val="190"/>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53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2,805,839</w:t>
            </w: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2,595,777</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Our customers have similar profiles and economic characteristics, and therefore have similar degrees of risk and growth opportunities.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1280"/>
          </w:cols>
          <w:pgMar w:left="300" w:top="696" w:right="31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34. Impact of change in accounting policies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Adoption of IFRS 16</w:t>
      </w:r>
    </w:p>
    <w:p>
      <w:pPr>
        <w:spacing w:after="0" w:line="13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IFRS 16 supersedes IAS 17 and requires that lessees recognise rights and obligations from virtually all leases (other than leases that meet the definition of a short-term lease) on their Statements of Financial Position as right-of-use assets with corresponding lease liabilities.</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3"/>
          <w:szCs w:val="13"/>
          <w:color w:val="auto"/>
        </w:rPr>
        <w:t>ICON adopted IFRS 16 as of 1 January 2019 under the cumulative effect adjustment approach. Under this transition method, IFRS 16 is applied from 1 January 2019 without restatement of comparative period amounts. Results for the years ended 31 December 2018 are therefore presented under IAS 17. Pursuant to certain practical expedients available as part of adopting IFRS 16, ICON has not reassessed whether existing or expired contracts are or contain leases or whether unamortised initial direct costs meet the new definition of initial direct costs under IFRS 16. Additionally, ICON has elected to use hindsight in determining the lease term and in assessing impairment of ROU assets, if any.</w:t>
      </w: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Impact on lessee accounting</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(i) Former operating leases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IFRS 16 changes how the Group accounts for leases previously classified as operating leases under IAS 17, which were off balance sheet.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Applying IFRS 16, for all leases (except as noted below), the Group:</w:t>
      </w:r>
    </w:p>
    <w:p>
      <w:pPr>
        <w:spacing w:after="0" w:line="137" w:lineRule="exact"/>
        <w:rPr>
          <w:sz w:val="20"/>
          <w:szCs w:val="20"/>
          <w:color w:val="auto"/>
        </w:rPr>
      </w:pPr>
    </w:p>
    <w:p>
      <w:pPr>
        <w:ind w:left="520" w:hanging="260"/>
        <w:spacing w:after="0"/>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Recognises right-of-use assets and lease liabilities in the Consolidated Statement of Financial Position, initially measured at the present value of the future lease payments;</w:t>
      </w:r>
    </w:p>
    <w:p>
      <w:pPr>
        <w:spacing w:after="0" w:line="136" w:lineRule="exact"/>
        <w:rPr>
          <w:rFonts w:ascii="Arial" w:cs="Arial" w:eastAsia="Arial" w:hAnsi="Arial"/>
          <w:sz w:val="13"/>
          <w:szCs w:val="13"/>
          <w:color w:val="auto"/>
        </w:rPr>
      </w:pPr>
    </w:p>
    <w:p>
      <w:pPr>
        <w:ind w:left="520" w:hanging="260"/>
        <w:spacing w:after="0"/>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Recognises depreciation of right-of-use assets and interest on lease liabilities in the Consolidated Statement of Profit or Loss;</w:t>
      </w:r>
    </w:p>
    <w:p>
      <w:pPr>
        <w:spacing w:after="0" w:line="147" w:lineRule="exact"/>
        <w:rPr>
          <w:rFonts w:ascii="Arial" w:cs="Arial" w:eastAsia="Arial" w:hAnsi="Arial"/>
          <w:sz w:val="13"/>
          <w:szCs w:val="13"/>
          <w:color w:val="auto"/>
        </w:rPr>
      </w:pPr>
    </w:p>
    <w:p>
      <w:pPr>
        <w:ind w:left="520" w:hanging="260"/>
        <w:spacing w:after="0" w:line="244" w:lineRule="auto"/>
        <w:tabs>
          <w:tab w:leader="none" w:pos="513" w:val="left"/>
        </w:tabs>
        <w:numPr>
          <w:ilvl w:val="0"/>
          <w:numId w:val="39"/>
        </w:numPr>
        <w:rPr>
          <w:rFonts w:ascii="Arial" w:cs="Arial" w:eastAsia="Arial" w:hAnsi="Arial"/>
          <w:sz w:val="13"/>
          <w:szCs w:val="13"/>
          <w:color w:val="auto"/>
        </w:rPr>
      </w:pPr>
      <w:r>
        <w:rPr>
          <w:rFonts w:ascii="Arial" w:cs="Arial" w:eastAsia="Arial" w:hAnsi="Arial"/>
          <w:sz w:val="13"/>
          <w:szCs w:val="13"/>
          <w:color w:val="auto"/>
        </w:rPr>
        <w:t>Separates the total amount of cash paid into a principal portion (presented within financing activities) and interest (presented within financing activities) in the Consolidated Statement of Cash Flows.</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Lease incentives (e.g. rent-free period) are recognised as part of the measurement of the right-of-use assets and lease liabilities whereas under IAS 17 they resulted in the recognition of a lease incentive, amortised as a reduction of rental expenses generally on a straight-line basis.</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Under IFRS 16, right-of-use assets are tested for impairment in accordance with IAS 36.</w:t>
      </w:r>
    </w:p>
    <w:p>
      <w:pPr>
        <w:jc w:val="both"/>
        <w:spacing w:after="0" w:line="244" w:lineRule="auto"/>
        <w:rPr>
          <w:sz w:val="20"/>
          <w:szCs w:val="20"/>
          <w:color w:val="auto"/>
        </w:rPr>
      </w:pPr>
      <w:r>
        <w:rPr>
          <w:rFonts w:ascii="Arial" w:cs="Arial" w:eastAsia="Arial" w:hAnsi="Arial"/>
          <w:sz w:val="13"/>
          <w:szCs w:val="13"/>
          <w:color w:val="auto"/>
        </w:rPr>
        <w:t>For short-term leases (lease term of 12 months or less) the Group has opted to recognise a lease expense on a straight-line basis as permitted by IFRS 16. This expense is presented within ‘other operating expenses’ in the Consolidated Statement of Profit or Loss.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(ii) Former finance leases</w:t>
      </w:r>
    </w:p>
    <w:p>
      <w:pPr>
        <w:spacing w:after="0" w:line="13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main differences between IFRS 16 and IAS 17 with respect to contracts formerly classified as finance leases is the measurement of the residual value guarantees provided by the lessee to the lessor. IFRS 16 requires that the Group recognises as part of its lease liability only the amount expected to be payable under a residual value guarantee, rather than the maximum amount guaranteed as required by IAS 17. This change did not have a material effect on the Group’s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Impact on lessor accounting</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IFRS 16 does not change substantially how a lessor accounts for leases. Under IFRS 16, a lessor continues to classify leases as either finance leases or operating leases and account for those two types of leases differently.</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Under IFRS 16, an intermediate lessor accounts for the head lease and the sub-lease as two separate contracts. The intermediate lessor is required to classify the sub-lease as a finance or operating lease by reference to the right-of-use asset arising from the head lease (and not by reference to the underlying asset as was the case under IAS 17).</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Impact to the Group</w:t>
      </w:r>
    </w:p>
    <w:p>
      <w:pPr>
        <w:spacing w:after="0" w:line="16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Lease liabilities and right-of-use assets have been recorded on the Consolidated Statements of Financial Position as at 1 January 2019 of $106.5 million. There is no impact of adopting IFRS 16 on opening retained earnings at 1 January 2019.</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When measuring lease liabilities, the Group discounted lease payments using its incremental borrowing rate at 1 January 2019. The weighted-average rate applied is 3.12%.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280"/>
          </w:cols>
          <w:pgMar w:left="300" w:top="696" w:right="31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34. Impact of change in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following table shows the operating lease commitments disclosed applying IAS 17 at 31 December 2018, discounted using the incremental borrowing rate at the date of initial application and the lease liabilities recognised in the Statement of Financial Position at the date of initial application.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Borders>
              <w:bottom w:val="single" w:sz="8" w:color="auto"/>
            </w:tcBorders>
            <w:shd w:val="clear" w:color="auto" w:fill="CCEEFF"/>
          </w:tcPr>
          <w:p>
            <w:pPr>
              <w:spacing w:after="0"/>
              <w:rPr>
                <w:sz w:val="16"/>
                <w:szCs w:val="16"/>
                <w:color w:val="auto"/>
              </w:rPr>
            </w:pPr>
          </w:p>
        </w:tc>
        <w:tc>
          <w:tcPr>
            <w:tcW w:w="2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 January 2019</w:t>
            </w:r>
          </w:p>
        </w:tc>
      </w:tr>
      <w:tr>
        <w:trPr>
          <w:trHeight w:val="175"/>
        </w:trPr>
        <w:tc>
          <w:tcPr>
            <w:tcW w:w="838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99"/>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commitment at 31 December 2018 as disclosed in the Group's Consolidated Financial Statements</w:t>
            </w:r>
          </w:p>
        </w:tc>
        <w:tc>
          <w:tcPr>
            <w:tcW w:w="28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126,583</w:t>
            </w:r>
          </w:p>
        </w:tc>
      </w:tr>
      <w:tr>
        <w:trPr>
          <w:trHeight w:val="183"/>
        </w:trPr>
        <w:tc>
          <w:tcPr>
            <w:tcW w:w="8380" w:type="dxa"/>
            <w:vAlign w:val="bottom"/>
          </w:tcPr>
          <w:p>
            <w:pPr>
              <w:ind w:left="20"/>
              <w:spacing w:after="0"/>
              <w:rPr>
                <w:sz w:val="20"/>
                <w:szCs w:val="20"/>
                <w:color w:val="auto"/>
              </w:rPr>
            </w:pPr>
            <w:r>
              <w:rPr>
                <w:rFonts w:ascii="Arial" w:cs="Arial" w:eastAsia="Arial" w:hAnsi="Arial"/>
                <w:sz w:val="13"/>
                <w:szCs w:val="13"/>
                <w:color w:val="auto"/>
              </w:rPr>
              <w:t>Discounting using the incremental borrowing rate at 1 January 2019</w:t>
            </w:r>
          </w:p>
        </w:tc>
        <w:tc>
          <w:tcPr>
            <w:tcW w:w="2820" w:type="dxa"/>
            <w:vAlign w:val="bottom"/>
          </w:tcPr>
          <w:p>
            <w:pPr>
              <w:jc w:val="right"/>
              <w:ind w:right="36"/>
              <w:spacing w:after="0"/>
              <w:rPr>
                <w:sz w:val="20"/>
                <w:szCs w:val="20"/>
                <w:color w:val="auto"/>
              </w:rPr>
            </w:pPr>
            <w:r>
              <w:rPr>
                <w:rFonts w:ascii="Arial" w:cs="Arial" w:eastAsia="Arial" w:hAnsi="Arial"/>
                <w:sz w:val="13"/>
                <w:szCs w:val="13"/>
                <w:color w:val="auto"/>
              </w:rPr>
              <w:t>(9,963)</w:t>
            </w:r>
          </w:p>
        </w:tc>
      </w:tr>
      <w:tr>
        <w:trPr>
          <w:trHeight w:val="199"/>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Subleases excluded from operating lease commitment</w:t>
            </w:r>
          </w:p>
        </w:tc>
        <w:tc>
          <w:tcPr>
            <w:tcW w:w="28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(6,139)</w:t>
            </w:r>
          </w:p>
        </w:tc>
      </w:tr>
      <w:tr>
        <w:trPr>
          <w:trHeight w:val="183"/>
        </w:trPr>
        <w:tc>
          <w:tcPr>
            <w:tcW w:w="8380" w:type="dxa"/>
            <w:vAlign w:val="bottom"/>
          </w:tcPr>
          <w:p>
            <w:pPr>
              <w:ind w:left="20"/>
              <w:spacing w:after="0"/>
              <w:rPr>
                <w:sz w:val="20"/>
                <w:szCs w:val="20"/>
                <w:color w:val="auto"/>
              </w:rPr>
            </w:pPr>
            <w:r>
              <w:rPr>
                <w:rFonts w:ascii="Arial" w:cs="Arial" w:eastAsia="Arial" w:hAnsi="Arial"/>
                <w:sz w:val="13"/>
                <w:szCs w:val="13"/>
                <w:color w:val="auto"/>
              </w:rPr>
              <w:t>Lease liabilities related to future commitments</w:t>
            </w:r>
          </w:p>
        </w:tc>
        <w:tc>
          <w:tcPr>
            <w:tcW w:w="2820" w:type="dxa"/>
            <w:vAlign w:val="bottom"/>
          </w:tcPr>
          <w:p>
            <w:pPr>
              <w:jc w:val="right"/>
              <w:ind w:right="36"/>
              <w:spacing w:after="0"/>
              <w:rPr>
                <w:sz w:val="20"/>
                <w:szCs w:val="20"/>
                <w:color w:val="auto"/>
              </w:rPr>
            </w:pPr>
            <w:r>
              <w:rPr>
                <w:rFonts w:ascii="Arial" w:cs="Arial" w:eastAsia="Arial" w:hAnsi="Arial"/>
                <w:sz w:val="13"/>
                <w:szCs w:val="13"/>
                <w:color w:val="auto"/>
              </w:rPr>
              <w:t>(1,322)</w:t>
            </w:r>
          </w:p>
        </w:tc>
      </w:tr>
      <w:tr>
        <w:trPr>
          <w:trHeight w:val="199"/>
        </w:trPr>
        <w:tc>
          <w:tcPr>
            <w:tcW w:w="8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not included in discounted liability under IFRS 16 (1)</w:t>
            </w:r>
          </w:p>
        </w:tc>
        <w:tc>
          <w:tcPr>
            <w:tcW w:w="28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(1,022)</w:t>
            </w:r>
          </w:p>
        </w:tc>
      </w:tr>
      <w:tr>
        <w:trPr>
          <w:trHeight w:val="183"/>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w:t>
            </w:r>
          </w:p>
        </w:tc>
        <w:tc>
          <w:tcPr>
            <w:tcW w:w="2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(1,598)</w:t>
            </w:r>
          </w:p>
        </w:tc>
      </w:tr>
      <w:tr>
        <w:trPr>
          <w:trHeight w:val="190"/>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Lease liabilities recognised at 1 January 2019</w:t>
            </w:r>
          </w:p>
        </w:tc>
        <w:tc>
          <w:tcPr>
            <w:tcW w:w="28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106,539</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1"/>
          <w:szCs w:val="11"/>
          <w:color w:val="auto"/>
        </w:rPr>
        <w:t>(1) non lease components</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Adoption of IFRS 15 (adopted in prior year ended 31 December 2018)</w:t>
      </w:r>
    </w:p>
    <w:p>
      <w:pPr>
        <w:spacing w:after="0" w:line="138"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Group adopted IFRS 15 with a date of initial application of 1 January 2018. The revenue recognition accounting policy applied in preparation of the results for the twelve months ended 31 December 2019 and 31 December 2018 therefore reflects application of IFRS 15. ICON has elected to adopt the standard using the cumulative effect transition method. Under this transition method, ICON has applied the new standard as at the date of initial application (i.e. 1 January 2018), without restatement of comparative amounts for the twelve months ended 31 December 2017. The cumulative effect of initially applying the new standard (to revenue, costs and tax) is recorded as an adjustment to the opening balance of equity at the date of initial application.</w:t>
      </w:r>
    </w:p>
    <w:p>
      <w:pPr>
        <w:spacing w:after="0" w:line="12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new standard requires application of five steps: (1) identify the contract(s) with a customer; (2) identify the performance obligation in the contract; (3) determine the transaction price; (4) allocate the transaction price to the performance obligations in the contract; and (5) recognise revenue when (or as) the entity satisfies the performance obligation.</w:t>
      </w:r>
    </w:p>
    <w:p>
      <w:pPr>
        <w:spacing w:after="0" w:line="120"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most significant impact of application of the standard relates to our assessment of performance and percentage of completion in respect of our clinical trial service revenue. Prior to application of IFRS 15, the revenue attributable to performance was determined based on both input and output methods of measurement. We have concluded that under the new standard, a clinical trial service is a single performance obligation satisfied over time i.e. the full 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reimbursable expenses) adjusted downwards to reflect a realisable contract value. Revenue is recognised as the single performance obligation is satisfied. The progress towards completion for clinical service contracts is measured based on an input measure being total project costs (inclusive of third party costs) incurred as a percentage of total project costs, at each reporting period.</w:t>
      </w:r>
    </w:p>
    <w:p>
      <w:pPr>
        <w:spacing w:after="0" w:line="125"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Incremental costs of obtaining a contract were also considered on adoption of IFRS 15. Commission costs of $12 million were recognised as an asset on the Consolidated Statement of Financial Position in respect of those contracts that exceed one year. Where commission costs relate to contracts that are less than one year, the practical expedient is applied as the amortisation period of the asset which would arise on deferral would be one year or less.</w:t>
      </w:r>
    </w:p>
    <w:p>
      <w:pPr>
        <w:spacing w:after="0" w:line="12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 deferred tax asset of $6.9 million was recognised in respect of the timing differences arising from the cumulative impact of non tax adjustments recorded on adoption of IFRS 15. These are expected to reverse in future periods.</w:t>
      </w:r>
    </w:p>
    <w:p>
      <w:pPr>
        <w:spacing w:after="0" w:line="12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Adoption of IFRS 15 resulted in a net reduction in unbilled revenue of $42.0 million, a net reduction in payments on account of $59.0 million and an increase in accruals relating to reimbursable expenses of $84.3 million. Commission costs of $12 million were recognised as an asset on the Consolidated Statement of Financial Position and a deferred tax asset of $6.9 million was recognised in respect of the timing differences arising from the cumulative impact of non-tax adjustments recorded on adoption of IFRS 15.</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280"/>
          </w:cols>
          <w:pgMar w:left="300" w:top="696" w:right="31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34. Impact of change in accounting policies </w:t>
      </w:r>
      <w:r>
        <w:rPr>
          <w:rFonts w:ascii="Arial" w:cs="Arial" w:eastAsia="Arial" w:hAnsi="Arial"/>
          <w:sz w:val="13"/>
          <w:szCs w:val="13"/>
          <w:b w:val="1"/>
          <w:bCs w:val="1"/>
          <w:i w:val="1"/>
          <w:iCs w:val="1"/>
          <w:color w:val="auto"/>
        </w:rPr>
        <w:t>(continued)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Adoption of IFRS 9 (adopted in prior year ended 31 December 2018)</w:t>
      </w:r>
    </w:p>
    <w:p>
      <w:pPr>
        <w:spacing w:after="0" w:line="202"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IFRS 9 was adopted with effect from 1 January 2018. IFRS 9 was adopted without restating comparative information. The adoption of IFRS 9 (including the new impairment rules) did not give rise to a material impact on balances reported at 31 December 2018 or 31 December 2019.</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The Group's primary statements reflect the changes in classification required by IFRS 9 including:</w:t>
      </w:r>
    </w:p>
    <w:p>
      <w:pPr>
        <w:spacing w:after="0" w:line="83" w:lineRule="exact"/>
        <w:rPr>
          <w:sz w:val="20"/>
          <w:szCs w:val="20"/>
          <w:color w:val="auto"/>
        </w:rPr>
      </w:pPr>
    </w:p>
    <w:p>
      <w:pPr>
        <w:ind w:left="500" w:hanging="240"/>
        <w:spacing w:after="0"/>
        <w:tabs>
          <w:tab w:leader="none" w:pos="5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Current asset investments are classified as financial assets at FVOCI reflecting the measurement basis;</w:t>
      </w:r>
    </w:p>
    <w:p>
      <w:pPr>
        <w:ind w:left="500" w:hanging="240"/>
        <w:spacing w:after="0"/>
        <w:tabs>
          <w:tab w:leader="none" w:pos="5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Long-term equity investments are classified as financial assets at fair value through profit or loss;</w:t>
      </w:r>
    </w:p>
    <w:p>
      <w:pPr>
        <w:ind w:left="500" w:hanging="240"/>
        <w:spacing w:after="0"/>
        <w:tabs>
          <w:tab w:leader="none" w:pos="5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Expected credit loss assessment in respect of trade and other receivables are identified in Note 16 and Note 26. The identified impairment loss was immaterial;</w:t>
      </w:r>
    </w:p>
    <w:p>
      <w:pPr>
        <w:ind w:left="500" w:hanging="240"/>
        <w:spacing w:after="0"/>
        <w:tabs>
          <w:tab w:leader="none" w:pos="5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While cash and cash equivalents are also subject to the impairment requirements of IFRS 9, the identified impairment loss was immaterial; and</w:t>
      </w:r>
    </w:p>
    <w:p>
      <w:pPr>
        <w:ind w:left="500" w:hanging="240"/>
        <w:spacing w:after="0"/>
        <w:tabs>
          <w:tab w:leader="none" w:pos="5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impairment loss identified on application of the expected credit risk model to debt instruments was immaterial.</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Accounting policy changes identified on adoption of IFRS 9 are reflected in </w:t>
      </w:r>
      <w:r>
        <w:rPr>
          <w:rFonts w:ascii="Arial" w:cs="Arial" w:eastAsia="Arial" w:hAnsi="Arial"/>
          <w:sz w:val="13"/>
          <w:szCs w:val="13"/>
          <w:i w:val="1"/>
          <w:iCs w:val="1"/>
          <w:color w:val="auto"/>
        </w:rPr>
        <w:t>note 1 Basis of preparation and statement of accounting policies</w:t>
      </w:r>
      <w:r>
        <w:rPr>
          <w:rFonts w:ascii="Arial" w:cs="Arial" w:eastAsia="Arial" w:hAnsi="Arial"/>
          <w:sz w:val="13"/>
          <w:szCs w:val="13"/>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There was no impact on the designation of open hedging arrangements at 1 January 2018 arising on adoption of IFRS 9.</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35. Approval of financial statements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3"/>
          <w:szCs w:val="13"/>
          <w:color w:val="auto"/>
        </w:rPr>
        <w:t>The Board of Directors approved these financial statements on 21 April 2020.</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280"/>
          </w:cols>
          <w:pgMar w:left="300" w:top="695" w:right="31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Company Statement of Financial Position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Borders>
              <w:bottom w:val="single" w:sz="8" w:color="auto"/>
            </w:tcBorders>
            <w:shd w:val="clear" w:color="auto" w:fill="CCEEFF"/>
          </w:tcPr>
          <w:p>
            <w:pPr>
              <w:spacing w:after="0"/>
              <w:rPr>
                <w:sz w:val="16"/>
                <w:szCs w:val="16"/>
                <w:color w:val="auto"/>
              </w:rPr>
            </w:pPr>
          </w:p>
        </w:tc>
        <w:tc>
          <w:tcPr>
            <w:tcW w:w="55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i w:val="1"/>
                <w:iCs w:val="1"/>
                <w:color w:val="auto"/>
              </w:rPr>
              <w:t>Note</w:t>
            </w:r>
          </w:p>
        </w:tc>
        <w:tc>
          <w:tcPr>
            <w:tcW w:w="15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31 December 2019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 December 2018</w:t>
            </w:r>
          </w:p>
        </w:tc>
      </w:tr>
      <w:tr>
        <w:trPr>
          <w:trHeight w:val="175"/>
        </w:trPr>
        <w:tc>
          <w:tcPr>
            <w:tcW w:w="294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50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28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199"/>
        </w:trPr>
        <w:tc>
          <w:tcPr>
            <w:tcW w:w="2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55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83"/>
        </w:trPr>
        <w:tc>
          <w:tcPr>
            <w:tcW w:w="294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5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9"/>
        </w:trPr>
        <w:tc>
          <w:tcPr>
            <w:tcW w:w="2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5560" w:type="dxa"/>
            <w:vAlign w:val="bottom"/>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1</w:t>
            </w:r>
          </w:p>
        </w:tc>
        <w:tc>
          <w:tcPr>
            <w:tcW w:w="150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609</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691</w:t>
            </w:r>
          </w:p>
        </w:tc>
      </w:tr>
      <w:tr>
        <w:trPr>
          <w:trHeight w:val="183"/>
        </w:trPr>
        <w:tc>
          <w:tcPr>
            <w:tcW w:w="2940" w:type="dxa"/>
            <w:vAlign w:val="bottom"/>
          </w:tcPr>
          <w:p>
            <w:pPr>
              <w:ind w:left="20"/>
              <w:spacing w:after="0"/>
              <w:rPr>
                <w:sz w:val="20"/>
                <w:szCs w:val="20"/>
                <w:color w:val="auto"/>
              </w:rPr>
            </w:pPr>
            <w:r>
              <w:rPr>
                <w:rFonts w:ascii="Arial" w:cs="Arial" w:eastAsia="Arial" w:hAnsi="Arial"/>
                <w:sz w:val="13"/>
                <w:szCs w:val="13"/>
                <w:color w:val="auto"/>
              </w:rPr>
              <w:t>Right-of-use assets</w:t>
            </w:r>
          </w:p>
        </w:tc>
        <w:tc>
          <w:tcPr>
            <w:tcW w:w="5560" w:type="dxa"/>
            <w:vAlign w:val="bottom"/>
          </w:tcPr>
          <w:p>
            <w:pPr>
              <w:jc w:val="right"/>
              <w:ind w:right="476"/>
              <w:spacing w:after="0"/>
              <w:rPr>
                <w:sz w:val="20"/>
                <w:szCs w:val="20"/>
                <w:color w:val="auto"/>
              </w:rPr>
            </w:pPr>
            <w:r>
              <w:rPr>
                <w:rFonts w:ascii="Arial" w:cs="Arial" w:eastAsia="Arial" w:hAnsi="Arial"/>
                <w:sz w:val="13"/>
                <w:szCs w:val="13"/>
                <w:i w:val="1"/>
                <w:iCs w:val="1"/>
                <w:color w:val="auto"/>
              </w:rPr>
              <w:t>9</w:t>
            </w:r>
          </w:p>
        </w:tc>
        <w:tc>
          <w:tcPr>
            <w:tcW w:w="1500" w:type="dxa"/>
            <w:vAlign w:val="bottom"/>
          </w:tcPr>
          <w:p>
            <w:pPr>
              <w:jc w:val="right"/>
              <w:ind w:right="256"/>
              <w:spacing w:after="0"/>
              <w:rPr>
                <w:sz w:val="20"/>
                <w:szCs w:val="20"/>
                <w:color w:val="auto"/>
              </w:rPr>
            </w:pPr>
            <w:r>
              <w:rPr>
                <w:rFonts w:ascii="Arial" w:cs="Arial" w:eastAsia="Arial" w:hAnsi="Arial"/>
                <w:sz w:val="13"/>
                <w:szCs w:val="13"/>
                <w:b w:val="1"/>
                <w:bCs w:val="1"/>
                <w:color w:val="auto"/>
              </w:rPr>
              <w:t>4,286</w:t>
            </w:r>
          </w:p>
        </w:tc>
        <w:tc>
          <w:tcPr>
            <w:tcW w:w="1280" w:type="dxa"/>
            <w:vAlign w:val="bottom"/>
          </w:tcPr>
          <w:p>
            <w:pPr>
              <w:jc w:val="right"/>
              <w:ind w:right="76"/>
              <w:spacing w:after="0"/>
              <w:rPr>
                <w:sz w:val="20"/>
                <w:szCs w:val="20"/>
                <w:color w:val="auto"/>
              </w:rPr>
            </w:pPr>
            <w:r>
              <w:rPr>
                <w:rFonts w:ascii="Arial" w:cs="Arial" w:eastAsia="Arial" w:hAnsi="Arial"/>
                <w:sz w:val="13"/>
                <w:szCs w:val="13"/>
                <w:color w:val="auto"/>
              </w:rPr>
              <w:t>—</w:t>
            </w:r>
          </w:p>
        </w:tc>
      </w:tr>
      <w:tr>
        <w:trPr>
          <w:trHeight w:val="199"/>
        </w:trPr>
        <w:tc>
          <w:tcPr>
            <w:tcW w:w="2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w:t>
            </w:r>
          </w:p>
        </w:tc>
        <w:tc>
          <w:tcPr>
            <w:tcW w:w="5560" w:type="dxa"/>
            <w:vAlign w:val="bottom"/>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2</w:t>
            </w:r>
          </w:p>
        </w:tc>
        <w:tc>
          <w:tcPr>
            <w:tcW w:w="150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75</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102</w:t>
            </w:r>
          </w:p>
        </w:tc>
      </w:tr>
      <w:tr>
        <w:trPr>
          <w:trHeight w:val="183"/>
        </w:trPr>
        <w:tc>
          <w:tcPr>
            <w:tcW w:w="2940" w:type="dxa"/>
            <w:vAlign w:val="bottom"/>
          </w:tcPr>
          <w:p>
            <w:pPr>
              <w:ind w:left="20"/>
              <w:spacing w:after="0"/>
              <w:rPr>
                <w:sz w:val="20"/>
                <w:szCs w:val="20"/>
                <w:color w:val="auto"/>
              </w:rPr>
            </w:pPr>
            <w:r>
              <w:rPr>
                <w:rFonts w:ascii="Arial" w:cs="Arial" w:eastAsia="Arial" w:hAnsi="Arial"/>
                <w:sz w:val="13"/>
                <w:szCs w:val="13"/>
                <w:color w:val="auto"/>
              </w:rPr>
              <w:t>Investment in subsidiaries</w:t>
            </w:r>
          </w:p>
        </w:tc>
        <w:tc>
          <w:tcPr>
            <w:tcW w:w="5560" w:type="dxa"/>
            <w:vAlign w:val="bottom"/>
          </w:tcPr>
          <w:p>
            <w:pPr>
              <w:jc w:val="right"/>
              <w:ind w:right="476"/>
              <w:spacing w:after="0"/>
              <w:rPr>
                <w:sz w:val="20"/>
                <w:szCs w:val="20"/>
                <w:color w:val="auto"/>
              </w:rPr>
            </w:pPr>
            <w:r>
              <w:rPr>
                <w:rFonts w:ascii="Arial" w:cs="Arial" w:eastAsia="Arial" w:hAnsi="Arial"/>
                <w:sz w:val="13"/>
                <w:szCs w:val="13"/>
                <w:i w:val="1"/>
                <w:iCs w:val="1"/>
                <w:color w:val="auto"/>
              </w:rPr>
              <w:t>3</w:t>
            </w:r>
          </w:p>
        </w:tc>
        <w:tc>
          <w:tcPr>
            <w:tcW w:w="1500" w:type="dxa"/>
            <w:vAlign w:val="bottom"/>
          </w:tcPr>
          <w:p>
            <w:pPr>
              <w:jc w:val="right"/>
              <w:ind w:right="256"/>
              <w:spacing w:after="0"/>
              <w:rPr>
                <w:sz w:val="20"/>
                <w:szCs w:val="20"/>
                <w:color w:val="auto"/>
              </w:rPr>
            </w:pPr>
            <w:r>
              <w:rPr>
                <w:rFonts w:ascii="Arial" w:cs="Arial" w:eastAsia="Arial" w:hAnsi="Arial"/>
                <w:sz w:val="13"/>
                <w:szCs w:val="13"/>
                <w:b w:val="1"/>
                <w:bCs w:val="1"/>
                <w:color w:val="auto"/>
              </w:rPr>
              <w:t>241,366</w:t>
            </w:r>
          </w:p>
        </w:tc>
        <w:tc>
          <w:tcPr>
            <w:tcW w:w="1280" w:type="dxa"/>
            <w:vAlign w:val="bottom"/>
          </w:tcPr>
          <w:p>
            <w:pPr>
              <w:jc w:val="right"/>
              <w:ind w:right="76"/>
              <w:spacing w:after="0"/>
              <w:rPr>
                <w:sz w:val="20"/>
                <w:szCs w:val="20"/>
                <w:color w:val="auto"/>
              </w:rPr>
            </w:pPr>
            <w:r>
              <w:rPr>
                <w:rFonts w:ascii="Arial" w:cs="Arial" w:eastAsia="Arial" w:hAnsi="Arial"/>
                <w:sz w:val="13"/>
                <w:szCs w:val="13"/>
                <w:color w:val="auto"/>
              </w:rPr>
              <w:t>264,347</w:t>
            </w:r>
          </w:p>
        </w:tc>
      </w:tr>
      <w:tr>
        <w:trPr>
          <w:trHeight w:val="199"/>
        </w:trPr>
        <w:tc>
          <w:tcPr>
            <w:tcW w:w="2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non-current assets</w:t>
            </w:r>
          </w:p>
        </w:tc>
        <w:tc>
          <w:tcPr>
            <w:tcW w:w="55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36</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37</w:t>
            </w:r>
          </w:p>
        </w:tc>
      </w:tr>
      <w:tr>
        <w:trPr>
          <w:trHeight w:val="183"/>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Deferred tax asset</w:t>
            </w:r>
          </w:p>
        </w:tc>
        <w:tc>
          <w:tcPr>
            <w:tcW w:w="556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i w:val="1"/>
                <w:iCs w:val="1"/>
                <w:color w:val="auto"/>
              </w:rPr>
              <w:t>4</w:t>
            </w:r>
          </w:p>
        </w:tc>
        <w:tc>
          <w:tcPr>
            <w:tcW w:w="15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421</w:t>
            </w: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451</w:t>
            </w:r>
          </w:p>
        </w:tc>
      </w:tr>
      <w:tr>
        <w:trPr>
          <w:trHeight w:val="182"/>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non-current assets</w:t>
            </w:r>
          </w:p>
        </w:tc>
        <w:tc>
          <w:tcPr>
            <w:tcW w:w="55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246,793</w:t>
            </w:r>
          </w:p>
        </w:tc>
        <w:tc>
          <w:tcPr>
            <w:tcW w:w="1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265,628</w:t>
            </w:r>
          </w:p>
        </w:tc>
      </w:tr>
      <w:tr>
        <w:trPr>
          <w:trHeight w:val="182"/>
        </w:trPr>
        <w:tc>
          <w:tcPr>
            <w:tcW w:w="294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5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9"/>
        </w:trPr>
        <w:tc>
          <w:tcPr>
            <w:tcW w:w="2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assets</w:t>
            </w:r>
          </w:p>
        </w:tc>
        <w:tc>
          <w:tcPr>
            <w:tcW w:w="5560" w:type="dxa"/>
            <w:vAlign w:val="bottom"/>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5</w:t>
            </w:r>
          </w:p>
        </w:tc>
        <w:tc>
          <w:tcPr>
            <w:tcW w:w="150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1,714</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2,138</w:t>
            </w:r>
          </w:p>
        </w:tc>
      </w:tr>
      <w:tr>
        <w:trPr>
          <w:trHeight w:val="183"/>
        </w:trPr>
        <w:tc>
          <w:tcPr>
            <w:tcW w:w="2940" w:type="dxa"/>
            <w:vAlign w:val="bottom"/>
          </w:tcPr>
          <w:p>
            <w:pPr>
              <w:ind w:left="20"/>
              <w:spacing w:after="0"/>
              <w:rPr>
                <w:sz w:val="20"/>
                <w:szCs w:val="20"/>
                <w:color w:val="auto"/>
              </w:rPr>
            </w:pPr>
            <w:r>
              <w:rPr>
                <w:rFonts w:ascii="Arial" w:cs="Arial" w:eastAsia="Arial" w:hAnsi="Arial"/>
                <w:sz w:val="13"/>
                <w:szCs w:val="13"/>
                <w:color w:val="auto"/>
              </w:rPr>
              <w:t>Amounts due from subsidiary undertakings</w:t>
            </w:r>
          </w:p>
        </w:tc>
        <w:tc>
          <w:tcPr>
            <w:tcW w:w="5560" w:type="dxa"/>
            <w:vAlign w:val="bottom"/>
          </w:tcPr>
          <w:p>
            <w:pPr>
              <w:jc w:val="right"/>
              <w:ind w:right="476"/>
              <w:spacing w:after="0"/>
              <w:rPr>
                <w:sz w:val="20"/>
                <w:szCs w:val="20"/>
                <w:color w:val="auto"/>
              </w:rPr>
            </w:pPr>
            <w:r>
              <w:rPr>
                <w:rFonts w:ascii="Arial" w:cs="Arial" w:eastAsia="Arial" w:hAnsi="Arial"/>
                <w:sz w:val="13"/>
                <w:szCs w:val="13"/>
                <w:i w:val="1"/>
                <w:iCs w:val="1"/>
                <w:color w:val="auto"/>
              </w:rPr>
              <w:t>6</w:t>
            </w:r>
          </w:p>
        </w:tc>
        <w:tc>
          <w:tcPr>
            <w:tcW w:w="1500" w:type="dxa"/>
            <w:vAlign w:val="bottom"/>
          </w:tcPr>
          <w:p>
            <w:pPr>
              <w:jc w:val="right"/>
              <w:ind w:right="256"/>
              <w:spacing w:after="0"/>
              <w:rPr>
                <w:sz w:val="20"/>
                <w:szCs w:val="20"/>
                <w:color w:val="auto"/>
              </w:rPr>
            </w:pPr>
            <w:r>
              <w:rPr>
                <w:rFonts w:ascii="Arial" w:cs="Arial" w:eastAsia="Arial" w:hAnsi="Arial"/>
                <w:sz w:val="13"/>
                <w:szCs w:val="13"/>
                <w:b w:val="1"/>
                <w:bCs w:val="1"/>
                <w:color w:val="auto"/>
              </w:rPr>
              <w:t>554,169</w:t>
            </w:r>
          </w:p>
        </w:tc>
        <w:tc>
          <w:tcPr>
            <w:tcW w:w="1280" w:type="dxa"/>
            <w:vAlign w:val="bottom"/>
          </w:tcPr>
          <w:p>
            <w:pPr>
              <w:jc w:val="right"/>
              <w:ind w:right="76"/>
              <w:spacing w:after="0"/>
              <w:rPr>
                <w:sz w:val="20"/>
                <w:szCs w:val="20"/>
                <w:color w:val="auto"/>
              </w:rPr>
            </w:pPr>
            <w:r>
              <w:rPr>
                <w:rFonts w:ascii="Arial" w:cs="Arial" w:eastAsia="Arial" w:hAnsi="Arial"/>
                <w:sz w:val="13"/>
                <w:szCs w:val="13"/>
                <w:color w:val="auto"/>
              </w:rPr>
              <w:t>430,810</w:t>
            </w:r>
          </w:p>
        </w:tc>
      </w:tr>
      <w:tr>
        <w:trPr>
          <w:trHeight w:val="199"/>
        </w:trPr>
        <w:tc>
          <w:tcPr>
            <w:tcW w:w="2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taxes receivable</w:t>
            </w:r>
          </w:p>
        </w:tc>
        <w:tc>
          <w:tcPr>
            <w:tcW w:w="55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19</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673</w:t>
            </w:r>
          </w:p>
        </w:tc>
      </w:tr>
      <w:tr>
        <w:trPr>
          <w:trHeight w:val="183"/>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Cash and cash equivalents</w:t>
            </w:r>
          </w:p>
        </w:tc>
        <w:tc>
          <w:tcPr>
            <w:tcW w:w="55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176,299</w:t>
            </w: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100,048</w:t>
            </w:r>
          </w:p>
        </w:tc>
      </w:tr>
      <w:tr>
        <w:trPr>
          <w:trHeight w:val="182"/>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current assets</w:t>
            </w:r>
          </w:p>
        </w:tc>
        <w:tc>
          <w:tcPr>
            <w:tcW w:w="55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732,201</w:t>
            </w:r>
          </w:p>
        </w:tc>
        <w:tc>
          <w:tcPr>
            <w:tcW w:w="1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533,669</w:t>
            </w:r>
          </w:p>
        </w:tc>
      </w:tr>
      <w:tr>
        <w:trPr>
          <w:trHeight w:val="115"/>
        </w:trPr>
        <w:tc>
          <w:tcPr>
            <w:tcW w:w="2940" w:type="dxa"/>
            <w:vAlign w:val="bottom"/>
            <w:tcBorders>
              <w:bottom w:val="single" w:sz="8" w:color="auto"/>
            </w:tcBorders>
          </w:tcPr>
          <w:p>
            <w:pPr>
              <w:spacing w:after="0"/>
              <w:rPr>
                <w:sz w:val="9"/>
                <w:szCs w:val="9"/>
                <w:color w:val="auto"/>
              </w:rPr>
            </w:pPr>
          </w:p>
        </w:tc>
        <w:tc>
          <w:tcPr>
            <w:tcW w:w="55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r>
      <w:tr>
        <w:trPr>
          <w:trHeight w:val="183"/>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55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978,994</w:t>
            </w:r>
          </w:p>
        </w:tc>
        <w:tc>
          <w:tcPr>
            <w:tcW w:w="1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799,297</w:t>
            </w:r>
          </w:p>
        </w:tc>
      </w:tr>
      <w:tr>
        <w:trPr>
          <w:trHeight w:val="149"/>
        </w:trPr>
        <w:tc>
          <w:tcPr>
            <w:tcW w:w="29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91"/>
        </w:trPr>
        <w:tc>
          <w:tcPr>
            <w:tcW w:w="2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w:t>
            </w:r>
          </w:p>
        </w:tc>
        <w:tc>
          <w:tcPr>
            <w:tcW w:w="55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83"/>
        </w:trPr>
        <w:tc>
          <w:tcPr>
            <w:tcW w:w="2940" w:type="dxa"/>
            <w:vAlign w:val="bottom"/>
          </w:tcPr>
          <w:p>
            <w:pPr>
              <w:ind w:left="20"/>
              <w:spacing w:after="0"/>
              <w:rPr>
                <w:sz w:val="20"/>
                <w:szCs w:val="20"/>
                <w:color w:val="auto"/>
              </w:rPr>
            </w:pPr>
            <w:r>
              <w:rPr>
                <w:rFonts w:ascii="Arial" w:cs="Arial" w:eastAsia="Arial" w:hAnsi="Arial"/>
                <w:sz w:val="13"/>
                <w:szCs w:val="13"/>
                <w:color w:val="auto"/>
              </w:rPr>
              <w:t>Share capital</w:t>
            </w:r>
          </w:p>
        </w:tc>
        <w:tc>
          <w:tcPr>
            <w:tcW w:w="5560" w:type="dxa"/>
            <w:vAlign w:val="bottom"/>
          </w:tcPr>
          <w:p>
            <w:pPr>
              <w:spacing w:after="0"/>
              <w:rPr>
                <w:sz w:val="15"/>
                <w:szCs w:val="15"/>
                <w:color w:val="auto"/>
              </w:rPr>
            </w:pPr>
          </w:p>
        </w:tc>
        <w:tc>
          <w:tcPr>
            <w:tcW w:w="1500" w:type="dxa"/>
            <w:vAlign w:val="bottom"/>
          </w:tcPr>
          <w:p>
            <w:pPr>
              <w:jc w:val="right"/>
              <w:ind w:right="256"/>
              <w:spacing w:after="0"/>
              <w:rPr>
                <w:sz w:val="20"/>
                <w:szCs w:val="20"/>
                <w:color w:val="auto"/>
              </w:rPr>
            </w:pPr>
            <w:r>
              <w:rPr>
                <w:rFonts w:ascii="Arial" w:cs="Arial" w:eastAsia="Arial" w:hAnsi="Arial"/>
                <w:sz w:val="13"/>
                <w:szCs w:val="13"/>
                <w:b w:val="1"/>
                <w:bCs w:val="1"/>
                <w:color w:val="auto"/>
              </w:rPr>
              <w:t>4,635</w:t>
            </w:r>
          </w:p>
        </w:tc>
        <w:tc>
          <w:tcPr>
            <w:tcW w:w="1280" w:type="dxa"/>
            <w:vAlign w:val="bottom"/>
          </w:tcPr>
          <w:p>
            <w:pPr>
              <w:jc w:val="right"/>
              <w:ind w:right="76"/>
              <w:spacing w:after="0"/>
              <w:rPr>
                <w:sz w:val="20"/>
                <w:szCs w:val="20"/>
                <w:color w:val="auto"/>
              </w:rPr>
            </w:pPr>
            <w:r>
              <w:rPr>
                <w:rFonts w:ascii="Arial" w:cs="Arial" w:eastAsia="Arial" w:hAnsi="Arial"/>
                <w:sz w:val="13"/>
                <w:szCs w:val="13"/>
                <w:color w:val="auto"/>
              </w:rPr>
              <w:t>4,658</w:t>
            </w:r>
          </w:p>
        </w:tc>
      </w:tr>
      <w:tr>
        <w:trPr>
          <w:trHeight w:val="199"/>
        </w:trPr>
        <w:tc>
          <w:tcPr>
            <w:tcW w:w="2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premium</w:t>
            </w:r>
          </w:p>
        </w:tc>
        <w:tc>
          <w:tcPr>
            <w:tcW w:w="55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305,228</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283,629</w:t>
            </w:r>
          </w:p>
        </w:tc>
      </w:tr>
      <w:tr>
        <w:trPr>
          <w:trHeight w:val="183"/>
        </w:trPr>
        <w:tc>
          <w:tcPr>
            <w:tcW w:w="2940" w:type="dxa"/>
            <w:vAlign w:val="bottom"/>
          </w:tcPr>
          <w:p>
            <w:pPr>
              <w:ind w:left="20"/>
              <w:spacing w:after="0"/>
              <w:rPr>
                <w:sz w:val="20"/>
                <w:szCs w:val="20"/>
                <w:color w:val="auto"/>
              </w:rPr>
            </w:pPr>
            <w:r>
              <w:rPr>
                <w:rFonts w:ascii="Arial" w:cs="Arial" w:eastAsia="Arial" w:hAnsi="Arial"/>
                <w:sz w:val="13"/>
                <w:szCs w:val="13"/>
                <w:color w:val="auto"/>
              </w:rPr>
              <w:t>Other undenominated capital</w:t>
            </w:r>
          </w:p>
        </w:tc>
        <w:tc>
          <w:tcPr>
            <w:tcW w:w="5560" w:type="dxa"/>
            <w:vAlign w:val="bottom"/>
          </w:tcPr>
          <w:p>
            <w:pPr>
              <w:spacing w:after="0"/>
              <w:rPr>
                <w:sz w:val="15"/>
                <w:szCs w:val="15"/>
                <w:color w:val="auto"/>
              </w:rPr>
            </w:pPr>
          </w:p>
        </w:tc>
        <w:tc>
          <w:tcPr>
            <w:tcW w:w="1500" w:type="dxa"/>
            <w:vAlign w:val="bottom"/>
          </w:tcPr>
          <w:p>
            <w:pPr>
              <w:jc w:val="right"/>
              <w:ind w:right="256"/>
              <w:spacing w:after="0"/>
              <w:rPr>
                <w:sz w:val="20"/>
                <w:szCs w:val="20"/>
                <w:color w:val="auto"/>
              </w:rPr>
            </w:pPr>
            <w:r>
              <w:rPr>
                <w:rFonts w:ascii="Arial" w:cs="Arial" w:eastAsia="Arial" w:hAnsi="Arial"/>
                <w:sz w:val="13"/>
                <w:szCs w:val="13"/>
                <w:b w:val="1"/>
                <w:bCs w:val="1"/>
                <w:color w:val="auto"/>
              </w:rPr>
              <w:t>1,052</w:t>
            </w:r>
          </w:p>
        </w:tc>
        <w:tc>
          <w:tcPr>
            <w:tcW w:w="1280" w:type="dxa"/>
            <w:vAlign w:val="bottom"/>
          </w:tcPr>
          <w:p>
            <w:pPr>
              <w:jc w:val="right"/>
              <w:ind w:right="76"/>
              <w:spacing w:after="0"/>
              <w:rPr>
                <w:sz w:val="20"/>
                <w:szCs w:val="20"/>
                <w:color w:val="auto"/>
              </w:rPr>
            </w:pPr>
            <w:r>
              <w:rPr>
                <w:rFonts w:ascii="Arial" w:cs="Arial" w:eastAsia="Arial" w:hAnsi="Arial"/>
                <w:sz w:val="13"/>
                <w:szCs w:val="13"/>
                <w:color w:val="auto"/>
              </w:rPr>
              <w:t>983</w:t>
            </w:r>
          </w:p>
        </w:tc>
      </w:tr>
      <w:tr>
        <w:trPr>
          <w:trHeight w:val="199"/>
        </w:trPr>
        <w:tc>
          <w:tcPr>
            <w:tcW w:w="2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based payment reserve</w:t>
            </w:r>
          </w:p>
        </w:tc>
        <w:tc>
          <w:tcPr>
            <w:tcW w:w="55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128,747</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134,208</w:t>
            </w:r>
          </w:p>
        </w:tc>
      </w:tr>
      <w:tr>
        <w:trPr>
          <w:trHeight w:val="183"/>
        </w:trPr>
        <w:tc>
          <w:tcPr>
            <w:tcW w:w="2940" w:type="dxa"/>
            <w:vAlign w:val="bottom"/>
          </w:tcPr>
          <w:p>
            <w:pPr>
              <w:ind w:left="20"/>
              <w:spacing w:after="0"/>
              <w:rPr>
                <w:sz w:val="20"/>
                <w:szCs w:val="20"/>
                <w:color w:val="auto"/>
              </w:rPr>
            </w:pPr>
            <w:r>
              <w:rPr>
                <w:rFonts w:ascii="Arial" w:cs="Arial" w:eastAsia="Arial" w:hAnsi="Arial"/>
                <w:sz w:val="13"/>
                <w:szCs w:val="13"/>
                <w:color w:val="auto"/>
              </w:rPr>
              <w:t>Other reserves</w:t>
            </w:r>
          </w:p>
        </w:tc>
        <w:tc>
          <w:tcPr>
            <w:tcW w:w="5560" w:type="dxa"/>
            <w:vAlign w:val="bottom"/>
          </w:tcPr>
          <w:p>
            <w:pPr>
              <w:spacing w:after="0"/>
              <w:rPr>
                <w:sz w:val="15"/>
                <w:szCs w:val="15"/>
                <w:color w:val="auto"/>
              </w:rPr>
            </w:pPr>
          </w:p>
        </w:tc>
        <w:tc>
          <w:tcPr>
            <w:tcW w:w="1500" w:type="dxa"/>
            <w:vAlign w:val="bottom"/>
          </w:tcPr>
          <w:p>
            <w:pPr>
              <w:jc w:val="right"/>
              <w:ind w:right="216"/>
              <w:spacing w:after="0"/>
              <w:rPr>
                <w:sz w:val="20"/>
                <w:szCs w:val="20"/>
                <w:color w:val="auto"/>
              </w:rPr>
            </w:pPr>
            <w:r>
              <w:rPr>
                <w:rFonts w:ascii="Arial" w:cs="Arial" w:eastAsia="Arial" w:hAnsi="Arial"/>
                <w:sz w:val="13"/>
                <w:szCs w:val="13"/>
                <w:b w:val="1"/>
                <w:bCs w:val="1"/>
                <w:color w:val="auto"/>
              </w:rPr>
              <w:t>(107,467)</w:t>
            </w:r>
          </w:p>
        </w:tc>
        <w:tc>
          <w:tcPr>
            <w:tcW w:w="1280" w:type="dxa"/>
            <w:vAlign w:val="bottom"/>
          </w:tcPr>
          <w:p>
            <w:pPr>
              <w:jc w:val="right"/>
              <w:ind w:right="36"/>
              <w:spacing w:after="0"/>
              <w:rPr>
                <w:sz w:val="20"/>
                <w:szCs w:val="20"/>
                <w:color w:val="auto"/>
              </w:rPr>
            </w:pPr>
            <w:r>
              <w:rPr>
                <w:rFonts w:ascii="Arial" w:cs="Arial" w:eastAsia="Arial" w:hAnsi="Arial"/>
                <w:sz w:val="13"/>
                <w:szCs w:val="13"/>
                <w:color w:val="auto"/>
              </w:rPr>
              <w:t>(107,464)</w:t>
            </w:r>
          </w:p>
        </w:tc>
      </w:tr>
      <w:tr>
        <w:trPr>
          <w:trHeight w:val="191"/>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Retained earnings</w:t>
            </w:r>
          </w:p>
        </w:tc>
        <w:tc>
          <w:tcPr>
            <w:tcW w:w="55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623,368</w:t>
            </w:r>
          </w:p>
        </w:tc>
        <w:tc>
          <w:tcPr>
            <w:tcW w:w="1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465,110</w:t>
            </w:r>
          </w:p>
        </w:tc>
      </w:tr>
      <w:tr>
        <w:trPr>
          <w:trHeight w:val="182"/>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Attributable to equity holders</w:t>
            </w:r>
          </w:p>
        </w:tc>
        <w:tc>
          <w:tcPr>
            <w:tcW w:w="55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955,563</w:t>
            </w: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781,124</w:t>
            </w:r>
          </w:p>
        </w:tc>
      </w:tr>
      <w:tr>
        <w:trPr>
          <w:trHeight w:val="115"/>
        </w:trPr>
        <w:tc>
          <w:tcPr>
            <w:tcW w:w="2940" w:type="dxa"/>
            <w:vAlign w:val="bottom"/>
            <w:tcBorders>
              <w:bottom w:val="single" w:sz="8" w:color="auto"/>
            </w:tcBorders>
            <w:shd w:val="clear" w:color="auto" w:fill="CCEEFF"/>
          </w:tcPr>
          <w:p>
            <w:pPr>
              <w:spacing w:after="0"/>
              <w:rPr>
                <w:sz w:val="9"/>
                <w:szCs w:val="9"/>
                <w:color w:val="auto"/>
              </w:rPr>
            </w:pPr>
          </w:p>
        </w:tc>
        <w:tc>
          <w:tcPr>
            <w:tcW w:w="5560" w:type="dxa"/>
            <w:vAlign w:val="bottom"/>
            <w:tcBorders>
              <w:bottom w:val="single" w:sz="8" w:color="auto"/>
            </w:tcBorders>
            <w:shd w:val="clear" w:color="auto" w:fill="CCEEFF"/>
          </w:tcPr>
          <w:p>
            <w:pPr>
              <w:spacing w:after="0"/>
              <w:rPr>
                <w:sz w:val="9"/>
                <w:szCs w:val="9"/>
                <w:color w:val="auto"/>
              </w:rPr>
            </w:pPr>
          </w:p>
        </w:tc>
        <w:tc>
          <w:tcPr>
            <w:tcW w:w="1500" w:type="dxa"/>
            <w:vAlign w:val="bottom"/>
            <w:tcBorders>
              <w:bottom w:val="single" w:sz="8" w:color="auto"/>
            </w:tcBorders>
            <w:shd w:val="clear" w:color="auto" w:fill="CCEEFF"/>
          </w:tcPr>
          <w:p>
            <w:pPr>
              <w:spacing w:after="0"/>
              <w:rPr>
                <w:sz w:val="9"/>
                <w:szCs w:val="9"/>
                <w:color w:val="auto"/>
              </w:rPr>
            </w:pPr>
          </w:p>
        </w:tc>
        <w:tc>
          <w:tcPr>
            <w:tcW w:w="1280" w:type="dxa"/>
            <w:vAlign w:val="bottom"/>
            <w:tcBorders>
              <w:bottom w:val="single" w:sz="8" w:color="auto"/>
            </w:tcBorders>
            <w:shd w:val="clear" w:color="auto" w:fill="CCEEFF"/>
          </w:tcPr>
          <w:p>
            <w:pPr>
              <w:spacing w:after="0"/>
              <w:rPr>
                <w:sz w:val="9"/>
                <w:szCs w:val="9"/>
                <w:color w:val="auto"/>
              </w:rPr>
            </w:pPr>
          </w:p>
        </w:tc>
      </w:tr>
      <w:tr>
        <w:trPr>
          <w:trHeight w:val="174"/>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equity</w:t>
            </w:r>
          </w:p>
        </w:tc>
        <w:tc>
          <w:tcPr>
            <w:tcW w:w="55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955,563</w:t>
            </w: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781,124</w:t>
            </w:r>
          </w:p>
        </w:tc>
      </w:tr>
      <w:tr>
        <w:trPr>
          <w:trHeight w:val="115"/>
        </w:trPr>
        <w:tc>
          <w:tcPr>
            <w:tcW w:w="2940" w:type="dxa"/>
            <w:vAlign w:val="bottom"/>
            <w:shd w:val="clear" w:color="auto" w:fill="CCEEFF"/>
          </w:tcPr>
          <w:p>
            <w:pPr>
              <w:spacing w:after="0"/>
              <w:rPr>
                <w:sz w:val="9"/>
                <w:szCs w:val="9"/>
                <w:color w:val="auto"/>
              </w:rPr>
            </w:pPr>
          </w:p>
        </w:tc>
        <w:tc>
          <w:tcPr>
            <w:tcW w:w="556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r>
      <w:tr>
        <w:trPr>
          <w:trHeight w:val="183"/>
        </w:trPr>
        <w:tc>
          <w:tcPr>
            <w:tcW w:w="294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5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9"/>
        </w:trPr>
        <w:tc>
          <w:tcPr>
            <w:tcW w:w="2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55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83"/>
        </w:trPr>
        <w:tc>
          <w:tcPr>
            <w:tcW w:w="2940" w:type="dxa"/>
            <w:vAlign w:val="bottom"/>
          </w:tcPr>
          <w:p>
            <w:pPr>
              <w:ind w:left="20"/>
              <w:spacing w:after="0"/>
              <w:rPr>
                <w:sz w:val="20"/>
                <w:szCs w:val="20"/>
                <w:color w:val="auto"/>
              </w:rPr>
            </w:pPr>
            <w:r>
              <w:rPr>
                <w:rFonts w:ascii="Arial" w:cs="Arial" w:eastAsia="Arial" w:hAnsi="Arial"/>
                <w:sz w:val="13"/>
                <w:szCs w:val="13"/>
                <w:color w:val="auto"/>
              </w:rPr>
              <w:t>Non-current other liabilities</w:t>
            </w:r>
          </w:p>
        </w:tc>
        <w:tc>
          <w:tcPr>
            <w:tcW w:w="5560" w:type="dxa"/>
            <w:vAlign w:val="bottom"/>
          </w:tcPr>
          <w:p>
            <w:pPr>
              <w:jc w:val="right"/>
              <w:ind w:right="476"/>
              <w:spacing w:after="0"/>
              <w:rPr>
                <w:sz w:val="20"/>
                <w:szCs w:val="20"/>
                <w:color w:val="auto"/>
              </w:rPr>
            </w:pPr>
            <w:r>
              <w:rPr>
                <w:rFonts w:ascii="Arial" w:cs="Arial" w:eastAsia="Arial" w:hAnsi="Arial"/>
                <w:sz w:val="13"/>
                <w:szCs w:val="13"/>
                <w:i w:val="1"/>
                <w:iCs w:val="1"/>
                <w:color w:val="auto"/>
              </w:rPr>
              <w:t>7</w:t>
            </w:r>
          </w:p>
        </w:tc>
        <w:tc>
          <w:tcPr>
            <w:tcW w:w="1500" w:type="dxa"/>
            <w:vAlign w:val="bottom"/>
          </w:tcPr>
          <w:p>
            <w:pPr>
              <w:jc w:val="right"/>
              <w:ind w:right="256"/>
              <w:spacing w:after="0"/>
              <w:rPr>
                <w:sz w:val="20"/>
                <w:szCs w:val="20"/>
                <w:color w:val="auto"/>
              </w:rPr>
            </w:pPr>
            <w:r>
              <w:rPr>
                <w:rFonts w:ascii="Arial" w:cs="Arial" w:eastAsia="Arial" w:hAnsi="Arial"/>
                <w:sz w:val="13"/>
                <w:szCs w:val="13"/>
                <w:b w:val="1"/>
                <w:bCs w:val="1"/>
                <w:color w:val="auto"/>
              </w:rPr>
              <w:t>8,586</w:t>
            </w:r>
          </w:p>
        </w:tc>
        <w:tc>
          <w:tcPr>
            <w:tcW w:w="1280" w:type="dxa"/>
            <w:vAlign w:val="bottom"/>
          </w:tcPr>
          <w:p>
            <w:pPr>
              <w:jc w:val="right"/>
              <w:ind w:right="76"/>
              <w:spacing w:after="0"/>
              <w:rPr>
                <w:sz w:val="20"/>
                <w:szCs w:val="20"/>
                <w:color w:val="auto"/>
              </w:rPr>
            </w:pPr>
            <w:r>
              <w:rPr>
                <w:rFonts w:ascii="Arial" w:cs="Arial" w:eastAsia="Arial" w:hAnsi="Arial"/>
                <w:sz w:val="13"/>
                <w:szCs w:val="13"/>
                <w:color w:val="auto"/>
              </w:rPr>
              <w:t>2,533</w:t>
            </w:r>
          </w:p>
        </w:tc>
      </w:tr>
      <w:tr>
        <w:trPr>
          <w:trHeight w:val="191"/>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Non-current deferred tax liability</w:t>
            </w:r>
          </w:p>
        </w:tc>
        <w:tc>
          <w:tcPr>
            <w:tcW w:w="55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r>
        <w:trPr>
          <w:trHeight w:val="182"/>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non-current liabilities</w:t>
            </w:r>
          </w:p>
        </w:tc>
        <w:tc>
          <w:tcPr>
            <w:tcW w:w="55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8,586</w:t>
            </w: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2,533</w:t>
            </w:r>
          </w:p>
        </w:tc>
      </w:tr>
      <w:tr>
        <w:trPr>
          <w:trHeight w:val="189"/>
        </w:trPr>
        <w:tc>
          <w:tcPr>
            <w:tcW w:w="2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55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83"/>
        </w:trPr>
        <w:tc>
          <w:tcPr>
            <w:tcW w:w="294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5560" w:type="dxa"/>
            <w:vAlign w:val="bottom"/>
          </w:tcPr>
          <w:p>
            <w:pPr>
              <w:spacing w:after="0"/>
              <w:rPr>
                <w:sz w:val="15"/>
                <w:szCs w:val="15"/>
                <w:color w:val="auto"/>
              </w:rPr>
            </w:pPr>
          </w:p>
        </w:tc>
        <w:tc>
          <w:tcPr>
            <w:tcW w:w="15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76"/>
              <w:spacing w:after="0"/>
              <w:rPr>
                <w:sz w:val="20"/>
                <w:szCs w:val="20"/>
                <w:color w:val="auto"/>
              </w:rPr>
            </w:pPr>
            <w:r>
              <w:rPr>
                <w:rFonts w:ascii="Arial" w:cs="Arial" w:eastAsia="Arial" w:hAnsi="Arial"/>
                <w:sz w:val="13"/>
                <w:szCs w:val="13"/>
                <w:color w:val="auto"/>
              </w:rPr>
              <w:t>56</w:t>
            </w:r>
          </w:p>
        </w:tc>
      </w:tr>
      <w:tr>
        <w:trPr>
          <w:trHeight w:val="199"/>
        </w:trPr>
        <w:tc>
          <w:tcPr>
            <w:tcW w:w="2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Amounts due to subsidiary undertakings</w:t>
            </w:r>
          </w:p>
        </w:tc>
        <w:tc>
          <w:tcPr>
            <w:tcW w:w="5560" w:type="dxa"/>
            <w:vAlign w:val="bottom"/>
            <w:shd w:val="clear" w:color="auto" w:fill="CCEEFF"/>
          </w:tcPr>
          <w:p>
            <w:pPr>
              <w:jc w:val="right"/>
              <w:ind w:right="476"/>
              <w:spacing w:after="0"/>
              <w:rPr>
                <w:sz w:val="20"/>
                <w:szCs w:val="20"/>
                <w:color w:val="auto"/>
              </w:rPr>
            </w:pPr>
            <w:r>
              <w:rPr>
                <w:rFonts w:ascii="Arial" w:cs="Arial" w:eastAsia="Arial" w:hAnsi="Arial"/>
                <w:sz w:val="13"/>
                <w:szCs w:val="13"/>
                <w:i w:val="1"/>
                <w:iCs w:val="1"/>
                <w:color w:val="auto"/>
              </w:rPr>
              <w:t>6</w:t>
            </w:r>
          </w:p>
        </w:tc>
        <w:tc>
          <w:tcPr>
            <w:tcW w:w="150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2,916</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2,969</w:t>
            </w:r>
          </w:p>
        </w:tc>
      </w:tr>
      <w:tr>
        <w:trPr>
          <w:trHeight w:val="183"/>
        </w:trPr>
        <w:tc>
          <w:tcPr>
            <w:tcW w:w="2940" w:type="dxa"/>
            <w:vAlign w:val="bottom"/>
          </w:tcPr>
          <w:p>
            <w:pPr>
              <w:ind w:left="20"/>
              <w:spacing w:after="0"/>
              <w:rPr>
                <w:sz w:val="20"/>
                <w:szCs w:val="20"/>
                <w:color w:val="auto"/>
              </w:rPr>
            </w:pPr>
            <w:r>
              <w:rPr>
                <w:rFonts w:ascii="Arial" w:cs="Arial" w:eastAsia="Arial" w:hAnsi="Arial"/>
                <w:sz w:val="13"/>
                <w:szCs w:val="13"/>
                <w:color w:val="auto"/>
              </w:rPr>
              <w:t>Accrued and other liabilities</w:t>
            </w:r>
          </w:p>
        </w:tc>
        <w:tc>
          <w:tcPr>
            <w:tcW w:w="5560" w:type="dxa"/>
            <w:vAlign w:val="bottom"/>
          </w:tcPr>
          <w:p>
            <w:pPr>
              <w:jc w:val="right"/>
              <w:ind w:right="476"/>
              <w:spacing w:after="0"/>
              <w:rPr>
                <w:sz w:val="20"/>
                <w:szCs w:val="20"/>
                <w:color w:val="auto"/>
              </w:rPr>
            </w:pPr>
            <w:r>
              <w:rPr>
                <w:rFonts w:ascii="Arial" w:cs="Arial" w:eastAsia="Arial" w:hAnsi="Arial"/>
                <w:sz w:val="13"/>
                <w:szCs w:val="13"/>
                <w:i w:val="1"/>
                <w:iCs w:val="1"/>
                <w:color w:val="auto"/>
              </w:rPr>
              <w:t>7</w:t>
            </w:r>
          </w:p>
        </w:tc>
        <w:tc>
          <w:tcPr>
            <w:tcW w:w="1500" w:type="dxa"/>
            <w:vAlign w:val="bottom"/>
          </w:tcPr>
          <w:p>
            <w:pPr>
              <w:jc w:val="right"/>
              <w:ind w:right="256"/>
              <w:spacing w:after="0"/>
              <w:rPr>
                <w:sz w:val="20"/>
                <w:szCs w:val="20"/>
                <w:color w:val="auto"/>
              </w:rPr>
            </w:pPr>
            <w:r>
              <w:rPr>
                <w:rFonts w:ascii="Arial" w:cs="Arial" w:eastAsia="Arial" w:hAnsi="Arial"/>
                <w:sz w:val="13"/>
                <w:szCs w:val="13"/>
                <w:b w:val="1"/>
                <w:bCs w:val="1"/>
                <w:color w:val="auto"/>
              </w:rPr>
              <w:t>11,749</w:t>
            </w:r>
          </w:p>
        </w:tc>
        <w:tc>
          <w:tcPr>
            <w:tcW w:w="1280" w:type="dxa"/>
            <w:vAlign w:val="bottom"/>
          </w:tcPr>
          <w:p>
            <w:pPr>
              <w:jc w:val="right"/>
              <w:ind w:right="76"/>
              <w:spacing w:after="0"/>
              <w:rPr>
                <w:sz w:val="20"/>
                <w:szCs w:val="20"/>
                <w:color w:val="auto"/>
              </w:rPr>
            </w:pPr>
            <w:r>
              <w:rPr>
                <w:rFonts w:ascii="Arial" w:cs="Arial" w:eastAsia="Arial" w:hAnsi="Arial"/>
                <w:sz w:val="13"/>
                <w:szCs w:val="13"/>
                <w:color w:val="auto"/>
              </w:rPr>
              <w:t>11,907</w:t>
            </w:r>
          </w:p>
        </w:tc>
      </w:tr>
      <w:tr>
        <w:trPr>
          <w:trHeight w:val="191"/>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Current taxes payable</w:t>
            </w:r>
          </w:p>
        </w:tc>
        <w:tc>
          <w:tcPr>
            <w:tcW w:w="55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180</w:t>
            </w:r>
          </w:p>
        </w:tc>
        <w:tc>
          <w:tcPr>
            <w:tcW w:w="1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708</w:t>
            </w:r>
          </w:p>
        </w:tc>
      </w:tr>
      <w:tr>
        <w:trPr>
          <w:trHeight w:val="182"/>
        </w:trPr>
        <w:tc>
          <w:tcPr>
            <w:tcW w:w="2940" w:type="dxa"/>
            <w:vAlign w:val="bottom"/>
            <w:tcBorders>
              <w:bottom w:val="single" w:sz="8" w:color="auto"/>
            </w:tcBorders>
          </w:tcPr>
          <w:p>
            <w:pPr>
              <w:spacing w:after="0"/>
              <w:rPr>
                <w:sz w:val="15"/>
                <w:szCs w:val="15"/>
                <w:color w:val="auto"/>
              </w:rPr>
            </w:pPr>
          </w:p>
        </w:tc>
        <w:tc>
          <w:tcPr>
            <w:tcW w:w="55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14,845</w:t>
            </w: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15,640</w:t>
            </w:r>
          </w:p>
        </w:tc>
      </w:tr>
      <w:tr>
        <w:trPr>
          <w:trHeight w:val="157"/>
        </w:trPr>
        <w:tc>
          <w:tcPr>
            <w:tcW w:w="2940" w:type="dxa"/>
            <w:vAlign w:val="bottom"/>
            <w:tcBorders>
              <w:bottom w:val="single" w:sz="8" w:color="auto"/>
            </w:tcBorders>
            <w:shd w:val="clear" w:color="auto" w:fill="CCEEFF"/>
          </w:tcPr>
          <w:p>
            <w:pPr>
              <w:spacing w:after="0"/>
              <w:rPr>
                <w:sz w:val="13"/>
                <w:szCs w:val="13"/>
                <w:color w:val="auto"/>
              </w:rPr>
            </w:pPr>
          </w:p>
        </w:tc>
        <w:tc>
          <w:tcPr>
            <w:tcW w:w="5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spacing w:after="0"/>
              <w:rPr>
                <w:sz w:val="13"/>
                <w:szCs w:val="13"/>
                <w:color w:val="auto"/>
              </w:rPr>
            </w:pPr>
          </w:p>
        </w:tc>
      </w:tr>
      <w:tr>
        <w:trPr>
          <w:trHeight w:val="174"/>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liabilities</w:t>
            </w:r>
          </w:p>
        </w:tc>
        <w:tc>
          <w:tcPr>
            <w:tcW w:w="55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23,431</w:t>
            </w: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18,173</w:t>
            </w:r>
          </w:p>
        </w:tc>
      </w:tr>
      <w:tr>
        <w:trPr>
          <w:trHeight w:val="157"/>
        </w:trPr>
        <w:tc>
          <w:tcPr>
            <w:tcW w:w="2940" w:type="dxa"/>
            <w:vAlign w:val="bottom"/>
            <w:tcBorders>
              <w:bottom w:val="single" w:sz="8" w:color="auto"/>
            </w:tcBorders>
            <w:shd w:val="clear" w:color="auto" w:fill="CCEEFF"/>
          </w:tcPr>
          <w:p>
            <w:pPr>
              <w:spacing w:after="0"/>
              <w:rPr>
                <w:sz w:val="13"/>
                <w:szCs w:val="13"/>
                <w:color w:val="auto"/>
              </w:rPr>
            </w:pPr>
          </w:p>
        </w:tc>
        <w:tc>
          <w:tcPr>
            <w:tcW w:w="5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spacing w:after="0"/>
              <w:rPr>
                <w:sz w:val="13"/>
                <w:szCs w:val="13"/>
                <w:color w:val="auto"/>
              </w:rPr>
            </w:pPr>
          </w:p>
        </w:tc>
      </w:tr>
      <w:tr>
        <w:trPr>
          <w:trHeight w:val="183"/>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 equity and liabilities</w:t>
            </w:r>
          </w:p>
        </w:tc>
        <w:tc>
          <w:tcPr>
            <w:tcW w:w="55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978,994</w:t>
            </w: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799,297</w:t>
            </w:r>
          </w:p>
        </w:tc>
      </w:tr>
      <w:tr>
        <w:trPr>
          <w:trHeight w:val="229"/>
        </w:trPr>
        <w:tc>
          <w:tcPr>
            <w:tcW w:w="2940" w:type="dxa"/>
            <w:vAlign w:val="bottom"/>
          </w:tcPr>
          <w:p>
            <w:pPr>
              <w:spacing w:after="0"/>
              <w:rPr>
                <w:sz w:val="20"/>
                <w:szCs w:val="20"/>
                <w:color w:val="auto"/>
              </w:rPr>
            </w:pPr>
            <w:r>
              <w:rPr>
                <w:rFonts w:ascii="Arial" w:cs="Arial" w:eastAsia="Arial" w:hAnsi="Arial"/>
                <w:sz w:val="13"/>
                <w:szCs w:val="13"/>
                <w:b w:val="1"/>
                <w:bCs w:val="1"/>
                <w:color w:val="auto"/>
              </w:rPr>
              <w:t>On behalf of the Board</w:t>
            </w:r>
          </w:p>
        </w:tc>
        <w:tc>
          <w:tcPr>
            <w:tcW w:w="5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65"/>
        </w:trPr>
        <w:tc>
          <w:tcPr>
            <w:tcW w:w="2940" w:type="dxa"/>
            <w:vAlign w:val="bottom"/>
          </w:tcPr>
          <w:p>
            <w:pPr>
              <w:ind w:left="20"/>
              <w:spacing w:after="0"/>
              <w:rPr>
                <w:sz w:val="20"/>
                <w:szCs w:val="20"/>
                <w:color w:val="auto"/>
              </w:rPr>
            </w:pPr>
            <w:r>
              <w:rPr>
                <w:rFonts w:ascii="Arial" w:cs="Arial" w:eastAsia="Arial" w:hAnsi="Arial"/>
                <w:sz w:val="13"/>
                <w:szCs w:val="13"/>
                <w:color w:val="auto"/>
              </w:rPr>
              <w:t>Steve Cutler</w:t>
            </w:r>
          </w:p>
        </w:tc>
        <w:tc>
          <w:tcPr>
            <w:tcW w:w="5560" w:type="dxa"/>
            <w:vAlign w:val="bottom"/>
          </w:tcPr>
          <w:p>
            <w:pPr>
              <w:ind w:left="500"/>
              <w:spacing w:after="0"/>
              <w:rPr>
                <w:sz w:val="20"/>
                <w:szCs w:val="20"/>
                <w:color w:val="auto"/>
              </w:rPr>
            </w:pPr>
            <w:r>
              <w:rPr>
                <w:rFonts w:ascii="Arial" w:cs="Arial" w:eastAsia="Arial" w:hAnsi="Arial"/>
                <w:sz w:val="13"/>
                <w:szCs w:val="13"/>
                <w:color w:val="auto"/>
              </w:rPr>
              <w:t>Rónán Murphy</w:t>
            </w:r>
          </w:p>
        </w:tc>
        <w:tc>
          <w:tcPr>
            <w:tcW w:w="15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191"/>
        </w:trPr>
        <w:tc>
          <w:tcPr>
            <w:tcW w:w="2940" w:type="dxa"/>
            <w:vAlign w:val="bottom"/>
          </w:tcPr>
          <w:p>
            <w:pPr>
              <w:ind w:left="20"/>
              <w:spacing w:after="0"/>
              <w:rPr>
                <w:sz w:val="20"/>
                <w:szCs w:val="20"/>
                <w:color w:val="auto"/>
              </w:rPr>
            </w:pPr>
            <w:r>
              <w:rPr>
                <w:rFonts w:ascii="Arial" w:cs="Arial" w:eastAsia="Arial" w:hAnsi="Arial"/>
                <w:sz w:val="13"/>
                <w:szCs w:val="13"/>
                <w:i w:val="1"/>
                <w:iCs w:val="1"/>
                <w:color w:val="auto"/>
              </w:rPr>
              <w:t>Chief Executive Officer</w:t>
            </w:r>
          </w:p>
        </w:tc>
        <w:tc>
          <w:tcPr>
            <w:tcW w:w="5560" w:type="dxa"/>
            <w:vAlign w:val="bottom"/>
          </w:tcPr>
          <w:p>
            <w:pPr>
              <w:ind w:left="500"/>
              <w:spacing w:after="0"/>
              <w:rPr>
                <w:sz w:val="20"/>
                <w:szCs w:val="20"/>
                <w:color w:val="auto"/>
              </w:rPr>
            </w:pPr>
            <w:r>
              <w:rPr>
                <w:rFonts w:ascii="Arial" w:cs="Arial" w:eastAsia="Arial" w:hAnsi="Arial"/>
                <w:sz w:val="13"/>
                <w:szCs w:val="13"/>
                <w:i w:val="1"/>
                <w:iCs w:val="1"/>
                <w:color w:val="auto"/>
              </w:rPr>
              <w:t>Director</w:t>
            </w:r>
          </w:p>
        </w:tc>
        <w:tc>
          <w:tcPr>
            <w:tcW w:w="1500" w:type="dxa"/>
            <w:vAlign w:val="bottom"/>
          </w:tcPr>
          <w:p>
            <w:pPr>
              <w:spacing w:after="0"/>
              <w:rPr>
                <w:sz w:val="16"/>
                <w:szCs w:val="16"/>
                <w:color w:val="auto"/>
              </w:rPr>
            </w:pPr>
          </w:p>
        </w:tc>
        <w:tc>
          <w:tcPr>
            <w:tcW w:w="1280" w:type="dxa"/>
            <w:vAlign w:val="bottom"/>
          </w:tcPr>
          <w:p>
            <w:pPr>
              <w:spacing w:after="0"/>
              <w:rPr>
                <w:sz w:val="16"/>
                <w:szCs w:val="16"/>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1280"/>
          </w:cols>
          <w:pgMar w:left="300" w:top="907" w:right="31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Company Statement of Changes in Equity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6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Share</w:t>
            </w:r>
          </w:p>
        </w:tc>
        <w:tc>
          <w:tcPr>
            <w:tcW w:w="6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49"/>
        </w:trPr>
        <w:tc>
          <w:tcPr>
            <w:tcW w:w="36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Other</w:t>
            </w:r>
          </w:p>
        </w:tc>
        <w:tc>
          <w:tcPr>
            <w:tcW w:w="80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Based</w:t>
            </w:r>
          </w:p>
        </w:tc>
        <w:tc>
          <w:tcPr>
            <w:tcW w:w="6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9"/>
        </w:trPr>
        <w:tc>
          <w:tcPr>
            <w:tcW w:w="362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Number</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Share</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Share</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Undenominated</w:t>
            </w:r>
          </w:p>
        </w:tc>
        <w:tc>
          <w:tcPr>
            <w:tcW w:w="80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Payment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Other</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Currency</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Retained</w:t>
            </w:r>
          </w:p>
        </w:tc>
        <w:tc>
          <w:tcPr>
            <w:tcW w:w="740" w:type="dxa"/>
            <w:vAlign w:val="bottom"/>
            <w:shd w:val="clear" w:color="auto" w:fill="CCEEFF"/>
          </w:tcPr>
          <w:p>
            <w:pPr>
              <w:spacing w:after="0"/>
              <w:rPr>
                <w:sz w:val="12"/>
                <w:szCs w:val="12"/>
                <w:color w:val="auto"/>
              </w:rPr>
            </w:pPr>
          </w:p>
        </w:tc>
      </w:tr>
      <w:tr>
        <w:trPr>
          <w:trHeight w:val="184"/>
        </w:trPr>
        <w:tc>
          <w:tcPr>
            <w:tcW w:w="36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of shares</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Capital</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Premium</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Capital</w:t>
            </w:r>
          </w:p>
        </w:tc>
        <w:tc>
          <w:tcPr>
            <w:tcW w:w="80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Reserve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Reserve</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Reserve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Earnings Total Equity</w:t>
            </w:r>
          </w:p>
        </w:tc>
      </w:tr>
      <w:tr>
        <w:trPr>
          <w:trHeight w:val="183"/>
        </w:trPr>
        <w:tc>
          <w:tcPr>
            <w:tcW w:w="36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$’000</w:t>
            </w: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$’000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r>
      <w:tr>
        <w:trPr>
          <w:trHeight w:val="189"/>
        </w:trPr>
        <w:tc>
          <w:tcPr>
            <w:tcW w:w="36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Balance at 1 January 2019</w:t>
            </w:r>
          </w:p>
        </w:tc>
        <w:tc>
          <w:tcPr>
            <w:tcW w:w="13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53,971,706</w:t>
            </w: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4,658</w:t>
            </w: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283,629</w:t>
            </w: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983</w:t>
            </w: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134,208</w:t>
            </w: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6,071</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(113,535)</w:t>
            </w: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465,110</w:t>
            </w: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781,124</w:t>
            </w:r>
          </w:p>
        </w:tc>
      </w:tr>
      <w:tr>
        <w:trPr>
          <w:trHeight w:val="189"/>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comprehensive income for the year</w:t>
            </w: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3"/>
        </w:trPr>
        <w:tc>
          <w:tcPr>
            <w:tcW w:w="3620" w:type="dxa"/>
            <w:vAlign w:val="bottom"/>
          </w:tcPr>
          <w:p>
            <w:pPr>
              <w:ind w:left="20"/>
              <w:spacing w:after="0"/>
              <w:rPr>
                <w:sz w:val="20"/>
                <w:szCs w:val="20"/>
                <w:color w:val="auto"/>
              </w:rPr>
            </w:pPr>
            <w:r>
              <w:rPr>
                <w:rFonts w:ascii="Arial" w:cs="Arial" w:eastAsia="Arial" w:hAnsi="Arial"/>
                <w:sz w:val="13"/>
                <w:szCs w:val="13"/>
                <w:color w:val="auto"/>
              </w:rPr>
              <w:t>Profit for the year</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6"/>
              <w:spacing w:after="0"/>
              <w:rPr>
                <w:sz w:val="20"/>
                <w:szCs w:val="20"/>
                <w:color w:val="auto"/>
              </w:rPr>
            </w:pPr>
            <w:r>
              <w:rPr>
                <w:rFonts w:ascii="Arial" w:cs="Arial" w:eastAsia="Arial" w:hAnsi="Arial"/>
                <w:sz w:val="13"/>
                <w:szCs w:val="13"/>
                <w:color w:val="auto"/>
              </w:rPr>
              <w:t>274,048</w:t>
            </w:r>
          </w:p>
        </w:tc>
        <w:tc>
          <w:tcPr>
            <w:tcW w:w="740" w:type="dxa"/>
            <w:vAlign w:val="bottom"/>
          </w:tcPr>
          <w:p>
            <w:pPr>
              <w:jc w:val="right"/>
              <w:ind w:right="96"/>
              <w:spacing w:after="0"/>
              <w:rPr>
                <w:sz w:val="20"/>
                <w:szCs w:val="20"/>
                <w:color w:val="auto"/>
              </w:rPr>
            </w:pPr>
            <w:r>
              <w:rPr>
                <w:rFonts w:ascii="Arial" w:cs="Arial" w:eastAsia="Arial" w:hAnsi="Arial"/>
                <w:sz w:val="13"/>
                <w:szCs w:val="13"/>
                <w:color w:val="auto"/>
              </w:rPr>
              <w:t>274,048</w:t>
            </w:r>
          </w:p>
        </w:tc>
      </w:tr>
      <w:tr>
        <w:trPr>
          <w:trHeight w:val="199"/>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w:t>
            </w: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8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currency translation</w:t>
            </w:r>
          </w:p>
        </w:tc>
        <w:tc>
          <w:tcPr>
            <w:tcW w:w="13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w:t>
            </w: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w:t>
            </w:r>
          </w:p>
        </w:tc>
      </w:tr>
      <w:tr>
        <w:trPr>
          <w:trHeight w:val="189"/>
        </w:trPr>
        <w:tc>
          <w:tcPr>
            <w:tcW w:w="36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other comprehensive income</w:t>
            </w:r>
          </w:p>
        </w:tc>
        <w:tc>
          <w:tcPr>
            <w:tcW w:w="13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w:t>
            </w: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w:t>
            </w:r>
          </w:p>
        </w:tc>
      </w:tr>
      <w:tr>
        <w:trPr>
          <w:trHeight w:val="189"/>
        </w:trPr>
        <w:tc>
          <w:tcPr>
            <w:tcW w:w="36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comprehensive income for the year</w:t>
            </w:r>
          </w:p>
        </w:tc>
        <w:tc>
          <w:tcPr>
            <w:tcW w:w="13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w:t>
            </w: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274,048</w:t>
            </w: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274,045</w:t>
            </w:r>
          </w:p>
        </w:tc>
      </w:tr>
      <w:tr>
        <w:trPr>
          <w:trHeight w:val="189"/>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Transactions with owners, recorded directly in equity</w:t>
            </w: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3"/>
        </w:trPr>
        <w:tc>
          <w:tcPr>
            <w:tcW w:w="3620" w:type="dxa"/>
            <w:vAlign w:val="bottom"/>
          </w:tcPr>
          <w:p>
            <w:pPr>
              <w:ind w:left="20"/>
              <w:spacing w:after="0"/>
              <w:rPr>
                <w:sz w:val="20"/>
                <w:szCs w:val="20"/>
                <w:color w:val="auto"/>
              </w:rPr>
            </w:pPr>
            <w:r>
              <w:rPr>
                <w:rFonts w:ascii="Arial" w:cs="Arial" w:eastAsia="Arial" w:hAnsi="Arial"/>
                <w:sz w:val="13"/>
                <w:szCs w:val="13"/>
                <w:color w:val="auto"/>
              </w:rPr>
              <w:t>Share based payment</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96"/>
              <w:spacing w:after="0"/>
              <w:rPr>
                <w:sz w:val="20"/>
                <w:szCs w:val="20"/>
                <w:color w:val="auto"/>
              </w:rPr>
            </w:pPr>
            <w:r>
              <w:rPr>
                <w:rFonts w:ascii="Arial" w:cs="Arial" w:eastAsia="Arial" w:hAnsi="Arial"/>
                <w:sz w:val="13"/>
                <w:szCs w:val="13"/>
                <w:color w:val="auto"/>
              </w:rPr>
              <w:t>25,800</w:t>
            </w:r>
          </w:p>
        </w:tc>
        <w:tc>
          <w:tcPr>
            <w:tcW w:w="6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6"/>
              <w:spacing w:after="0"/>
              <w:rPr>
                <w:sz w:val="20"/>
                <w:szCs w:val="20"/>
                <w:color w:val="auto"/>
              </w:rPr>
            </w:pPr>
            <w:r>
              <w:rPr>
                <w:rFonts w:ascii="Arial" w:cs="Arial" w:eastAsia="Arial" w:hAnsi="Arial"/>
                <w:sz w:val="13"/>
                <w:szCs w:val="13"/>
                <w:color w:val="auto"/>
              </w:rPr>
              <w:t>25,800</w:t>
            </w:r>
          </w:p>
        </w:tc>
      </w:tr>
      <w:tr>
        <w:trPr>
          <w:trHeight w:val="199"/>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share options</w:t>
            </w:r>
          </w:p>
        </w:tc>
        <w:tc>
          <w:tcPr>
            <w:tcW w:w="13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329,870</w:t>
            </w:r>
          </w:p>
        </w:tc>
        <w:tc>
          <w:tcPr>
            <w:tcW w:w="6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22</w:t>
            </w:r>
          </w:p>
        </w:tc>
        <w:tc>
          <w:tcPr>
            <w:tcW w:w="7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21,599</w:t>
            </w:r>
          </w:p>
        </w:tc>
        <w:tc>
          <w:tcPr>
            <w:tcW w:w="11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21,621</w:t>
            </w:r>
          </w:p>
        </w:tc>
      </w:tr>
      <w:tr>
        <w:trPr>
          <w:trHeight w:val="183"/>
        </w:trPr>
        <w:tc>
          <w:tcPr>
            <w:tcW w:w="3620" w:type="dxa"/>
            <w:vAlign w:val="bottom"/>
          </w:tcPr>
          <w:p>
            <w:pPr>
              <w:ind w:left="20"/>
              <w:spacing w:after="0"/>
              <w:rPr>
                <w:sz w:val="20"/>
                <w:szCs w:val="20"/>
                <w:color w:val="auto"/>
              </w:rPr>
            </w:pPr>
            <w:r>
              <w:rPr>
                <w:rFonts w:ascii="Arial" w:cs="Arial" w:eastAsia="Arial" w:hAnsi="Arial"/>
                <w:sz w:val="13"/>
                <w:szCs w:val="13"/>
                <w:color w:val="auto"/>
              </w:rPr>
              <w:t>Share issue costs</w:t>
            </w:r>
          </w:p>
        </w:tc>
        <w:tc>
          <w:tcPr>
            <w:tcW w:w="130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(13)</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(13)</w:t>
            </w:r>
          </w:p>
        </w:tc>
      </w:tr>
      <w:tr>
        <w:trPr>
          <w:trHeight w:val="199"/>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Issue of restricted share units</w:t>
            </w:r>
          </w:p>
        </w:tc>
        <w:tc>
          <w:tcPr>
            <w:tcW w:w="13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355,730</w:t>
            </w:r>
          </w:p>
        </w:tc>
        <w:tc>
          <w:tcPr>
            <w:tcW w:w="6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24</w:t>
            </w:r>
          </w:p>
        </w:tc>
        <w:tc>
          <w:tcPr>
            <w:tcW w:w="7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24</w:t>
            </w:r>
          </w:p>
        </w:tc>
      </w:tr>
      <w:tr>
        <w:trPr>
          <w:trHeight w:val="183"/>
        </w:trPr>
        <w:tc>
          <w:tcPr>
            <w:tcW w:w="3620" w:type="dxa"/>
            <w:vAlign w:val="bottom"/>
          </w:tcPr>
          <w:p>
            <w:pPr>
              <w:ind w:left="20"/>
              <w:spacing w:after="0"/>
              <w:rPr>
                <w:sz w:val="20"/>
                <w:szCs w:val="20"/>
                <w:color w:val="auto"/>
              </w:rPr>
            </w:pPr>
            <w:r>
              <w:rPr>
                <w:rFonts w:ascii="Arial" w:cs="Arial" w:eastAsia="Arial" w:hAnsi="Arial"/>
                <w:sz w:val="13"/>
                <w:szCs w:val="13"/>
                <w:color w:val="auto"/>
              </w:rPr>
              <w:t>Repurchase of ordinary shares</w:t>
            </w:r>
          </w:p>
        </w:tc>
        <w:tc>
          <w:tcPr>
            <w:tcW w:w="1300" w:type="dxa"/>
            <w:vAlign w:val="bottom"/>
          </w:tcPr>
          <w:p>
            <w:pPr>
              <w:jc w:val="right"/>
              <w:ind w:right="176"/>
              <w:spacing w:after="0"/>
              <w:rPr>
                <w:sz w:val="20"/>
                <w:szCs w:val="20"/>
                <w:color w:val="auto"/>
              </w:rPr>
            </w:pPr>
            <w:r>
              <w:rPr>
                <w:rFonts w:ascii="Arial" w:cs="Arial" w:eastAsia="Arial" w:hAnsi="Arial"/>
                <w:sz w:val="13"/>
                <w:szCs w:val="13"/>
                <w:color w:val="auto"/>
              </w:rPr>
              <w:t>(1,035,100)</w:t>
            </w:r>
          </w:p>
        </w:tc>
        <w:tc>
          <w:tcPr>
            <w:tcW w:w="680" w:type="dxa"/>
            <w:vAlign w:val="bottom"/>
          </w:tcPr>
          <w:p>
            <w:pPr>
              <w:ind w:left="280"/>
              <w:spacing w:after="0"/>
              <w:rPr>
                <w:sz w:val="20"/>
                <w:szCs w:val="20"/>
                <w:color w:val="auto"/>
              </w:rPr>
            </w:pPr>
            <w:r>
              <w:rPr>
                <w:rFonts w:ascii="Arial" w:cs="Arial" w:eastAsia="Arial" w:hAnsi="Arial"/>
                <w:sz w:val="13"/>
                <w:szCs w:val="13"/>
                <w:color w:val="auto"/>
              </w:rPr>
              <w:t>(69)</w:t>
            </w:r>
          </w:p>
        </w:tc>
        <w:tc>
          <w:tcPr>
            <w:tcW w:w="7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56"/>
              <w:spacing w:after="0"/>
              <w:rPr>
                <w:sz w:val="20"/>
                <w:szCs w:val="20"/>
                <w:color w:val="auto"/>
              </w:rPr>
            </w:pPr>
            <w:r>
              <w:rPr>
                <w:rFonts w:ascii="Arial" w:cs="Arial" w:eastAsia="Arial" w:hAnsi="Arial"/>
                <w:sz w:val="13"/>
                <w:szCs w:val="13"/>
                <w:color w:val="auto"/>
              </w:rPr>
              <w:t>69</w:t>
            </w:r>
          </w:p>
        </w:tc>
        <w:tc>
          <w:tcPr>
            <w:tcW w:w="80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(146,931)</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(146,931)</w:t>
            </w:r>
          </w:p>
        </w:tc>
      </w:tr>
      <w:tr>
        <w:trPr>
          <w:trHeight w:val="199"/>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repurchase costs</w:t>
            </w:r>
          </w:p>
        </w:tc>
        <w:tc>
          <w:tcPr>
            <w:tcW w:w="130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(107)</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(107)</w:t>
            </w:r>
          </w:p>
        </w:tc>
      </w:tr>
      <w:tr>
        <w:trPr>
          <w:trHeight w:val="18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Transfer of exercised and expired share based awards</w:t>
            </w:r>
          </w:p>
        </w:tc>
        <w:tc>
          <w:tcPr>
            <w:tcW w:w="13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(31,261)</w:t>
            </w: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31,261</w:t>
            </w: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r>
      <w:tr>
        <w:trPr>
          <w:trHeight w:val="189"/>
        </w:trPr>
        <w:tc>
          <w:tcPr>
            <w:tcW w:w="36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contributions by and distributions to owners</w:t>
            </w:r>
          </w:p>
        </w:tc>
        <w:tc>
          <w:tcPr>
            <w:tcW w:w="13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(349,500)</w:t>
            </w:r>
          </w:p>
        </w:tc>
        <w:tc>
          <w:tcPr>
            <w:tcW w:w="68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(23)</w:t>
            </w: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21,599</w:t>
            </w: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69</w:t>
            </w: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(5,461)</w:t>
            </w: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(115,790)</w:t>
            </w: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(99,606)</w:t>
            </w:r>
          </w:p>
        </w:tc>
      </w:tr>
      <w:tr>
        <w:trPr>
          <w:trHeight w:val="189"/>
        </w:trPr>
        <w:tc>
          <w:tcPr>
            <w:tcW w:w="36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92"/>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at 31 December 2019</w:t>
            </w:r>
          </w:p>
        </w:tc>
        <w:tc>
          <w:tcPr>
            <w:tcW w:w="13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53,622,206</w:t>
            </w: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4,635</w:t>
            </w: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305,228</w:t>
            </w: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1,052</w:t>
            </w: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128,747</w:t>
            </w: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6,071</w:t>
            </w: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(113,538)</w:t>
            </w: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623,368</w:t>
            </w: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955,563</w:t>
            </w:r>
          </w:p>
        </w:tc>
      </w:tr>
    </w:tbl>
    <w:p>
      <w:pPr>
        <w:spacing w:after="0" w:line="66" w:lineRule="exact"/>
        <w:rPr>
          <w:sz w:val="20"/>
          <w:szCs w:val="20"/>
          <w:color w:val="auto"/>
        </w:rPr>
      </w:pPr>
    </w:p>
    <w:p>
      <w:pPr>
        <w:jc w:val="both"/>
        <w:spacing w:after="0" w:line="283" w:lineRule="auto"/>
        <w:rPr>
          <w:sz w:val="20"/>
          <w:szCs w:val="20"/>
          <w:color w:val="auto"/>
        </w:rPr>
      </w:pPr>
      <w:r>
        <w:rPr>
          <w:rFonts w:ascii="Arial" w:cs="Arial" w:eastAsia="Arial" w:hAnsi="Arial"/>
          <w:sz w:val="11"/>
          <w:szCs w:val="11"/>
          <w:i w:val="1"/>
          <w:iCs w:val="1"/>
          <w:color w:val="auto"/>
        </w:rPr>
        <w:t>As permitted by section 504 of the Companies Act 2014, the Company has not presented a Company Statement of Profit and Loss. The profit for the 2019 financial year of the Company amounted to $274,048,000 (2018: profit $165,912,000).</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280"/>
          </w:cols>
          <w:pgMar w:left="300" w:top="907" w:right="31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t>Company Statement of Changes in Equity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6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Share-</w:t>
            </w:r>
          </w:p>
        </w:tc>
        <w:tc>
          <w:tcPr>
            <w:tcW w:w="6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49"/>
        </w:trPr>
        <w:tc>
          <w:tcPr>
            <w:tcW w:w="36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Other</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based</w:t>
            </w: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9"/>
        </w:trPr>
        <w:tc>
          <w:tcPr>
            <w:tcW w:w="362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Number</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Share</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Share</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Undenominated</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Payment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Other</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Currency</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Retained</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84"/>
        </w:trPr>
        <w:tc>
          <w:tcPr>
            <w:tcW w:w="36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of shares</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Capital</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Premium</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Capital</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Reserve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Reserve</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Reserve</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Earnings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Equity</w:t>
            </w:r>
          </w:p>
        </w:tc>
      </w:tr>
      <w:tr>
        <w:trPr>
          <w:trHeight w:val="183"/>
        </w:trPr>
        <w:tc>
          <w:tcPr>
            <w:tcW w:w="36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$’000</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$’000</w:t>
            </w: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$’000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r>
      <w:tr>
        <w:trPr>
          <w:trHeight w:val="189"/>
        </w:trPr>
        <w:tc>
          <w:tcPr>
            <w:tcW w:w="36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Balance at 1 January 2018</w:t>
            </w: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54,081,601</w:t>
            </w: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4,664</w:t>
            </w: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266,852</w:t>
            </w: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912</w:t>
            </w:r>
          </w:p>
        </w:tc>
        <w:tc>
          <w:tcPr>
            <w:tcW w:w="7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145,153</w:t>
            </w: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6,071</w:t>
            </w: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(113,403)</w:t>
            </w: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389,286</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699,535</w:t>
            </w:r>
          </w:p>
        </w:tc>
      </w:tr>
      <w:tr>
        <w:trPr>
          <w:trHeight w:val="189"/>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comprehensive income for the year</w:t>
            </w:r>
          </w:p>
        </w:tc>
        <w:tc>
          <w:tcPr>
            <w:tcW w:w="1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3"/>
        </w:trPr>
        <w:tc>
          <w:tcPr>
            <w:tcW w:w="3620" w:type="dxa"/>
            <w:vAlign w:val="bottom"/>
          </w:tcPr>
          <w:p>
            <w:pPr>
              <w:ind w:left="20"/>
              <w:spacing w:after="0"/>
              <w:rPr>
                <w:sz w:val="20"/>
                <w:szCs w:val="20"/>
                <w:color w:val="auto"/>
              </w:rPr>
            </w:pPr>
            <w:r>
              <w:rPr>
                <w:rFonts w:ascii="Arial" w:cs="Arial" w:eastAsia="Arial" w:hAnsi="Arial"/>
                <w:sz w:val="13"/>
                <w:szCs w:val="13"/>
                <w:color w:val="auto"/>
              </w:rPr>
              <w:t>Profit for the year</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6"/>
              <w:spacing w:after="0"/>
              <w:rPr>
                <w:sz w:val="20"/>
                <w:szCs w:val="20"/>
                <w:color w:val="auto"/>
              </w:rPr>
            </w:pPr>
            <w:r>
              <w:rPr>
                <w:rFonts w:ascii="Arial" w:cs="Arial" w:eastAsia="Arial" w:hAnsi="Arial"/>
                <w:sz w:val="13"/>
                <w:szCs w:val="13"/>
                <w:color w:val="auto"/>
              </w:rPr>
              <w:t>165,912</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165,912</w:t>
            </w:r>
          </w:p>
        </w:tc>
      </w:tr>
      <w:tr>
        <w:trPr>
          <w:trHeight w:val="199"/>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w:t>
            </w:r>
          </w:p>
        </w:tc>
        <w:tc>
          <w:tcPr>
            <w:tcW w:w="1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8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currency translation</w:t>
            </w: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(132)</w:t>
            </w: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(132)</w:t>
            </w:r>
          </w:p>
        </w:tc>
      </w:tr>
      <w:tr>
        <w:trPr>
          <w:trHeight w:val="189"/>
        </w:trPr>
        <w:tc>
          <w:tcPr>
            <w:tcW w:w="36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other comprehensive income</w:t>
            </w: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(132)</w:t>
            </w: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(132)</w:t>
            </w:r>
          </w:p>
        </w:tc>
      </w:tr>
      <w:tr>
        <w:trPr>
          <w:trHeight w:val="189"/>
        </w:trPr>
        <w:tc>
          <w:tcPr>
            <w:tcW w:w="36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comprehensive income for the year</w:t>
            </w: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(132)</w:t>
            </w: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165,912</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165,780</w:t>
            </w:r>
          </w:p>
        </w:tc>
      </w:tr>
      <w:tr>
        <w:trPr>
          <w:trHeight w:val="189"/>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Transactions with owners, recorded directly in equity</w:t>
            </w:r>
          </w:p>
        </w:tc>
        <w:tc>
          <w:tcPr>
            <w:tcW w:w="1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3"/>
        </w:trPr>
        <w:tc>
          <w:tcPr>
            <w:tcW w:w="3620" w:type="dxa"/>
            <w:vAlign w:val="bottom"/>
          </w:tcPr>
          <w:p>
            <w:pPr>
              <w:ind w:left="20"/>
              <w:spacing w:after="0"/>
              <w:rPr>
                <w:sz w:val="20"/>
                <w:szCs w:val="20"/>
                <w:color w:val="auto"/>
              </w:rPr>
            </w:pPr>
            <w:r>
              <w:rPr>
                <w:rFonts w:ascii="Arial" w:cs="Arial" w:eastAsia="Arial" w:hAnsi="Arial"/>
                <w:sz w:val="13"/>
                <w:szCs w:val="13"/>
                <w:color w:val="auto"/>
              </w:rPr>
              <w:t>Share-based payment</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96"/>
              <w:spacing w:after="0"/>
              <w:rPr>
                <w:sz w:val="20"/>
                <w:szCs w:val="20"/>
                <w:color w:val="auto"/>
              </w:rPr>
            </w:pPr>
            <w:r>
              <w:rPr>
                <w:rFonts w:ascii="Arial" w:cs="Arial" w:eastAsia="Arial" w:hAnsi="Arial"/>
                <w:sz w:val="13"/>
                <w:szCs w:val="13"/>
                <w:color w:val="auto"/>
              </w:rPr>
              <w:t>28,009</w:t>
            </w:r>
          </w:p>
        </w:tc>
        <w:tc>
          <w:tcPr>
            <w:tcW w:w="6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28,009</w:t>
            </w:r>
          </w:p>
        </w:tc>
      </w:tr>
      <w:tr>
        <w:trPr>
          <w:trHeight w:val="199"/>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share options</w:t>
            </w:r>
          </w:p>
        </w:tc>
        <w:tc>
          <w:tcPr>
            <w:tcW w:w="13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408,699</w:t>
            </w:r>
          </w:p>
        </w:tc>
        <w:tc>
          <w:tcPr>
            <w:tcW w:w="7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29</w:t>
            </w:r>
          </w:p>
        </w:tc>
        <w:tc>
          <w:tcPr>
            <w:tcW w:w="80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16,777</w:t>
            </w:r>
          </w:p>
        </w:tc>
        <w:tc>
          <w:tcPr>
            <w:tcW w:w="11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16,806</w:t>
            </w:r>
          </w:p>
        </w:tc>
      </w:tr>
      <w:tr>
        <w:trPr>
          <w:trHeight w:val="183"/>
        </w:trPr>
        <w:tc>
          <w:tcPr>
            <w:tcW w:w="3620" w:type="dxa"/>
            <w:vAlign w:val="bottom"/>
          </w:tcPr>
          <w:p>
            <w:pPr>
              <w:ind w:left="20"/>
              <w:spacing w:after="0"/>
              <w:rPr>
                <w:sz w:val="20"/>
                <w:szCs w:val="20"/>
                <w:color w:val="auto"/>
              </w:rPr>
            </w:pPr>
            <w:r>
              <w:rPr>
                <w:rFonts w:ascii="Arial" w:cs="Arial" w:eastAsia="Arial" w:hAnsi="Arial"/>
                <w:sz w:val="13"/>
                <w:szCs w:val="13"/>
                <w:color w:val="auto"/>
              </w:rPr>
              <w:t>Share issue costs</w:t>
            </w:r>
          </w:p>
        </w:tc>
        <w:tc>
          <w:tcPr>
            <w:tcW w:w="132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(16)</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(16)</w:t>
            </w:r>
          </w:p>
        </w:tc>
      </w:tr>
      <w:tr>
        <w:trPr>
          <w:trHeight w:val="199"/>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Issue of restricted share units</w:t>
            </w:r>
          </w:p>
        </w:tc>
        <w:tc>
          <w:tcPr>
            <w:tcW w:w="13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489,568</w:t>
            </w:r>
          </w:p>
        </w:tc>
        <w:tc>
          <w:tcPr>
            <w:tcW w:w="7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36</w:t>
            </w:r>
          </w:p>
        </w:tc>
        <w:tc>
          <w:tcPr>
            <w:tcW w:w="80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36</w:t>
            </w:r>
          </w:p>
        </w:tc>
      </w:tr>
      <w:tr>
        <w:trPr>
          <w:trHeight w:val="183"/>
        </w:trPr>
        <w:tc>
          <w:tcPr>
            <w:tcW w:w="3620" w:type="dxa"/>
            <w:vAlign w:val="bottom"/>
          </w:tcPr>
          <w:p>
            <w:pPr>
              <w:ind w:left="20"/>
              <w:spacing w:after="0"/>
              <w:rPr>
                <w:sz w:val="20"/>
                <w:szCs w:val="20"/>
                <w:color w:val="auto"/>
              </w:rPr>
            </w:pPr>
            <w:r>
              <w:rPr>
                <w:rFonts w:ascii="Arial" w:cs="Arial" w:eastAsia="Arial" w:hAnsi="Arial"/>
                <w:sz w:val="13"/>
                <w:szCs w:val="13"/>
                <w:color w:val="auto"/>
              </w:rPr>
              <w:t>Repurchase of ordinary shares</w:t>
            </w:r>
          </w:p>
        </w:tc>
        <w:tc>
          <w:tcPr>
            <w:tcW w:w="1320" w:type="dxa"/>
            <w:vAlign w:val="bottom"/>
          </w:tcPr>
          <w:p>
            <w:pPr>
              <w:jc w:val="right"/>
              <w:ind w:right="196"/>
              <w:spacing w:after="0"/>
              <w:rPr>
                <w:sz w:val="20"/>
                <w:szCs w:val="20"/>
                <w:color w:val="auto"/>
              </w:rPr>
            </w:pPr>
            <w:r>
              <w:rPr>
                <w:rFonts w:ascii="Arial" w:cs="Arial" w:eastAsia="Arial" w:hAnsi="Arial"/>
                <w:sz w:val="13"/>
                <w:szCs w:val="13"/>
                <w:color w:val="auto"/>
              </w:rPr>
              <w:t>(1,008,162)</w:t>
            </w:r>
          </w:p>
        </w:tc>
        <w:tc>
          <w:tcPr>
            <w:tcW w:w="700" w:type="dxa"/>
            <w:vAlign w:val="bottom"/>
          </w:tcPr>
          <w:p>
            <w:pPr>
              <w:jc w:val="right"/>
              <w:ind w:right="116"/>
              <w:spacing w:after="0"/>
              <w:rPr>
                <w:sz w:val="20"/>
                <w:szCs w:val="20"/>
                <w:color w:val="auto"/>
              </w:rPr>
            </w:pPr>
            <w:r>
              <w:rPr>
                <w:rFonts w:ascii="Arial" w:cs="Arial" w:eastAsia="Arial" w:hAnsi="Arial"/>
                <w:sz w:val="13"/>
                <w:szCs w:val="13"/>
                <w:color w:val="auto"/>
              </w:rPr>
              <w:t>(71)</w:t>
            </w:r>
          </w:p>
        </w:tc>
        <w:tc>
          <w:tcPr>
            <w:tcW w:w="80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56"/>
              <w:spacing w:after="0"/>
              <w:rPr>
                <w:sz w:val="20"/>
                <w:szCs w:val="20"/>
                <w:color w:val="auto"/>
              </w:rPr>
            </w:pPr>
            <w:r>
              <w:rPr>
                <w:rFonts w:ascii="Arial" w:cs="Arial" w:eastAsia="Arial" w:hAnsi="Arial"/>
                <w:sz w:val="13"/>
                <w:szCs w:val="13"/>
                <w:color w:val="auto"/>
              </w:rPr>
              <w:t>71</w:t>
            </w:r>
          </w:p>
        </w:tc>
        <w:tc>
          <w:tcPr>
            <w:tcW w:w="78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(128,960)</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(128,960)</w:t>
            </w:r>
          </w:p>
        </w:tc>
      </w:tr>
      <w:tr>
        <w:trPr>
          <w:trHeight w:val="199"/>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repurchase costs</w:t>
            </w:r>
          </w:p>
        </w:tc>
        <w:tc>
          <w:tcPr>
            <w:tcW w:w="13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(66)</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(66)</w:t>
            </w:r>
          </w:p>
        </w:tc>
      </w:tr>
      <w:tr>
        <w:trPr>
          <w:trHeight w:val="18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Transfer of exercised and expired share-based awards</w:t>
            </w: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(38,954)</w:t>
            </w: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38,954</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r>
      <w:tr>
        <w:trPr>
          <w:trHeight w:val="189"/>
        </w:trPr>
        <w:tc>
          <w:tcPr>
            <w:tcW w:w="36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contributions by and distributions to owners</w:t>
            </w:r>
          </w:p>
        </w:tc>
        <w:tc>
          <w:tcPr>
            <w:tcW w:w="13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(109,895)</w:t>
            </w: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(6)</w:t>
            </w: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16,777</w:t>
            </w: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71</w:t>
            </w: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(10,945)</w:t>
            </w: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(90,088)</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(84,191)</w:t>
            </w:r>
          </w:p>
        </w:tc>
      </w:tr>
      <w:tr>
        <w:trPr>
          <w:trHeight w:val="189"/>
        </w:trPr>
        <w:tc>
          <w:tcPr>
            <w:tcW w:w="36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92"/>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at 31 December 2018</w:t>
            </w: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53,971,706</w:t>
            </w: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4,658</w:t>
            </w: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283,629</w:t>
            </w: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983</w:t>
            </w:r>
          </w:p>
        </w:tc>
        <w:tc>
          <w:tcPr>
            <w:tcW w:w="7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134,208</w:t>
            </w: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6,071</w:t>
            </w: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(113,535)</w:t>
            </w: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465,110</w:t>
            </w: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781,124</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As permitted by section 504 of the Companies Act 2014, the Company has not presented a Company Statement of Profit and Loss. The profit for the 2018 financial year of the Company amounted to $165,912,0000 (2017:</w:t>
      </w: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profit $24,233,000).</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280"/>
          </w:cols>
          <w:pgMar w:left="300" w:top="906" w:right="31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Company Statement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4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49"/>
        </w:trPr>
        <w:tc>
          <w:tcPr>
            <w:tcW w:w="5840" w:type="dxa"/>
            <w:vAlign w:val="bottom"/>
            <w:shd w:val="clear" w:color="auto" w:fill="CCEEFF"/>
          </w:tcPr>
          <w:p>
            <w:pPr>
              <w:spacing w:after="0"/>
              <w:rPr>
                <w:sz w:val="12"/>
                <w:szCs w:val="12"/>
                <w:color w:val="auto"/>
              </w:rPr>
            </w:pPr>
          </w:p>
        </w:tc>
        <w:tc>
          <w:tcPr>
            <w:tcW w:w="2460" w:type="dxa"/>
            <w:vAlign w:val="bottom"/>
            <w:shd w:val="clear" w:color="auto" w:fill="CCEEFF"/>
          </w:tcPr>
          <w:p>
            <w:pPr>
              <w:jc w:val="center"/>
              <w:ind w:left="1596"/>
              <w:spacing w:after="0"/>
              <w:rPr>
                <w:sz w:val="20"/>
                <w:szCs w:val="20"/>
                <w:color w:val="auto"/>
              </w:rPr>
            </w:pPr>
            <w:r>
              <w:rPr>
                <w:rFonts w:ascii="Arial" w:cs="Arial" w:eastAsia="Arial" w:hAnsi="Arial"/>
                <w:sz w:val="13"/>
                <w:szCs w:val="13"/>
                <w:b w:val="1"/>
                <w:bCs w:val="1"/>
                <w:i w:val="1"/>
                <w:iCs w:val="1"/>
                <w:color w:val="auto"/>
                <w:w w:val="96"/>
              </w:rPr>
              <w:t>Note</w:t>
            </w:r>
          </w:p>
        </w:tc>
        <w:tc>
          <w:tcPr>
            <w:tcW w:w="190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December</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77"/>
        </w:trPr>
        <w:tc>
          <w:tcPr>
            <w:tcW w:w="58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2019</w:t>
            </w:r>
          </w:p>
        </w:tc>
        <w:tc>
          <w:tcPr>
            <w:tcW w:w="1080" w:type="dxa"/>
            <w:vAlign w:val="bottom"/>
            <w:tcBorders>
              <w:bottom w:val="single" w:sz="8" w:color="auto"/>
            </w:tcBorders>
            <w:shd w:val="clear" w:color="auto" w:fill="CCEEFF"/>
          </w:tcPr>
          <w:p>
            <w:pPr>
              <w:spacing w:after="0"/>
              <w:rPr>
                <w:sz w:val="15"/>
                <w:szCs w:val="15"/>
                <w:color w:val="auto"/>
              </w:rPr>
            </w:pPr>
          </w:p>
        </w:tc>
      </w:tr>
      <w:tr>
        <w:trPr>
          <w:trHeight w:val="182"/>
        </w:trPr>
        <w:tc>
          <w:tcPr>
            <w:tcW w:w="58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$’000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$’000</w:t>
            </w:r>
          </w:p>
        </w:tc>
      </w:tr>
      <w:tr>
        <w:trPr>
          <w:trHeight w:val="189"/>
        </w:trPr>
        <w:tc>
          <w:tcPr>
            <w:tcW w:w="584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3"/>
        </w:trPr>
        <w:tc>
          <w:tcPr>
            <w:tcW w:w="5840" w:type="dxa"/>
            <w:vAlign w:val="bottom"/>
          </w:tcPr>
          <w:p>
            <w:pPr>
              <w:ind w:left="20"/>
              <w:spacing w:after="0"/>
              <w:rPr>
                <w:sz w:val="20"/>
                <w:szCs w:val="20"/>
                <w:color w:val="auto"/>
              </w:rPr>
            </w:pPr>
            <w:r>
              <w:rPr>
                <w:rFonts w:ascii="Arial" w:cs="Arial" w:eastAsia="Arial" w:hAnsi="Arial"/>
                <w:sz w:val="13"/>
                <w:szCs w:val="13"/>
                <w:b w:val="1"/>
                <w:bCs w:val="1"/>
                <w:color w:val="auto"/>
              </w:rPr>
              <w:t>Profit for the financial year</w:t>
            </w:r>
          </w:p>
        </w:tc>
        <w:tc>
          <w:tcPr>
            <w:tcW w:w="2460" w:type="dxa"/>
            <w:vAlign w:val="bottom"/>
          </w:tcPr>
          <w:p>
            <w:pPr>
              <w:spacing w:after="0"/>
              <w:rPr>
                <w:sz w:val="15"/>
                <w:szCs w:val="15"/>
                <w:color w:val="auto"/>
              </w:rPr>
            </w:pPr>
          </w:p>
        </w:tc>
        <w:tc>
          <w:tcPr>
            <w:tcW w:w="1900" w:type="dxa"/>
            <w:vAlign w:val="bottom"/>
          </w:tcPr>
          <w:p>
            <w:pPr>
              <w:jc w:val="right"/>
              <w:ind w:right="496"/>
              <w:spacing w:after="0"/>
              <w:rPr>
                <w:sz w:val="20"/>
                <w:szCs w:val="20"/>
                <w:color w:val="auto"/>
              </w:rPr>
            </w:pPr>
            <w:r>
              <w:rPr>
                <w:rFonts w:ascii="Arial" w:cs="Arial" w:eastAsia="Arial" w:hAnsi="Arial"/>
                <w:sz w:val="13"/>
                <w:szCs w:val="13"/>
                <w:b w:val="1"/>
                <w:bCs w:val="1"/>
                <w:color w:val="auto"/>
              </w:rPr>
              <w:t>274,048</w:t>
            </w:r>
          </w:p>
        </w:tc>
        <w:tc>
          <w:tcPr>
            <w:tcW w:w="1080" w:type="dxa"/>
            <w:vAlign w:val="bottom"/>
          </w:tcPr>
          <w:p>
            <w:pPr>
              <w:jc w:val="right"/>
              <w:ind w:right="76"/>
              <w:spacing w:after="0"/>
              <w:rPr>
                <w:sz w:val="20"/>
                <w:szCs w:val="20"/>
                <w:color w:val="auto"/>
              </w:rPr>
            </w:pPr>
            <w:r>
              <w:rPr>
                <w:rFonts w:ascii="Arial" w:cs="Arial" w:eastAsia="Arial" w:hAnsi="Arial"/>
                <w:sz w:val="13"/>
                <w:szCs w:val="13"/>
                <w:color w:val="auto"/>
              </w:rPr>
              <w:t>165,912</w:t>
            </w:r>
          </w:p>
        </w:tc>
      </w:tr>
      <w:tr>
        <w:trPr>
          <w:trHeight w:val="163"/>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Adjustments to reconcile net income to net cash generated from</w:t>
            </w:r>
          </w:p>
        </w:tc>
        <w:tc>
          <w:tcPr>
            <w:tcW w:w="24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4"/>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24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3"/>
        </w:trPr>
        <w:tc>
          <w:tcPr>
            <w:tcW w:w="5840" w:type="dxa"/>
            <w:vAlign w:val="bottom"/>
          </w:tcPr>
          <w:p>
            <w:pPr>
              <w:ind w:left="20"/>
              <w:spacing w:after="0"/>
              <w:rPr>
                <w:sz w:val="20"/>
                <w:szCs w:val="20"/>
                <w:color w:val="auto"/>
              </w:rPr>
            </w:pPr>
            <w:r>
              <w:rPr>
                <w:rFonts w:ascii="Arial" w:cs="Arial" w:eastAsia="Arial" w:hAnsi="Arial"/>
                <w:sz w:val="13"/>
                <w:szCs w:val="13"/>
                <w:color w:val="auto"/>
              </w:rPr>
              <w:t>Depreciation of property, plant and equipment</w:t>
            </w:r>
          </w:p>
        </w:tc>
        <w:tc>
          <w:tcPr>
            <w:tcW w:w="2460" w:type="dxa"/>
            <w:vAlign w:val="bottom"/>
          </w:tcPr>
          <w:p>
            <w:pPr>
              <w:jc w:val="center"/>
              <w:ind w:left="1596"/>
              <w:spacing w:after="0"/>
              <w:rPr>
                <w:sz w:val="20"/>
                <w:szCs w:val="20"/>
                <w:color w:val="auto"/>
              </w:rPr>
            </w:pPr>
            <w:r>
              <w:rPr>
                <w:rFonts w:ascii="Arial" w:cs="Arial" w:eastAsia="Arial" w:hAnsi="Arial"/>
                <w:sz w:val="13"/>
                <w:szCs w:val="13"/>
                <w:i w:val="1"/>
                <w:iCs w:val="1"/>
                <w:color w:val="auto"/>
              </w:rPr>
              <w:t>1</w:t>
            </w:r>
          </w:p>
        </w:tc>
        <w:tc>
          <w:tcPr>
            <w:tcW w:w="1900" w:type="dxa"/>
            <w:vAlign w:val="bottom"/>
          </w:tcPr>
          <w:p>
            <w:pPr>
              <w:jc w:val="right"/>
              <w:ind w:right="496"/>
              <w:spacing w:after="0"/>
              <w:rPr>
                <w:sz w:val="20"/>
                <w:szCs w:val="20"/>
                <w:color w:val="auto"/>
              </w:rPr>
            </w:pPr>
            <w:r>
              <w:rPr>
                <w:rFonts w:ascii="Arial" w:cs="Arial" w:eastAsia="Arial" w:hAnsi="Arial"/>
                <w:sz w:val="13"/>
                <w:szCs w:val="13"/>
                <w:b w:val="1"/>
                <w:bCs w:val="1"/>
                <w:color w:val="auto"/>
              </w:rPr>
              <w:t>181</w:t>
            </w:r>
          </w:p>
        </w:tc>
        <w:tc>
          <w:tcPr>
            <w:tcW w:w="1080" w:type="dxa"/>
            <w:vAlign w:val="bottom"/>
          </w:tcPr>
          <w:p>
            <w:pPr>
              <w:jc w:val="right"/>
              <w:ind w:right="76"/>
              <w:spacing w:after="0"/>
              <w:rPr>
                <w:sz w:val="20"/>
                <w:szCs w:val="20"/>
                <w:color w:val="auto"/>
              </w:rPr>
            </w:pPr>
            <w:r>
              <w:rPr>
                <w:rFonts w:ascii="Arial" w:cs="Arial" w:eastAsia="Arial" w:hAnsi="Arial"/>
                <w:sz w:val="13"/>
                <w:szCs w:val="13"/>
                <w:color w:val="auto"/>
              </w:rPr>
              <w:t>355</w:t>
            </w:r>
          </w:p>
        </w:tc>
      </w:tr>
      <w:tr>
        <w:trPr>
          <w:trHeight w:val="199"/>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of right-of-use assets</w:t>
            </w:r>
          </w:p>
        </w:tc>
        <w:tc>
          <w:tcPr>
            <w:tcW w:w="2460" w:type="dxa"/>
            <w:vAlign w:val="bottom"/>
            <w:shd w:val="clear" w:color="auto" w:fill="CCEEFF"/>
          </w:tcPr>
          <w:p>
            <w:pPr>
              <w:jc w:val="center"/>
              <w:ind w:left="1596"/>
              <w:spacing w:after="0"/>
              <w:rPr>
                <w:sz w:val="20"/>
                <w:szCs w:val="20"/>
                <w:color w:val="auto"/>
              </w:rPr>
            </w:pPr>
            <w:r>
              <w:rPr>
                <w:rFonts w:ascii="Arial" w:cs="Arial" w:eastAsia="Arial" w:hAnsi="Arial"/>
                <w:sz w:val="13"/>
                <w:szCs w:val="13"/>
                <w:i w:val="1"/>
                <w:iCs w:val="1"/>
                <w:color w:val="auto"/>
              </w:rPr>
              <w:t>9</w:t>
            </w:r>
          </w:p>
        </w:tc>
        <w:tc>
          <w:tcPr>
            <w:tcW w:w="190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1,511</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r>
        <w:trPr>
          <w:trHeight w:val="183"/>
        </w:trPr>
        <w:tc>
          <w:tcPr>
            <w:tcW w:w="5840" w:type="dxa"/>
            <w:vAlign w:val="bottom"/>
          </w:tcPr>
          <w:p>
            <w:pPr>
              <w:ind w:left="20"/>
              <w:spacing w:after="0"/>
              <w:rPr>
                <w:sz w:val="20"/>
                <w:szCs w:val="20"/>
                <w:color w:val="auto"/>
              </w:rPr>
            </w:pPr>
            <w:r>
              <w:rPr>
                <w:rFonts w:ascii="Arial" w:cs="Arial" w:eastAsia="Arial" w:hAnsi="Arial"/>
                <w:sz w:val="13"/>
                <w:szCs w:val="13"/>
                <w:color w:val="auto"/>
              </w:rPr>
              <w:t>Amortisation of intangible assets</w:t>
            </w:r>
          </w:p>
        </w:tc>
        <w:tc>
          <w:tcPr>
            <w:tcW w:w="2460" w:type="dxa"/>
            <w:vAlign w:val="bottom"/>
          </w:tcPr>
          <w:p>
            <w:pPr>
              <w:jc w:val="center"/>
              <w:ind w:left="1596"/>
              <w:spacing w:after="0"/>
              <w:rPr>
                <w:sz w:val="20"/>
                <w:szCs w:val="20"/>
                <w:color w:val="auto"/>
              </w:rPr>
            </w:pPr>
            <w:r>
              <w:rPr>
                <w:rFonts w:ascii="Arial" w:cs="Arial" w:eastAsia="Arial" w:hAnsi="Arial"/>
                <w:sz w:val="13"/>
                <w:szCs w:val="13"/>
                <w:i w:val="1"/>
                <w:iCs w:val="1"/>
                <w:color w:val="auto"/>
              </w:rPr>
              <w:t>2</w:t>
            </w:r>
          </w:p>
        </w:tc>
        <w:tc>
          <w:tcPr>
            <w:tcW w:w="1900" w:type="dxa"/>
            <w:vAlign w:val="bottom"/>
          </w:tcPr>
          <w:p>
            <w:pPr>
              <w:jc w:val="right"/>
              <w:ind w:right="496"/>
              <w:spacing w:after="0"/>
              <w:rPr>
                <w:sz w:val="20"/>
                <w:szCs w:val="20"/>
                <w:color w:val="auto"/>
              </w:rPr>
            </w:pPr>
            <w:r>
              <w:rPr>
                <w:rFonts w:ascii="Arial" w:cs="Arial" w:eastAsia="Arial" w:hAnsi="Arial"/>
                <w:sz w:val="13"/>
                <w:szCs w:val="13"/>
                <w:b w:val="1"/>
                <w:bCs w:val="1"/>
                <w:color w:val="auto"/>
              </w:rPr>
              <w:t>31</w:t>
            </w:r>
          </w:p>
        </w:tc>
        <w:tc>
          <w:tcPr>
            <w:tcW w:w="1080" w:type="dxa"/>
            <w:vAlign w:val="bottom"/>
          </w:tcPr>
          <w:p>
            <w:pPr>
              <w:jc w:val="right"/>
              <w:ind w:right="76"/>
              <w:spacing w:after="0"/>
              <w:rPr>
                <w:sz w:val="20"/>
                <w:szCs w:val="20"/>
                <w:color w:val="auto"/>
              </w:rPr>
            </w:pPr>
            <w:r>
              <w:rPr>
                <w:rFonts w:ascii="Arial" w:cs="Arial" w:eastAsia="Arial" w:hAnsi="Arial"/>
                <w:sz w:val="13"/>
                <w:szCs w:val="13"/>
                <w:color w:val="auto"/>
              </w:rPr>
              <w:t>54</w:t>
            </w:r>
          </w:p>
        </w:tc>
      </w:tr>
      <w:tr>
        <w:trPr>
          <w:trHeight w:val="199"/>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on lease liabilities</w:t>
            </w:r>
          </w:p>
        </w:tc>
        <w:tc>
          <w:tcPr>
            <w:tcW w:w="2460" w:type="dxa"/>
            <w:vAlign w:val="bottom"/>
            <w:shd w:val="clear" w:color="auto" w:fill="CCEEFF"/>
          </w:tcPr>
          <w:p>
            <w:pPr>
              <w:jc w:val="center"/>
              <w:ind w:left="1596"/>
              <w:spacing w:after="0"/>
              <w:rPr>
                <w:sz w:val="20"/>
                <w:szCs w:val="20"/>
                <w:color w:val="auto"/>
              </w:rPr>
            </w:pPr>
            <w:r>
              <w:rPr>
                <w:rFonts w:ascii="Arial" w:cs="Arial" w:eastAsia="Arial" w:hAnsi="Arial"/>
                <w:sz w:val="13"/>
                <w:szCs w:val="13"/>
                <w:i w:val="1"/>
                <w:iCs w:val="1"/>
                <w:color w:val="auto"/>
              </w:rPr>
              <w:t>9</w:t>
            </w:r>
          </w:p>
        </w:tc>
        <w:tc>
          <w:tcPr>
            <w:tcW w:w="190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22</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r>
        <w:trPr>
          <w:trHeight w:val="18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Share-based payment</w:t>
            </w:r>
          </w:p>
        </w:tc>
        <w:tc>
          <w:tcPr>
            <w:tcW w:w="2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6,375</w:t>
            </w: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7,405</w:t>
            </w: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cash inflow before changes in working capital</w:t>
            </w:r>
          </w:p>
        </w:tc>
        <w:tc>
          <w:tcPr>
            <w:tcW w:w="2460" w:type="dxa"/>
            <w:vAlign w:val="bottom"/>
            <w:shd w:val="clear" w:color="auto" w:fill="CCEEFF"/>
          </w:tcPr>
          <w:p>
            <w:pPr>
              <w:spacing w:after="0"/>
              <w:rPr>
                <w:sz w:val="16"/>
                <w:szCs w:val="16"/>
                <w:color w:val="auto"/>
              </w:rPr>
            </w:pPr>
          </w:p>
        </w:tc>
        <w:tc>
          <w:tcPr>
            <w:tcW w:w="190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282,168</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173,726</w:t>
            </w:r>
          </w:p>
        </w:tc>
      </w:tr>
      <w:tr>
        <w:trPr>
          <w:trHeight w:val="183"/>
        </w:trPr>
        <w:tc>
          <w:tcPr>
            <w:tcW w:w="5840" w:type="dxa"/>
            <w:vAlign w:val="bottom"/>
          </w:tcPr>
          <w:p>
            <w:pPr>
              <w:ind w:left="20"/>
              <w:spacing w:after="0"/>
              <w:rPr>
                <w:sz w:val="20"/>
                <w:szCs w:val="20"/>
                <w:color w:val="auto"/>
              </w:rPr>
            </w:pPr>
            <w:r>
              <w:rPr>
                <w:rFonts w:ascii="Arial" w:cs="Arial" w:eastAsia="Arial" w:hAnsi="Arial"/>
                <w:sz w:val="13"/>
                <w:szCs w:val="13"/>
                <w:color w:val="auto"/>
              </w:rPr>
              <w:t>Decrease/ (increase) in other current assets</w:t>
            </w:r>
          </w:p>
        </w:tc>
        <w:tc>
          <w:tcPr>
            <w:tcW w:w="2460" w:type="dxa"/>
            <w:vAlign w:val="bottom"/>
          </w:tcPr>
          <w:p>
            <w:pPr>
              <w:spacing w:after="0"/>
              <w:rPr>
                <w:sz w:val="15"/>
                <w:szCs w:val="15"/>
                <w:color w:val="auto"/>
              </w:rPr>
            </w:pPr>
          </w:p>
        </w:tc>
        <w:tc>
          <w:tcPr>
            <w:tcW w:w="1900" w:type="dxa"/>
            <w:vAlign w:val="bottom"/>
          </w:tcPr>
          <w:p>
            <w:pPr>
              <w:jc w:val="right"/>
              <w:ind w:right="496"/>
              <w:spacing w:after="0"/>
              <w:rPr>
                <w:sz w:val="20"/>
                <w:szCs w:val="20"/>
                <w:color w:val="auto"/>
              </w:rPr>
            </w:pPr>
            <w:r>
              <w:rPr>
                <w:rFonts w:ascii="Arial" w:cs="Arial" w:eastAsia="Arial" w:hAnsi="Arial"/>
                <w:sz w:val="13"/>
                <w:szCs w:val="13"/>
                <w:b w:val="1"/>
                <w:bCs w:val="1"/>
                <w:color w:val="auto"/>
              </w:rPr>
              <w:t>424</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(141)</w:t>
            </w:r>
          </w:p>
        </w:tc>
      </w:tr>
      <w:tr>
        <w:trPr>
          <w:trHeight w:val="199"/>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Decrease/ (increase) in non-current assets</w:t>
            </w:r>
          </w:p>
        </w:tc>
        <w:tc>
          <w:tcPr>
            <w:tcW w:w="246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1</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(37)</w:t>
            </w:r>
          </w:p>
        </w:tc>
      </w:tr>
      <w:tr>
        <w:trPr>
          <w:trHeight w:val="183"/>
        </w:trPr>
        <w:tc>
          <w:tcPr>
            <w:tcW w:w="5840" w:type="dxa"/>
            <w:vAlign w:val="bottom"/>
          </w:tcPr>
          <w:p>
            <w:pPr>
              <w:ind w:left="20"/>
              <w:spacing w:after="0"/>
              <w:rPr>
                <w:sz w:val="20"/>
                <w:szCs w:val="20"/>
                <w:color w:val="auto"/>
              </w:rPr>
            </w:pPr>
            <w:r>
              <w:rPr>
                <w:rFonts w:ascii="Arial" w:cs="Arial" w:eastAsia="Arial" w:hAnsi="Arial"/>
                <w:sz w:val="13"/>
                <w:szCs w:val="13"/>
                <w:color w:val="auto"/>
              </w:rPr>
              <w:t>Decrease in accounts payable and accrued and other liabilities</w:t>
            </w:r>
          </w:p>
        </w:tc>
        <w:tc>
          <w:tcPr>
            <w:tcW w:w="2460" w:type="dxa"/>
            <w:vAlign w:val="bottom"/>
          </w:tcPr>
          <w:p>
            <w:pPr>
              <w:spacing w:after="0"/>
              <w:rPr>
                <w:sz w:val="15"/>
                <w:szCs w:val="15"/>
                <w:color w:val="auto"/>
              </w:rPr>
            </w:pPr>
          </w:p>
        </w:tc>
        <w:tc>
          <w:tcPr>
            <w:tcW w:w="1900" w:type="dxa"/>
            <w:vAlign w:val="bottom"/>
          </w:tcPr>
          <w:p>
            <w:pPr>
              <w:jc w:val="right"/>
              <w:ind w:right="456"/>
              <w:spacing w:after="0"/>
              <w:rPr>
                <w:sz w:val="20"/>
                <w:szCs w:val="20"/>
                <w:color w:val="auto"/>
              </w:rPr>
            </w:pPr>
            <w:r>
              <w:rPr>
                <w:rFonts w:ascii="Arial" w:cs="Arial" w:eastAsia="Arial" w:hAnsi="Arial"/>
                <w:sz w:val="13"/>
                <w:szCs w:val="13"/>
                <w:b w:val="1"/>
                <w:bCs w:val="1"/>
                <w:color w:val="auto"/>
              </w:rPr>
              <w:t>(245)</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(1,324)</w:t>
            </w:r>
          </w:p>
        </w:tc>
      </w:tr>
      <w:tr>
        <w:trPr>
          <w:trHeight w:val="199"/>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Decrease in income taxes receivable</w:t>
            </w:r>
          </w:p>
        </w:tc>
        <w:tc>
          <w:tcPr>
            <w:tcW w:w="246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281</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1,503</w:t>
            </w:r>
          </w:p>
        </w:tc>
      </w:tr>
      <w:tr>
        <w:trPr>
          <w:trHeight w:val="183"/>
        </w:trPr>
        <w:tc>
          <w:tcPr>
            <w:tcW w:w="5840" w:type="dxa"/>
            <w:vAlign w:val="bottom"/>
          </w:tcPr>
          <w:p>
            <w:pPr>
              <w:ind w:left="20"/>
              <w:spacing w:after="0"/>
              <w:rPr>
                <w:sz w:val="20"/>
                <w:szCs w:val="20"/>
                <w:color w:val="auto"/>
              </w:rPr>
            </w:pPr>
            <w:r>
              <w:rPr>
                <w:rFonts w:ascii="Arial" w:cs="Arial" w:eastAsia="Arial" w:hAnsi="Arial"/>
                <w:sz w:val="13"/>
                <w:szCs w:val="13"/>
                <w:color w:val="auto"/>
              </w:rPr>
              <w:t>Increase in non-current liabilities</w:t>
            </w:r>
          </w:p>
        </w:tc>
        <w:tc>
          <w:tcPr>
            <w:tcW w:w="2460" w:type="dxa"/>
            <w:vAlign w:val="bottom"/>
          </w:tcPr>
          <w:p>
            <w:pPr>
              <w:spacing w:after="0"/>
              <w:rPr>
                <w:sz w:val="15"/>
                <w:szCs w:val="15"/>
                <w:color w:val="auto"/>
              </w:rPr>
            </w:pPr>
          </w:p>
        </w:tc>
        <w:tc>
          <w:tcPr>
            <w:tcW w:w="1900" w:type="dxa"/>
            <w:vAlign w:val="bottom"/>
          </w:tcPr>
          <w:p>
            <w:pPr>
              <w:jc w:val="right"/>
              <w:ind w:right="496"/>
              <w:spacing w:after="0"/>
              <w:rPr>
                <w:sz w:val="20"/>
                <w:szCs w:val="20"/>
                <w:color w:val="auto"/>
              </w:rPr>
            </w:pPr>
            <w:r>
              <w:rPr>
                <w:rFonts w:ascii="Arial" w:cs="Arial" w:eastAsia="Arial" w:hAnsi="Arial"/>
                <w:sz w:val="13"/>
                <w:szCs w:val="13"/>
                <w:b w:val="1"/>
                <w:bCs w:val="1"/>
                <w:color w:val="auto"/>
              </w:rPr>
              <w:t>1,618</w:t>
            </w:r>
          </w:p>
        </w:tc>
        <w:tc>
          <w:tcPr>
            <w:tcW w:w="1080" w:type="dxa"/>
            <w:vAlign w:val="bottom"/>
          </w:tcPr>
          <w:p>
            <w:pPr>
              <w:jc w:val="right"/>
              <w:ind w:right="76"/>
              <w:spacing w:after="0"/>
              <w:rPr>
                <w:sz w:val="20"/>
                <w:szCs w:val="20"/>
                <w:color w:val="auto"/>
              </w:rPr>
            </w:pPr>
            <w:r>
              <w:rPr>
                <w:rFonts w:ascii="Arial" w:cs="Arial" w:eastAsia="Arial" w:hAnsi="Arial"/>
                <w:sz w:val="13"/>
                <w:szCs w:val="13"/>
                <w:color w:val="auto"/>
              </w:rPr>
              <w:t>2,533</w:t>
            </w:r>
          </w:p>
        </w:tc>
      </w:tr>
      <w:tr>
        <w:trPr>
          <w:trHeight w:val="191"/>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Decrease in accounts payable</w:t>
            </w:r>
          </w:p>
        </w:tc>
        <w:tc>
          <w:tcPr>
            <w:tcW w:w="2460" w:type="dxa"/>
            <w:vAlign w:val="bottom"/>
            <w:tcBorders>
              <w:bottom w:val="single" w:sz="8" w:color="auto"/>
            </w:tcBorders>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(57)</w:t>
            </w: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r>
        <w:trPr>
          <w:trHeight w:val="182"/>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Cash provided by operations</w:t>
            </w:r>
          </w:p>
        </w:tc>
        <w:tc>
          <w:tcPr>
            <w:tcW w:w="2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284,190</w:t>
            </w: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176,260</w:t>
            </w: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paid</w:t>
            </w:r>
          </w:p>
        </w:tc>
        <w:tc>
          <w:tcPr>
            <w:tcW w:w="2460" w:type="dxa"/>
            <w:vAlign w:val="bottom"/>
            <w:shd w:val="clear" w:color="auto" w:fill="CCEEFF"/>
          </w:tcPr>
          <w:p>
            <w:pPr>
              <w:spacing w:after="0"/>
              <w:rPr>
                <w:sz w:val="16"/>
                <w:szCs w:val="16"/>
                <w:color w:val="auto"/>
              </w:rPr>
            </w:pPr>
          </w:p>
        </w:tc>
        <w:tc>
          <w:tcPr>
            <w:tcW w:w="190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r>
        <w:trPr>
          <w:trHeight w:val="18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Income taxes paid</w:t>
            </w:r>
          </w:p>
        </w:tc>
        <w:tc>
          <w:tcPr>
            <w:tcW w:w="2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(125)</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(963)</w:t>
            </w:r>
          </w:p>
        </w:tc>
      </w:tr>
      <w:tr>
        <w:trPr>
          <w:trHeight w:val="182"/>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cash inflow from operating activities</w:t>
            </w:r>
          </w:p>
        </w:tc>
        <w:tc>
          <w:tcPr>
            <w:tcW w:w="246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284,065</w:t>
            </w: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175,297</w:t>
            </w:r>
          </w:p>
        </w:tc>
      </w:tr>
      <w:tr>
        <w:trPr>
          <w:trHeight w:val="182"/>
        </w:trPr>
        <w:tc>
          <w:tcPr>
            <w:tcW w:w="584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2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9"/>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computer software</w:t>
            </w:r>
          </w:p>
        </w:tc>
        <w:tc>
          <w:tcPr>
            <w:tcW w:w="2460" w:type="dxa"/>
            <w:vAlign w:val="bottom"/>
            <w:shd w:val="clear" w:color="auto" w:fill="CCEEFF"/>
          </w:tcPr>
          <w:p>
            <w:pPr>
              <w:jc w:val="center"/>
              <w:ind w:left="1596"/>
              <w:spacing w:after="0"/>
              <w:rPr>
                <w:sz w:val="20"/>
                <w:szCs w:val="20"/>
                <w:color w:val="auto"/>
              </w:rPr>
            </w:pPr>
            <w:r>
              <w:rPr>
                <w:rFonts w:ascii="Arial" w:cs="Arial" w:eastAsia="Arial" w:hAnsi="Arial"/>
                <w:sz w:val="13"/>
                <w:szCs w:val="13"/>
                <w:i w:val="1"/>
                <w:iCs w:val="1"/>
                <w:color w:val="auto"/>
              </w:rPr>
              <w:t>2</w:t>
            </w:r>
          </w:p>
        </w:tc>
        <w:tc>
          <w:tcPr>
            <w:tcW w:w="190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(3)</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(122)</w:t>
            </w:r>
          </w:p>
        </w:tc>
      </w:tr>
      <w:tr>
        <w:trPr>
          <w:trHeight w:val="183"/>
        </w:trPr>
        <w:tc>
          <w:tcPr>
            <w:tcW w:w="5840" w:type="dxa"/>
            <w:vAlign w:val="bottom"/>
          </w:tcPr>
          <w:p>
            <w:pPr>
              <w:ind w:left="20"/>
              <w:spacing w:after="0"/>
              <w:rPr>
                <w:sz w:val="20"/>
                <w:szCs w:val="20"/>
                <w:color w:val="auto"/>
              </w:rPr>
            </w:pPr>
            <w:r>
              <w:rPr>
                <w:rFonts w:ascii="Arial" w:cs="Arial" w:eastAsia="Arial" w:hAnsi="Arial"/>
                <w:sz w:val="13"/>
                <w:szCs w:val="13"/>
                <w:color w:val="auto"/>
              </w:rPr>
              <w:t>Purchase of property, plant and equipment</w:t>
            </w:r>
          </w:p>
        </w:tc>
        <w:tc>
          <w:tcPr>
            <w:tcW w:w="2460" w:type="dxa"/>
            <w:vAlign w:val="bottom"/>
          </w:tcPr>
          <w:p>
            <w:pPr>
              <w:jc w:val="center"/>
              <w:ind w:left="1596"/>
              <w:spacing w:after="0"/>
              <w:rPr>
                <w:sz w:val="20"/>
                <w:szCs w:val="20"/>
                <w:color w:val="auto"/>
              </w:rPr>
            </w:pPr>
            <w:r>
              <w:rPr>
                <w:rFonts w:ascii="Arial" w:cs="Arial" w:eastAsia="Arial" w:hAnsi="Arial"/>
                <w:sz w:val="13"/>
                <w:szCs w:val="13"/>
                <w:i w:val="1"/>
                <w:iCs w:val="1"/>
                <w:color w:val="auto"/>
              </w:rPr>
              <w:t>1</w:t>
            </w:r>
          </w:p>
        </w:tc>
        <w:tc>
          <w:tcPr>
            <w:tcW w:w="1900" w:type="dxa"/>
            <w:vAlign w:val="bottom"/>
          </w:tcPr>
          <w:p>
            <w:pPr>
              <w:jc w:val="right"/>
              <w:ind w:right="456"/>
              <w:spacing w:after="0"/>
              <w:rPr>
                <w:sz w:val="20"/>
                <w:szCs w:val="20"/>
                <w:color w:val="auto"/>
              </w:rPr>
            </w:pPr>
            <w:r>
              <w:rPr>
                <w:rFonts w:ascii="Arial" w:cs="Arial" w:eastAsia="Arial" w:hAnsi="Arial"/>
                <w:sz w:val="13"/>
                <w:szCs w:val="13"/>
                <w:b w:val="1"/>
                <w:bCs w:val="1"/>
                <w:color w:val="auto"/>
              </w:rPr>
              <w:t>(192)</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(832)</w:t>
            </w:r>
          </w:p>
        </w:tc>
      </w:tr>
      <w:tr>
        <w:trPr>
          <w:trHeight w:val="199"/>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 of property, plant and equipment</w:t>
            </w:r>
          </w:p>
        </w:tc>
        <w:tc>
          <w:tcPr>
            <w:tcW w:w="2460" w:type="dxa"/>
            <w:vAlign w:val="bottom"/>
            <w:shd w:val="clear" w:color="auto" w:fill="CCEEFF"/>
          </w:tcPr>
          <w:p>
            <w:pPr>
              <w:jc w:val="center"/>
              <w:ind w:left="1596"/>
              <w:spacing w:after="0"/>
              <w:rPr>
                <w:sz w:val="20"/>
                <w:szCs w:val="20"/>
                <w:color w:val="auto"/>
              </w:rPr>
            </w:pPr>
            <w:r>
              <w:rPr>
                <w:rFonts w:ascii="Arial" w:cs="Arial" w:eastAsia="Arial" w:hAnsi="Arial"/>
                <w:sz w:val="13"/>
                <w:szCs w:val="13"/>
                <w:i w:val="1"/>
                <w:iCs w:val="1"/>
                <w:color w:val="auto"/>
              </w:rPr>
              <w:t>1</w:t>
            </w:r>
          </w:p>
        </w:tc>
        <w:tc>
          <w:tcPr>
            <w:tcW w:w="190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82</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r>
        <w:trPr>
          <w:trHeight w:val="183"/>
        </w:trPr>
        <w:tc>
          <w:tcPr>
            <w:tcW w:w="5840" w:type="dxa"/>
            <w:vAlign w:val="bottom"/>
          </w:tcPr>
          <w:p>
            <w:pPr>
              <w:ind w:left="20"/>
              <w:spacing w:after="0"/>
              <w:rPr>
                <w:sz w:val="20"/>
                <w:szCs w:val="20"/>
                <w:color w:val="auto"/>
              </w:rPr>
            </w:pPr>
            <w:r>
              <w:rPr>
                <w:rFonts w:ascii="Arial" w:cs="Arial" w:eastAsia="Arial" w:hAnsi="Arial"/>
                <w:sz w:val="13"/>
                <w:szCs w:val="13"/>
                <w:color w:val="auto"/>
              </w:rPr>
              <w:t>Increase in amounts due from/to subsidiary undertakings</w:t>
            </w:r>
          </w:p>
        </w:tc>
        <w:tc>
          <w:tcPr>
            <w:tcW w:w="2460" w:type="dxa"/>
            <w:vAlign w:val="bottom"/>
          </w:tcPr>
          <w:p>
            <w:pPr>
              <w:jc w:val="center"/>
              <w:ind w:left="1596"/>
              <w:spacing w:after="0"/>
              <w:rPr>
                <w:sz w:val="20"/>
                <w:szCs w:val="20"/>
                <w:color w:val="auto"/>
              </w:rPr>
            </w:pPr>
            <w:r>
              <w:rPr>
                <w:rFonts w:ascii="Arial" w:cs="Arial" w:eastAsia="Arial" w:hAnsi="Arial"/>
                <w:sz w:val="13"/>
                <w:szCs w:val="13"/>
                <w:i w:val="1"/>
                <w:iCs w:val="1"/>
                <w:color w:val="auto"/>
              </w:rPr>
              <w:t>6</w:t>
            </w:r>
          </w:p>
        </w:tc>
        <w:tc>
          <w:tcPr>
            <w:tcW w:w="1900" w:type="dxa"/>
            <w:vAlign w:val="bottom"/>
          </w:tcPr>
          <w:p>
            <w:pPr>
              <w:jc w:val="right"/>
              <w:ind w:right="456"/>
              <w:spacing w:after="0"/>
              <w:rPr>
                <w:sz w:val="20"/>
                <w:szCs w:val="20"/>
                <w:color w:val="auto"/>
              </w:rPr>
            </w:pPr>
            <w:r>
              <w:rPr>
                <w:rFonts w:ascii="Arial" w:cs="Arial" w:eastAsia="Arial" w:hAnsi="Arial"/>
                <w:sz w:val="13"/>
                <w:szCs w:val="13"/>
                <w:b w:val="1"/>
                <w:bCs w:val="1"/>
                <w:color w:val="auto"/>
              </w:rPr>
              <w:t>(77,935)</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(13,954)</w:t>
            </w:r>
          </w:p>
        </w:tc>
      </w:tr>
      <w:tr>
        <w:trPr>
          <w:trHeight w:val="191"/>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(Increase)/decrease in investment in subsidiaries</w:t>
            </w:r>
          </w:p>
        </w:tc>
        <w:tc>
          <w:tcPr>
            <w:tcW w:w="2460" w:type="dxa"/>
            <w:vAlign w:val="bottom"/>
            <w:tcBorders>
              <w:bottom w:val="single" w:sz="8" w:color="auto"/>
            </w:tcBorders>
            <w:shd w:val="clear" w:color="auto" w:fill="CCEEFF"/>
          </w:tcPr>
          <w:p>
            <w:pPr>
              <w:jc w:val="center"/>
              <w:ind w:left="1596"/>
              <w:spacing w:after="0"/>
              <w:rPr>
                <w:sz w:val="20"/>
                <w:szCs w:val="20"/>
                <w:color w:val="auto"/>
              </w:rPr>
            </w:pPr>
            <w:r>
              <w:rPr>
                <w:rFonts w:ascii="Arial" w:cs="Arial" w:eastAsia="Arial" w:hAnsi="Arial"/>
                <w:sz w:val="13"/>
                <w:szCs w:val="13"/>
                <w:i w:val="1"/>
                <w:iCs w:val="1"/>
                <w:color w:val="auto"/>
              </w:rPr>
              <w:t>3</w:t>
            </w:r>
          </w:p>
        </w:tc>
        <w:tc>
          <w:tcPr>
            <w:tcW w:w="19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(2,977)</w:t>
            </w: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330</w:t>
            </w:r>
          </w:p>
        </w:tc>
      </w:tr>
      <w:tr>
        <w:trPr>
          <w:trHeight w:val="182"/>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cash used by investing activities</w:t>
            </w:r>
          </w:p>
        </w:tc>
        <w:tc>
          <w:tcPr>
            <w:tcW w:w="2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(81,025)</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(14,578)</w:t>
            </w: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24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3"/>
        </w:trPr>
        <w:tc>
          <w:tcPr>
            <w:tcW w:w="5840" w:type="dxa"/>
            <w:vAlign w:val="bottom"/>
          </w:tcPr>
          <w:p>
            <w:pPr>
              <w:ind w:left="20"/>
              <w:spacing w:after="0"/>
              <w:rPr>
                <w:sz w:val="20"/>
                <w:szCs w:val="20"/>
                <w:color w:val="auto"/>
              </w:rPr>
            </w:pPr>
            <w:r>
              <w:rPr>
                <w:rFonts w:ascii="Arial" w:cs="Arial" w:eastAsia="Arial" w:hAnsi="Arial"/>
                <w:sz w:val="13"/>
                <w:szCs w:val="13"/>
                <w:color w:val="auto"/>
              </w:rPr>
              <w:t>Proceeds from exercise of share options</w:t>
            </w:r>
          </w:p>
        </w:tc>
        <w:tc>
          <w:tcPr>
            <w:tcW w:w="2460" w:type="dxa"/>
            <w:vAlign w:val="bottom"/>
          </w:tcPr>
          <w:p>
            <w:pPr>
              <w:spacing w:after="0"/>
              <w:rPr>
                <w:sz w:val="15"/>
                <w:szCs w:val="15"/>
                <w:color w:val="auto"/>
              </w:rPr>
            </w:pPr>
          </w:p>
        </w:tc>
        <w:tc>
          <w:tcPr>
            <w:tcW w:w="1900" w:type="dxa"/>
            <w:vAlign w:val="bottom"/>
          </w:tcPr>
          <w:p>
            <w:pPr>
              <w:jc w:val="right"/>
              <w:ind w:right="496"/>
              <w:spacing w:after="0"/>
              <w:rPr>
                <w:sz w:val="20"/>
                <w:szCs w:val="20"/>
                <w:color w:val="auto"/>
              </w:rPr>
            </w:pPr>
            <w:r>
              <w:rPr>
                <w:rFonts w:ascii="Arial" w:cs="Arial" w:eastAsia="Arial" w:hAnsi="Arial"/>
                <w:sz w:val="13"/>
                <w:szCs w:val="13"/>
                <w:b w:val="1"/>
                <w:bCs w:val="1"/>
                <w:color w:val="auto"/>
              </w:rPr>
              <w:t>21,645</w:t>
            </w:r>
          </w:p>
        </w:tc>
        <w:tc>
          <w:tcPr>
            <w:tcW w:w="1080" w:type="dxa"/>
            <w:vAlign w:val="bottom"/>
          </w:tcPr>
          <w:p>
            <w:pPr>
              <w:jc w:val="right"/>
              <w:ind w:right="76"/>
              <w:spacing w:after="0"/>
              <w:rPr>
                <w:sz w:val="20"/>
                <w:szCs w:val="20"/>
                <w:color w:val="auto"/>
              </w:rPr>
            </w:pPr>
            <w:r>
              <w:rPr>
                <w:rFonts w:ascii="Arial" w:cs="Arial" w:eastAsia="Arial" w:hAnsi="Arial"/>
                <w:sz w:val="13"/>
                <w:szCs w:val="13"/>
                <w:color w:val="auto"/>
              </w:rPr>
              <w:t>16,842</w:t>
            </w:r>
          </w:p>
        </w:tc>
      </w:tr>
      <w:tr>
        <w:trPr>
          <w:trHeight w:val="199"/>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issuance costs</w:t>
            </w:r>
          </w:p>
        </w:tc>
        <w:tc>
          <w:tcPr>
            <w:tcW w:w="246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(13)</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w:t>
            </w:r>
          </w:p>
        </w:tc>
      </w:tr>
      <w:tr>
        <w:trPr>
          <w:trHeight w:val="183"/>
        </w:trPr>
        <w:tc>
          <w:tcPr>
            <w:tcW w:w="5840" w:type="dxa"/>
            <w:vAlign w:val="bottom"/>
          </w:tcPr>
          <w:p>
            <w:pPr>
              <w:ind w:left="20"/>
              <w:spacing w:after="0"/>
              <w:rPr>
                <w:sz w:val="20"/>
                <w:szCs w:val="20"/>
                <w:color w:val="auto"/>
              </w:rPr>
            </w:pPr>
            <w:r>
              <w:rPr>
                <w:rFonts w:ascii="Arial" w:cs="Arial" w:eastAsia="Arial" w:hAnsi="Arial"/>
                <w:sz w:val="13"/>
                <w:szCs w:val="13"/>
                <w:color w:val="auto"/>
              </w:rPr>
              <w:t>Payment of lease liabilities</w:t>
            </w:r>
          </w:p>
        </w:tc>
        <w:tc>
          <w:tcPr>
            <w:tcW w:w="2460" w:type="dxa"/>
            <w:vAlign w:val="bottom"/>
          </w:tcPr>
          <w:p>
            <w:pPr>
              <w:jc w:val="center"/>
              <w:ind w:left="1596"/>
              <w:spacing w:after="0"/>
              <w:rPr>
                <w:sz w:val="20"/>
                <w:szCs w:val="20"/>
                <w:color w:val="auto"/>
              </w:rPr>
            </w:pPr>
            <w:r>
              <w:rPr>
                <w:rFonts w:ascii="Arial" w:cs="Arial" w:eastAsia="Arial" w:hAnsi="Arial"/>
                <w:sz w:val="13"/>
                <w:szCs w:val="13"/>
                <w:i w:val="1"/>
                <w:iCs w:val="1"/>
                <w:color w:val="auto"/>
              </w:rPr>
              <w:t>9</w:t>
            </w:r>
          </w:p>
        </w:tc>
        <w:tc>
          <w:tcPr>
            <w:tcW w:w="1900" w:type="dxa"/>
            <w:vAlign w:val="bottom"/>
          </w:tcPr>
          <w:p>
            <w:pPr>
              <w:jc w:val="right"/>
              <w:ind w:right="456"/>
              <w:spacing w:after="0"/>
              <w:rPr>
                <w:sz w:val="20"/>
                <w:szCs w:val="20"/>
                <w:color w:val="auto"/>
              </w:rPr>
            </w:pPr>
            <w:r>
              <w:rPr>
                <w:rFonts w:ascii="Arial" w:cs="Arial" w:eastAsia="Arial" w:hAnsi="Arial"/>
                <w:sz w:val="13"/>
                <w:szCs w:val="13"/>
                <w:b w:val="1"/>
                <w:bCs w:val="1"/>
                <w:color w:val="auto"/>
              </w:rPr>
              <w:t>(1,383)</w:t>
            </w:r>
          </w:p>
        </w:tc>
        <w:tc>
          <w:tcPr>
            <w:tcW w:w="1080" w:type="dxa"/>
            <w:vAlign w:val="bottom"/>
          </w:tcPr>
          <w:p>
            <w:pPr>
              <w:jc w:val="right"/>
              <w:ind w:right="76"/>
              <w:spacing w:after="0"/>
              <w:rPr>
                <w:sz w:val="20"/>
                <w:szCs w:val="20"/>
                <w:color w:val="auto"/>
              </w:rPr>
            </w:pPr>
            <w:r>
              <w:rPr>
                <w:rFonts w:ascii="Arial" w:cs="Arial" w:eastAsia="Arial" w:hAnsi="Arial"/>
                <w:sz w:val="13"/>
                <w:szCs w:val="13"/>
                <w:color w:val="auto"/>
              </w:rPr>
              <w:t>—</w:t>
            </w:r>
          </w:p>
        </w:tc>
      </w:tr>
      <w:tr>
        <w:trPr>
          <w:trHeight w:val="199"/>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of ordinary shares</w:t>
            </w:r>
          </w:p>
        </w:tc>
        <w:tc>
          <w:tcPr>
            <w:tcW w:w="246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(146,931)</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(128,960)</w:t>
            </w:r>
          </w:p>
        </w:tc>
      </w:tr>
      <w:tr>
        <w:trPr>
          <w:trHeight w:val="18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 repurchase costs</w:t>
            </w:r>
          </w:p>
        </w:tc>
        <w:tc>
          <w:tcPr>
            <w:tcW w:w="2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(107)</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(66)</w:t>
            </w:r>
          </w:p>
        </w:tc>
      </w:tr>
      <w:tr>
        <w:trPr>
          <w:trHeight w:val="182"/>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cash used in financing activities</w:t>
            </w:r>
          </w:p>
        </w:tc>
        <w:tc>
          <w:tcPr>
            <w:tcW w:w="246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(126,789)</w:t>
            </w: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(112,200)</w:t>
            </w:r>
          </w:p>
        </w:tc>
      </w:tr>
      <w:tr>
        <w:trPr>
          <w:trHeight w:val="182"/>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increase in cash and cash equivalents</w:t>
            </w:r>
          </w:p>
        </w:tc>
        <w:tc>
          <w:tcPr>
            <w:tcW w:w="2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76,251</w:t>
            </w: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48,519</w:t>
            </w:r>
          </w:p>
        </w:tc>
      </w:tr>
      <w:tr>
        <w:trPr>
          <w:trHeight w:val="189"/>
        </w:trPr>
        <w:tc>
          <w:tcPr>
            <w:tcW w:w="5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w:t>
            </w:r>
          </w:p>
        </w:tc>
        <w:tc>
          <w:tcPr>
            <w:tcW w:w="2460" w:type="dxa"/>
            <w:vAlign w:val="bottom"/>
            <w:shd w:val="clear" w:color="auto" w:fill="CCEEFF"/>
          </w:tcPr>
          <w:p>
            <w:pPr>
              <w:spacing w:after="0"/>
              <w:rPr>
                <w:sz w:val="16"/>
                <w:szCs w:val="16"/>
                <w:color w:val="auto"/>
              </w:rPr>
            </w:pPr>
          </w:p>
        </w:tc>
        <w:tc>
          <w:tcPr>
            <w:tcW w:w="1900" w:type="dxa"/>
            <w:vAlign w:val="bottom"/>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r>
        <w:trPr>
          <w:trHeight w:val="18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Cash and cash equivalents at start of year</w:t>
            </w:r>
          </w:p>
        </w:tc>
        <w:tc>
          <w:tcPr>
            <w:tcW w:w="2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100,048</w:t>
            </w: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51,529</w:t>
            </w:r>
          </w:p>
        </w:tc>
      </w:tr>
      <w:tr>
        <w:trPr>
          <w:trHeight w:val="190"/>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end of year</w:t>
            </w:r>
          </w:p>
        </w:tc>
        <w:tc>
          <w:tcPr>
            <w:tcW w:w="2460" w:type="dxa"/>
            <w:vAlign w:val="bottom"/>
            <w:tcBorders>
              <w:bottom w:val="single" w:sz="8" w:color="auto"/>
            </w:tcBorders>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176,299</w:t>
            </w: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100,048</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1280"/>
          </w:cols>
          <w:pgMar w:left="300" w:top="907" w:right="31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Borders>
              <w:bottom w:val="single" w:sz="8" w:color="auto"/>
            </w:tcBorders>
            <w:shd w:val="clear" w:color="auto" w:fill="CCEEFF"/>
          </w:tcPr>
          <w:p>
            <w:pPr>
              <w:spacing w:after="0"/>
              <w:rPr>
                <w:sz w:val="16"/>
                <w:szCs w:val="16"/>
                <w:color w:val="auto"/>
              </w:rPr>
            </w:pPr>
          </w:p>
        </w:tc>
        <w:tc>
          <w:tcPr>
            <w:tcW w:w="33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Leasehold improvements</w:t>
            </w:r>
          </w:p>
        </w:tc>
        <w:tc>
          <w:tcPr>
            <w:tcW w:w="15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Computer equipment</w:t>
            </w:r>
          </w:p>
        </w:tc>
        <w:tc>
          <w:tcPr>
            <w:tcW w:w="21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Office furniture &amp; fixtures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5"/>
        </w:trPr>
        <w:tc>
          <w:tcPr>
            <w:tcW w:w="3260" w:type="dxa"/>
            <w:vAlign w:val="bottom"/>
          </w:tcPr>
          <w:p>
            <w:pPr>
              <w:spacing w:after="0"/>
              <w:rPr>
                <w:sz w:val="15"/>
                <w:szCs w:val="15"/>
                <w:color w:val="auto"/>
              </w:rPr>
            </w:pPr>
          </w:p>
        </w:tc>
        <w:tc>
          <w:tcPr>
            <w:tcW w:w="334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540" w:type="dxa"/>
            <w:vAlign w:val="bottom"/>
          </w:tcPr>
          <w:p>
            <w:pPr>
              <w:jc w:val="right"/>
              <w:ind w:right="16"/>
              <w:spacing w:after="0"/>
              <w:rPr>
                <w:sz w:val="20"/>
                <w:szCs w:val="20"/>
                <w:color w:val="auto"/>
              </w:rPr>
            </w:pPr>
            <w:r>
              <w:rPr>
                <w:rFonts w:ascii="Arial" w:cs="Arial" w:eastAsia="Arial" w:hAnsi="Arial"/>
                <w:sz w:val="13"/>
                <w:szCs w:val="13"/>
                <w:b w:val="1"/>
                <w:bCs w:val="1"/>
                <w:color w:val="auto"/>
              </w:rPr>
              <w:t>$’000</w:t>
            </w:r>
          </w:p>
        </w:tc>
        <w:tc>
          <w:tcPr>
            <w:tcW w:w="2160" w:type="dxa"/>
            <w:vAlign w:val="bottom"/>
          </w:tcPr>
          <w:p>
            <w:pPr>
              <w:jc w:val="right"/>
              <w:ind w:right="45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99"/>
        </w:trPr>
        <w:tc>
          <w:tcPr>
            <w:tcW w:w="3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33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3"/>
        </w:trPr>
        <w:tc>
          <w:tcPr>
            <w:tcW w:w="3260" w:type="dxa"/>
            <w:vAlign w:val="bottom"/>
          </w:tcPr>
          <w:p>
            <w:pPr>
              <w:ind w:left="20"/>
              <w:spacing w:after="0"/>
              <w:rPr>
                <w:sz w:val="20"/>
                <w:szCs w:val="20"/>
                <w:color w:val="auto"/>
              </w:rPr>
            </w:pPr>
            <w:r>
              <w:rPr>
                <w:rFonts w:ascii="Arial" w:cs="Arial" w:eastAsia="Arial" w:hAnsi="Arial"/>
                <w:sz w:val="13"/>
                <w:szCs w:val="13"/>
                <w:color w:val="auto"/>
              </w:rPr>
              <w:t>At 1 January 2019</w:t>
            </w:r>
          </w:p>
        </w:tc>
        <w:tc>
          <w:tcPr>
            <w:tcW w:w="3340" w:type="dxa"/>
            <w:vAlign w:val="bottom"/>
          </w:tcPr>
          <w:p>
            <w:pPr>
              <w:jc w:val="right"/>
              <w:ind w:right="236"/>
              <w:spacing w:after="0"/>
              <w:rPr>
                <w:sz w:val="20"/>
                <w:szCs w:val="20"/>
                <w:color w:val="auto"/>
              </w:rPr>
            </w:pPr>
            <w:r>
              <w:rPr>
                <w:rFonts w:ascii="Arial" w:cs="Arial" w:eastAsia="Arial" w:hAnsi="Arial"/>
                <w:sz w:val="13"/>
                <w:szCs w:val="13"/>
                <w:color w:val="auto"/>
              </w:rPr>
              <w:t>990</w:t>
            </w:r>
          </w:p>
        </w:tc>
        <w:tc>
          <w:tcPr>
            <w:tcW w:w="1540" w:type="dxa"/>
            <w:vAlign w:val="bottom"/>
          </w:tcPr>
          <w:p>
            <w:pPr>
              <w:jc w:val="right"/>
              <w:ind w:right="156"/>
              <w:spacing w:after="0"/>
              <w:rPr>
                <w:sz w:val="20"/>
                <w:szCs w:val="20"/>
                <w:color w:val="auto"/>
              </w:rPr>
            </w:pPr>
            <w:r>
              <w:rPr>
                <w:rFonts w:ascii="Arial" w:cs="Arial" w:eastAsia="Arial" w:hAnsi="Arial"/>
                <w:sz w:val="13"/>
                <w:szCs w:val="13"/>
                <w:color w:val="auto"/>
              </w:rPr>
              <w:t>1,933</w:t>
            </w:r>
          </w:p>
        </w:tc>
        <w:tc>
          <w:tcPr>
            <w:tcW w:w="2160" w:type="dxa"/>
            <w:vAlign w:val="bottom"/>
          </w:tcPr>
          <w:p>
            <w:pPr>
              <w:jc w:val="right"/>
              <w:ind w:right="596"/>
              <w:spacing w:after="0"/>
              <w:rPr>
                <w:sz w:val="20"/>
                <w:szCs w:val="20"/>
                <w:color w:val="auto"/>
              </w:rPr>
            </w:pPr>
            <w:r>
              <w:rPr>
                <w:rFonts w:ascii="Arial" w:cs="Arial" w:eastAsia="Arial" w:hAnsi="Arial"/>
                <w:sz w:val="13"/>
                <w:szCs w:val="13"/>
                <w:color w:val="auto"/>
              </w:rPr>
              <w:t>1,743</w:t>
            </w:r>
          </w:p>
        </w:tc>
        <w:tc>
          <w:tcPr>
            <w:tcW w:w="980" w:type="dxa"/>
            <w:vAlign w:val="bottom"/>
          </w:tcPr>
          <w:p>
            <w:pPr>
              <w:jc w:val="right"/>
              <w:ind w:right="76"/>
              <w:spacing w:after="0"/>
              <w:rPr>
                <w:sz w:val="20"/>
                <w:szCs w:val="20"/>
                <w:color w:val="auto"/>
              </w:rPr>
            </w:pPr>
            <w:r>
              <w:rPr>
                <w:rFonts w:ascii="Arial" w:cs="Arial" w:eastAsia="Arial" w:hAnsi="Arial"/>
                <w:sz w:val="13"/>
                <w:szCs w:val="13"/>
                <w:color w:val="auto"/>
              </w:rPr>
              <w:t>4,666</w:t>
            </w:r>
          </w:p>
        </w:tc>
      </w:tr>
      <w:tr>
        <w:trPr>
          <w:trHeight w:val="199"/>
        </w:trPr>
        <w:tc>
          <w:tcPr>
            <w:tcW w:w="3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33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9</w:t>
            </w:r>
          </w:p>
        </w:tc>
        <w:tc>
          <w:tcPr>
            <w:tcW w:w="15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29</w:t>
            </w:r>
          </w:p>
        </w:tc>
        <w:tc>
          <w:tcPr>
            <w:tcW w:w="21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rPr>
              <w:t>154</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192</w:t>
            </w:r>
          </w:p>
        </w:tc>
      </w:tr>
      <w:tr>
        <w:trPr>
          <w:trHeight w:val="183"/>
        </w:trPr>
        <w:tc>
          <w:tcPr>
            <w:tcW w:w="3260" w:type="dxa"/>
            <w:vAlign w:val="bottom"/>
          </w:tcPr>
          <w:p>
            <w:pPr>
              <w:ind w:left="20"/>
              <w:spacing w:after="0"/>
              <w:rPr>
                <w:sz w:val="20"/>
                <w:szCs w:val="20"/>
                <w:color w:val="auto"/>
              </w:rPr>
            </w:pPr>
            <w:r>
              <w:rPr>
                <w:rFonts w:ascii="Arial" w:cs="Arial" w:eastAsia="Arial" w:hAnsi="Arial"/>
                <w:sz w:val="13"/>
                <w:szCs w:val="13"/>
                <w:color w:val="auto"/>
              </w:rPr>
              <w:t>Dispoals</w:t>
            </w:r>
          </w:p>
        </w:tc>
        <w:tc>
          <w:tcPr>
            <w:tcW w:w="334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5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2160" w:type="dxa"/>
            <w:vAlign w:val="bottom"/>
          </w:tcPr>
          <w:p>
            <w:pPr>
              <w:jc w:val="right"/>
              <w:ind w:right="556"/>
              <w:spacing w:after="0"/>
              <w:rPr>
                <w:sz w:val="20"/>
                <w:szCs w:val="20"/>
                <w:color w:val="auto"/>
              </w:rPr>
            </w:pPr>
            <w:r>
              <w:rPr>
                <w:rFonts w:ascii="Arial" w:cs="Arial" w:eastAsia="Arial" w:hAnsi="Arial"/>
                <w:sz w:val="13"/>
                <w:szCs w:val="13"/>
                <w:color w:val="auto"/>
              </w:rPr>
              <w:t>(82)</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(82)</w:t>
            </w:r>
          </w:p>
        </w:tc>
      </w:tr>
      <w:tr>
        <w:trPr>
          <w:trHeight w:val="191"/>
        </w:trPr>
        <w:tc>
          <w:tcPr>
            <w:tcW w:w="3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currency movement</w:t>
            </w:r>
          </w:p>
        </w:tc>
        <w:tc>
          <w:tcPr>
            <w:tcW w:w="33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(19)</w:t>
            </w:r>
          </w:p>
        </w:tc>
        <w:tc>
          <w:tcPr>
            <w:tcW w:w="15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(42)</w:t>
            </w:r>
          </w:p>
        </w:tc>
        <w:tc>
          <w:tcPr>
            <w:tcW w:w="21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(32)</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(93)</w:t>
            </w:r>
          </w:p>
        </w:tc>
      </w:tr>
      <w:tr>
        <w:trPr>
          <w:trHeight w:val="157"/>
        </w:trPr>
        <w:tc>
          <w:tcPr>
            <w:tcW w:w="32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3"/>
        </w:trPr>
        <w:tc>
          <w:tcPr>
            <w:tcW w:w="3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2019</w:t>
            </w:r>
          </w:p>
        </w:tc>
        <w:tc>
          <w:tcPr>
            <w:tcW w:w="33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980</w:t>
            </w:r>
          </w:p>
        </w:tc>
        <w:tc>
          <w:tcPr>
            <w:tcW w:w="15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1,920</w:t>
            </w:r>
          </w:p>
        </w:tc>
        <w:tc>
          <w:tcPr>
            <w:tcW w:w="216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1,783</w:t>
            </w:r>
          </w:p>
        </w:tc>
        <w:tc>
          <w:tcPr>
            <w:tcW w:w="9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4,683</w:t>
            </w:r>
          </w:p>
        </w:tc>
      </w:tr>
      <w:tr>
        <w:trPr>
          <w:trHeight w:val="157"/>
        </w:trPr>
        <w:tc>
          <w:tcPr>
            <w:tcW w:w="32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91"/>
        </w:trPr>
        <w:tc>
          <w:tcPr>
            <w:tcW w:w="3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Depreciation</w:t>
            </w:r>
          </w:p>
        </w:tc>
        <w:tc>
          <w:tcPr>
            <w:tcW w:w="33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3"/>
        </w:trPr>
        <w:tc>
          <w:tcPr>
            <w:tcW w:w="3260" w:type="dxa"/>
            <w:vAlign w:val="bottom"/>
          </w:tcPr>
          <w:p>
            <w:pPr>
              <w:ind w:left="20"/>
              <w:spacing w:after="0"/>
              <w:rPr>
                <w:sz w:val="20"/>
                <w:szCs w:val="20"/>
                <w:color w:val="auto"/>
              </w:rPr>
            </w:pPr>
            <w:r>
              <w:rPr>
                <w:rFonts w:ascii="Arial" w:cs="Arial" w:eastAsia="Arial" w:hAnsi="Arial"/>
                <w:sz w:val="13"/>
                <w:szCs w:val="13"/>
                <w:color w:val="auto"/>
              </w:rPr>
              <w:t>At 1 January 2019</w:t>
            </w:r>
          </w:p>
        </w:tc>
        <w:tc>
          <w:tcPr>
            <w:tcW w:w="3340" w:type="dxa"/>
            <w:vAlign w:val="bottom"/>
          </w:tcPr>
          <w:p>
            <w:pPr>
              <w:jc w:val="right"/>
              <w:ind w:right="236"/>
              <w:spacing w:after="0"/>
              <w:rPr>
                <w:sz w:val="20"/>
                <w:szCs w:val="20"/>
                <w:color w:val="auto"/>
              </w:rPr>
            </w:pPr>
            <w:r>
              <w:rPr>
                <w:rFonts w:ascii="Arial" w:cs="Arial" w:eastAsia="Arial" w:hAnsi="Arial"/>
                <w:sz w:val="13"/>
                <w:szCs w:val="13"/>
                <w:color w:val="auto"/>
              </w:rPr>
              <w:t>942</w:t>
            </w:r>
          </w:p>
        </w:tc>
        <w:tc>
          <w:tcPr>
            <w:tcW w:w="1540" w:type="dxa"/>
            <w:vAlign w:val="bottom"/>
          </w:tcPr>
          <w:p>
            <w:pPr>
              <w:jc w:val="right"/>
              <w:ind w:right="156"/>
              <w:spacing w:after="0"/>
              <w:rPr>
                <w:sz w:val="20"/>
                <w:szCs w:val="20"/>
                <w:color w:val="auto"/>
              </w:rPr>
            </w:pPr>
            <w:r>
              <w:rPr>
                <w:rFonts w:ascii="Arial" w:cs="Arial" w:eastAsia="Arial" w:hAnsi="Arial"/>
                <w:sz w:val="13"/>
                <w:szCs w:val="13"/>
                <w:color w:val="auto"/>
              </w:rPr>
              <w:t>1,822</w:t>
            </w:r>
          </w:p>
        </w:tc>
        <w:tc>
          <w:tcPr>
            <w:tcW w:w="2160" w:type="dxa"/>
            <w:vAlign w:val="bottom"/>
          </w:tcPr>
          <w:p>
            <w:pPr>
              <w:jc w:val="right"/>
              <w:ind w:right="596"/>
              <w:spacing w:after="0"/>
              <w:rPr>
                <w:sz w:val="20"/>
                <w:szCs w:val="20"/>
                <w:color w:val="auto"/>
              </w:rPr>
            </w:pPr>
            <w:r>
              <w:rPr>
                <w:rFonts w:ascii="Arial" w:cs="Arial" w:eastAsia="Arial" w:hAnsi="Arial"/>
                <w:sz w:val="13"/>
                <w:szCs w:val="13"/>
                <w:color w:val="auto"/>
              </w:rPr>
              <w:t>1,211</w:t>
            </w:r>
          </w:p>
        </w:tc>
        <w:tc>
          <w:tcPr>
            <w:tcW w:w="980" w:type="dxa"/>
            <w:vAlign w:val="bottom"/>
          </w:tcPr>
          <w:p>
            <w:pPr>
              <w:jc w:val="right"/>
              <w:ind w:right="76"/>
              <w:spacing w:after="0"/>
              <w:rPr>
                <w:sz w:val="20"/>
                <w:szCs w:val="20"/>
                <w:color w:val="auto"/>
              </w:rPr>
            </w:pPr>
            <w:r>
              <w:rPr>
                <w:rFonts w:ascii="Arial" w:cs="Arial" w:eastAsia="Arial" w:hAnsi="Arial"/>
                <w:sz w:val="13"/>
                <w:szCs w:val="13"/>
                <w:color w:val="auto"/>
              </w:rPr>
              <w:t>3,975</w:t>
            </w:r>
          </w:p>
        </w:tc>
      </w:tr>
      <w:tr>
        <w:trPr>
          <w:trHeight w:val="199"/>
        </w:trPr>
        <w:tc>
          <w:tcPr>
            <w:tcW w:w="3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 for the year</w:t>
            </w:r>
          </w:p>
        </w:tc>
        <w:tc>
          <w:tcPr>
            <w:tcW w:w="33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34</w:t>
            </w:r>
          </w:p>
        </w:tc>
        <w:tc>
          <w:tcPr>
            <w:tcW w:w="15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58</w:t>
            </w:r>
          </w:p>
        </w:tc>
        <w:tc>
          <w:tcPr>
            <w:tcW w:w="21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rPr>
              <w:t>99</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191</w:t>
            </w:r>
          </w:p>
        </w:tc>
      </w:tr>
      <w:tr>
        <w:trPr>
          <w:trHeight w:val="183"/>
        </w:trPr>
        <w:tc>
          <w:tcPr>
            <w:tcW w:w="3260" w:type="dxa"/>
            <w:vAlign w:val="bottom"/>
          </w:tcPr>
          <w:p>
            <w:pPr>
              <w:ind w:left="20"/>
              <w:spacing w:after="0"/>
              <w:rPr>
                <w:sz w:val="20"/>
                <w:szCs w:val="20"/>
                <w:color w:val="auto"/>
              </w:rPr>
            </w:pPr>
            <w:r>
              <w:rPr>
                <w:rFonts w:ascii="Arial" w:cs="Arial" w:eastAsia="Arial" w:hAnsi="Arial"/>
                <w:sz w:val="13"/>
                <w:szCs w:val="13"/>
                <w:color w:val="auto"/>
              </w:rPr>
              <w:t>Eliminated on Disposals</w:t>
            </w:r>
          </w:p>
        </w:tc>
        <w:tc>
          <w:tcPr>
            <w:tcW w:w="334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54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2160" w:type="dxa"/>
            <w:vAlign w:val="bottom"/>
          </w:tcPr>
          <w:p>
            <w:pPr>
              <w:jc w:val="right"/>
              <w:ind w:right="556"/>
              <w:spacing w:after="0"/>
              <w:rPr>
                <w:sz w:val="20"/>
                <w:szCs w:val="20"/>
                <w:color w:val="auto"/>
              </w:rPr>
            </w:pPr>
            <w:r>
              <w:rPr>
                <w:rFonts w:ascii="Arial" w:cs="Arial" w:eastAsia="Arial" w:hAnsi="Arial"/>
                <w:sz w:val="13"/>
                <w:szCs w:val="13"/>
                <w:color w:val="auto"/>
              </w:rPr>
              <w:t>(10)</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(10)</w:t>
            </w:r>
          </w:p>
        </w:tc>
      </w:tr>
      <w:tr>
        <w:trPr>
          <w:trHeight w:val="191"/>
        </w:trPr>
        <w:tc>
          <w:tcPr>
            <w:tcW w:w="3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currency movement</w:t>
            </w:r>
          </w:p>
        </w:tc>
        <w:tc>
          <w:tcPr>
            <w:tcW w:w="33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(18)</w:t>
            </w:r>
          </w:p>
        </w:tc>
        <w:tc>
          <w:tcPr>
            <w:tcW w:w="15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(39)</w:t>
            </w:r>
          </w:p>
        </w:tc>
        <w:tc>
          <w:tcPr>
            <w:tcW w:w="21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(25)</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(82)</w:t>
            </w:r>
          </w:p>
        </w:tc>
      </w:tr>
      <w:tr>
        <w:trPr>
          <w:trHeight w:val="157"/>
        </w:trPr>
        <w:tc>
          <w:tcPr>
            <w:tcW w:w="32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3"/>
        </w:trPr>
        <w:tc>
          <w:tcPr>
            <w:tcW w:w="3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2019</w:t>
            </w:r>
          </w:p>
        </w:tc>
        <w:tc>
          <w:tcPr>
            <w:tcW w:w="33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958</w:t>
            </w:r>
          </w:p>
        </w:tc>
        <w:tc>
          <w:tcPr>
            <w:tcW w:w="15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1,841</w:t>
            </w:r>
          </w:p>
        </w:tc>
        <w:tc>
          <w:tcPr>
            <w:tcW w:w="216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1,275</w:t>
            </w:r>
          </w:p>
        </w:tc>
        <w:tc>
          <w:tcPr>
            <w:tcW w:w="9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4,074</w:t>
            </w:r>
          </w:p>
        </w:tc>
      </w:tr>
      <w:tr>
        <w:trPr>
          <w:trHeight w:val="157"/>
        </w:trPr>
        <w:tc>
          <w:tcPr>
            <w:tcW w:w="32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91"/>
        </w:trPr>
        <w:tc>
          <w:tcPr>
            <w:tcW w:w="3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book value</w:t>
            </w:r>
          </w:p>
        </w:tc>
        <w:tc>
          <w:tcPr>
            <w:tcW w:w="33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2"/>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2019</w:t>
            </w:r>
          </w:p>
        </w:tc>
        <w:tc>
          <w:tcPr>
            <w:tcW w:w="33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22</w:t>
            </w:r>
          </w:p>
        </w:tc>
        <w:tc>
          <w:tcPr>
            <w:tcW w:w="15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79</w:t>
            </w:r>
          </w:p>
        </w:tc>
        <w:tc>
          <w:tcPr>
            <w:tcW w:w="21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508</w:t>
            </w: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609</w:t>
            </w:r>
          </w:p>
        </w:tc>
      </w:tr>
      <w:tr>
        <w:trPr>
          <w:trHeight w:val="159"/>
        </w:trPr>
        <w:tc>
          <w:tcPr>
            <w:tcW w:w="3260" w:type="dxa"/>
            <w:vAlign w:val="bottom"/>
            <w:shd w:val="clear" w:color="auto" w:fill="CCEEFF"/>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92"/>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31 December 2018</w:t>
            </w:r>
          </w:p>
        </w:tc>
        <w:tc>
          <w:tcPr>
            <w:tcW w:w="33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48</w:t>
            </w:r>
          </w:p>
        </w:tc>
        <w:tc>
          <w:tcPr>
            <w:tcW w:w="15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111</w:t>
            </w:r>
          </w:p>
        </w:tc>
        <w:tc>
          <w:tcPr>
            <w:tcW w:w="21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color w:val="auto"/>
              </w:rPr>
              <w:t>532</w:t>
            </w: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691</w:t>
            </w:r>
          </w:p>
        </w:tc>
      </w:tr>
      <w:tr>
        <w:trPr>
          <w:trHeight w:val="95"/>
        </w:trPr>
        <w:tc>
          <w:tcPr>
            <w:tcW w:w="32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183"/>
        </w:trPr>
        <w:tc>
          <w:tcPr>
            <w:tcW w:w="3260" w:type="dxa"/>
            <w:vAlign w:val="bottom"/>
            <w:tcBorders>
              <w:bottom w:val="single" w:sz="8" w:color="auto"/>
            </w:tcBorders>
            <w:shd w:val="clear" w:color="auto" w:fill="CCEEFF"/>
          </w:tcPr>
          <w:p>
            <w:pPr>
              <w:spacing w:after="0"/>
              <w:rPr>
                <w:sz w:val="15"/>
                <w:szCs w:val="15"/>
                <w:color w:val="auto"/>
              </w:rPr>
            </w:pPr>
          </w:p>
        </w:tc>
        <w:tc>
          <w:tcPr>
            <w:tcW w:w="33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Leasehold improvements</w:t>
            </w:r>
          </w:p>
        </w:tc>
        <w:tc>
          <w:tcPr>
            <w:tcW w:w="15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Computer equipment</w:t>
            </w:r>
          </w:p>
        </w:tc>
        <w:tc>
          <w:tcPr>
            <w:tcW w:w="21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Office furniture &amp; fixtures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82"/>
        </w:trPr>
        <w:tc>
          <w:tcPr>
            <w:tcW w:w="3260" w:type="dxa"/>
            <w:vAlign w:val="bottom"/>
          </w:tcPr>
          <w:p>
            <w:pPr>
              <w:spacing w:after="0"/>
              <w:rPr>
                <w:sz w:val="15"/>
                <w:szCs w:val="15"/>
                <w:color w:val="auto"/>
              </w:rPr>
            </w:pPr>
          </w:p>
        </w:tc>
        <w:tc>
          <w:tcPr>
            <w:tcW w:w="3340" w:type="dxa"/>
            <w:vAlign w:val="bottom"/>
          </w:tcPr>
          <w:p>
            <w:pPr>
              <w:jc w:val="right"/>
              <w:ind w:right="96"/>
              <w:spacing w:after="0"/>
              <w:rPr>
                <w:sz w:val="20"/>
                <w:szCs w:val="20"/>
                <w:color w:val="auto"/>
              </w:rPr>
            </w:pPr>
            <w:r>
              <w:rPr>
                <w:rFonts w:ascii="Arial" w:cs="Arial" w:eastAsia="Arial" w:hAnsi="Arial"/>
                <w:sz w:val="13"/>
                <w:szCs w:val="13"/>
                <w:b w:val="1"/>
                <w:bCs w:val="1"/>
                <w:color w:val="auto"/>
              </w:rPr>
              <w:t>$’000</w:t>
            </w:r>
          </w:p>
        </w:tc>
        <w:tc>
          <w:tcPr>
            <w:tcW w:w="1540" w:type="dxa"/>
            <w:vAlign w:val="bottom"/>
          </w:tcPr>
          <w:p>
            <w:pPr>
              <w:jc w:val="right"/>
              <w:ind w:right="16"/>
              <w:spacing w:after="0"/>
              <w:rPr>
                <w:sz w:val="20"/>
                <w:szCs w:val="20"/>
                <w:color w:val="auto"/>
              </w:rPr>
            </w:pPr>
            <w:r>
              <w:rPr>
                <w:rFonts w:ascii="Arial" w:cs="Arial" w:eastAsia="Arial" w:hAnsi="Arial"/>
                <w:sz w:val="13"/>
                <w:szCs w:val="13"/>
                <w:b w:val="1"/>
                <w:bCs w:val="1"/>
                <w:color w:val="auto"/>
              </w:rPr>
              <w:t>$’000</w:t>
            </w:r>
          </w:p>
        </w:tc>
        <w:tc>
          <w:tcPr>
            <w:tcW w:w="2160" w:type="dxa"/>
            <w:vAlign w:val="bottom"/>
          </w:tcPr>
          <w:p>
            <w:pPr>
              <w:jc w:val="right"/>
              <w:ind w:right="45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99"/>
        </w:trPr>
        <w:tc>
          <w:tcPr>
            <w:tcW w:w="3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33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3"/>
        </w:trPr>
        <w:tc>
          <w:tcPr>
            <w:tcW w:w="3260" w:type="dxa"/>
            <w:vAlign w:val="bottom"/>
          </w:tcPr>
          <w:p>
            <w:pPr>
              <w:ind w:left="20"/>
              <w:spacing w:after="0"/>
              <w:rPr>
                <w:sz w:val="20"/>
                <w:szCs w:val="20"/>
                <w:color w:val="auto"/>
              </w:rPr>
            </w:pPr>
            <w:r>
              <w:rPr>
                <w:rFonts w:ascii="Arial" w:cs="Arial" w:eastAsia="Arial" w:hAnsi="Arial"/>
                <w:sz w:val="13"/>
                <w:szCs w:val="13"/>
                <w:color w:val="auto"/>
              </w:rPr>
              <w:t>At 1 January 2018</w:t>
            </w:r>
          </w:p>
        </w:tc>
        <w:tc>
          <w:tcPr>
            <w:tcW w:w="3340" w:type="dxa"/>
            <w:vAlign w:val="bottom"/>
          </w:tcPr>
          <w:p>
            <w:pPr>
              <w:jc w:val="right"/>
              <w:ind w:right="236"/>
              <w:spacing w:after="0"/>
              <w:rPr>
                <w:sz w:val="20"/>
                <w:szCs w:val="20"/>
                <w:color w:val="auto"/>
              </w:rPr>
            </w:pPr>
            <w:r>
              <w:rPr>
                <w:rFonts w:ascii="Arial" w:cs="Arial" w:eastAsia="Arial" w:hAnsi="Arial"/>
                <w:sz w:val="13"/>
                <w:szCs w:val="13"/>
                <w:color w:val="auto"/>
              </w:rPr>
              <w:t>855</w:t>
            </w:r>
          </w:p>
        </w:tc>
        <w:tc>
          <w:tcPr>
            <w:tcW w:w="1540" w:type="dxa"/>
            <w:vAlign w:val="bottom"/>
          </w:tcPr>
          <w:p>
            <w:pPr>
              <w:jc w:val="right"/>
              <w:ind w:right="156"/>
              <w:spacing w:after="0"/>
              <w:rPr>
                <w:sz w:val="20"/>
                <w:szCs w:val="20"/>
                <w:color w:val="auto"/>
              </w:rPr>
            </w:pPr>
            <w:r>
              <w:rPr>
                <w:rFonts w:ascii="Arial" w:cs="Arial" w:eastAsia="Arial" w:hAnsi="Arial"/>
                <w:sz w:val="13"/>
                <w:szCs w:val="13"/>
                <w:color w:val="auto"/>
              </w:rPr>
              <w:t>1,901</w:t>
            </w:r>
          </w:p>
        </w:tc>
        <w:tc>
          <w:tcPr>
            <w:tcW w:w="2160" w:type="dxa"/>
            <w:vAlign w:val="bottom"/>
          </w:tcPr>
          <w:p>
            <w:pPr>
              <w:jc w:val="right"/>
              <w:ind w:right="596"/>
              <w:spacing w:after="0"/>
              <w:rPr>
                <w:sz w:val="20"/>
                <w:szCs w:val="20"/>
                <w:color w:val="auto"/>
              </w:rPr>
            </w:pPr>
            <w:r>
              <w:rPr>
                <w:rFonts w:ascii="Arial" w:cs="Arial" w:eastAsia="Arial" w:hAnsi="Arial"/>
                <w:sz w:val="13"/>
                <w:szCs w:val="13"/>
                <w:color w:val="auto"/>
              </w:rPr>
              <w:t>1,317</w:t>
            </w:r>
          </w:p>
        </w:tc>
        <w:tc>
          <w:tcPr>
            <w:tcW w:w="980" w:type="dxa"/>
            <w:vAlign w:val="bottom"/>
          </w:tcPr>
          <w:p>
            <w:pPr>
              <w:jc w:val="right"/>
              <w:ind w:right="76"/>
              <w:spacing w:after="0"/>
              <w:rPr>
                <w:sz w:val="20"/>
                <w:szCs w:val="20"/>
                <w:color w:val="auto"/>
              </w:rPr>
            </w:pPr>
            <w:r>
              <w:rPr>
                <w:rFonts w:ascii="Arial" w:cs="Arial" w:eastAsia="Arial" w:hAnsi="Arial"/>
                <w:sz w:val="13"/>
                <w:szCs w:val="13"/>
                <w:color w:val="auto"/>
              </w:rPr>
              <w:t>4,073</w:t>
            </w:r>
          </w:p>
        </w:tc>
      </w:tr>
      <w:tr>
        <w:trPr>
          <w:trHeight w:val="199"/>
        </w:trPr>
        <w:tc>
          <w:tcPr>
            <w:tcW w:w="3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33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189</w:t>
            </w:r>
          </w:p>
        </w:tc>
        <w:tc>
          <w:tcPr>
            <w:tcW w:w="15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132</w:t>
            </w:r>
          </w:p>
        </w:tc>
        <w:tc>
          <w:tcPr>
            <w:tcW w:w="21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rPr>
              <w:t>511</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832</w:t>
            </w:r>
          </w:p>
        </w:tc>
      </w:tr>
      <w:tr>
        <w:trPr>
          <w:trHeight w:val="183"/>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currency movement</w:t>
            </w:r>
          </w:p>
        </w:tc>
        <w:tc>
          <w:tcPr>
            <w:tcW w:w="33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(54)</w:t>
            </w:r>
          </w:p>
        </w:tc>
        <w:tc>
          <w:tcPr>
            <w:tcW w:w="15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(100)</w:t>
            </w:r>
          </w:p>
        </w:tc>
        <w:tc>
          <w:tcPr>
            <w:tcW w:w="216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color w:val="auto"/>
              </w:rPr>
              <w:t>(85)</w:t>
            </w: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(239)</w:t>
            </w:r>
          </w:p>
        </w:tc>
      </w:tr>
      <w:tr>
        <w:trPr>
          <w:trHeight w:val="157"/>
        </w:trPr>
        <w:tc>
          <w:tcPr>
            <w:tcW w:w="3260" w:type="dxa"/>
            <w:vAlign w:val="bottom"/>
            <w:shd w:val="clear" w:color="auto" w:fill="CCEEFF"/>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83"/>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2018</w:t>
            </w:r>
          </w:p>
        </w:tc>
        <w:tc>
          <w:tcPr>
            <w:tcW w:w="33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990</w:t>
            </w:r>
          </w:p>
        </w:tc>
        <w:tc>
          <w:tcPr>
            <w:tcW w:w="15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1,933</w:t>
            </w:r>
          </w:p>
        </w:tc>
        <w:tc>
          <w:tcPr>
            <w:tcW w:w="21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1,743</w:t>
            </w: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4,666</w:t>
            </w:r>
          </w:p>
        </w:tc>
      </w:tr>
      <w:tr>
        <w:trPr>
          <w:trHeight w:val="157"/>
        </w:trPr>
        <w:tc>
          <w:tcPr>
            <w:tcW w:w="3260" w:type="dxa"/>
            <w:vAlign w:val="bottom"/>
            <w:shd w:val="clear" w:color="auto" w:fill="CCEEFF"/>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83"/>
        </w:trPr>
        <w:tc>
          <w:tcPr>
            <w:tcW w:w="3260" w:type="dxa"/>
            <w:vAlign w:val="bottom"/>
          </w:tcPr>
          <w:p>
            <w:pPr>
              <w:ind w:left="20"/>
              <w:spacing w:after="0"/>
              <w:rPr>
                <w:sz w:val="20"/>
                <w:szCs w:val="20"/>
                <w:color w:val="auto"/>
              </w:rPr>
            </w:pPr>
            <w:r>
              <w:rPr>
                <w:rFonts w:ascii="Arial" w:cs="Arial" w:eastAsia="Arial" w:hAnsi="Arial"/>
                <w:sz w:val="13"/>
                <w:szCs w:val="13"/>
                <w:b w:val="1"/>
                <w:bCs w:val="1"/>
                <w:color w:val="auto"/>
              </w:rPr>
              <w:t>Depreciation</w:t>
            </w:r>
          </w:p>
        </w:tc>
        <w:tc>
          <w:tcPr>
            <w:tcW w:w="3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9"/>
        </w:trPr>
        <w:tc>
          <w:tcPr>
            <w:tcW w:w="3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2018</w:t>
            </w:r>
          </w:p>
        </w:tc>
        <w:tc>
          <w:tcPr>
            <w:tcW w:w="334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842</w:t>
            </w:r>
          </w:p>
        </w:tc>
        <w:tc>
          <w:tcPr>
            <w:tcW w:w="154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1,804</w:t>
            </w:r>
          </w:p>
        </w:tc>
        <w:tc>
          <w:tcPr>
            <w:tcW w:w="216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rPr>
              <w:t>1,176</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3,822</w:t>
            </w:r>
          </w:p>
        </w:tc>
      </w:tr>
      <w:tr>
        <w:trPr>
          <w:trHeight w:val="183"/>
        </w:trPr>
        <w:tc>
          <w:tcPr>
            <w:tcW w:w="3260" w:type="dxa"/>
            <w:vAlign w:val="bottom"/>
          </w:tcPr>
          <w:p>
            <w:pPr>
              <w:ind w:left="20"/>
              <w:spacing w:after="0"/>
              <w:rPr>
                <w:sz w:val="20"/>
                <w:szCs w:val="20"/>
                <w:color w:val="auto"/>
              </w:rPr>
            </w:pPr>
            <w:r>
              <w:rPr>
                <w:rFonts w:ascii="Arial" w:cs="Arial" w:eastAsia="Arial" w:hAnsi="Arial"/>
                <w:sz w:val="13"/>
                <w:szCs w:val="13"/>
                <w:color w:val="auto"/>
              </w:rPr>
              <w:t>Charge for the year</w:t>
            </w:r>
          </w:p>
        </w:tc>
        <w:tc>
          <w:tcPr>
            <w:tcW w:w="3340" w:type="dxa"/>
            <w:vAlign w:val="bottom"/>
          </w:tcPr>
          <w:p>
            <w:pPr>
              <w:jc w:val="right"/>
              <w:ind w:right="236"/>
              <w:spacing w:after="0"/>
              <w:rPr>
                <w:sz w:val="20"/>
                <w:szCs w:val="20"/>
                <w:color w:val="auto"/>
              </w:rPr>
            </w:pPr>
            <w:r>
              <w:rPr>
                <w:rFonts w:ascii="Arial" w:cs="Arial" w:eastAsia="Arial" w:hAnsi="Arial"/>
                <w:sz w:val="13"/>
                <w:szCs w:val="13"/>
                <w:color w:val="auto"/>
              </w:rPr>
              <w:t>152</w:t>
            </w:r>
          </w:p>
        </w:tc>
        <w:tc>
          <w:tcPr>
            <w:tcW w:w="1540" w:type="dxa"/>
            <w:vAlign w:val="bottom"/>
          </w:tcPr>
          <w:p>
            <w:pPr>
              <w:jc w:val="right"/>
              <w:ind w:right="156"/>
              <w:spacing w:after="0"/>
              <w:rPr>
                <w:sz w:val="20"/>
                <w:szCs w:val="20"/>
                <w:color w:val="auto"/>
              </w:rPr>
            </w:pPr>
            <w:r>
              <w:rPr>
                <w:rFonts w:ascii="Arial" w:cs="Arial" w:eastAsia="Arial" w:hAnsi="Arial"/>
                <w:sz w:val="13"/>
                <w:szCs w:val="13"/>
                <w:color w:val="auto"/>
              </w:rPr>
              <w:t>116</w:t>
            </w:r>
          </w:p>
        </w:tc>
        <w:tc>
          <w:tcPr>
            <w:tcW w:w="2160" w:type="dxa"/>
            <w:vAlign w:val="bottom"/>
          </w:tcPr>
          <w:p>
            <w:pPr>
              <w:jc w:val="right"/>
              <w:ind w:right="596"/>
              <w:spacing w:after="0"/>
              <w:rPr>
                <w:sz w:val="20"/>
                <w:szCs w:val="20"/>
                <w:color w:val="auto"/>
              </w:rPr>
            </w:pPr>
            <w:r>
              <w:rPr>
                <w:rFonts w:ascii="Arial" w:cs="Arial" w:eastAsia="Arial" w:hAnsi="Arial"/>
                <w:sz w:val="13"/>
                <w:szCs w:val="13"/>
                <w:color w:val="auto"/>
              </w:rPr>
              <w:t>87</w:t>
            </w:r>
          </w:p>
        </w:tc>
        <w:tc>
          <w:tcPr>
            <w:tcW w:w="980" w:type="dxa"/>
            <w:vAlign w:val="bottom"/>
          </w:tcPr>
          <w:p>
            <w:pPr>
              <w:jc w:val="right"/>
              <w:ind w:right="76"/>
              <w:spacing w:after="0"/>
              <w:rPr>
                <w:sz w:val="20"/>
                <w:szCs w:val="20"/>
                <w:color w:val="auto"/>
              </w:rPr>
            </w:pPr>
            <w:r>
              <w:rPr>
                <w:rFonts w:ascii="Arial" w:cs="Arial" w:eastAsia="Arial" w:hAnsi="Arial"/>
                <w:sz w:val="13"/>
                <w:szCs w:val="13"/>
                <w:color w:val="auto"/>
              </w:rPr>
              <w:t>355</w:t>
            </w:r>
          </w:p>
        </w:tc>
      </w:tr>
      <w:tr>
        <w:trPr>
          <w:trHeight w:val="191"/>
        </w:trPr>
        <w:tc>
          <w:tcPr>
            <w:tcW w:w="3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currency movement</w:t>
            </w:r>
          </w:p>
        </w:tc>
        <w:tc>
          <w:tcPr>
            <w:tcW w:w="33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(52)</w:t>
            </w:r>
          </w:p>
        </w:tc>
        <w:tc>
          <w:tcPr>
            <w:tcW w:w="15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(98)</w:t>
            </w:r>
          </w:p>
        </w:tc>
        <w:tc>
          <w:tcPr>
            <w:tcW w:w="21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3"/>
                <w:szCs w:val="13"/>
                <w:color w:val="auto"/>
              </w:rPr>
              <w:t>(52)</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(202)</w:t>
            </w:r>
          </w:p>
        </w:tc>
      </w:tr>
      <w:tr>
        <w:trPr>
          <w:trHeight w:val="157"/>
        </w:trPr>
        <w:tc>
          <w:tcPr>
            <w:tcW w:w="32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3"/>
        </w:trPr>
        <w:tc>
          <w:tcPr>
            <w:tcW w:w="3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2018</w:t>
            </w:r>
          </w:p>
        </w:tc>
        <w:tc>
          <w:tcPr>
            <w:tcW w:w="33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942</w:t>
            </w:r>
          </w:p>
        </w:tc>
        <w:tc>
          <w:tcPr>
            <w:tcW w:w="15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1,822</w:t>
            </w:r>
          </w:p>
        </w:tc>
        <w:tc>
          <w:tcPr>
            <w:tcW w:w="216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3"/>
                <w:szCs w:val="13"/>
                <w:b w:val="1"/>
                <w:bCs w:val="1"/>
                <w:color w:val="auto"/>
              </w:rPr>
              <w:t>1,211</w:t>
            </w:r>
          </w:p>
        </w:tc>
        <w:tc>
          <w:tcPr>
            <w:tcW w:w="9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3,975</w:t>
            </w:r>
          </w:p>
        </w:tc>
      </w:tr>
      <w:tr>
        <w:trPr>
          <w:trHeight w:val="157"/>
        </w:trPr>
        <w:tc>
          <w:tcPr>
            <w:tcW w:w="32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91"/>
        </w:trPr>
        <w:tc>
          <w:tcPr>
            <w:tcW w:w="3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book value</w:t>
            </w:r>
          </w:p>
        </w:tc>
        <w:tc>
          <w:tcPr>
            <w:tcW w:w="33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2"/>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2018</w:t>
            </w:r>
          </w:p>
        </w:tc>
        <w:tc>
          <w:tcPr>
            <w:tcW w:w="33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48</w:t>
            </w:r>
          </w:p>
        </w:tc>
        <w:tc>
          <w:tcPr>
            <w:tcW w:w="15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111</w:t>
            </w:r>
          </w:p>
        </w:tc>
        <w:tc>
          <w:tcPr>
            <w:tcW w:w="21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532</w:t>
            </w: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691</w:t>
            </w:r>
          </w:p>
        </w:tc>
      </w:tr>
      <w:tr>
        <w:trPr>
          <w:trHeight w:val="159"/>
        </w:trPr>
        <w:tc>
          <w:tcPr>
            <w:tcW w:w="3260" w:type="dxa"/>
            <w:vAlign w:val="bottom"/>
            <w:shd w:val="clear" w:color="auto" w:fill="CCEEFF"/>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92"/>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At 31 December 2017</w:t>
            </w:r>
          </w:p>
        </w:tc>
        <w:tc>
          <w:tcPr>
            <w:tcW w:w="33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13</w:t>
            </w:r>
          </w:p>
        </w:tc>
        <w:tc>
          <w:tcPr>
            <w:tcW w:w="15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97</w:t>
            </w:r>
          </w:p>
        </w:tc>
        <w:tc>
          <w:tcPr>
            <w:tcW w:w="216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color w:val="auto"/>
              </w:rPr>
              <w:t>141</w:t>
            </w: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251</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ectPr>
          <w:pgSz w:w="11900" w:h="16838" w:orient="portrait"/>
          <w:cols w:equalWidth="0" w:num="1">
            <w:col w:w="11280"/>
          </w:cols>
          <w:pgMar w:left="300" w:top="695" w:right="31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Intangible assets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80" w:type="dxa"/>
            <w:vAlign w:val="bottom"/>
            <w:tcBorders>
              <w:bottom w:val="single" w:sz="8" w:color="auto"/>
            </w:tcBorders>
            <w:shd w:val="clear" w:color="auto" w:fill="CCEEFF"/>
          </w:tcPr>
          <w:p>
            <w:pPr>
              <w:spacing w:after="0"/>
              <w:rPr>
                <w:sz w:val="16"/>
                <w:szCs w:val="16"/>
                <w:color w:val="auto"/>
              </w:rPr>
            </w:pPr>
          </w:p>
        </w:tc>
        <w:tc>
          <w:tcPr>
            <w:tcW w:w="5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Computer Software</w:t>
            </w:r>
          </w:p>
        </w:tc>
      </w:tr>
      <w:tr>
        <w:trPr>
          <w:trHeight w:val="175"/>
        </w:trPr>
        <w:tc>
          <w:tcPr>
            <w:tcW w:w="5880" w:type="dxa"/>
            <w:vAlign w:val="bottom"/>
          </w:tcPr>
          <w:p>
            <w:pPr>
              <w:spacing w:after="0"/>
              <w:rPr>
                <w:sz w:val="15"/>
                <w:szCs w:val="15"/>
                <w:color w:val="auto"/>
              </w:rPr>
            </w:pPr>
          </w:p>
        </w:tc>
        <w:tc>
          <w:tcPr>
            <w:tcW w:w="54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7"/>
        </w:trPr>
        <w:tc>
          <w:tcPr>
            <w:tcW w:w="5880" w:type="dxa"/>
            <w:vAlign w:val="bottom"/>
            <w:shd w:val="clear" w:color="auto" w:fill="CCEEFF"/>
          </w:tcPr>
          <w:p>
            <w:pPr>
              <w:spacing w:after="0"/>
              <w:rPr>
                <w:sz w:val="15"/>
                <w:szCs w:val="15"/>
                <w:color w:val="auto"/>
              </w:rPr>
            </w:pPr>
          </w:p>
        </w:tc>
        <w:tc>
          <w:tcPr>
            <w:tcW w:w="5400" w:type="dxa"/>
            <w:vAlign w:val="bottom"/>
            <w:shd w:val="clear" w:color="auto" w:fill="CCEEFF"/>
          </w:tcPr>
          <w:p>
            <w:pPr>
              <w:spacing w:after="0"/>
              <w:rPr>
                <w:sz w:val="15"/>
                <w:szCs w:val="15"/>
                <w:color w:val="auto"/>
              </w:rPr>
            </w:pPr>
          </w:p>
        </w:tc>
      </w:tr>
      <w:tr>
        <w:trPr>
          <w:trHeight w:val="183"/>
        </w:trPr>
        <w:tc>
          <w:tcPr>
            <w:tcW w:w="5880" w:type="dxa"/>
            <w:vAlign w:val="bottom"/>
          </w:tcPr>
          <w:p>
            <w:pPr>
              <w:ind w:left="20"/>
              <w:spacing w:after="0"/>
              <w:rPr>
                <w:sz w:val="20"/>
                <w:szCs w:val="20"/>
                <w:color w:val="auto"/>
              </w:rPr>
            </w:pPr>
            <w:r>
              <w:rPr>
                <w:rFonts w:ascii="Arial" w:cs="Arial" w:eastAsia="Arial" w:hAnsi="Arial"/>
                <w:sz w:val="13"/>
                <w:szCs w:val="13"/>
                <w:b w:val="1"/>
                <w:bCs w:val="1"/>
                <w:color w:val="auto"/>
              </w:rPr>
              <w:t>Cost</w:t>
            </w:r>
          </w:p>
        </w:tc>
        <w:tc>
          <w:tcPr>
            <w:tcW w:w="5400" w:type="dxa"/>
            <w:vAlign w:val="bottom"/>
          </w:tcPr>
          <w:p>
            <w:pPr>
              <w:spacing w:after="0"/>
              <w:rPr>
                <w:sz w:val="15"/>
                <w:szCs w:val="15"/>
                <w:color w:val="auto"/>
              </w:rPr>
            </w:pPr>
          </w:p>
        </w:tc>
      </w:tr>
      <w:tr>
        <w:trPr>
          <w:trHeight w:val="199"/>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2018</w:t>
            </w:r>
          </w:p>
        </w:tc>
        <w:tc>
          <w:tcPr>
            <w:tcW w:w="54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1,206</w:t>
            </w:r>
          </w:p>
        </w:tc>
      </w:tr>
      <w:tr>
        <w:trPr>
          <w:trHeight w:val="183"/>
        </w:trPr>
        <w:tc>
          <w:tcPr>
            <w:tcW w:w="5880" w:type="dxa"/>
            <w:vAlign w:val="bottom"/>
          </w:tcPr>
          <w:p>
            <w:pPr>
              <w:ind w:left="20"/>
              <w:spacing w:after="0"/>
              <w:rPr>
                <w:sz w:val="20"/>
                <w:szCs w:val="20"/>
                <w:color w:val="auto"/>
              </w:rPr>
            </w:pPr>
            <w:r>
              <w:rPr>
                <w:rFonts w:ascii="Arial" w:cs="Arial" w:eastAsia="Arial" w:hAnsi="Arial"/>
                <w:sz w:val="13"/>
                <w:szCs w:val="13"/>
                <w:color w:val="auto"/>
              </w:rPr>
              <w:t>Additions</w:t>
            </w:r>
          </w:p>
        </w:tc>
        <w:tc>
          <w:tcPr>
            <w:tcW w:w="5400" w:type="dxa"/>
            <w:vAlign w:val="bottom"/>
          </w:tcPr>
          <w:p>
            <w:pPr>
              <w:jc w:val="right"/>
              <w:ind w:right="76"/>
              <w:spacing w:after="0"/>
              <w:rPr>
                <w:sz w:val="20"/>
                <w:szCs w:val="20"/>
                <w:color w:val="auto"/>
              </w:rPr>
            </w:pPr>
            <w:r>
              <w:rPr>
                <w:rFonts w:ascii="Arial" w:cs="Arial" w:eastAsia="Arial" w:hAnsi="Arial"/>
                <w:sz w:val="13"/>
                <w:szCs w:val="13"/>
                <w:color w:val="auto"/>
              </w:rPr>
              <w:t>122</w:t>
            </w:r>
          </w:p>
        </w:tc>
      </w:tr>
      <w:tr>
        <w:trPr>
          <w:trHeight w:val="191"/>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movement</w:t>
            </w:r>
          </w:p>
        </w:tc>
        <w:tc>
          <w:tcPr>
            <w:tcW w:w="54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(100)</w:t>
            </w:r>
          </w:p>
        </w:tc>
      </w:tr>
      <w:tr>
        <w:trPr>
          <w:trHeight w:val="189"/>
        </w:trPr>
        <w:tc>
          <w:tcPr>
            <w:tcW w:w="5880" w:type="dxa"/>
            <w:vAlign w:val="bottom"/>
          </w:tcPr>
          <w:p>
            <w:pPr>
              <w:spacing w:after="0"/>
              <w:rPr>
                <w:sz w:val="16"/>
                <w:szCs w:val="16"/>
                <w:color w:val="auto"/>
              </w:rPr>
            </w:pPr>
          </w:p>
        </w:tc>
        <w:tc>
          <w:tcPr>
            <w:tcW w:w="5400" w:type="dxa"/>
            <w:vAlign w:val="bottom"/>
          </w:tcPr>
          <w:p>
            <w:pPr>
              <w:spacing w:after="0"/>
              <w:rPr>
                <w:sz w:val="16"/>
                <w:szCs w:val="16"/>
                <w:color w:val="auto"/>
              </w:rPr>
            </w:pPr>
          </w:p>
        </w:tc>
      </w:tr>
      <w:tr>
        <w:trPr>
          <w:trHeight w:val="183"/>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2018</w:t>
            </w:r>
          </w:p>
        </w:tc>
        <w:tc>
          <w:tcPr>
            <w:tcW w:w="54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1,228</w:t>
            </w:r>
          </w:p>
        </w:tc>
      </w:tr>
      <w:tr>
        <w:trPr>
          <w:trHeight w:val="189"/>
        </w:trPr>
        <w:tc>
          <w:tcPr>
            <w:tcW w:w="5880" w:type="dxa"/>
            <w:vAlign w:val="bottom"/>
          </w:tcPr>
          <w:p>
            <w:pPr>
              <w:spacing w:after="0"/>
              <w:rPr>
                <w:sz w:val="16"/>
                <w:szCs w:val="16"/>
                <w:color w:val="auto"/>
              </w:rPr>
            </w:pPr>
          </w:p>
        </w:tc>
        <w:tc>
          <w:tcPr>
            <w:tcW w:w="5400" w:type="dxa"/>
            <w:vAlign w:val="bottom"/>
          </w:tcPr>
          <w:p>
            <w:pPr>
              <w:spacing w:after="0"/>
              <w:rPr>
                <w:sz w:val="16"/>
                <w:szCs w:val="16"/>
                <w:color w:val="auto"/>
              </w:rPr>
            </w:pPr>
          </w:p>
        </w:tc>
      </w:tr>
      <w:tr>
        <w:trPr>
          <w:trHeight w:val="191"/>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54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w:t>
            </w:r>
          </w:p>
        </w:tc>
      </w:tr>
      <w:tr>
        <w:trPr>
          <w:trHeight w:val="183"/>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54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w:t>
            </w:r>
          </w:p>
        </w:tc>
      </w:tr>
      <w:tr>
        <w:trPr>
          <w:trHeight w:val="200"/>
        </w:trPr>
        <w:tc>
          <w:tcPr>
            <w:tcW w:w="588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2019</w:t>
            </w:r>
          </w:p>
        </w:tc>
        <w:tc>
          <w:tcPr>
            <w:tcW w:w="50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1,227</w:t>
            </w:r>
          </w:p>
        </w:tc>
      </w:tr>
      <w:tr>
        <w:trPr>
          <w:trHeight w:val="189"/>
        </w:trPr>
        <w:tc>
          <w:tcPr>
            <w:tcW w:w="6240" w:type="dxa"/>
            <w:vAlign w:val="bottom"/>
            <w:shd w:val="clear" w:color="auto" w:fill="CCEEFF"/>
          </w:tcPr>
          <w:p>
            <w:pPr>
              <w:spacing w:after="0"/>
              <w:rPr>
                <w:sz w:val="16"/>
                <w:szCs w:val="16"/>
                <w:color w:val="auto"/>
              </w:rPr>
            </w:pPr>
          </w:p>
        </w:tc>
        <w:tc>
          <w:tcPr>
            <w:tcW w:w="5040" w:type="dxa"/>
            <w:vAlign w:val="bottom"/>
            <w:shd w:val="clear" w:color="auto" w:fill="CCEEFF"/>
          </w:tcPr>
          <w:p>
            <w:pPr>
              <w:spacing w:after="0"/>
              <w:rPr>
                <w:sz w:val="16"/>
                <w:szCs w:val="16"/>
                <w:color w:val="auto"/>
              </w:rPr>
            </w:pPr>
          </w:p>
        </w:tc>
      </w:tr>
      <w:tr>
        <w:trPr>
          <w:trHeight w:val="183"/>
        </w:trPr>
        <w:tc>
          <w:tcPr>
            <w:tcW w:w="6240" w:type="dxa"/>
            <w:vAlign w:val="bottom"/>
          </w:tcPr>
          <w:p>
            <w:pPr>
              <w:ind w:left="20"/>
              <w:spacing w:after="0"/>
              <w:rPr>
                <w:sz w:val="20"/>
                <w:szCs w:val="20"/>
                <w:color w:val="auto"/>
              </w:rPr>
            </w:pPr>
            <w:r>
              <w:rPr>
                <w:rFonts w:ascii="Arial" w:cs="Arial" w:eastAsia="Arial" w:hAnsi="Arial"/>
                <w:sz w:val="13"/>
                <w:szCs w:val="13"/>
                <w:b w:val="1"/>
                <w:bCs w:val="1"/>
                <w:color w:val="auto"/>
              </w:rPr>
              <w:t>Amortisation</w:t>
            </w:r>
          </w:p>
        </w:tc>
        <w:tc>
          <w:tcPr>
            <w:tcW w:w="5040" w:type="dxa"/>
            <w:vAlign w:val="bottom"/>
          </w:tcPr>
          <w:p>
            <w:pPr>
              <w:spacing w:after="0"/>
              <w:rPr>
                <w:sz w:val="15"/>
                <w:szCs w:val="15"/>
                <w:color w:val="auto"/>
              </w:rPr>
            </w:pPr>
          </w:p>
        </w:tc>
      </w:tr>
      <w:tr>
        <w:trPr>
          <w:trHeight w:val="199"/>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 1 January 2018</w:t>
            </w:r>
          </w:p>
        </w:tc>
        <w:tc>
          <w:tcPr>
            <w:tcW w:w="5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1,180</w:t>
            </w:r>
          </w:p>
        </w:tc>
      </w:tr>
      <w:tr>
        <w:trPr>
          <w:trHeight w:val="183"/>
        </w:trPr>
        <w:tc>
          <w:tcPr>
            <w:tcW w:w="6240" w:type="dxa"/>
            <w:vAlign w:val="bottom"/>
          </w:tcPr>
          <w:p>
            <w:pPr>
              <w:ind w:left="20"/>
              <w:spacing w:after="0"/>
              <w:rPr>
                <w:sz w:val="20"/>
                <w:szCs w:val="20"/>
                <w:color w:val="auto"/>
              </w:rPr>
            </w:pPr>
            <w:r>
              <w:rPr>
                <w:rFonts w:ascii="Arial" w:cs="Arial" w:eastAsia="Arial" w:hAnsi="Arial"/>
                <w:sz w:val="13"/>
                <w:szCs w:val="13"/>
                <w:color w:val="auto"/>
              </w:rPr>
              <w:t>Charge during the year</w:t>
            </w:r>
          </w:p>
        </w:tc>
        <w:tc>
          <w:tcPr>
            <w:tcW w:w="5040" w:type="dxa"/>
            <w:vAlign w:val="bottom"/>
          </w:tcPr>
          <w:p>
            <w:pPr>
              <w:jc w:val="right"/>
              <w:ind w:right="76"/>
              <w:spacing w:after="0"/>
              <w:rPr>
                <w:sz w:val="20"/>
                <w:szCs w:val="20"/>
                <w:color w:val="auto"/>
              </w:rPr>
            </w:pPr>
            <w:r>
              <w:rPr>
                <w:rFonts w:ascii="Arial" w:cs="Arial" w:eastAsia="Arial" w:hAnsi="Arial"/>
                <w:sz w:val="13"/>
                <w:szCs w:val="13"/>
                <w:color w:val="auto"/>
              </w:rPr>
              <w:t>54</w:t>
            </w:r>
          </w:p>
        </w:tc>
      </w:tr>
      <w:tr>
        <w:trPr>
          <w:trHeight w:val="191"/>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Foreign exchange movement</w:t>
            </w:r>
          </w:p>
        </w:tc>
        <w:tc>
          <w:tcPr>
            <w:tcW w:w="5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(108)</w:t>
            </w:r>
          </w:p>
        </w:tc>
      </w:tr>
      <w:tr>
        <w:trPr>
          <w:trHeight w:val="189"/>
        </w:trPr>
        <w:tc>
          <w:tcPr>
            <w:tcW w:w="6240" w:type="dxa"/>
            <w:vAlign w:val="bottom"/>
          </w:tcPr>
          <w:p>
            <w:pPr>
              <w:spacing w:after="0"/>
              <w:rPr>
                <w:sz w:val="16"/>
                <w:szCs w:val="16"/>
                <w:color w:val="auto"/>
              </w:rPr>
            </w:pPr>
          </w:p>
        </w:tc>
        <w:tc>
          <w:tcPr>
            <w:tcW w:w="5040" w:type="dxa"/>
            <w:vAlign w:val="bottom"/>
          </w:tcPr>
          <w:p>
            <w:pPr>
              <w:spacing w:after="0"/>
              <w:rPr>
                <w:sz w:val="16"/>
                <w:szCs w:val="16"/>
                <w:color w:val="auto"/>
              </w:rPr>
            </w:pPr>
          </w:p>
        </w:tc>
      </w:tr>
      <w:tr>
        <w:trPr>
          <w:trHeight w:val="183"/>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2018</w:t>
            </w:r>
          </w:p>
        </w:tc>
        <w:tc>
          <w:tcPr>
            <w:tcW w:w="5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1,126</w:t>
            </w:r>
          </w:p>
        </w:tc>
      </w:tr>
      <w:tr>
        <w:trPr>
          <w:trHeight w:val="189"/>
        </w:trPr>
        <w:tc>
          <w:tcPr>
            <w:tcW w:w="6240" w:type="dxa"/>
            <w:vAlign w:val="bottom"/>
          </w:tcPr>
          <w:p>
            <w:pPr>
              <w:spacing w:after="0"/>
              <w:rPr>
                <w:sz w:val="16"/>
                <w:szCs w:val="16"/>
                <w:color w:val="auto"/>
              </w:rPr>
            </w:pPr>
          </w:p>
        </w:tc>
        <w:tc>
          <w:tcPr>
            <w:tcW w:w="5040" w:type="dxa"/>
            <w:vAlign w:val="bottom"/>
          </w:tcPr>
          <w:p>
            <w:pPr>
              <w:spacing w:after="0"/>
              <w:rPr>
                <w:sz w:val="16"/>
                <w:szCs w:val="16"/>
                <w:color w:val="auto"/>
              </w:rPr>
            </w:pPr>
          </w:p>
        </w:tc>
      </w:tr>
      <w:tr>
        <w:trPr>
          <w:trHeight w:val="191"/>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 during the year</w:t>
            </w:r>
          </w:p>
        </w:tc>
        <w:tc>
          <w:tcPr>
            <w:tcW w:w="5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31</w:t>
            </w:r>
          </w:p>
        </w:tc>
      </w:tr>
      <w:tr>
        <w:trPr>
          <w:trHeight w:val="183"/>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Foreign exchange movement</w:t>
            </w:r>
          </w:p>
        </w:tc>
        <w:tc>
          <w:tcPr>
            <w:tcW w:w="5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w:t>
            </w:r>
          </w:p>
        </w:tc>
      </w:tr>
      <w:tr>
        <w:trPr>
          <w:trHeight w:val="189"/>
        </w:trPr>
        <w:tc>
          <w:tcPr>
            <w:tcW w:w="6240" w:type="dxa"/>
            <w:vAlign w:val="bottom"/>
            <w:shd w:val="clear" w:color="auto" w:fill="CCEEFF"/>
          </w:tcPr>
          <w:p>
            <w:pPr>
              <w:spacing w:after="0"/>
              <w:rPr>
                <w:sz w:val="16"/>
                <w:szCs w:val="16"/>
                <w:color w:val="auto"/>
              </w:rPr>
            </w:pPr>
          </w:p>
        </w:tc>
        <w:tc>
          <w:tcPr>
            <w:tcW w:w="5040" w:type="dxa"/>
            <w:vAlign w:val="bottom"/>
            <w:shd w:val="clear" w:color="auto" w:fill="CCEEFF"/>
          </w:tcPr>
          <w:p>
            <w:pPr>
              <w:spacing w:after="0"/>
              <w:rPr>
                <w:sz w:val="16"/>
                <w:szCs w:val="16"/>
                <w:color w:val="auto"/>
              </w:rPr>
            </w:pPr>
          </w:p>
        </w:tc>
      </w:tr>
      <w:tr>
        <w:trPr>
          <w:trHeight w:val="183"/>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At 31 December 2019</w:t>
            </w:r>
          </w:p>
        </w:tc>
        <w:tc>
          <w:tcPr>
            <w:tcW w:w="50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1,152</w:t>
            </w:r>
          </w:p>
        </w:tc>
      </w:tr>
      <w:tr>
        <w:trPr>
          <w:trHeight w:val="189"/>
        </w:trPr>
        <w:tc>
          <w:tcPr>
            <w:tcW w:w="6240" w:type="dxa"/>
            <w:vAlign w:val="bottom"/>
            <w:shd w:val="clear" w:color="auto" w:fill="CCEEFF"/>
          </w:tcPr>
          <w:p>
            <w:pPr>
              <w:spacing w:after="0"/>
              <w:rPr>
                <w:sz w:val="16"/>
                <w:szCs w:val="16"/>
                <w:color w:val="auto"/>
              </w:rPr>
            </w:pPr>
          </w:p>
        </w:tc>
        <w:tc>
          <w:tcPr>
            <w:tcW w:w="5040" w:type="dxa"/>
            <w:vAlign w:val="bottom"/>
            <w:shd w:val="clear" w:color="auto" w:fill="CCEEFF"/>
          </w:tcPr>
          <w:p>
            <w:pPr>
              <w:spacing w:after="0"/>
              <w:rPr>
                <w:sz w:val="16"/>
                <w:szCs w:val="16"/>
                <w:color w:val="auto"/>
              </w:rPr>
            </w:pPr>
          </w:p>
        </w:tc>
      </w:tr>
      <w:tr>
        <w:trPr>
          <w:trHeight w:val="183"/>
        </w:trPr>
        <w:tc>
          <w:tcPr>
            <w:tcW w:w="6240" w:type="dxa"/>
            <w:vAlign w:val="bottom"/>
          </w:tcPr>
          <w:p>
            <w:pPr>
              <w:ind w:left="20"/>
              <w:spacing w:after="0"/>
              <w:rPr>
                <w:sz w:val="20"/>
                <w:szCs w:val="20"/>
                <w:color w:val="auto"/>
              </w:rPr>
            </w:pPr>
            <w:r>
              <w:rPr>
                <w:rFonts w:ascii="Arial" w:cs="Arial" w:eastAsia="Arial" w:hAnsi="Arial"/>
                <w:sz w:val="13"/>
                <w:szCs w:val="13"/>
                <w:b w:val="1"/>
                <w:bCs w:val="1"/>
                <w:color w:val="auto"/>
              </w:rPr>
              <w:t>Net book value</w:t>
            </w:r>
          </w:p>
        </w:tc>
        <w:tc>
          <w:tcPr>
            <w:tcW w:w="5040" w:type="dxa"/>
            <w:vAlign w:val="bottom"/>
          </w:tcPr>
          <w:p>
            <w:pPr>
              <w:spacing w:after="0"/>
              <w:rPr>
                <w:sz w:val="15"/>
                <w:szCs w:val="15"/>
                <w:color w:val="auto"/>
              </w:rPr>
            </w:pPr>
          </w:p>
        </w:tc>
      </w:tr>
      <w:tr>
        <w:trPr>
          <w:trHeight w:val="200"/>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2019</w:t>
            </w:r>
          </w:p>
        </w:tc>
        <w:tc>
          <w:tcPr>
            <w:tcW w:w="5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75</w:t>
            </w:r>
          </w:p>
        </w:tc>
      </w:tr>
      <w:tr>
        <w:trPr>
          <w:trHeight w:val="191"/>
        </w:trPr>
        <w:tc>
          <w:tcPr>
            <w:tcW w:w="6240" w:type="dxa"/>
            <w:vAlign w:val="bottom"/>
          </w:tcPr>
          <w:p>
            <w:pPr>
              <w:spacing w:after="0"/>
              <w:rPr>
                <w:sz w:val="16"/>
                <w:szCs w:val="16"/>
                <w:color w:val="auto"/>
              </w:rPr>
            </w:pPr>
          </w:p>
        </w:tc>
        <w:tc>
          <w:tcPr>
            <w:tcW w:w="5040" w:type="dxa"/>
            <w:vAlign w:val="bottom"/>
          </w:tcPr>
          <w:p>
            <w:pPr>
              <w:spacing w:after="0"/>
              <w:rPr>
                <w:sz w:val="16"/>
                <w:szCs w:val="16"/>
                <w:color w:val="auto"/>
              </w:rPr>
            </w:pPr>
          </w:p>
        </w:tc>
      </w:tr>
      <w:tr>
        <w:trPr>
          <w:trHeight w:val="192"/>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2018</w:t>
            </w:r>
          </w:p>
        </w:tc>
        <w:tc>
          <w:tcPr>
            <w:tcW w:w="5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102</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1280"/>
          </w:cols>
          <w:pgMar w:left="300" w:top="696" w:right="31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Investment in subsidiaries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440" w:type="dxa"/>
            <w:vAlign w:val="bottom"/>
            <w:shd w:val="clear" w:color="auto" w:fill="CCEEFF"/>
          </w:tcPr>
          <w:p>
            <w:pPr>
              <w:spacing w:after="0"/>
              <w:rPr>
                <w:sz w:val="19"/>
                <w:szCs w:val="19"/>
                <w:color w:val="auto"/>
              </w:rPr>
            </w:pPr>
          </w:p>
        </w:tc>
        <w:tc>
          <w:tcPr>
            <w:tcW w:w="4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Investment in Subsidiary</w:t>
            </w:r>
          </w:p>
        </w:tc>
      </w:tr>
      <w:tr>
        <w:trPr>
          <w:trHeight w:val="177"/>
        </w:trPr>
        <w:tc>
          <w:tcPr>
            <w:tcW w:w="6440" w:type="dxa"/>
            <w:vAlign w:val="bottom"/>
            <w:tcBorders>
              <w:bottom w:val="single" w:sz="8" w:color="auto"/>
            </w:tcBorders>
            <w:shd w:val="clear" w:color="auto" w:fill="CCEEFF"/>
          </w:tcPr>
          <w:p>
            <w:pPr>
              <w:spacing w:after="0"/>
              <w:rPr>
                <w:sz w:val="15"/>
                <w:szCs w:val="15"/>
                <w:color w:val="auto"/>
              </w:rPr>
            </w:pPr>
          </w:p>
        </w:tc>
        <w:tc>
          <w:tcPr>
            <w:tcW w:w="4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Undertakings</w:t>
            </w:r>
          </w:p>
        </w:tc>
      </w:tr>
      <w:tr>
        <w:trPr>
          <w:trHeight w:val="182"/>
        </w:trPr>
        <w:tc>
          <w:tcPr>
            <w:tcW w:w="6440" w:type="dxa"/>
            <w:vAlign w:val="bottom"/>
          </w:tcPr>
          <w:p>
            <w:pPr>
              <w:spacing w:after="0"/>
              <w:rPr>
                <w:sz w:val="15"/>
                <w:szCs w:val="15"/>
                <w:color w:val="auto"/>
              </w:rPr>
            </w:pPr>
          </w:p>
        </w:tc>
        <w:tc>
          <w:tcPr>
            <w:tcW w:w="482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177"/>
        </w:trPr>
        <w:tc>
          <w:tcPr>
            <w:tcW w:w="6440" w:type="dxa"/>
            <w:vAlign w:val="bottom"/>
            <w:shd w:val="clear" w:color="auto" w:fill="CCEEFF"/>
          </w:tcPr>
          <w:p>
            <w:pPr>
              <w:spacing w:after="0"/>
              <w:rPr>
                <w:sz w:val="15"/>
                <w:szCs w:val="15"/>
                <w:color w:val="auto"/>
              </w:rPr>
            </w:pPr>
          </w:p>
        </w:tc>
        <w:tc>
          <w:tcPr>
            <w:tcW w:w="4820" w:type="dxa"/>
            <w:vAlign w:val="bottom"/>
            <w:shd w:val="clear" w:color="auto" w:fill="CCEEFF"/>
          </w:tcPr>
          <w:p>
            <w:pPr>
              <w:spacing w:after="0"/>
              <w:rPr>
                <w:sz w:val="15"/>
                <w:szCs w:val="15"/>
                <w:color w:val="auto"/>
              </w:rPr>
            </w:pPr>
          </w:p>
        </w:tc>
      </w:tr>
      <w:tr>
        <w:trPr>
          <w:trHeight w:val="183"/>
        </w:trPr>
        <w:tc>
          <w:tcPr>
            <w:tcW w:w="6440" w:type="dxa"/>
            <w:vAlign w:val="bottom"/>
          </w:tcPr>
          <w:p>
            <w:pPr>
              <w:ind w:left="20"/>
              <w:spacing w:after="0"/>
              <w:rPr>
                <w:sz w:val="20"/>
                <w:szCs w:val="20"/>
                <w:color w:val="auto"/>
              </w:rPr>
            </w:pPr>
            <w:r>
              <w:rPr>
                <w:rFonts w:ascii="Arial" w:cs="Arial" w:eastAsia="Arial" w:hAnsi="Arial"/>
                <w:sz w:val="13"/>
                <w:szCs w:val="13"/>
                <w:b w:val="1"/>
                <w:bCs w:val="1"/>
                <w:color w:val="auto"/>
              </w:rPr>
              <w:t>Cost</w:t>
            </w:r>
          </w:p>
        </w:tc>
        <w:tc>
          <w:tcPr>
            <w:tcW w:w="4820" w:type="dxa"/>
            <w:vAlign w:val="bottom"/>
          </w:tcPr>
          <w:p>
            <w:pPr>
              <w:spacing w:after="0"/>
              <w:rPr>
                <w:sz w:val="15"/>
                <w:szCs w:val="15"/>
                <w:color w:val="auto"/>
              </w:rPr>
            </w:pPr>
          </w:p>
        </w:tc>
      </w:tr>
      <w:tr>
        <w:trPr>
          <w:trHeight w:val="177"/>
        </w:trPr>
        <w:tc>
          <w:tcPr>
            <w:tcW w:w="6440" w:type="dxa"/>
            <w:vAlign w:val="bottom"/>
            <w:shd w:val="clear" w:color="auto" w:fill="CCEEFF"/>
          </w:tcPr>
          <w:p>
            <w:pPr>
              <w:spacing w:after="0"/>
              <w:rPr>
                <w:sz w:val="15"/>
                <w:szCs w:val="15"/>
                <w:color w:val="auto"/>
              </w:rPr>
            </w:pPr>
          </w:p>
        </w:tc>
        <w:tc>
          <w:tcPr>
            <w:tcW w:w="4820" w:type="dxa"/>
            <w:vAlign w:val="bottom"/>
            <w:shd w:val="clear" w:color="auto" w:fill="CCEEFF"/>
          </w:tcPr>
          <w:p>
            <w:pPr>
              <w:spacing w:after="0"/>
              <w:rPr>
                <w:sz w:val="15"/>
                <w:szCs w:val="15"/>
                <w:color w:val="auto"/>
              </w:rPr>
            </w:pPr>
          </w:p>
        </w:tc>
      </w:tr>
      <w:tr>
        <w:trPr>
          <w:trHeight w:val="183"/>
        </w:trPr>
        <w:tc>
          <w:tcPr>
            <w:tcW w:w="6440" w:type="dxa"/>
            <w:vAlign w:val="bottom"/>
          </w:tcPr>
          <w:p>
            <w:pPr>
              <w:ind w:left="20"/>
              <w:spacing w:after="0"/>
              <w:rPr>
                <w:sz w:val="20"/>
                <w:szCs w:val="20"/>
                <w:color w:val="auto"/>
              </w:rPr>
            </w:pPr>
            <w:r>
              <w:rPr>
                <w:rFonts w:ascii="Arial" w:cs="Arial" w:eastAsia="Arial" w:hAnsi="Arial"/>
                <w:sz w:val="13"/>
                <w:szCs w:val="13"/>
                <w:color w:val="auto"/>
              </w:rPr>
              <w:t>At 1 January 2018</w:t>
            </w:r>
          </w:p>
        </w:tc>
        <w:tc>
          <w:tcPr>
            <w:tcW w:w="4820" w:type="dxa"/>
            <w:vAlign w:val="bottom"/>
          </w:tcPr>
          <w:p>
            <w:pPr>
              <w:jc w:val="right"/>
              <w:ind w:right="76"/>
              <w:spacing w:after="0"/>
              <w:rPr>
                <w:sz w:val="20"/>
                <w:szCs w:val="20"/>
                <w:color w:val="auto"/>
              </w:rPr>
            </w:pPr>
            <w:r>
              <w:rPr>
                <w:rFonts w:ascii="Arial" w:cs="Arial" w:eastAsia="Arial" w:hAnsi="Arial"/>
                <w:sz w:val="13"/>
                <w:szCs w:val="13"/>
                <w:color w:val="auto"/>
              </w:rPr>
              <w:t>293,934</w:t>
            </w:r>
          </w:p>
        </w:tc>
      </w:tr>
      <w:tr>
        <w:trPr>
          <w:trHeight w:val="199"/>
        </w:trPr>
        <w:tc>
          <w:tcPr>
            <w:tcW w:w="6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Disposals</w:t>
            </w:r>
          </w:p>
        </w:tc>
        <w:tc>
          <w:tcPr>
            <w:tcW w:w="48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(329)</w:t>
            </w:r>
          </w:p>
        </w:tc>
      </w:tr>
      <w:tr>
        <w:trPr>
          <w:trHeight w:val="183"/>
        </w:trPr>
        <w:tc>
          <w:tcPr>
            <w:tcW w:w="6440" w:type="dxa"/>
            <w:vAlign w:val="bottom"/>
          </w:tcPr>
          <w:p>
            <w:pPr>
              <w:ind w:left="20"/>
              <w:spacing w:after="0"/>
              <w:rPr>
                <w:sz w:val="20"/>
                <w:szCs w:val="20"/>
                <w:color w:val="auto"/>
              </w:rPr>
            </w:pPr>
            <w:r>
              <w:rPr>
                <w:rFonts w:ascii="Arial" w:cs="Arial" w:eastAsia="Arial" w:hAnsi="Arial"/>
                <w:sz w:val="13"/>
                <w:szCs w:val="13"/>
                <w:color w:val="auto"/>
              </w:rPr>
              <w:t>Share-based payment</w:t>
            </w:r>
          </w:p>
        </w:tc>
        <w:tc>
          <w:tcPr>
            <w:tcW w:w="4820" w:type="dxa"/>
            <w:vAlign w:val="bottom"/>
          </w:tcPr>
          <w:p>
            <w:pPr>
              <w:jc w:val="right"/>
              <w:ind w:right="76"/>
              <w:spacing w:after="0"/>
              <w:rPr>
                <w:sz w:val="20"/>
                <w:szCs w:val="20"/>
                <w:color w:val="auto"/>
              </w:rPr>
            </w:pPr>
            <w:r>
              <w:rPr>
                <w:rFonts w:ascii="Arial" w:cs="Arial" w:eastAsia="Arial" w:hAnsi="Arial"/>
                <w:sz w:val="13"/>
                <w:szCs w:val="13"/>
                <w:color w:val="auto"/>
              </w:rPr>
              <w:t>20,650</w:t>
            </w:r>
          </w:p>
        </w:tc>
      </w:tr>
      <w:tr>
        <w:trPr>
          <w:trHeight w:val="191"/>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 subscription payment from subsidiary companies</w:t>
            </w:r>
          </w:p>
        </w:tc>
        <w:tc>
          <w:tcPr>
            <w:tcW w:w="48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(49,908)</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At 31 December 2018</w:t>
            </w:r>
          </w:p>
        </w:tc>
        <w:tc>
          <w:tcPr>
            <w:tcW w:w="43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264,347</w:t>
            </w:r>
          </w:p>
        </w:tc>
      </w:tr>
      <w:tr>
        <w:trPr>
          <w:trHeight w:val="182"/>
        </w:trPr>
        <w:tc>
          <w:tcPr>
            <w:tcW w:w="6900" w:type="dxa"/>
            <w:vAlign w:val="bottom"/>
          </w:tcPr>
          <w:p>
            <w:pPr>
              <w:spacing w:after="0"/>
              <w:rPr>
                <w:sz w:val="15"/>
                <w:szCs w:val="15"/>
                <w:color w:val="auto"/>
              </w:rPr>
            </w:pPr>
          </w:p>
        </w:tc>
        <w:tc>
          <w:tcPr>
            <w:tcW w:w="4360" w:type="dxa"/>
            <w:vAlign w:val="bottom"/>
          </w:tcPr>
          <w:p>
            <w:pPr>
              <w:spacing w:after="0"/>
              <w:rPr>
                <w:sz w:val="15"/>
                <w:szCs w:val="15"/>
                <w:color w:val="auto"/>
              </w:rPr>
            </w:pPr>
          </w:p>
        </w:tc>
      </w:tr>
      <w:tr>
        <w:trPr>
          <w:trHeight w:val="191"/>
        </w:trPr>
        <w:tc>
          <w:tcPr>
            <w:tcW w:w="6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43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2,977</w:t>
            </w:r>
          </w:p>
        </w:tc>
      </w:tr>
      <w:tr>
        <w:trPr>
          <w:trHeight w:val="183"/>
        </w:trPr>
        <w:tc>
          <w:tcPr>
            <w:tcW w:w="6900" w:type="dxa"/>
            <w:vAlign w:val="bottom"/>
          </w:tcPr>
          <w:p>
            <w:pPr>
              <w:ind w:left="20"/>
              <w:spacing w:after="0"/>
              <w:rPr>
                <w:sz w:val="20"/>
                <w:szCs w:val="20"/>
                <w:color w:val="auto"/>
              </w:rPr>
            </w:pPr>
            <w:r>
              <w:rPr>
                <w:rFonts w:ascii="Arial" w:cs="Arial" w:eastAsia="Arial" w:hAnsi="Arial"/>
                <w:sz w:val="13"/>
                <w:szCs w:val="13"/>
                <w:color w:val="auto"/>
              </w:rPr>
              <w:t>Share-based payment</w:t>
            </w:r>
          </w:p>
        </w:tc>
        <w:tc>
          <w:tcPr>
            <w:tcW w:w="4360" w:type="dxa"/>
            <w:vAlign w:val="bottom"/>
          </w:tcPr>
          <w:p>
            <w:pPr>
              <w:jc w:val="right"/>
              <w:ind w:right="76"/>
              <w:spacing w:after="0"/>
              <w:rPr>
                <w:sz w:val="20"/>
                <w:szCs w:val="20"/>
                <w:color w:val="auto"/>
              </w:rPr>
            </w:pPr>
            <w:r>
              <w:rPr>
                <w:rFonts w:ascii="Arial" w:cs="Arial" w:eastAsia="Arial" w:hAnsi="Arial"/>
                <w:sz w:val="13"/>
                <w:szCs w:val="13"/>
                <w:color w:val="auto"/>
              </w:rPr>
              <w:t>19,511</w:t>
            </w:r>
          </w:p>
        </w:tc>
      </w:tr>
      <w:tr>
        <w:trPr>
          <w:trHeight w:val="191"/>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 subscription payment from subsidiary companies</w:t>
            </w:r>
          </w:p>
        </w:tc>
        <w:tc>
          <w:tcPr>
            <w:tcW w:w="4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(45,469)</w:t>
            </w:r>
          </w:p>
        </w:tc>
      </w:tr>
      <w:tr>
        <w:trPr>
          <w:trHeight w:val="189"/>
        </w:trPr>
        <w:tc>
          <w:tcPr>
            <w:tcW w:w="6900" w:type="dxa"/>
            <w:vAlign w:val="bottom"/>
          </w:tcPr>
          <w:p>
            <w:pPr>
              <w:spacing w:after="0"/>
              <w:rPr>
                <w:sz w:val="16"/>
                <w:szCs w:val="16"/>
                <w:color w:val="auto"/>
              </w:rPr>
            </w:pPr>
          </w:p>
        </w:tc>
        <w:tc>
          <w:tcPr>
            <w:tcW w:w="4360" w:type="dxa"/>
            <w:vAlign w:val="bottom"/>
          </w:tcPr>
          <w:p>
            <w:pPr>
              <w:spacing w:after="0"/>
              <w:rPr>
                <w:sz w:val="16"/>
                <w:szCs w:val="16"/>
                <w:color w:val="auto"/>
              </w:rPr>
            </w:pPr>
          </w:p>
        </w:tc>
      </w:tr>
      <w:tr>
        <w:trPr>
          <w:trHeight w:val="192"/>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2019</w:t>
            </w:r>
          </w:p>
        </w:tc>
        <w:tc>
          <w:tcPr>
            <w:tcW w:w="43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241,366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1260"/>
          </w:cols>
          <w:pgMar w:left="300" w:top="696"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Notes to Consolidated Financial Statements (</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Deferred taxation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The net deferred tax asset at 31 December 2019 and 31 December 2018 was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46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31 December</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84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2019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8460" w:type="dxa"/>
            <w:vAlign w:val="bottom"/>
          </w:tcPr>
          <w:p>
            <w:pPr>
              <w:spacing w:after="0"/>
              <w:rPr>
                <w:sz w:val="15"/>
                <w:szCs w:val="15"/>
                <w:color w:val="auto"/>
              </w:rPr>
            </w:pPr>
          </w:p>
        </w:tc>
        <w:tc>
          <w:tcPr>
            <w:tcW w:w="1440" w:type="dxa"/>
            <w:vAlign w:val="bottom"/>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360" w:type="dxa"/>
            <w:vAlign w:val="bottom"/>
          </w:tcPr>
          <w:p>
            <w:pPr>
              <w:jc w:val="right"/>
              <w:ind w:right="116"/>
              <w:spacing w:after="0"/>
              <w:rPr>
                <w:sz w:val="20"/>
                <w:szCs w:val="20"/>
                <w:color w:val="auto"/>
              </w:rPr>
            </w:pPr>
            <w:r>
              <w:rPr>
                <w:rFonts w:ascii="Arial" w:cs="Arial" w:eastAsia="Arial" w:hAnsi="Arial"/>
                <w:sz w:val="13"/>
                <w:szCs w:val="13"/>
                <w:color w:val="auto"/>
              </w:rPr>
              <w:t>$'000</w:t>
            </w:r>
          </w:p>
        </w:tc>
      </w:tr>
      <w:tr>
        <w:trPr>
          <w:trHeight w:val="177"/>
        </w:trPr>
        <w:tc>
          <w:tcPr>
            <w:tcW w:w="84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83"/>
        </w:trPr>
        <w:tc>
          <w:tcPr>
            <w:tcW w:w="8460" w:type="dxa"/>
            <w:vAlign w:val="bottom"/>
          </w:tcPr>
          <w:p>
            <w:pPr>
              <w:ind w:left="40"/>
              <w:spacing w:after="0"/>
              <w:rPr>
                <w:sz w:val="20"/>
                <w:szCs w:val="20"/>
                <w:color w:val="auto"/>
              </w:rPr>
            </w:pPr>
            <w:r>
              <w:rPr>
                <w:rFonts w:ascii="Arial" w:cs="Arial" w:eastAsia="Arial" w:hAnsi="Arial"/>
                <w:sz w:val="13"/>
                <w:szCs w:val="13"/>
                <w:b w:val="1"/>
                <w:bCs w:val="1"/>
                <w:color w:val="auto"/>
              </w:rPr>
              <w:t>Deferred taxation assets:</w:t>
            </w:r>
          </w:p>
        </w:tc>
        <w:tc>
          <w:tcPr>
            <w:tcW w:w="14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99"/>
        </w:trPr>
        <w:tc>
          <w:tcPr>
            <w:tcW w:w="8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Accrued expenses and payments on account</w:t>
            </w:r>
          </w:p>
        </w:tc>
        <w:tc>
          <w:tcPr>
            <w:tcW w:w="144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364</w:t>
            </w: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392</w:t>
            </w:r>
          </w:p>
        </w:tc>
      </w:tr>
      <w:tr>
        <w:trPr>
          <w:trHeight w:val="183"/>
        </w:trPr>
        <w:tc>
          <w:tcPr>
            <w:tcW w:w="8460" w:type="dxa"/>
            <w:vAlign w:val="bottom"/>
          </w:tcPr>
          <w:p>
            <w:pPr>
              <w:ind w:left="40"/>
              <w:spacing w:after="0"/>
              <w:rPr>
                <w:sz w:val="20"/>
                <w:szCs w:val="20"/>
                <w:color w:val="auto"/>
              </w:rPr>
            </w:pPr>
            <w:r>
              <w:rPr>
                <w:rFonts w:ascii="Arial" w:cs="Arial" w:eastAsia="Arial" w:hAnsi="Arial"/>
                <w:sz w:val="13"/>
                <w:szCs w:val="13"/>
                <w:color w:val="auto"/>
              </w:rPr>
              <w:t>Property, plant and equipment</w:t>
            </w:r>
          </w:p>
        </w:tc>
        <w:tc>
          <w:tcPr>
            <w:tcW w:w="1440" w:type="dxa"/>
            <w:vAlign w:val="bottom"/>
          </w:tcPr>
          <w:p>
            <w:pPr>
              <w:jc w:val="right"/>
              <w:ind w:right="296"/>
              <w:spacing w:after="0"/>
              <w:rPr>
                <w:sz w:val="20"/>
                <w:szCs w:val="20"/>
                <w:color w:val="auto"/>
              </w:rPr>
            </w:pPr>
            <w:r>
              <w:rPr>
                <w:rFonts w:ascii="Arial" w:cs="Arial" w:eastAsia="Arial" w:hAnsi="Arial"/>
                <w:sz w:val="13"/>
                <w:szCs w:val="13"/>
                <w:b w:val="1"/>
                <w:bCs w:val="1"/>
                <w:color w:val="auto"/>
              </w:rPr>
              <w:t>9</w:t>
            </w:r>
          </w:p>
        </w:tc>
        <w:tc>
          <w:tcPr>
            <w:tcW w:w="1360" w:type="dxa"/>
            <w:vAlign w:val="bottom"/>
          </w:tcPr>
          <w:p>
            <w:pPr>
              <w:jc w:val="right"/>
              <w:ind w:right="76"/>
              <w:spacing w:after="0"/>
              <w:rPr>
                <w:sz w:val="20"/>
                <w:szCs w:val="20"/>
                <w:color w:val="auto"/>
              </w:rPr>
            </w:pPr>
            <w:r>
              <w:rPr>
                <w:rFonts w:ascii="Arial" w:cs="Arial" w:eastAsia="Arial" w:hAnsi="Arial"/>
                <w:sz w:val="13"/>
                <w:szCs w:val="13"/>
                <w:color w:val="auto"/>
              </w:rPr>
              <w:t>39</w:t>
            </w:r>
          </w:p>
        </w:tc>
      </w:tr>
      <w:tr>
        <w:trPr>
          <w:trHeight w:val="191"/>
        </w:trPr>
        <w:tc>
          <w:tcPr>
            <w:tcW w:w="8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Loans to subsidiaries</w:t>
            </w:r>
          </w:p>
        </w:tc>
        <w:tc>
          <w:tcPr>
            <w:tcW w:w="1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50</w:t>
            </w:r>
          </w:p>
        </w:tc>
        <w:tc>
          <w:tcPr>
            <w:tcW w:w="13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50</w:t>
            </w:r>
          </w:p>
        </w:tc>
      </w:tr>
      <w:tr>
        <w:trPr>
          <w:trHeight w:val="189"/>
        </w:trPr>
        <w:tc>
          <w:tcPr>
            <w:tcW w:w="8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3"/>
        </w:trPr>
        <w:tc>
          <w:tcPr>
            <w:tcW w:w="8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Total deferred taxation assets</w:t>
            </w:r>
          </w:p>
        </w:tc>
        <w:tc>
          <w:tcPr>
            <w:tcW w:w="1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423</w:t>
            </w:r>
          </w:p>
        </w:tc>
        <w:tc>
          <w:tcPr>
            <w:tcW w:w="13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481</w:t>
            </w:r>
          </w:p>
        </w:tc>
      </w:tr>
      <w:tr>
        <w:trPr>
          <w:trHeight w:val="189"/>
        </w:trPr>
        <w:tc>
          <w:tcPr>
            <w:tcW w:w="8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1"/>
        </w:trPr>
        <w:tc>
          <w:tcPr>
            <w:tcW w:w="84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Deferred taxation liabilities:</w:t>
            </w:r>
          </w:p>
        </w:tc>
        <w:tc>
          <w:tcPr>
            <w:tcW w:w="14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183"/>
        </w:trPr>
        <w:tc>
          <w:tcPr>
            <w:tcW w:w="8460" w:type="dxa"/>
            <w:vAlign w:val="bottom"/>
          </w:tcPr>
          <w:p>
            <w:pPr>
              <w:ind w:left="40"/>
              <w:spacing w:after="0"/>
              <w:rPr>
                <w:sz w:val="20"/>
                <w:szCs w:val="20"/>
                <w:color w:val="auto"/>
              </w:rPr>
            </w:pPr>
            <w:r>
              <w:rPr>
                <w:rFonts w:ascii="Arial" w:cs="Arial" w:eastAsia="Arial" w:hAnsi="Arial"/>
                <w:sz w:val="13"/>
                <w:szCs w:val="13"/>
                <w:color w:val="auto"/>
              </w:rPr>
              <w:t>Property, plant and equipment</w:t>
            </w:r>
          </w:p>
        </w:tc>
        <w:tc>
          <w:tcPr>
            <w:tcW w:w="1440" w:type="dxa"/>
            <w:vAlign w:val="bottom"/>
          </w:tcPr>
          <w:p>
            <w:pPr>
              <w:jc w:val="right"/>
              <w:ind w:right="256"/>
              <w:spacing w:after="0"/>
              <w:rPr>
                <w:sz w:val="20"/>
                <w:szCs w:val="20"/>
                <w:color w:val="auto"/>
              </w:rPr>
            </w:pPr>
            <w:r>
              <w:rPr>
                <w:rFonts w:ascii="Arial" w:cs="Arial" w:eastAsia="Arial" w:hAnsi="Arial"/>
                <w:sz w:val="13"/>
                <w:szCs w:val="13"/>
                <w:b w:val="1"/>
                <w:bCs w:val="1"/>
                <w:color w:val="auto"/>
              </w:rPr>
              <w:t>(2)</w:t>
            </w:r>
          </w:p>
        </w:tc>
        <w:tc>
          <w:tcPr>
            <w:tcW w:w="1360" w:type="dxa"/>
            <w:vAlign w:val="bottom"/>
          </w:tcPr>
          <w:p>
            <w:pPr>
              <w:jc w:val="right"/>
              <w:ind w:right="36"/>
              <w:spacing w:after="0"/>
              <w:rPr>
                <w:sz w:val="20"/>
                <w:szCs w:val="20"/>
                <w:color w:val="auto"/>
              </w:rPr>
            </w:pPr>
            <w:r>
              <w:rPr>
                <w:rFonts w:ascii="Arial" w:cs="Arial" w:eastAsia="Arial" w:hAnsi="Arial"/>
                <w:sz w:val="13"/>
                <w:szCs w:val="13"/>
                <w:color w:val="auto"/>
              </w:rPr>
              <w:t>(11)</w:t>
            </w:r>
          </w:p>
        </w:tc>
      </w:tr>
      <w:tr>
        <w:trPr>
          <w:trHeight w:val="191"/>
        </w:trPr>
        <w:tc>
          <w:tcPr>
            <w:tcW w:w="8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Accrued expenses and payments on account</w:t>
            </w:r>
          </w:p>
        </w:tc>
        <w:tc>
          <w:tcPr>
            <w:tcW w:w="1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w:t>
            </w: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(19)</w:t>
            </w:r>
          </w:p>
        </w:tc>
      </w:tr>
      <w:tr>
        <w:trPr>
          <w:trHeight w:val="189"/>
        </w:trPr>
        <w:tc>
          <w:tcPr>
            <w:tcW w:w="8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3"/>
        </w:trPr>
        <w:tc>
          <w:tcPr>
            <w:tcW w:w="8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Total deferred taxation liabilities</w:t>
            </w:r>
          </w:p>
        </w:tc>
        <w:tc>
          <w:tcPr>
            <w:tcW w:w="14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(2)</w:t>
            </w: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(30)</w:t>
            </w:r>
          </w:p>
        </w:tc>
      </w:tr>
      <w:tr>
        <w:trPr>
          <w:trHeight w:val="189"/>
        </w:trPr>
        <w:tc>
          <w:tcPr>
            <w:tcW w:w="8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2"/>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deferred taxation asset</w:t>
            </w:r>
          </w:p>
        </w:tc>
        <w:tc>
          <w:tcPr>
            <w:tcW w:w="1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421</w:t>
            </w:r>
          </w:p>
        </w:tc>
        <w:tc>
          <w:tcPr>
            <w:tcW w:w="13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451</w:t>
            </w:r>
          </w:p>
        </w:tc>
      </w:tr>
      <w:tr>
        <w:trPr>
          <w:trHeight w:val="361"/>
        </w:trPr>
        <w:tc>
          <w:tcPr>
            <w:tcW w:w="8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55"/>
        </w:trPr>
        <w:tc>
          <w:tcPr>
            <w:tcW w:w="84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Balance 1 January</w:t>
            </w:r>
          </w:p>
        </w:tc>
        <w:tc>
          <w:tcPr>
            <w:tcW w:w="144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Balance 31 December</w:t>
            </w:r>
          </w:p>
        </w:tc>
      </w:tr>
      <w:tr>
        <w:trPr>
          <w:trHeight w:val="177"/>
        </w:trPr>
        <w:tc>
          <w:tcPr>
            <w:tcW w:w="8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2019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Recognised in Income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2019</w:t>
            </w: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240" w:type="dxa"/>
            <w:vAlign w:val="bottom"/>
          </w:tcPr>
          <w:p>
            <w:pPr>
              <w:spacing w:after="0"/>
              <w:rPr>
                <w:sz w:val="15"/>
                <w:szCs w:val="15"/>
                <w:color w:val="auto"/>
              </w:rPr>
            </w:pPr>
          </w:p>
        </w:tc>
        <w:tc>
          <w:tcPr>
            <w:tcW w:w="3600" w:type="dxa"/>
            <w:vAlign w:val="bottom"/>
          </w:tcPr>
          <w:p>
            <w:pPr>
              <w:jc w:val="right"/>
              <w:ind w:right="576"/>
              <w:spacing w:after="0"/>
              <w:rPr>
                <w:sz w:val="20"/>
                <w:szCs w:val="20"/>
                <w:color w:val="auto"/>
              </w:rPr>
            </w:pPr>
            <w:r>
              <w:rPr>
                <w:rFonts w:ascii="Arial" w:cs="Arial" w:eastAsia="Arial" w:hAnsi="Arial"/>
                <w:sz w:val="13"/>
                <w:szCs w:val="13"/>
                <w:b w:val="1"/>
                <w:bCs w:val="1"/>
                <w:color w:val="auto"/>
              </w:rPr>
              <w:t>$'000</w:t>
            </w:r>
          </w:p>
        </w:tc>
        <w:tc>
          <w:tcPr>
            <w:tcW w:w="1440" w:type="dxa"/>
            <w:vAlign w:val="bottom"/>
          </w:tcPr>
          <w:p>
            <w:pPr>
              <w:jc w:val="right"/>
              <w:ind w:right="51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116"/>
              <w:spacing w:after="0"/>
              <w:rPr>
                <w:sz w:val="20"/>
                <w:szCs w:val="20"/>
                <w:color w:val="auto"/>
              </w:rPr>
            </w:pPr>
            <w:r>
              <w:rPr>
                <w:rFonts w:ascii="Arial" w:cs="Arial" w:eastAsia="Arial" w:hAnsi="Arial"/>
                <w:sz w:val="13"/>
                <w:szCs w:val="13"/>
                <w:b w:val="1"/>
                <w:bCs w:val="1"/>
                <w:color w:val="auto"/>
              </w:rPr>
              <w:t>$'000</w:t>
            </w:r>
          </w:p>
        </w:tc>
      </w:tr>
      <w:tr>
        <w:trPr>
          <w:trHeight w:val="177"/>
        </w:trPr>
        <w:tc>
          <w:tcPr>
            <w:tcW w:w="524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3"/>
        </w:trPr>
        <w:tc>
          <w:tcPr>
            <w:tcW w:w="5240" w:type="dxa"/>
            <w:vAlign w:val="bottom"/>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36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9"/>
        </w:trPr>
        <w:tc>
          <w:tcPr>
            <w:tcW w:w="5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Accrued expenses and payments on account</w:t>
            </w:r>
          </w:p>
        </w:tc>
        <w:tc>
          <w:tcPr>
            <w:tcW w:w="360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392</w:t>
            </w:r>
          </w:p>
        </w:tc>
        <w:tc>
          <w:tcPr>
            <w:tcW w:w="144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(28)</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364</w:t>
            </w:r>
          </w:p>
        </w:tc>
      </w:tr>
      <w:tr>
        <w:trPr>
          <w:trHeight w:val="183"/>
        </w:trPr>
        <w:tc>
          <w:tcPr>
            <w:tcW w:w="5240" w:type="dxa"/>
            <w:vAlign w:val="bottom"/>
          </w:tcPr>
          <w:p>
            <w:pPr>
              <w:ind w:left="60"/>
              <w:spacing w:after="0"/>
              <w:rPr>
                <w:sz w:val="20"/>
                <w:szCs w:val="20"/>
                <w:color w:val="auto"/>
              </w:rPr>
            </w:pPr>
            <w:r>
              <w:rPr>
                <w:rFonts w:ascii="Arial" w:cs="Arial" w:eastAsia="Arial" w:hAnsi="Arial"/>
                <w:sz w:val="13"/>
                <w:szCs w:val="13"/>
                <w:color w:val="auto"/>
              </w:rPr>
              <w:t>Property plant and equipment</w:t>
            </w:r>
          </w:p>
        </w:tc>
        <w:tc>
          <w:tcPr>
            <w:tcW w:w="3600" w:type="dxa"/>
            <w:vAlign w:val="bottom"/>
          </w:tcPr>
          <w:p>
            <w:pPr>
              <w:jc w:val="right"/>
              <w:ind w:right="536"/>
              <w:spacing w:after="0"/>
              <w:rPr>
                <w:sz w:val="20"/>
                <w:szCs w:val="20"/>
                <w:color w:val="auto"/>
              </w:rPr>
            </w:pPr>
            <w:r>
              <w:rPr>
                <w:rFonts w:ascii="Arial" w:cs="Arial" w:eastAsia="Arial" w:hAnsi="Arial"/>
                <w:sz w:val="13"/>
                <w:szCs w:val="13"/>
                <w:color w:val="auto"/>
              </w:rPr>
              <w:t>39</w:t>
            </w:r>
          </w:p>
        </w:tc>
        <w:tc>
          <w:tcPr>
            <w:tcW w:w="1440" w:type="dxa"/>
            <w:vAlign w:val="bottom"/>
          </w:tcPr>
          <w:p>
            <w:pPr>
              <w:jc w:val="right"/>
              <w:ind w:right="436"/>
              <w:spacing w:after="0"/>
              <w:rPr>
                <w:sz w:val="20"/>
                <w:szCs w:val="20"/>
                <w:color w:val="auto"/>
              </w:rPr>
            </w:pPr>
            <w:r>
              <w:rPr>
                <w:rFonts w:ascii="Arial" w:cs="Arial" w:eastAsia="Arial" w:hAnsi="Arial"/>
                <w:sz w:val="13"/>
                <w:szCs w:val="13"/>
                <w:color w:val="auto"/>
              </w:rPr>
              <w:t>(30)</w:t>
            </w:r>
          </w:p>
        </w:tc>
        <w:tc>
          <w:tcPr>
            <w:tcW w:w="980" w:type="dxa"/>
            <w:vAlign w:val="bottom"/>
          </w:tcPr>
          <w:p>
            <w:pPr>
              <w:jc w:val="right"/>
              <w:ind w:right="76"/>
              <w:spacing w:after="0"/>
              <w:rPr>
                <w:sz w:val="20"/>
                <w:szCs w:val="20"/>
                <w:color w:val="auto"/>
              </w:rPr>
            </w:pPr>
            <w:r>
              <w:rPr>
                <w:rFonts w:ascii="Arial" w:cs="Arial" w:eastAsia="Arial" w:hAnsi="Arial"/>
                <w:sz w:val="13"/>
                <w:szCs w:val="13"/>
                <w:color w:val="auto"/>
              </w:rPr>
              <w:t>9</w:t>
            </w:r>
          </w:p>
        </w:tc>
      </w:tr>
      <w:tr>
        <w:trPr>
          <w:trHeight w:val="191"/>
        </w:trPr>
        <w:tc>
          <w:tcPr>
            <w:tcW w:w="5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Loans to subsidiaries</w:t>
            </w:r>
          </w:p>
        </w:tc>
        <w:tc>
          <w:tcPr>
            <w:tcW w:w="360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50</w:t>
            </w:r>
          </w:p>
        </w:tc>
        <w:tc>
          <w:tcPr>
            <w:tcW w:w="14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50</w:t>
            </w:r>
          </w:p>
        </w:tc>
      </w:tr>
      <w:tr>
        <w:trPr>
          <w:trHeight w:val="189"/>
        </w:trPr>
        <w:tc>
          <w:tcPr>
            <w:tcW w:w="52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3"/>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360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481</w:t>
            </w:r>
          </w:p>
        </w:tc>
        <w:tc>
          <w:tcPr>
            <w:tcW w:w="14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(58)</w:t>
            </w:r>
          </w:p>
        </w:tc>
        <w:tc>
          <w:tcPr>
            <w:tcW w:w="9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423</w:t>
            </w:r>
          </w:p>
        </w:tc>
      </w:tr>
      <w:tr>
        <w:trPr>
          <w:trHeight w:val="189"/>
        </w:trPr>
        <w:tc>
          <w:tcPr>
            <w:tcW w:w="52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36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3"/>
        </w:trPr>
        <w:tc>
          <w:tcPr>
            <w:tcW w:w="524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3600" w:type="dxa"/>
            <w:vAlign w:val="bottom"/>
          </w:tcPr>
          <w:p>
            <w:pPr>
              <w:jc w:val="right"/>
              <w:ind w:right="496"/>
              <w:spacing w:after="0"/>
              <w:rPr>
                <w:sz w:val="20"/>
                <w:szCs w:val="20"/>
                <w:color w:val="auto"/>
              </w:rPr>
            </w:pPr>
            <w:r>
              <w:rPr>
                <w:rFonts w:ascii="Arial" w:cs="Arial" w:eastAsia="Arial" w:hAnsi="Arial"/>
                <w:sz w:val="13"/>
                <w:szCs w:val="13"/>
                <w:color w:val="auto"/>
              </w:rPr>
              <w:t>(11)</w:t>
            </w:r>
          </w:p>
        </w:tc>
        <w:tc>
          <w:tcPr>
            <w:tcW w:w="1440" w:type="dxa"/>
            <w:vAlign w:val="bottom"/>
          </w:tcPr>
          <w:p>
            <w:pPr>
              <w:jc w:val="right"/>
              <w:ind w:right="456"/>
              <w:spacing w:after="0"/>
              <w:rPr>
                <w:sz w:val="20"/>
                <w:szCs w:val="20"/>
                <w:color w:val="auto"/>
              </w:rPr>
            </w:pPr>
            <w:r>
              <w:rPr>
                <w:rFonts w:ascii="Arial" w:cs="Arial" w:eastAsia="Arial" w:hAnsi="Arial"/>
                <w:sz w:val="13"/>
                <w:szCs w:val="13"/>
                <w:color w:val="auto"/>
              </w:rPr>
              <w:t>9</w:t>
            </w: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(2)</w:t>
            </w:r>
          </w:p>
        </w:tc>
      </w:tr>
      <w:tr>
        <w:trPr>
          <w:trHeight w:val="191"/>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Accrued expenses and payments on account</w:t>
            </w:r>
          </w:p>
        </w:tc>
        <w:tc>
          <w:tcPr>
            <w:tcW w:w="36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color w:val="auto"/>
              </w:rPr>
              <w:t>(19)</w:t>
            </w:r>
          </w:p>
        </w:tc>
        <w:tc>
          <w:tcPr>
            <w:tcW w:w="14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19</w:t>
            </w:r>
          </w:p>
        </w:tc>
        <w:tc>
          <w:tcPr>
            <w:tcW w:w="9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r>
        <w:trPr>
          <w:trHeight w:val="189"/>
        </w:trPr>
        <w:tc>
          <w:tcPr>
            <w:tcW w:w="52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3"/>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deferred taxation liabilities</w:t>
            </w:r>
          </w:p>
        </w:tc>
        <w:tc>
          <w:tcPr>
            <w:tcW w:w="36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(30)</w:t>
            </w:r>
          </w:p>
        </w:tc>
        <w:tc>
          <w:tcPr>
            <w:tcW w:w="14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28</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(2)</w:t>
            </w:r>
          </w:p>
        </w:tc>
      </w:tr>
      <w:tr>
        <w:trPr>
          <w:trHeight w:val="189"/>
        </w:trPr>
        <w:tc>
          <w:tcPr>
            <w:tcW w:w="52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2"/>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deferred taxation asset</w:t>
            </w:r>
          </w:p>
        </w:tc>
        <w:tc>
          <w:tcPr>
            <w:tcW w:w="360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451</w:t>
            </w:r>
          </w:p>
        </w:tc>
        <w:tc>
          <w:tcPr>
            <w:tcW w:w="14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(30)</w:t>
            </w:r>
          </w:p>
        </w:tc>
        <w:tc>
          <w:tcPr>
            <w:tcW w:w="9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421</w:t>
            </w:r>
          </w:p>
        </w:tc>
      </w:tr>
    </w:tbl>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133</w:t>
      </w:r>
    </w:p>
    <w:p>
      <w:pPr>
        <w:sectPr>
          <w:pgSz w:w="11900" w:h="16838" w:orient="portrait"/>
          <w:cols w:equalWidth="0" w:num="1">
            <w:col w:w="11260"/>
          </w:cols>
          <w:pgMar w:left="300" w:top="695"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Deferred taxation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960" w:type="dxa"/>
            <w:vAlign w:val="bottom"/>
            <w:shd w:val="clear" w:color="auto" w:fill="CCEEFF"/>
          </w:tcPr>
          <w:p>
            <w:pPr>
              <w:spacing w:after="0"/>
              <w:rPr>
                <w:sz w:val="13"/>
                <w:szCs w:val="13"/>
                <w:color w:val="auto"/>
              </w:rPr>
            </w:pPr>
          </w:p>
        </w:tc>
        <w:tc>
          <w:tcPr>
            <w:tcW w:w="3940" w:type="dxa"/>
            <w:vAlign w:val="bottom"/>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Balance 1 January</w:t>
            </w:r>
          </w:p>
        </w:tc>
        <w:tc>
          <w:tcPr>
            <w:tcW w:w="9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9"/>
              </w:rPr>
              <w:t>Balance 31 December</w:t>
            </w:r>
          </w:p>
        </w:tc>
      </w:tr>
      <w:tr>
        <w:trPr>
          <w:trHeight w:val="177"/>
        </w:trPr>
        <w:tc>
          <w:tcPr>
            <w:tcW w:w="4960" w:type="dxa"/>
            <w:vAlign w:val="bottom"/>
            <w:tcBorders>
              <w:bottom w:val="single" w:sz="8" w:color="auto"/>
            </w:tcBorders>
            <w:shd w:val="clear" w:color="auto" w:fill="CCEEFF"/>
          </w:tcPr>
          <w:p>
            <w:pPr>
              <w:spacing w:after="0"/>
              <w:rPr>
                <w:sz w:val="15"/>
                <w:szCs w:val="15"/>
                <w:color w:val="auto"/>
              </w:rPr>
            </w:pPr>
          </w:p>
        </w:tc>
        <w:tc>
          <w:tcPr>
            <w:tcW w:w="4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2018 Recognised in Income</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2018</w:t>
            </w:r>
          </w:p>
        </w:tc>
      </w:tr>
      <w:tr>
        <w:trPr>
          <w:trHeight w:val="182"/>
        </w:trPr>
        <w:tc>
          <w:tcPr>
            <w:tcW w:w="4960" w:type="dxa"/>
            <w:vAlign w:val="bottom"/>
          </w:tcPr>
          <w:p>
            <w:pPr>
              <w:spacing w:after="0"/>
              <w:rPr>
                <w:sz w:val="15"/>
                <w:szCs w:val="15"/>
                <w:color w:val="auto"/>
              </w:rPr>
            </w:pPr>
          </w:p>
        </w:tc>
        <w:tc>
          <w:tcPr>
            <w:tcW w:w="3940" w:type="dxa"/>
            <w:vAlign w:val="bottom"/>
          </w:tcPr>
          <w:p>
            <w:pPr>
              <w:jc w:val="right"/>
              <w:ind w:right="576"/>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380" w:type="dxa"/>
            <w:vAlign w:val="bottom"/>
          </w:tcPr>
          <w:p>
            <w:pPr>
              <w:jc w:val="right"/>
              <w:ind w:right="116"/>
              <w:spacing w:after="0"/>
              <w:rPr>
                <w:sz w:val="20"/>
                <w:szCs w:val="20"/>
                <w:color w:val="auto"/>
              </w:rPr>
            </w:pPr>
            <w:r>
              <w:rPr>
                <w:rFonts w:ascii="Arial" w:cs="Arial" w:eastAsia="Arial" w:hAnsi="Arial"/>
                <w:sz w:val="13"/>
                <w:szCs w:val="13"/>
                <w:color w:val="auto"/>
              </w:rPr>
              <w:t>$'000</w:t>
            </w:r>
          </w:p>
        </w:tc>
      </w:tr>
      <w:tr>
        <w:trPr>
          <w:trHeight w:val="177"/>
        </w:trPr>
        <w:tc>
          <w:tcPr>
            <w:tcW w:w="4960" w:type="dxa"/>
            <w:vAlign w:val="bottom"/>
            <w:shd w:val="clear" w:color="auto" w:fill="CCEEFF"/>
          </w:tcPr>
          <w:p>
            <w:pPr>
              <w:spacing w:after="0"/>
              <w:rPr>
                <w:sz w:val="15"/>
                <w:szCs w:val="15"/>
                <w:color w:val="auto"/>
              </w:rPr>
            </w:pPr>
          </w:p>
        </w:tc>
        <w:tc>
          <w:tcPr>
            <w:tcW w:w="39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3"/>
        </w:trPr>
        <w:tc>
          <w:tcPr>
            <w:tcW w:w="4960" w:type="dxa"/>
            <w:vAlign w:val="bottom"/>
          </w:tcPr>
          <w:p>
            <w:pPr>
              <w:ind w:left="20"/>
              <w:spacing w:after="0"/>
              <w:rPr>
                <w:sz w:val="20"/>
                <w:szCs w:val="20"/>
                <w:color w:val="auto"/>
              </w:rPr>
            </w:pPr>
            <w:r>
              <w:rPr>
                <w:rFonts w:ascii="Arial" w:cs="Arial" w:eastAsia="Arial" w:hAnsi="Arial"/>
                <w:sz w:val="13"/>
                <w:szCs w:val="13"/>
                <w:b w:val="1"/>
                <w:bCs w:val="1"/>
                <w:color w:val="auto"/>
              </w:rPr>
              <w:t>Deferred taxation assets</w:t>
            </w:r>
          </w:p>
        </w:tc>
        <w:tc>
          <w:tcPr>
            <w:tcW w:w="3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99"/>
        </w:trPr>
        <w:tc>
          <w:tcPr>
            <w:tcW w:w="4960" w:type="dxa"/>
            <w:vAlign w:val="bottom"/>
            <w:shd w:val="clear" w:color="auto" w:fill="CCEEFF"/>
          </w:tcPr>
          <w:p>
            <w:pPr>
              <w:ind w:left="60"/>
              <w:spacing w:after="0"/>
              <w:rPr>
                <w:sz w:val="20"/>
                <w:szCs w:val="20"/>
                <w:color w:val="auto"/>
              </w:rPr>
            </w:pPr>
            <w:r>
              <w:rPr>
                <w:rFonts w:ascii="Arial" w:cs="Arial" w:eastAsia="Arial" w:hAnsi="Arial"/>
                <w:sz w:val="13"/>
                <w:szCs w:val="13"/>
                <w:color w:val="auto"/>
              </w:rPr>
              <w:t>Accrued expenses and payments on account</w:t>
            </w:r>
          </w:p>
        </w:tc>
        <w:tc>
          <w:tcPr>
            <w:tcW w:w="394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318</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74</w:t>
            </w:r>
          </w:p>
        </w:tc>
        <w:tc>
          <w:tcPr>
            <w:tcW w:w="13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392</w:t>
            </w:r>
          </w:p>
        </w:tc>
      </w:tr>
      <w:tr>
        <w:trPr>
          <w:trHeight w:val="183"/>
        </w:trPr>
        <w:tc>
          <w:tcPr>
            <w:tcW w:w="4960" w:type="dxa"/>
            <w:vAlign w:val="bottom"/>
          </w:tcPr>
          <w:p>
            <w:pPr>
              <w:ind w:left="60"/>
              <w:spacing w:after="0"/>
              <w:rPr>
                <w:sz w:val="20"/>
                <w:szCs w:val="20"/>
                <w:color w:val="auto"/>
              </w:rPr>
            </w:pPr>
            <w:r>
              <w:rPr>
                <w:rFonts w:ascii="Arial" w:cs="Arial" w:eastAsia="Arial" w:hAnsi="Arial"/>
                <w:sz w:val="13"/>
                <w:szCs w:val="13"/>
                <w:color w:val="auto"/>
              </w:rPr>
              <w:t>Property, plant and equipment</w:t>
            </w:r>
          </w:p>
        </w:tc>
        <w:tc>
          <w:tcPr>
            <w:tcW w:w="3940" w:type="dxa"/>
            <w:vAlign w:val="bottom"/>
          </w:tcPr>
          <w:p>
            <w:pPr>
              <w:jc w:val="right"/>
              <w:ind w:right="536"/>
              <w:spacing w:after="0"/>
              <w:rPr>
                <w:sz w:val="20"/>
                <w:szCs w:val="20"/>
                <w:color w:val="auto"/>
              </w:rPr>
            </w:pPr>
            <w:r>
              <w:rPr>
                <w:rFonts w:ascii="Arial" w:cs="Arial" w:eastAsia="Arial" w:hAnsi="Arial"/>
                <w:sz w:val="13"/>
                <w:szCs w:val="13"/>
                <w:color w:val="auto"/>
              </w:rPr>
              <w:t>36</w:t>
            </w:r>
          </w:p>
        </w:tc>
        <w:tc>
          <w:tcPr>
            <w:tcW w:w="980" w:type="dxa"/>
            <w:vAlign w:val="bottom"/>
          </w:tcPr>
          <w:p>
            <w:pPr>
              <w:jc w:val="right"/>
              <w:ind w:right="96"/>
              <w:spacing w:after="0"/>
              <w:rPr>
                <w:sz w:val="20"/>
                <w:szCs w:val="20"/>
                <w:color w:val="auto"/>
              </w:rPr>
            </w:pPr>
            <w:r>
              <w:rPr>
                <w:rFonts w:ascii="Arial" w:cs="Arial" w:eastAsia="Arial" w:hAnsi="Arial"/>
                <w:sz w:val="13"/>
                <w:szCs w:val="13"/>
                <w:color w:val="auto"/>
              </w:rPr>
              <w:t>3</w:t>
            </w:r>
          </w:p>
        </w:tc>
        <w:tc>
          <w:tcPr>
            <w:tcW w:w="1380" w:type="dxa"/>
            <w:vAlign w:val="bottom"/>
          </w:tcPr>
          <w:p>
            <w:pPr>
              <w:jc w:val="right"/>
              <w:ind w:right="76"/>
              <w:spacing w:after="0"/>
              <w:rPr>
                <w:sz w:val="20"/>
                <w:szCs w:val="20"/>
                <w:color w:val="auto"/>
              </w:rPr>
            </w:pPr>
            <w:r>
              <w:rPr>
                <w:rFonts w:ascii="Arial" w:cs="Arial" w:eastAsia="Arial" w:hAnsi="Arial"/>
                <w:sz w:val="13"/>
                <w:szCs w:val="13"/>
                <w:color w:val="auto"/>
              </w:rPr>
              <w:t>39</w:t>
            </w:r>
          </w:p>
        </w:tc>
      </w:tr>
      <w:tr>
        <w:trPr>
          <w:trHeight w:val="191"/>
        </w:trPr>
        <w:tc>
          <w:tcPr>
            <w:tcW w:w="49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Loans to subsidiaries</w:t>
            </w:r>
          </w:p>
        </w:tc>
        <w:tc>
          <w:tcPr>
            <w:tcW w:w="39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50</w:t>
            </w: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50</w:t>
            </w:r>
          </w:p>
        </w:tc>
      </w:tr>
      <w:tr>
        <w:trPr>
          <w:trHeight w:val="189"/>
        </w:trPr>
        <w:tc>
          <w:tcPr>
            <w:tcW w:w="49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3"/>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deferred taxation assets</w:t>
            </w:r>
          </w:p>
        </w:tc>
        <w:tc>
          <w:tcPr>
            <w:tcW w:w="39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404</w:t>
            </w: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77</w:t>
            </w:r>
          </w:p>
        </w:tc>
        <w:tc>
          <w:tcPr>
            <w:tcW w:w="13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481</w:t>
            </w:r>
          </w:p>
        </w:tc>
      </w:tr>
      <w:tr>
        <w:trPr>
          <w:trHeight w:val="189"/>
        </w:trPr>
        <w:tc>
          <w:tcPr>
            <w:tcW w:w="49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Deferred taxation liabilities</w:t>
            </w:r>
          </w:p>
        </w:tc>
        <w:tc>
          <w:tcPr>
            <w:tcW w:w="39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3"/>
        </w:trPr>
        <w:tc>
          <w:tcPr>
            <w:tcW w:w="496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3940" w:type="dxa"/>
            <w:vAlign w:val="bottom"/>
          </w:tcPr>
          <w:p>
            <w:pPr>
              <w:jc w:val="right"/>
              <w:ind w:right="496"/>
              <w:spacing w:after="0"/>
              <w:rPr>
                <w:sz w:val="20"/>
                <w:szCs w:val="20"/>
                <w:color w:val="auto"/>
              </w:rPr>
            </w:pPr>
            <w:r>
              <w:rPr>
                <w:rFonts w:ascii="Arial" w:cs="Arial" w:eastAsia="Arial" w:hAnsi="Arial"/>
                <w:sz w:val="13"/>
                <w:szCs w:val="13"/>
                <w:color w:val="auto"/>
              </w:rPr>
              <w:t>(11)</w:t>
            </w:r>
          </w:p>
        </w:tc>
        <w:tc>
          <w:tcPr>
            <w:tcW w:w="9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36"/>
              <w:spacing w:after="0"/>
              <w:rPr>
                <w:sz w:val="20"/>
                <w:szCs w:val="20"/>
                <w:color w:val="auto"/>
              </w:rPr>
            </w:pPr>
            <w:r>
              <w:rPr>
                <w:rFonts w:ascii="Arial" w:cs="Arial" w:eastAsia="Arial" w:hAnsi="Arial"/>
                <w:sz w:val="13"/>
                <w:szCs w:val="13"/>
                <w:color w:val="auto"/>
              </w:rPr>
              <w:t>(11)</w:t>
            </w:r>
          </w:p>
        </w:tc>
      </w:tr>
      <w:tr>
        <w:trPr>
          <w:trHeight w:val="191"/>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Accrued expenses and payments on account</w:t>
            </w:r>
          </w:p>
        </w:tc>
        <w:tc>
          <w:tcPr>
            <w:tcW w:w="39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(19)</w:t>
            </w:r>
          </w:p>
        </w:tc>
        <w:tc>
          <w:tcPr>
            <w:tcW w:w="13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(19)</w:t>
            </w:r>
          </w:p>
        </w:tc>
      </w:tr>
      <w:tr>
        <w:trPr>
          <w:trHeight w:val="189"/>
        </w:trPr>
        <w:tc>
          <w:tcPr>
            <w:tcW w:w="49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3"/>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deferred taxation liabilities</w:t>
            </w:r>
          </w:p>
        </w:tc>
        <w:tc>
          <w:tcPr>
            <w:tcW w:w="394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b w:val="1"/>
                <w:bCs w:val="1"/>
                <w:color w:val="auto"/>
              </w:rPr>
              <w:t>(11)</w:t>
            </w: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(19)</w:t>
            </w:r>
          </w:p>
        </w:tc>
        <w:tc>
          <w:tcPr>
            <w:tcW w:w="13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(30)</w:t>
            </w:r>
          </w:p>
        </w:tc>
      </w:tr>
      <w:tr>
        <w:trPr>
          <w:trHeight w:val="189"/>
        </w:trPr>
        <w:tc>
          <w:tcPr>
            <w:tcW w:w="49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2"/>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deferred taxation asset</w:t>
            </w:r>
          </w:p>
        </w:tc>
        <w:tc>
          <w:tcPr>
            <w:tcW w:w="39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b w:val="1"/>
                <w:bCs w:val="1"/>
                <w:color w:val="auto"/>
              </w:rPr>
              <w:t>393</w:t>
            </w: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b w:val="1"/>
                <w:bCs w:val="1"/>
                <w:color w:val="auto"/>
              </w:rPr>
              <w:t>58</w:t>
            </w:r>
          </w:p>
        </w:tc>
        <w:tc>
          <w:tcPr>
            <w:tcW w:w="13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451</w:t>
            </w:r>
          </w:p>
        </w:tc>
      </w:tr>
    </w:tbl>
    <w:p>
      <w:pPr>
        <w:spacing w:after="0" w:line="2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At 31 December 2019 and 31 December 2018 the Company had no operating loss carry forwards for income tax purposes. At 31 December 2019 the Company had an unrecognised deferred tax asset in respect of unutilised foreign tax credits carried forward of $5.7 million (2018: $3.1 million).</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 Other current assets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60" w:type="dxa"/>
            <w:vAlign w:val="bottom"/>
            <w:shd w:val="clear" w:color="auto" w:fill="CCEEFF"/>
          </w:tcPr>
          <w:p>
            <w:pPr>
              <w:spacing w:after="0"/>
              <w:rPr>
                <w:sz w:val="13"/>
                <w:szCs w:val="13"/>
                <w:color w:val="auto"/>
              </w:rPr>
            </w:pPr>
          </w:p>
        </w:tc>
        <w:tc>
          <w:tcPr>
            <w:tcW w:w="418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5960" w:type="dxa"/>
            <w:vAlign w:val="bottom"/>
            <w:tcBorders>
              <w:bottom w:val="single" w:sz="8" w:color="auto"/>
            </w:tcBorders>
            <w:shd w:val="clear" w:color="auto" w:fill="CCEEFF"/>
          </w:tcPr>
          <w:p>
            <w:pPr>
              <w:spacing w:after="0"/>
              <w:rPr>
                <w:sz w:val="15"/>
                <w:szCs w:val="15"/>
                <w:color w:val="auto"/>
              </w:rPr>
            </w:pPr>
          </w:p>
        </w:tc>
        <w:tc>
          <w:tcPr>
            <w:tcW w:w="41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5960" w:type="dxa"/>
            <w:vAlign w:val="bottom"/>
          </w:tcPr>
          <w:p>
            <w:pPr>
              <w:spacing w:after="0"/>
              <w:rPr>
                <w:sz w:val="15"/>
                <w:szCs w:val="15"/>
                <w:color w:val="auto"/>
              </w:rPr>
            </w:pPr>
          </w:p>
        </w:tc>
        <w:tc>
          <w:tcPr>
            <w:tcW w:w="418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9"/>
        </w:trPr>
        <w:tc>
          <w:tcPr>
            <w:tcW w:w="59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83"/>
        </w:trPr>
        <w:tc>
          <w:tcPr>
            <w:tcW w:w="5960" w:type="dxa"/>
            <w:vAlign w:val="bottom"/>
          </w:tcPr>
          <w:p>
            <w:pPr>
              <w:ind w:left="20"/>
              <w:spacing w:after="0"/>
              <w:rPr>
                <w:sz w:val="20"/>
                <w:szCs w:val="20"/>
                <w:color w:val="auto"/>
              </w:rPr>
            </w:pPr>
            <w:r>
              <w:rPr>
                <w:rFonts w:ascii="Arial" w:cs="Arial" w:eastAsia="Arial" w:hAnsi="Arial"/>
                <w:sz w:val="13"/>
                <w:szCs w:val="13"/>
                <w:color w:val="auto"/>
              </w:rPr>
              <w:t>Prepayments</w:t>
            </w:r>
          </w:p>
        </w:tc>
        <w:tc>
          <w:tcPr>
            <w:tcW w:w="4180" w:type="dxa"/>
            <w:vAlign w:val="bottom"/>
          </w:tcPr>
          <w:p>
            <w:pPr>
              <w:jc w:val="right"/>
              <w:ind w:right="416"/>
              <w:spacing w:after="0"/>
              <w:rPr>
                <w:sz w:val="20"/>
                <w:szCs w:val="20"/>
                <w:color w:val="auto"/>
              </w:rPr>
            </w:pPr>
            <w:r>
              <w:rPr>
                <w:rFonts w:ascii="Arial" w:cs="Arial" w:eastAsia="Arial" w:hAnsi="Arial"/>
                <w:sz w:val="13"/>
                <w:szCs w:val="13"/>
                <w:b w:val="1"/>
                <w:bCs w:val="1"/>
                <w:color w:val="auto"/>
              </w:rPr>
              <w:t>264</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821</w:t>
            </w:r>
          </w:p>
        </w:tc>
      </w:tr>
      <w:tr>
        <w:trPr>
          <w:trHeight w:val="191"/>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Other receivables</w:t>
            </w:r>
          </w:p>
        </w:tc>
        <w:tc>
          <w:tcPr>
            <w:tcW w:w="41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1,450</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1,317</w:t>
            </w:r>
          </w:p>
        </w:tc>
      </w:tr>
      <w:tr>
        <w:trPr>
          <w:trHeight w:val="189"/>
        </w:trPr>
        <w:tc>
          <w:tcPr>
            <w:tcW w:w="59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2"/>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41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1,714</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2,138</w:t>
            </w:r>
          </w:p>
        </w:tc>
      </w:tr>
      <w:tr>
        <w:trPr>
          <w:trHeight w:val="409"/>
        </w:trPr>
        <w:tc>
          <w:tcPr>
            <w:tcW w:w="5960" w:type="dxa"/>
            <w:vAlign w:val="bottom"/>
          </w:tcPr>
          <w:p>
            <w:pPr>
              <w:spacing w:after="0"/>
              <w:rPr>
                <w:sz w:val="20"/>
                <w:szCs w:val="20"/>
                <w:color w:val="auto"/>
              </w:rPr>
            </w:pPr>
            <w:r>
              <w:rPr>
                <w:rFonts w:ascii="Arial" w:cs="Arial" w:eastAsia="Arial" w:hAnsi="Arial"/>
                <w:sz w:val="13"/>
                <w:szCs w:val="13"/>
                <w:b w:val="1"/>
                <w:bCs w:val="1"/>
                <w:color w:val="auto"/>
              </w:rPr>
              <w:t>6. Amounts due from/to subsidiary undertakings</w:t>
            </w:r>
          </w:p>
        </w:tc>
        <w:tc>
          <w:tcPr>
            <w:tcW w:w="4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9"/>
        </w:trPr>
        <w:tc>
          <w:tcPr>
            <w:tcW w:w="5960" w:type="dxa"/>
            <w:vAlign w:val="bottom"/>
          </w:tcPr>
          <w:p>
            <w:pPr>
              <w:spacing w:after="0"/>
              <w:rPr>
                <w:sz w:val="7"/>
                <w:szCs w:val="7"/>
                <w:color w:val="auto"/>
              </w:rPr>
            </w:pPr>
          </w:p>
        </w:tc>
        <w:tc>
          <w:tcPr>
            <w:tcW w:w="418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155"/>
        </w:trPr>
        <w:tc>
          <w:tcPr>
            <w:tcW w:w="5960" w:type="dxa"/>
            <w:vAlign w:val="bottom"/>
            <w:shd w:val="clear" w:color="auto" w:fill="CCEEFF"/>
          </w:tcPr>
          <w:p>
            <w:pPr>
              <w:spacing w:after="0"/>
              <w:rPr>
                <w:sz w:val="13"/>
                <w:szCs w:val="13"/>
                <w:color w:val="auto"/>
              </w:rPr>
            </w:pPr>
          </w:p>
        </w:tc>
        <w:tc>
          <w:tcPr>
            <w:tcW w:w="418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5960" w:type="dxa"/>
            <w:vAlign w:val="bottom"/>
            <w:tcBorders>
              <w:bottom w:val="single" w:sz="8" w:color="auto"/>
            </w:tcBorders>
            <w:shd w:val="clear" w:color="auto" w:fill="CCEEFF"/>
          </w:tcPr>
          <w:p>
            <w:pPr>
              <w:spacing w:after="0"/>
              <w:rPr>
                <w:sz w:val="15"/>
                <w:szCs w:val="15"/>
                <w:color w:val="auto"/>
              </w:rPr>
            </w:pPr>
          </w:p>
        </w:tc>
        <w:tc>
          <w:tcPr>
            <w:tcW w:w="41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5960" w:type="dxa"/>
            <w:vAlign w:val="bottom"/>
          </w:tcPr>
          <w:p>
            <w:pPr>
              <w:spacing w:after="0"/>
              <w:rPr>
                <w:sz w:val="15"/>
                <w:szCs w:val="15"/>
                <w:color w:val="auto"/>
              </w:rPr>
            </w:pPr>
          </w:p>
        </w:tc>
        <w:tc>
          <w:tcPr>
            <w:tcW w:w="418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9"/>
        </w:trPr>
        <w:tc>
          <w:tcPr>
            <w:tcW w:w="59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83"/>
        </w:trPr>
        <w:tc>
          <w:tcPr>
            <w:tcW w:w="5960" w:type="dxa"/>
            <w:vAlign w:val="bottom"/>
          </w:tcPr>
          <w:p>
            <w:pPr>
              <w:ind w:left="20"/>
              <w:spacing w:after="0"/>
              <w:rPr>
                <w:sz w:val="20"/>
                <w:szCs w:val="20"/>
                <w:color w:val="auto"/>
              </w:rPr>
            </w:pPr>
            <w:r>
              <w:rPr>
                <w:rFonts w:ascii="Arial" w:cs="Arial" w:eastAsia="Arial" w:hAnsi="Arial"/>
                <w:sz w:val="13"/>
                <w:szCs w:val="13"/>
                <w:color w:val="auto"/>
              </w:rPr>
              <w:t>Amounts due from subsidiary undertakings</w:t>
            </w:r>
          </w:p>
        </w:tc>
        <w:tc>
          <w:tcPr>
            <w:tcW w:w="4180" w:type="dxa"/>
            <w:vAlign w:val="bottom"/>
          </w:tcPr>
          <w:p>
            <w:pPr>
              <w:jc w:val="right"/>
              <w:ind w:right="416"/>
              <w:spacing w:after="0"/>
              <w:rPr>
                <w:sz w:val="20"/>
                <w:szCs w:val="20"/>
                <w:color w:val="auto"/>
              </w:rPr>
            </w:pPr>
            <w:r>
              <w:rPr>
                <w:rFonts w:ascii="Arial" w:cs="Arial" w:eastAsia="Arial" w:hAnsi="Arial"/>
                <w:sz w:val="13"/>
                <w:szCs w:val="13"/>
                <w:b w:val="1"/>
                <w:bCs w:val="1"/>
                <w:color w:val="auto"/>
              </w:rPr>
              <w:t>554,169</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430,810</w:t>
            </w:r>
          </w:p>
        </w:tc>
      </w:tr>
      <w:tr>
        <w:trPr>
          <w:trHeight w:val="200"/>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Amounts due to subsidiary undertakings</w:t>
            </w:r>
          </w:p>
        </w:tc>
        <w:tc>
          <w:tcPr>
            <w:tcW w:w="418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(2,916)</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(2,969)</w:t>
            </w:r>
          </w:p>
        </w:tc>
      </w:tr>
    </w:tbl>
    <w:p>
      <w:pPr>
        <w:spacing w:after="0" w:line="2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Amounts owed by subsidiary undertakings are non-interest bearing and repayable on demand. All amounts fall due within one year. No allowance for expected credit losses has been recorded as amounts are expected to be fully recovered.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ectPr>
          <w:pgSz w:w="11900" w:h="16838" w:orient="portrait"/>
          <w:cols w:equalWidth="0" w:num="1">
            <w:col w:w="11280"/>
          </w:cols>
          <w:pgMar w:left="300" w:top="696" w:right="31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Accrued and other liabilities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40" w:type="dxa"/>
            <w:vAlign w:val="bottom"/>
            <w:shd w:val="clear" w:color="auto" w:fill="CCEEFF"/>
          </w:tcPr>
          <w:p>
            <w:pPr>
              <w:spacing w:after="0"/>
              <w:rPr>
                <w:sz w:val="13"/>
                <w:szCs w:val="13"/>
                <w:color w:val="auto"/>
              </w:rPr>
            </w:pPr>
          </w:p>
        </w:tc>
        <w:tc>
          <w:tcPr>
            <w:tcW w:w="290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7240" w:type="dxa"/>
            <w:vAlign w:val="bottom"/>
            <w:tcBorders>
              <w:bottom w:val="single" w:sz="8" w:color="auto"/>
            </w:tcBorders>
            <w:shd w:val="clear" w:color="auto" w:fill="CCEEFF"/>
          </w:tcPr>
          <w:p>
            <w:pPr>
              <w:spacing w:after="0"/>
              <w:rPr>
                <w:sz w:val="15"/>
                <w:szCs w:val="15"/>
                <w:color w:val="auto"/>
              </w:rPr>
            </w:pPr>
          </w:p>
        </w:tc>
        <w:tc>
          <w:tcPr>
            <w:tcW w:w="29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7240" w:type="dxa"/>
            <w:vAlign w:val="bottom"/>
          </w:tcPr>
          <w:p>
            <w:pPr>
              <w:spacing w:after="0"/>
              <w:rPr>
                <w:sz w:val="15"/>
                <w:szCs w:val="15"/>
                <w:color w:val="auto"/>
              </w:rPr>
            </w:pPr>
          </w:p>
        </w:tc>
        <w:tc>
          <w:tcPr>
            <w:tcW w:w="290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9"/>
        </w:trPr>
        <w:tc>
          <w:tcPr>
            <w:tcW w:w="72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83"/>
        </w:trPr>
        <w:tc>
          <w:tcPr>
            <w:tcW w:w="7240" w:type="dxa"/>
            <w:vAlign w:val="bottom"/>
          </w:tcPr>
          <w:p>
            <w:pPr>
              <w:ind w:left="20"/>
              <w:spacing w:after="0"/>
              <w:rPr>
                <w:sz w:val="20"/>
                <w:szCs w:val="20"/>
                <w:color w:val="auto"/>
              </w:rPr>
            </w:pPr>
            <w:r>
              <w:rPr>
                <w:rFonts w:ascii="Arial" w:cs="Arial" w:eastAsia="Arial" w:hAnsi="Arial"/>
                <w:sz w:val="13"/>
                <w:szCs w:val="13"/>
                <w:b w:val="1"/>
                <w:bCs w:val="1"/>
                <w:color w:val="auto"/>
              </w:rPr>
              <w:t>Non-current other liabilities</w:t>
            </w:r>
          </w:p>
        </w:tc>
        <w:tc>
          <w:tcPr>
            <w:tcW w:w="29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9"/>
        </w:trPr>
        <w:tc>
          <w:tcPr>
            <w:tcW w:w="7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lease liabilities</w:t>
            </w:r>
          </w:p>
        </w:tc>
        <w:tc>
          <w:tcPr>
            <w:tcW w:w="290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3,115</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r>
        <w:trPr>
          <w:trHeight w:val="183"/>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Non-current other liabilities</w:t>
            </w:r>
          </w:p>
        </w:tc>
        <w:tc>
          <w:tcPr>
            <w:tcW w:w="29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5,471</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2,533</w:t>
            </w:r>
          </w:p>
        </w:tc>
      </w:tr>
      <w:tr>
        <w:trPr>
          <w:trHeight w:val="189"/>
        </w:trPr>
        <w:tc>
          <w:tcPr>
            <w:tcW w:w="724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3"/>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29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8,586</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2,533</w:t>
            </w:r>
          </w:p>
        </w:tc>
      </w:tr>
      <w:tr>
        <w:trPr>
          <w:trHeight w:val="359"/>
        </w:trPr>
        <w:tc>
          <w:tcPr>
            <w:tcW w:w="72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5"/>
        </w:trPr>
        <w:tc>
          <w:tcPr>
            <w:tcW w:w="7240" w:type="dxa"/>
            <w:vAlign w:val="bottom"/>
            <w:shd w:val="clear" w:color="auto" w:fill="CCEEFF"/>
          </w:tcPr>
          <w:p>
            <w:pPr>
              <w:spacing w:after="0"/>
              <w:rPr>
                <w:sz w:val="13"/>
                <w:szCs w:val="13"/>
                <w:color w:val="auto"/>
              </w:rPr>
            </w:pPr>
          </w:p>
        </w:tc>
        <w:tc>
          <w:tcPr>
            <w:tcW w:w="290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7240" w:type="dxa"/>
            <w:vAlign w:val="bottom"/>
            <w:tcBorders>
              <w:bottom w:val="single" w:sz="8" w:color="auto"/>
            </w:tcBorders>
            <w:shd w:val="clear" w:color="auto" w:fill="CCEEFF"/>
          </w:tcPr>
          <w:p>
            <w:pPr>
              <w:spacing w:after="0"/>
              <w:rPr>
                <w:sz w:val="15"/>
                <w:szCs w:val="15"/>
                <w:color w:val="auto"/>
              </w:rPr>
            </w:pPr>
          </w:p>
        </w:tc>
        <w:tc>
          <w:tcPr>
            <w:tcW w:w="29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7240" w:type="dxa"/>
            <w:vAlign w:val="bottom"/>
          </w:tcPr>
          <w:p>
            <w:pPr>
              <w:spacing w:after="0"/>
              <w:rPr>
                <w:sz w:val="15"/>
                <w:szCs w:val="15"/>
                <w:color w:val="auto"/>
              </w:rPr>
            </w:pPr>
          </w:p>
        </w:tc>
        <w:tc>
          <w:tcPr>
            <w:tcW w:w="290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9"/>
        </w:trPr>
        <w:tc>
          <w:tcPr>
            <w:tcW w:w="72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83"/>
        </w:trPr>
        <w:tc>
          <w:tcPr>
            <w:tcW w:w="724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29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9"/>
        </w:trPr>
        <w:tc>
          <w:tcPr>
            <w:tcW w:w="7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lease liabilities</w:t>
            </w:r>
          </w:p>
        </w:tc>
        <w:tc>
          <w:tcPr>
            <w:tcW w:w="290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1,323</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r>
        <w:trPr>
          <w:trHeight w:val="183"/>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Accruals and other liabilities</w:t>
            </w:r>
          </w:p>
        </w:tc>
        <w:tc>
          <w:tcPr>
            <w:tcW w:w="29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10,426</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11,907</w:t>
            </w:r>
          </w:p>
        </w:tc>
      </w:tr>
      <w:tr>
        <w:trPr>
          <w:trHeight w:val="189"/>
        </w:trPr>
        <w:tc>
          <w:tcPr>
            <w:tcW w:w="724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2"/>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29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11,749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11,907</w:t>
            </w:r>
          </w:p>
        </w:tc>
      </w:tr>
      <w:tr>
        <w:trPr>
          <w:trHeight w:val="409"/>
        </w:trPr>
        <w:tc>
          <w:tcPr>
            <w:tcW w:w="7240" w:type="dxa"/>
            <w:vAlign w:val="bottom"/>
          </w:tcPr>
          <w:p>
            <w:pPr>
              <w:spacing w:after="0"/>
              <w:rPr>
                <w:sz w:val="20"/>
                <w:szCs w:val="20"/>
                <w:color w:val="auto"/>
              </w:rPr>
            </w:pPr>
            <w:r>
              <w:rPr>
                <w:rFonts w:ascii="Arial" w:cs="Arial" w:eastAsia="Arial" w:hAnsi="Arial"/>
                <w:sz w:val="13"/>
                <w:szCs w:val="13"/>
                <w:b w:val="1"/>
                <w:bCs w:val="1"/>
                <w:color w:val="auto"/>
              </w:rPr>
              <w:t>8. Related parties</w:t>
            </w:r>
          </w:p>
        </w:tc>
        <w:tc>
          <w:tcPr>
            <w:tcW w:w="29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0"/>
        </w:trPr>
        <w:tc>
          <w:tcPr>
            <w:tcW w:w="7240" w:type="dxa"/>
            <w:vAlign w:val="bottom"/>
          </w:tcPr>
          <w:p>
            <w:pPr>
              <w:spacing w:after="0"/>
              <w:rPr>
                <w:sz w:val="20"/>
                <w:szCs w:val="20"/>
                <w:color w:val="auto"/>
              </w:rPr>
            </w:pPr>
            <w:r>
              <w:rPr>
                <w:rFonts w:ascii="Arial" w:cs="Arial" w:eastAsia="Arial" w:hAnsi="Arial"/>
                <w:sz w:val="13"/>
                <w:szCs w:val="13"/>
                <w:color w:val="auto"/>
              </w:rPr>
              <w:t>The Company entered into the following transactions with subsidiary companies during the period:</w:t>
            </w:r>
          </w:p>
        </w:tc>
        <w:tc>
          <w:tcPr>
            <w:tcW w:w="29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9"/>
        </w:trPr>
        <w:tc>
          <w:tcPr>
            <w:tcW w:w="7240" w:type="dxa"/>
            <w:vAlign w:val="bottom"/>
          </w:tcPr>
          <w:p>
            <w:pPr>
              <w:spacing w:after="0"/>
              <w:rPr>
                <w:sz w:val="7"/>
                <w:szCs w:val="7"/>
                <w:color w:val="auto"/>
              </w:rPr>
            </w:pPr>
          </w:p>
        </w:tc>
        <w:tc>
          <w:tcPr>
            <w:tcW w:w="4040" w:type="dxa"/>
            <w:vAlign w:val="bottom"/>
            <w:gridSpan w:val="2"/>
          </w:tcPr>
          <w:p>
            <w:pPr>
              <w:spacing w:after="0"/>
              <w:rPr>
                <w:sz w:val="7"/>
                <w:szCs w:val="7"/>
                <w:color w:val="auto"/>
              </w:rPr>
            </w:pPr>
          </w:p>
        </w:tc>
      </w:tr>
      <w:tr>
        <w:trPr>
          <w:trHeight w:val="155"/>
        </w:trPr>
        <w:tc>
          <w:tcPr>
            <w:tcW w:w="7240" w:type="dxa"/>
            <w:vAlign w:val="bottom"/>
            <w:shd w:val="clear" w:color="auto" w:fill="CCEEFF"/>
          </w:tcPr>
          <w:p>
            <w:pPr>
              <w:spacing w:after="0"/>
              <w:rPr>
                <w:sz w:val="13"/>
                <w:szCs w:val="13"/>
                <w:color w:val="auto"/>
              </w:rPr>
            </w:pP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49"/>
        </w:trPr>
        <w:tc>
          <w:tcPr>
            <w:tcW w:w="7240" w:type="dxa"/>
            <w:vAlign w:val="bottom"/>
            <w:shd w:val="clear" w:color="auto" w:fill="CCEEFF"/>
          </w:tcPr>
          <w:p>
            <w:pPr>
              <w:spacing w:after="0"/>
              <w:rPr>
                <w:sz w:val="12"/>
                <w:szCs w:val="12"/>
                <w:color w:val="auto"/>
              </w:rPr>
            </w:pPr>
          </w:p>
        </w:tc>
        <w:tc>
          <w:tcPr>
            <w:tcW w:w="290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77"/>
        </w:trPr>
        <w:tc>
          <w:tcPr>
            <w:tcW w:w="7240" w:type="dxa"/>
            <w:vAlign w:val="bottom"/>
            <w:tcBorders>
              <w:bottom w:val="single" w:sz="8" w:color="auto"/>
            </w:tcBorders>
            <w:shd w:val="clear" w:color="auto" w:fill="CCEEFF"/>
          </w:tcPr>
          <w:p>
            <w:pPr>
              <w:spacing w:after="0"/>
              <w:rPr>
                <w:sz w:val="15"/>
                <w:szCs w:val="15"/>
                <w:color w:val="auto"/>
              </w:rPr>
            </w:pPr>
          </w:p>
        </w:tc>
        <w:tc>
          <w:tcPr>
            <w:tcW w:w="29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spacing w:after="0"/>
              <w:rPr>
                <w:sz w:val="15"/>
                <w:szCs w:val="15"/>
                <w:color w:val="auto"/>
              </w:rPr>
            </w:pPr>
          </w:p>
        </w:tc>
      </w:tr>
      <w:tr>
        <w:trPr>
          <w:trHeight w:val="182"/>
        </w:trPr>
        <w:tc>
          <w:tcPr>
            <w:tcW w:w="7240" w:type="dxa"/>
            <w:vAlign w:val="bottom"/>
          </w:tcPr>
          <w:p>
            <w:pPr>
              <w:spacing w:after="0"/>
              <w:rPr>
                <w:sz w:val="15"/>
                <w:szCs w:val="15"/>
                <w:color w:val="auto"/>
              </w:rPr>
            </w:pPr>
          </w:p>
        </w:tc>
        <w:tc>
          <w:tcPr>
            <w:tcW w:w="290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09"/>
        </w:trPr>
        <w:tc>
          <w:tcPr>
            <w:tcW w:w="72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83"/>
        </w:trPr>
        <w:tc>
          <w:tcPr>
            <w:tcW w:w="7240" w:type="dxa"/>
            <w:vAlign w:val="bottom"/>
          </w:tcPr>
          <w:p>
            <w:pPr>
              <w:ind w:left="20"/>
              <w:spacing w:after="0"/>
              <w:rPr>
                <w:sz w:val="20"/>
                <w:szCs w:val="20"/>
                <w:color w:val="auto"/>
              </w:rPr>
            </w:pPr>
            <w:r>
              <w:rPr>
                <w:rFonts w:ascii="Arial" w:cs="Arial" w:eastAsia="Arial" w:hAnsi="Arial"/>
                <w:sz w:val="13"/>
                <w:szCs w:val="13"/>
                <w:b w:val="1"/>
                <w:bCs w:val="1"/>
                <w:color w:val="auto"/>
              </w:rPr>
              <w:t>Statement of Profit and Loss</w:t>
            </w:r>
          </w:p>
        </w:tc>
        <w:tc>
          <w:tcPr>
            <w:tcW w:w="29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9"/>
        </w:trPr>
        <w:tc>
          <w:tcPr>
            <w:tcW w:w="7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Expenses recharged to subsidiary companies</w:t>
            </w:r>
          </w:p>
        </w:tc>
        <w:tc>
          <w:tcPr>
            <w:tcW w:w="290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9,806</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6,984</w:t>
            </w:r>
          </w:p>
        </w:tc>
      </w:tr>
      <w:tr>
        <w:trPr>
          <w:trHeight w:val="183"/>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 xml:space="preserve">Dividend received from subsidiary company </w:t>
            </w:r>
            <w:r>
              <w:rPr>
                <w:rFonts w:ascii="Arial" w:cs="Arial" w:eastAsia="Arial" w:hAnsi="Arial"/>
                <w:sz w:val="13"/>
                <w:szCs w:val="13"/>
                <w:i w:val="1"/>
                <w:iCs w:val="1"/>
                <w:color w:val="auto"/>
              </w:rPr>
              <w:t>(a)</w:t>
            </w:r>
          </w:p>
        </w:tc>
        <w:tc>
          <w:tcPr>
            <w:tcW w:w="29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276,900</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172,275</w:t>
            </w:r>
          </w:p>
        </w:tc>
      </w:tr>
      <w:tr>
        <w:trPr>
          <w:trHeight w:val="189"/>
        </w:trPr>
        <w:tc>
          <w:tcPr>
            <w:tcW w:w="724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2"/>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290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286,706</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179,259</w:t>
            </w:r>
          </w:p>
        </w:tc>
      </w:tr>
      <w:tr>
        <w:trPr>
          <w:trHeight w:val="191"/>
        </w:trPr>
        <w:tc>
          <w:tcPr>
            <w:tcW w:w="724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3"/>
        </w:trPr>
        <w:tc>
          <w:tcPr>
            <w:tcW w:w="7240" w:type="dxa"/>
            <w:vAlign w:val="bottom"/>
          </w:tcPr>
          <w:p>
            <w:pPr>
              <w:ind w:left="20"/>
              <w:spacing w:after="0"/>
              <w:rPr>
                <w:sz w:val="20"/>
                <w:szCs w:val="20"/>
                <w:color w:val="auto"/>
              </w:rPr>
            </w:pPr>
            <w:r>
              <w:rPr>
                <w:rFonts w:ascii="Arial" w:cs="Arial" w:eastAsia="Arial" w:hAnsi="Arial"/>
                <w:sz w:val="13"/>
                <w:szCs w:val="13"/>
                <w:b w:val="1"/>
                <w:bCs w:val="1"/>
                <w:color w:val="auto"/>
              </w:rPr>
              <w:t>Statement of Cash Flows</w:t>
            </w:r>
          </w:p>
        </w:tc>
        <w:tc>
          <w:tcPr>
            <w:tcW w:w="29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1"/>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Increase in intercompany debtors and investments</w:t>
            </w:r>
          </w:p>
        </w:tc>
        <w:tc>
          <w:tcPr>
            <w:tcW w:w="290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(77,935)</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(13,954)</w:t>
            </w:r>
          </w:p>
        </w:tc>
      </w:tr>
      <w:tr>
        <w:trPr>
          <w:trHeight w:val="189"/>
        </w:trPr>
        <w:tc>
          <w:tcPr>
            <w:tcW w:w="72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2"/>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290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(77,935)</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(13,954)</w:t>
            </w:r>
          </w:p>
        </w:tc>
      </w:tr>
    </w:tbl>
    <w:p>
      <w:pPr>
        <w:spacing w:after="0" w:line="76" w:lineRule="exact"/>
        <w:rPr>
          <w:sz w:val="20"/>
          <w:szCs w:val="20"/>
          <w:color w:val="auto"/>
        </w:rPr>
      </w:pPr>
    </w:p>
    <w:p>
      <w:pPr>
        <w:ind w:left="380" w:hanging="375"/>
        <w:spacing w:after="0" w:line="244" w:lineRule="auto"/>
        <w:tabs>
          <w:tab w:leader="none" w:pos="376" w:val="left"/>
        </w:tabs>
        <w:numPr>
          <w:ilvl w:val="0"/>
          <w:numId w:val="41"/>
        </w:numPr>
        <w:rPr>
          <w:rFonts w:ascii="Arial" w:cs="Arial" w:eastAsia="Arial" w:hAnsi="Arial"/>
          <w:sz w:val="13"/>
          <w:szCs w:val="13"/>
          <w:i w:val="1"/>
          <w:iCs w:val="1"/>
          <w:color w:val="auto"/>
        </w:rPr>
      </w:pPr>
      <w:r>
        <w:rPr>
          <w:rFonts w:ascii="Arial" w:cs="Arial" w:eastAsia="Arial" w:hAnsi="Arial"/>
          <w:sz w:val="13"/>
          <w:szCs w:val="13"/>
          <w:color w:val="auto"/>
        </w:rPr>
        <w:t>During 2019, the Company received dividends of $276.9 million (2018: $172.3 million) from its subsidiary undertakings; ICON Clinical Research Limited ($238.4 million), ICON Investments Four Unlimited Company ($23.0 million), ICON Holdings Unlimited Company ($14.6 million) and ICON Clinical Research PTY Limited ($0.9 million).</w:t>
      </w:r>
    </w:p>
    <w:p>
      <w:pPr>
        <w:spacing w:after="0" w:line="172"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rPr>
        <w:t xml:space="preserve">Directors and Executive Officers of the Parent Company are the same as those for the Group. For information on transactions with Directors and Executive Officers see </w:t>
      </w:r>
      <w:r>
        <w:rPr>
          <w:rFonts w:ascii="Arial" w:cs="Arial" w:eastAsia="Arial" w:hAnsi="Arial"/>
          <w:sz w:val="13"/>
          <w:szCs w:val="13"/>
          <w:i w:val="1"/>
          <w:iCs w:val="1"/>
          <w:color w:val="auto"/>
        </w:rPr>
        <w:t>note 30 Related parties</w:t>
      </w:r>
      <w:r>
        <w:rPr>
          <w:rFonts w:ascii="Arial" w:cs="Arial" w:eastAsia="Arial" w:hAnsi="Arial"/>
          <w:sz w:val="13"/>
          <w:szCs w:val="13"/>
          <w:color w:val="auto"/>
        </w:rPr>
        <w:t xml:space="preserve">, to the Consolidated Financial Statements, and for information on Directors’ remuneration see </w:t>
      </w:r>
      <w:r>
        <w:rPr>
          <w:rFonts w:ascii="Arial" w:cs="Arial" w:eastAsia="Arial" w:hAnsi="Arial"/>
          <w:sz w:val="13"/>
          <w:szCs w:val="13"/>
          <w:i w:val="1"/>
          <w:iCs w:val="1"/>
          <w:color w:val="auto"/>
        </w:rPr>
        <w:t>note 9 Payroll and related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ectPr>
          <w:pgSz w:w="11900" w:h="16838" w:orient="portrait"/>
          <w:cols w:equalWidth="0" w:num="1">
            <w:col w:w="11280"/>
          </w:cols>
          <w:pgMar w:left="300" w:top="696" w:right="31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Leases</w:t>
      </w: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Right-of-use assets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the following right-of-use assets: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b w:val="1"/>
                <w:bCs w:val="1"/>
                <w:color w:val="auto"/>
              </w:rPr>
              <w:t>Premises</w:t>
            </w:r>
          </w:p>
        </w:tc>
        <w:tc>
          <w:tcPr>
            <w:tcW w:w="16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Equipment</w:t>
            </w:r>
          </w:p>
        </w:tc>
        <w:tc>
          <w:tcPr>
            <w:tcW w:w="17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Motor vehicles</w:t>
            </w: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Total</w:t>
            </w:r>
          </w:p>
        </w:tc>
      </w:tr>
      <w:tr>
        <w:trPr>
          <w:trHeight w:val="175"/>
        </w:trPr>
        <w:tc>
          <w:tcPr>
            <w:tcW w:w="5020" w:type="dxa"/>
            <w:vAlign w:val="bottom"/>
          </w:tcPr>
          <w:p>
            <w:pPr>
              <w:spacing w:after="0"/>
              <w:rPr>
                <w:sz w:val="15"/>
                <w:szCs w:val="15"/>
                <w:color w:val="auto"/>
              </w:rPr>
            </w:pPr>
          </w:p>
        </w:tc>
        <w:tc>
          <w:tcPr>
            <w:tcW w:w="1560" w:type="dxa"/>
            <w:vAlign w:val="bottom"/>
          </w:tcPr>
          <w:p>
            <w:pPr>
              <w:jc w:val="right"/>
              <w:ind w:right="496"/>
              <w:spacing w:after="0"/>
              <w:rPr>
                <w:sz w:val="20"/>
                <w:szCs w:val="20"/>
                <w:color w:val="auto"/>
              </w:rPr>
            </w:pPr>
            <w:r>
              <w:rPr>
                <w:rFonts w:ascii="Arial" w:cs="Arial" w:eastAsia="Arial" w:hAnsi="Arial"/>
                <w:sz w:val="13"/>
                <w:szCs w:val="13"/>
                <w:b w:val="1"/>
                <w:bCs w:val="1"/>
                <w:color w:val="auto"/>
              </w:rPr>
              <w:t>$'000</w:t>
            </w:r>
          </w:p>
        </w:tc>
        <w:tc>
          <w:tcPr>
            <w:tcW w:w="164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700" w:type="dxa"/>
            <w:vAlign w:val="bottom"/>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3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$'000</w:t>
            </w:r>
          </w:p>
        </w:tc>
      </w:tr>
      <w:tr>
        <w:trPr>
          <w:trHeight w:val="200"/>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Depreciation charge for the year</w:t>
            </w:r>
          </w:p>
        </w:tc>
        <w:tc>
          <w:tcPr>
            <w:tcW w:w="156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color w:val="auto"/>
              </w:rPr>
              <w:t>1,016</w:t>
            </w:r>
          </w:p>
        </w:tc>
        <w:tc>
          <w:tcPr>
            <w:tcW w:w="164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color w:val="auto"/>
              </w:rPr>
              <w:t>23</w:t>
            </w:r>
          </w:p>
        </w:tc>
        <w:tc>
          <w:tcPr>
            <w:tcW w:w="17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472</w:t>
            </w:r>
          </w:p>
        </w:tc>
        <w:tc>
          <w:tcPr>
            <w:tcW w:w="13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1,511</w:t>
            </w:r>
          </w:p>
        </w:tc>
        <w:tc>
          <w:tcPr>
            <w:tcW w:w="20" w:type="dxa"/>
            <w:vAlign w:val="bottom"/>
            <w:tcBorders>
              <w:bottom w:val="single" w:sz="8" w:color="auto"/>
            </w:tcBorders>
            <w:shd w:val="clear" w:color="auto" w:fill="CCEEFF"/>
          </w:tcPr>
          <w:p>
            <w:pPr>
              <w:spacing w:after="0"/>
              <w:rPr>
                <w:sz w:val="17"/>
                <w:szCs w:val="17"/>
                <w:color w:val="auto"/>
              </w:rPr>
            </w:pPr>
          </w:p>
        </w:tc>
      </w:tr>
      <w:tr>
        <w:trPr>
          <w:trHeight w:val="192"/>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Right-of-use assets at 31 December 2019</w:t>
            </w:r>
          </w:p>
        </w:tc>
        <w:tc>
          <w:tcPr>
            <w:tcW w:w="156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color w:val="auto"/>
              </w:rPr>
              <w:t>3,840</w:t>
            </w:r>
          </w:p>
        </w:tc>
        <w:tc>
          <w:tcPr>
            <w:tcW w:w="16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color w:val="auto"/>
              </w:rPr>
              <w:t>41</w:t>
            </w:r>
          </w:p>
        </w:tc>
        <w:tc>
          <w:tcPr>
            <w:tcW w:w="17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405</w:t>
            </w:r>
          </w:p>
        </w:tc>
        <w:tc>
          <w:tcPr>
            <w:tcW w:w="13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4,286</w:t>
            </w:r>
          </w:p>
        </w:tc>
        <w:tc>
          <w:tcPr>
            <w:tcW w:w="20" w:type="dxa"/>
            <w:vAlign w:val="bottom"/>
            <w:tcBorders>
              <w:bottom w:val="single" w:sz="8" w:color="auto"/>
            </w:tcBorders>
          </w:tcPr>
          <w:p>
            <w:pPr>
              <w:spacing w:after="0"/>
              <w:rPr>
                <w:sz w:val="16"/>
                <w:szCs w:val="16"/>
                <w:color w:val="auto"/>
              </w:rPr>
            </w:pPr>
          </w:p>
        </w:tc>
      </w:tr>
      <w:tr>
        <w:trPr>
          <w:trHeight w:val="282"/>
        </w:trPr>
        <w:tc>
          <w:tcPr>
            <w:tcW w:w="5020" w:type="dxa"/>
            <w:vAlign w:val="bottom"/>
          </w:tcPr>
          <w:p>
            <w:pPr>
              <w:spacing w:after="0"/>
              <w:rPr>
                <w:sz w:val="20"/>
                <w:szCs w:val="20"/>
                <w:color w:val="auto"/>
              </w:rPr>
            </w:pPr>
            <w:r>
              <w:rPr>
                <w:rFonts w:ascii="Arial" w:cs="Arial" w:eastAsia="Arial" w:hAnsi="Arial"/>
                <w:sz w:val="13"/>
                <w:szCs w:val="13"/>
                <w:color w:val="auto"/>
              </w:rPr>
              <w:t>Additions to right-of-use assets during 2019 were $</w:t>
            </w:r>
            <w:r>
              <w:rPr>
                <w:rFonts w:ascii="Arial" w:cs="Arial" w:eastAsia="Arial" w:hAnsi="Arial"/>
                <w:sz w:val="13"/>
                <w:szCs w:val="13"/>
                <w:b w:val="1"/>
                <w:bCs w:val="1"/>
                <w:color w:val="auto"/>
              </w:rPr>
              <w:t>0.5</w:t>
            </w:r>
            <w:r>
              <w:rPr>
                <w:rFonts w:ascii="Arial" w:cs="Arial" w:eastAsia="Arial" w:hAnsi="Arial"/>
                <w:sz w:val="13"/>
                <w:szCs w:val="13"/>
                <w:color w:val="auto"/>
              </w:rPr>
              <w:t xml:space="preserve"> million.</w:t>
            </w:r>
          </w:p>
        </w:tc>
        <w:tc>
          <w:tcPr>
            <w:tcW w:w="1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5020" w:type="dxa"/>
            <w:vAlign w:val="bottom"/>
          </w:tcPr>
          <w:p>
            <w:pPr>
              <w:spacing w:after="0"/>
              <w:rPr>
                <w:sz w:val="20"/>
                <w:szCs w:val="20"/>
                <w:color w:val="auto"/>
              </w:rPr>
            </w:pPr>
            <w:r>
              <w:rPr>
                <w:rFonts w:ascii="Arial" w:cs="Arial" w:eastAsia="Arial" w:hAnsi="Arial"/>
                <w:sz w:val="13"/>
                <w:szCs w:val="13"/>
                <w:color w:val="auto"/>
              </w:rPr>
              <w:t>The weighted average remaining lease term as at 31 December 2019 is 3.50 years.</w:t>
            </w:r>
          </w:p>
        </w:tc>
        <w:tc>
          <w:tcPr>
            <w:tcW w:w="1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6"/>
        </w:trPr>
        <w:tc>
          <w:tcPr>
            <w:tcW w:w="5020" w:type="dxa"/>
            <w:vAlign w:val="bottom"/>
          </w:tcPr>
          <w:p>
            <w:pPr>
              <w:spacing w:after="0"/>
              <w:rPr>
                <w:sz w:val="20"/>
                <w:szCs w:val="20"/>
                <w:color w:val="auto"/>
              </w:rPr>
            </w:pPr>
            <w:r>
              <w:rPr>
                <w:rFonts w:ascii="Arial" w:cs="Arial" w:eastAsia="Arial" w:hAnsi="Arial"/>
                <w:sz w:val="13"/>
                <w:szCs w:val="13"/>
                <w:b w:val="1"/>
                <w:bCs w:val="1"/>
                <w:i w:val="1"/>
                <w:iCs w:val="1"/>
                <w:color w:val="auto"/>
              </w:rPr>
              <w:t>Lease liabilities</w:t>
            </w:r>
          </w:p>
        </w:tc>
        <w:tc>
          <w:tcPr>
            <w:tcW w:w="1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6"/>
        </w:trPr>
        <w:tc>
          <w:tcPr>
            <w:tcW w:w="6580" w:type="dxa"/>
            <w:vAlign w:val="bottom"/>
            <w:gridSpan w:val="2"/>
          </w:tcPr>
          <w:p>
            <w:pPr>
              <w:spacing w:after="0"/>
              <w:rPr>
                <w:sz w:val="20"/>
                <w:szCs w:val="20"/>
                <w:color w:val="auto"/>
              </w:rPr>
            </w:pPr>
            <w:r>
              <w:rPr>
                <w:rFonts w:ascii="Arial" w:cs="Arial" w:eastAsia="Arial" w:hAnsi="Arial"/>
                <w:sz w:val="13"/>
                <w:szCs w:val="13"/>
                <w:color w:val="auto"/>
              </w:rPr>
              <w:t>Future minimum lease payments under non-cancellable leases as of 31 December 2019 were as follows:</w:t>
            </w:r>
          </w:p>
        </w:tc>
        <w:tc>
          <w:tcPr>
            <w:tcW w:w="16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7"/>
        </w:trPr>
        <w:tc>
          <w:tcPr>
            <w:tcW w:w="5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50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Minimum rental</w:t>
            </w:r>
          </w:p>
        </w:tc>
      </w:tr>
      <w:tr>
        <w:trPr>
          <w:trHeight w:val="183"/>
        </w:trPr>
        <w:tc>
          <w:tcPr>
            <w:tcW w:w="50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payments</w:t>
            </w:r>
          </w:p>
        </w:tc>
      </w:tr>
      <w:tr>
        <w:trPr>
          <w:trHeight w:val="189"/>
        </w:trPr>
        <w:tc>
          <w:tcPr>
            <w:tcW w:w="50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$'000</w:t>
            </w:r>
          </w:p>
        </w:tc>
      </w:tr>
      <w:tr>
        <w:trPr>
          <w:trHeight w:val="183"/>
        </w:trPr>
        <w:tc>
          <w:tcPr>
            <w:tcW w:w="5020" w:type="dxa"/>
            <w:vAlign w:val="bottom"/>
          </w:tcPr>
          <w:p>
            <w:pPr>
              <w:ind w:left="20"/>
              <w:spacing w:after="0"/>
              <w:rPr>
                <w:sz w:val="20"/>
                <w:szCs w:val="20"/>
                <w:color w:val="auto"/>
              </w:rPr>
            </w:pPr>
            <w:r>
              <w:rPr>
                <w:rFonts w:ascii="Arial" w:cs="Arial" w:eastAsia="Arial" w:hAnsi="Arial"/>
                <w:sz w:val="13"/>
                <w:szCs w:val="13"/>
                <w:color w:val="auto"/>
              </w:rPr>
              <w:t>2020</w:t>
            </w:r>
          </w:p>
        </w:tc>
        <w:tc>
          <w:tcPr>
            <w:tcW w:w="1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1,324</w:t>
            </w:r>
          </w:p>
        </w:tc>
        <w:tc>
          <w:tcPr>
            <w:tcW w:w="20" w:type="dxa"/>
            <w:vAlign w:val="bottom"/>
          </w:tcPr>
          <w:p>
            <w:pPr>
              <w:spacing w:after="0"/>
              <w:rPr>
                <w:sz w:val="15"/>
                <w:szCs w:val="15"/>
                <w:color w:val="auto"/>
              </w:rPr>
            </w:pPr>
          </w:p>
        </w:tc>
      </w:tr>
      <w:tr>
        <w:trPr>
          <w:trHeight w:val="199"/>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2021</w:t>
            </w:r>
          </w:p>
        </w:tc>
        <w:tc>
          <w:tcPr>
            <w:tcW w:w="15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1,214</w:t>
            </w:r>
          </w:p>
        </w:tc>
        <w:tc>
          <w:tcPr>
            <w:tcW w:w="20" w:type="dxa"/>
            <w:vAlign w:val="bottom"/>
            <w:shd w:val="clear" w:color="auto" w:fill="CCEEFF"/>
          </w:tcPr>
          <w:p>
            <w:pPr>
              <w:spacing w:after="0"/>
              <w:rPr>
                <w:sz w:val="17"/>
                <w:szCs w:val="17"/>
                <w:color w:val="auto"/>
              </w:rPr>
            </w:pPr>
          </w:p>
        </w:tc>
      </w:tr>
      <w:tr>
        <w:trPr>
          <w:trHeight w:val="183"/>
        </w:trPr>
        <w:tc>
          <w:tcPr>
            <w:tcW w:w="5020" w:type="dxa"/>
            <w:vAlign w:val="bottom"/>
          </w:tcPr>
          <w:p>
            <w:pPr>
              <w:ind w:left="20"/>
              <w:spacing w:after="0"/>
              <w:rPr>
                <w:sz w:val="20"/>
                <w:szCs w:val="20"/>
                <w:color w:val="auto"/>
              </w:rPr>
            </w:pPr>
            <w:r>
              <w:rPr>
                <w:rFonts w:ascii="Arial" w:cs="Arial" w:eastAsia="Arial" w:hAnsi="Arial"/>
                <w:sz w:val="13"/>
                <w:szCs w:val="13"/>
                <w:color w:val="auto"/>
              </w:rPr>
              <w:t>2022</w:t>
            </w:r>
          </w:p>
        </w:tc>
        <w:tc>
          <w:tcPr>
            <w:tcW w:w="1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1,070</w:t>
            </w:r>
          </w:p>
        </w:tc>
        <w:tc>
          <w:tcPr>
            <w:tcW w:w="20" w:type="dxa"/>
            <w:vAlign w:val="bottom"/>
          </w:tcPr>
          <w:p>
            <w:pPr>
              <w:spacing w:after="0"/>
              <w:rPr>
                <w:sz w:val="15"/>
                <w:szCs w:val="15"/>
                <w:color w:val="auto"/>
              </w:rPr>
            </w:pPr>
          </w:p>
        </w:tc>
      </w:tr>
      <w:tr>
        <w:trPr>
          <w:trHeight w:val="199"/>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15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609</w:t>
            </w:r>
          </w:p>
        </w:tc>
        <w:tc>
          <w:tcPr>
            <w:tcW w:w="20" w:type="dxa"/>
            <w:vAlign w:val="bottom"/>
            <w:shd w:val="clear" w:color="auto" w:fill="CCEEFF"/>
          </w:tcPr>
          <w:p>
            <w:pPr>
              <w:spacing w:after="0"/>
              <w:rPr>
                <w:sz w:val="17"/>
                <w:szCs w:val="17"/>
                <w:color w:val="auto"/>
              </w:rPr>
            </w:pPr>
          </w:p>
        </w:tc>
      </w:tr>
      <w:tr>
        <w:trPr>
          <w:trHeight w:val="183"/>
        </w:trPr>
        <w:tc>
          <w:tcPr>
            <w:tcW w:w="5020" w:type="dxa"/>
            <w:vAlign w:val="bottom"/>
          </w:tcPr>
          <w:p>
            <w:pPr>
              <w:ind w:left="20"/>
              <w:spacing w:after="0"/>
              <w:rPr>
                <w:sz w:val="20"/>
                <w:szCs w:val="20"/>
                <w:color w:val="auto"/>
              </w:rPr>
            </w:pPr>
            <w:r>
              <w:rPr>
                <w:rFonts w:ascii="Arial" w:cs="Arial" w:eastAsia="Arial" w:hAnsi="Arial"/>
                <w:sz w:val="13"/>
                <w:szCs w:val="13"/>
                <w:color w:val="auto"/>
              </w:rPr>
              <w:t>2024</w:t>
            </w:r>
          </w:p>
        </w:tc>
        <w:tc>
          <w:tcPr>
            <w:tcW w:w="1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255</w:t>
            </w:r>
          </w:p>
        </w:tc>
        <w:tc>
          <w:tcPr>
            <w:tcW w:w="20" w:type="dxa"/>
            <w:vAlign w:val="bottom"/>
          </w:tcPr>
          <w:p>
            <w:pPr>
              <w:spacing w:after="0"/>
              <w:rPr>
                <w:sz w:val="15"/>
                <w:szCs w:val="15"/>
                <w:color w:val="auto"/>
              </w:rPr>
            </w:pPr>
          </w:p>
        </w:tc>
      </w:tr>
      <w:tr>
        <w:trPr>
          <w:trHeight w:val="191"/>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Thereafter</w:t>
            </w:r>
          </w:p>
        </w:tc>
        <w:tc>
          <w:tcPr>
            <w:tcW w:w="156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182"/>
        </w:trPr>
        <w:tc>
          <w:tcPr>
            <w:tcW w:w="5020" w:type="dxa"/>
            <w:vAlign w:val="bottom"/>
          </w:tcPr>
          <w:p>
            <w:pPr>
              <w:ind w:left="20"/>
              <w:spacing w:after="0"/>
              <w:rPr>
                <w:sz w:val="20"/>
                <w:szCs w:val="20"/>
                <w:color w:val="auto"/>
              </w:rPr>
            </w:pPr>
            <w:r>
              <w:rPr>
                <w:rFonts w:ascii="Arial" w:cs="Arial" w:eastAsia="Arial" w:hAnsi="Arial"/>
                <w:sz w:val="13"/>
                <w:szCs w:val="13"/>
                <w:color w:val="auto"/>
              </w:rPr>
              <w:t>Total future minimum lease payments</w:t>
            </w:r>
          </w:p>
        </w:tc>
        <w:tc>
          <w:tcPr>
            <w:tcW w:w="1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4,472</w:t>
            </w:r>
          </w:p>
        </w:tc>
        <w:tc>
          <w:tcPr>
            <w:tcW w:w="20" w:type="dxa"/>
            <w:vAlign w:val="bottom"/>
          </w:tcPr>
          <w:p>
            <w:pPr>
              <w:spacing w:after="0"/>
              <w:rPr>
                <w:sz w:val="15"/>
                <w:szCs w:val="15"/>
                <w:color w:val="auto"/>
              </w:rPr>
            </w:pPr>
          </w:p>
        </w:tc>
      </w:tr>
      <w:tr>
        <w:trPr>
          <w:trHeight w:val="191"/>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Lease imputed interest</w:t>
            </w:r>
          </w:p>
        </w:tc>
        <w:tc>
          <w:tcPr>
            <w:tcW w:w="156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(34)</w:t>
            </w:r>
          </w:p>
        </w:tc>
        <w:tc>
          <w:tcPr>
            <w:tcW w:w="20" w:type="dxa"/>
            <w:vAlign w:val="bottom"/>
            <w:tcBorders>
              <w:bottom w:val="single" w:sz="8" w:color="auto"/>
            </w:tcBorders>
            <w:shd w:val="clear" w:color="auto" w:fill="CCEEFF"/>
          </w:tcPr>
          <w:p>
            <w:pPr>
              <w:spacing w:after="0"/>
              <w:rPr>
                <w:sz w:val="16"/>
                <w:szCs w:val="16"/>
                <w:color w:val="auto"/>
              </w:rPr>
            </w:pPr>
          </w:p>
        </w:tc>
      </w:tr>
      <w:tr>
        <w:trPr>
          <w:trHeight w:val="19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1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4,438</w:t>
            </w:r>
          </w:p>
        </w:tc>
        <w:tc>
          <w:tcPr>
            <w:tcW w:w="20" w:type="dxa"/>
            <w:vAlign w:val="bottom"/>
            <w:tcBorders>
              <w:bottom w:val="single" w:sz="8" w:color="auto"/>
            </w:tcBorders>
          </w:tcPr>
          <w:p>
            <w:pPr>
              <w:spacing w:after="0"/>
              <w:rPr>
                <w:sz w:val="16"/>
                <w:szCs w:val="16"/>
                <w:color w:val="auto"/>
              </w:rPr>
            </w:pPr>
          </w:p>
        </w:tc>
      </w:tr>
      <w:tr>
        <w:trPr>
          <w:trHeight w:val="282"/>
        </w:trPr>
        <w:tc>
          <w:tcPr>
            <w:tcW w:w="9920" w:type="dxa"/>
            <w:vAlign w:val="bottom"/>
            <w:gridSpan w:val="4"/>
          </w:tcPr>
          <w:p>
            <w:pPr>
              <w:spacing w:after="0"/>
              <w:rPr>
                <w:sz w:val="20"/>
                <w:szCs w:val="20"/>
                <w:color w:val="auto"/>
              </w:rPr>
            </w:pPr>
            <w:r>
              <w:rPr>
                <w:rFonts w:ascii="Arial" w:cs="Arial" w:eastAsia="Arial" w:hAnsi="Arial"/>
                <w:sz w:val="13"/>
                <w:szCs w:val="13"/>
                <w:color w:val="auto"/>
              </w:rPr>
              <w:t>Lease liabilities are presented as current and non-current. Lease liabilities of $1.3 million have been included in accrued and other liabilities as at 31 December 2019.</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5020" w:type="dxa"/>
            <w:vAlign w:val="bottom"/>
          </w:tcPr>
          <w:p>
            <w:pPr>
              <w:spacing w:after="0"/>
              <w:rPr>
                <w:sz w:val="20"/>
                <w:szCs w:val="20"/>
                <w:color w:val="auto"/>
              </w:rPr>
            </w:pPr>
            <w:r>
              <w:rPr>
                <w:rFonts w:ascii="Arial" w:cs="Arial" w:eastAsia="Arial" w:hAnsi="Arial"/>
                <w:sz w:val="13"/>
                <w:szCs w:val="13"/>
                <w:b w:val="1"/>
                <w:bCs w:val="1"/>
                <w:i w:val="1"/>
                <w:iCs w:val="1"/>
                <w:color w:val="auto"/>
              </w:rPr>
              <w:t>Amounts recognised in profit or loss</w:t>
            </w:r>
          </w:p>
        </w:tc>
        <w:tc>
          <w:tcPr>
            <w:tcW w:w="1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6"/>
        </w:trPr>
        <w:tc>
          <w:tcPr>
            <w:tcW w:w="5020" w:type="dxa"/>
            <w:vAlign w:val="bottom"/>
          </w:tcPr>
          <w:p>
            <w:pPr>
              <w:spacing w:after="0"/>
              <w:rPr>
                <w:sz w:val="20"/>
                <w:szCs w:val="20"/>
                <w:color w:val="auto"/>
              </w:rPr>
            </w:pPr>
            <w:r>
              <w:rPr>
                <w:rFonts w:ascii="Arial" w:cs="Arial" w:eastAsia="Arial" w:hAnsi="Arial"/>
                <w:sz w:val="13"/>
                <w:szCs w:val="13"/>
                <w:color w:val="auto"/>
              </w:rPr>
              <w:t>The following amounts were recognised in profit and loss:</w:t>
            </w:r>
          </w:p>
        </w:tc>
        <w:tc>
          <w:tcPr>
            <w:tcW w:w="1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7"/>
        </w:trPr>
        <w:tc>
          <w:tcPr>
            <w:tcW w:w="5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r>
      <w:tr>
        <w:trPr>
          <w:trHeight w:val="191"/>
        </w:trPr>
        <w:tc>
          <w:tcPr>
            <w:tcW w:w="50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31 December</w:t>
            </w:r>
          </w:p>
        </w:tc>
        <w:tc>
          <w:tcPr>
            <w:tcW w:w="20" w:type="dxa"/>
            <w:vAlign w:val="bottom"/>
          </w:tcPr>
          <w:p>
            <w:pPr>
              <w:spacing w:after="0"/>
              <w:rPr>
                <w:sz w:val="16"/>
                <w:szCs w:val="16"/>
                <w:color w:val="auto"/>
              </w:rPr>
            </w:pPr>
          </w:p>
        </w:tc>
      </w:tr>
      <w:tr>
        <w:trPr>
          <w:trHeight w:val="183"/>
        </w:trPr>
        <w:tc>
          <w:tcPr>
            <w:tcW w:w="50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5"/>
                <w:szCs w:val="15"/>
                <w:color w:val="auto"/>
              </w:rPr>
            </w:pPr>
          </w:p>
        </w:tc>
      </w:tr>
      <w:tr>
        <w:trPr>
          <w:trHeight w:val="189"/>
        </w:trPr>
        <w:tc>
          <w:tcPr>
            <w:tcW w:w="50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c>
          <w:tcPr>
            <w:tcW w:w="20" w:type="dxa"/>
            <w:vAlign w:val="bottom"/>
          </w:tcPr>
          <w:p>
            <w:pPr>
              <w:spacing w:after="0"/>
              <w:rPr>
                <w:sz w:val="16"/>
                <w:szCs w:val="16"/>
                <w:color w:val="auto"/>
              </w:rPr>
            </w:pPr>
          </w:p>
        </w:tc>
      </w:tr>
      <w:tr>
        <w:trPr>
          <w:trHeight w:val="183"/>
        </w:trPr>
        <w:tc>
          <w:tcPr>
            <w:tcW w:w="5020" w:type="dxa"/>
            <w:vAlign w:val="bottom"/>
          </w:tcPr>
          <w:p>
            <w:pPr>
              <w:ind w:left="20"/>
              <w:spacing w:after="0"/>
              <w:rPr>
                <w:sz w:val="20"/>
                <w:szCs w:val="20"/>
                <w:color w:val="auto"/>
              </w:rPr>
            </w:pPr>
            <w:r>
              <w:rPr>
                <w:rFonts w:ascii="Arial" w:cs="Arial" w:eastAsia="Arial" w:hAnsi="Arial"/>
                <w:sz w:val="13"/>
                <w:szCs w:val="13"/>
                <w:color w:val="auto"/>
              </w:rPr>
              <w:t>Depreciation of right-of-use assets</w:t>
            </w:r>
          </w:p>
        </w:tc>
        <w:tc>
          <w:tcPr>
            <w:tcW w:w="1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340" w:type="dxa"/>
            <w:vAlign w:val="bottom"/>
          </w:tcPr>
          <w:p>
            <w:pPr>
              <w:jc w:val="right"/>
              <w:ind w:right="76"/>
              <w:spacing w:after="0"/>
              <w:rPr>
                <w:sz w:val="20"/>
                <w:szCs w:val="20"/>
                <w:color w:val="auto"/>
              </w:rPr>
            </w:pPr>
            <w:r>
              <w:rPr>
                <w:rFonts w:ascii="Arial" w:cs="Arial" w:eastAsia="Arial" w:hAnsi="Arial"/>
                <w:sz w:val="13"/>
                <w:szCs w:val="13"/>
                <w:color w:val="auto"/>
              </w:rPr>
              <w:t>1,511</w:t>
            </w:r>
          </w:p>
        </w:tc>
        <w:tc>
          <w:tcPr>
            <w:tcW w:w="20" w:type="dxa"/>
            <w:vAlign w:val="bottom"/>
          </w:tcPr>
          <w:p>
            <w:pPr>
              <w:spacing w:after="0"/>
              <w:rPr>
                <w:sz w:val="15"/>
                <w:szCs w:val="15"/>
                <w:color w:val="auto"/>
              </w:rPr>
            </w:pPr>
          </w:p>
        </w:tc>
      </w:tr>
      <w:tr>
        <w:trPr>
          <w:trHeight w:val="200"/>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Interest on lease liabilities</w:t>
            </w:r>
          </w:p>
        </w:tc>
        <w:tc>
          <w:tcPr>
            <w:tcW w:w="15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22</w:t>
            </w:r>
          </w:p>
        </w:tc>
        <w:tc>
          <w:tcPr>
            <w:tcW w:w="20" w:type="dxa"/>
            <w:vAlign w:val="bottom"/>
          </w:tcPr>
          <w:p>
            <w:pPr>
              <w:spacing w:after="0"/>
              <w:rPr>
                <w:sz w:val="17"/>
                <w:szCs w:val="17"/>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3"/>
          <w:szCs w:val="13"/>
          <w:color w:val="auto"/>
        </w:rPr>
        <w:t>The depreciation cost of right-of-use assets is recorded within other operating expenses and interest on lease liabilities is recorded within finance costs.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31 December 2019, the Company did not incur any costs related to variable lease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280"/>
          </w:cols>
          <w:pgMar w:left="300" w:top="696" w:right="31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Litigation</w:t>
      </w:r>
    </w:p>
    <w:p>
      <w:pPr>
        <w:spacing w:after="0" w:line="3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is not party to any litigation or other legal proceedings that the Company believes could reasonably be expected to have a material adverse effect on the Company’s business, results of operations and financial position.</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Financial instruments</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Company is exposed to various financial risks in the normal course of the business. The Company’s financial instruments typically comprise cash and accounts payable. The main purpose of these financial instruments is to provide finance for the Company’s operations. The main risks arising from the Company’s financial instruments are credit risk, liquidity risk, interest rate risk, and foreign exchange risk.</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Credit risk</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Intercompany loans receivable and payable are initially recognised at fair value. These are subsequently measured at amortised cost, less any loss allowance. An expected credit loss assessment was performed in respect of the receivables at 1 January 2018. The identified impairment loss was immaterial.</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Credit risk is the risk of financial loss to the Company if a customer or counterparty to a financial instrument fails to meet its contractual obligations. Credit risk in respect of the Company arises on balances due from group companies. As the Group is financially sound and the subsidiary entities that the Company trades with are in a position to make payments as and when they fall due, the Company has assessed the exposure to credit risk as low.</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Liquidity risk</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 xml:space="preserve">Liquidity risk is the risk that the Company will not be able to meet its financial obligations as they fall due. The Company’s liquidity risk arises from the repayment of short term debt and other obligations as they fall due. The Company minimises liquidity risk by ensuring that sufficient cash balances and committed bank lines of credit are available to meet its obligations as they fall due. The Company’s bank credit lines and facilities are the same as the Group. Details of the Group’s bank credit lines and facilities are set out in </w:t>
      </w:r>
      <w:r>
        <w:rPr>
          <w:rFonts w:ascii="Arial" w:cs="Arial" w:eastAsia="Arial" w:hAnsi="Arial"/>
          <w:sz w:val="13"/>
          <w:szCs w:val="13"/>
          <w:i w:val="1"/>
          <w:iCs w:val="1"/>
          <w:color w:val="auto"/>
        </w:rPr>
        <w:t>note 23 Bank credit lines and loan facilities.</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following table sets out details of the maturity of the Company’s financial liabilities into the relevant maturity groupings based on the remaining period from the financial year end date to the contractual maturity date:</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At 31 December 2019</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400" w:type="dxa"/>
            <w:vAlign w:val="bottom"/>
            <w:shd w:val="clear" w:color="auto" w:fill="CCEEFF"/>
          </w:tcPr>
          <w:p>
            <w:pPr>
              <w:spacing w:after="0"/>
              <w:rPr>
                <w:sz w:val="13"/>
                <w:szCs w:val="13"/>
                <w:color w:val="auto"/>
              </w:rPr>
            </w:pPr>
          </w:p>
        </w:tc>
        <w:tc>
          <w:tcPr>
            <w:tcW w:w="16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Carrying</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Contractual</w:t>
            </w:r>
          </w:p>
        </w:tc>
        <w:tc>
          <w:tcPr>
            <w:tcW w:w="144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6 to 12</w:t>
            </w:r>
          </w:p>
        </w:tc>
        <w:tc>
          <w:tcPr>
            <w:tcW w:w="1220" w:type="dxa"/>
            <w:vAlign w:val="bottom"/>
            <w:shd w:val="clear" w:color="auto" w:fill="CCEEFF"/>
          </w:tcPr>
          <w:p>
            <w:pPr>
              <w:jc w:val="right"/>
              <w:ind w:right="356"/>
              <w:spacing w:after="0"/>
              <w:rPr>
                <w:sz w:val="20"/>
                <w:szCs w:val="20"/>
                <w:color w:val="auto"/>
              </w:rPr>
            </w:pPr>
            <w:r>
              <w:rPr>
                <w:rFonts w:ascii="Arial" w:cs="Arial" w:eastAsia="Arial" w:hAnsi="Arial"/>
                <w:sz w:val="13"/>
                <w:szCs w:val="13"/>
                <w:b w:val="1"/>
                <w:bCs w:val="1"/>
                <w:color w:val="auto"/>
              </w:rPr>
              <w:t>1 to 2</w:t>
            </w:r>
          </w:p>
        </w:tc>
        <w:tc>
          <w:tcPr>
            <w:tcW w:w="1100" w:type="dxa"/>
            <w:vAlign w:val="bottom"/>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2 to 5</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More than</w:t>
            </w:r>
          </w:p>
        </w:tc>
      </w:tr>
      <w:tr>
        <w:trPr>
          <w:trHeight w:val="149"/>
        </w:trPr>
        <w:tc>
          <w:tcPr>
            <w:tcW w:w="240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Amount</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Cashflows</w:t>
            </w:r>
          </w:p>
        </w:tc>
        <w:tc>
          <w:tcPr>
            <w:tcW w:w="14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6 mths or less</w:t>
            </w:r>
          </w:p>
        </w:tc>
        <w:tc>
          <w:tcPr>
            <w:tcW w:w="124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mths</w:t>
            </w:r>
          </w:p>
        </w:tc>
        <w:tc>
          <w:tcPr>
            <w:tcW w:w="1220" w:type="dxa"/>
            <w:vAlign w:val="bottom"/>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years</w:t>
            </w:r>
          </w:p>
        </w:tc>
        <w:tc>
          <w:tcPr>
            <w:tcW w:w="1100" w:type="dxa"/>
            <w:vAlign w:val="bottom"/>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years</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 years</w:t>
            </w:r>
          </w:p>
        </w:tc>
      </w:tr>
      <w:tr>
        <w:trPr>
          <w:trHeight w:val="177"/>
        </w:trPr>
        <w:tc>
          <w:tcPr>
            <w:tcW w:w="24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2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4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2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2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1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$’000</w:t>
            </w:r>
          </w:p>
        </w:tc>
      </w:tr>
      <w:tr>
        <w:trPr>
          <w:trHeight w:val="157"/>
        </w:trPr>
        <w:tc>
          <w:tcPr>
            <w:tcW w:w="24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91"/>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16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r>
        <w:trPr>
          <w:trHeight w:val="183"/>
        </w:trPr>
        <w:tc>
          <w:tcPr>
            <w:tcW w:w="2400" w:type="dxa"/>
            <w:vAlign w:val="bottom"/>
          </w:tcPr>
          <w:p>
            <w:pPr>
              <w:ind w:left="20"/>
              <w:spacing w:after="0"/>
              <w:rPr>
                <w:sz w:val="20"/>
                <w:szCs w:val="20"/>
                <w:color w:val="auto"/>
              </w:rPr>
            </w:pPr>
            <w:r>
              <w:rPr>
                <w:rFonts w:ascii="Arial" w:cs="Arial" w:eastAsia="Arial" w:hAnsi="Arial"/>
                <w:sz w:val="13"/>
                <w:szCs w:val="13"/>
                <w:color w:val="auto"/>
              </w:rPr>
              <w:t>Lease liability</w:t>
            </w:r>
          </w:p>
        </w:tc>
        <w:tc>
          <w:tcPr>
            <w:tcW w:w="1680" w:type="dxa"/>
            <w:vAlign w:val="bottom"/>
          </w:tcPr>
          <w:p>
            <w:pPr>
              <w:jc w:val="right"/>
              <w:ind w:right="436"/>
              <w:spacing w:after="0"/>
              <w:rPr>
                <w:sz w:val="20"/>
                <w:szCs w:val="20"/>
                <w:color w:val="auto"/>
              </w:rPr>
            </w:pPr>
            <w:r>
              <w:rPr>
                <w:rFonts w:ascii="Arial" w:cs="Arial" w:eastAsia="Arial" w:hAnsi="Arial"/>
                <w:sz w:val="13"/>
                <w:szCs w:val="13"/>
                <w:color w:val="auto"/>
              </w:rPr>
              <w:t>4,438</w:t>
            </w:r>
          </w:p>
        </w:tc>
        <w:tc>
          <w:tcPr>
            <w:tcW w:w="1240" w:type="dxa"/>
            <w:vAlign w:val="bottom"/>
          </w:tcPr>
          <w:p>
            <w:pPr>
              <w:jc w:val="right"/>
              <w:ind w:right="276"/>
              <w:spacing w:after="0"/>
              <w:rPr>
                <w:sz w:val="20"/>
                <w:szCs w:val="20"/>
                <w:color w:val="auto"/>
              </w:rPr>
            </w:pPr>
            <w:r>
              <w:rPr>
                <w:rFonts w:ascii="Arial" w:cs="Arial" w:eastAsia="Arial" w:hAnsi="Arial"/>
                <w:sz w:val="13"/>
                <w:szCs w:val="13"/>
                <w:color w:val="auto"/>
              </w:rPr>
              <w:t>4,438</w:t>
            </w:r>
          </w:p>
        </w:tc>
        <w:tc>
          <w:tcPr>
            <w:tcW w:w="1440" w:type="dxa"/>
            <w:vAlign w:val="bottom"/>
          </w:tcPr>
          <w:p>
            <w:pPr>
              <w:jc w:val="right"/>
              <w:ind w:right="476"/>
              <w:spacing w:after="0"/>
              <w:rPr>
                <w:sz w:val="20"/>
                <w:szCs w:val="20"/>
                <w:color w:val="auto"/>
              </w:rPr>
            </w:pPr>
            <w:r>
              <w:rPr>
                <w:rFonts w:ascii="Arial" w:cs="Arial" w:eastAsia="Arial" w:hAnsi="Arial"/>
                <w:sz w:val="13"/>
                <w:szCs w:val="13"/>
                <w:color w:val="auto"/>
              </w:rPr>
              <w:t>662</w:t>
            </w:r>
          </w:p>
        </w:tc>
        <w:tc>
          <w:tcPr>
            <w:tcW w:w="1240" w:type="dxa"/>
            <w:vAlign w:val="bottom"/>
          </w:tcPr>
          <w:p>
            <w:pPr>
              <w:jc w:val="right"/>
              <w:ind w:right="456"/>
              <w:spacing w:after="0"/>
              <w:rPr>
                <w:sz w:val="20"/>
                <w:szCs w:val="20"/>
                <w:color w:val="auto"/>
              </w:rPr>
            </w:pPr>
            <w:r>
              <w:rPr>
                <w:rFonts w:ascii="Arial" w:cs="Arial" w:eastAsia="Arial" w:hAnsi="Arial"/>
                <w:sz w:val="13"/>
                <w:szCs w:val="13"/>
                <w:color w:val="auto"/>
              </w:rPr>
              <w:t>662</w:t>
            </w:r>
          </w:p>
        </w:tc>
        <w:tc>
          <w:tcPr>
            <w:tcW w:w="1220" w:type="dxa"/>
            <w:vAlign w:val="bottom"/>
          </w:tcPr>
          <w:p>
            <w:pPr>
              <w:jc w:val="right"/>
              <w:ind w:right="456"/>
              <w:spacing w:after="0"/>
              <w:rPr>
                <w:sz w:val="20"/>
                <w:szCs w:val="20"/>
                <w:color w:val="auto"/>
              </w:rPr>
            </w:pPr>
            <w:r>
              <w:rPr>
                <w:rFonts w:ascii="Arial" w:cs="Arial" w:eastAsia="Arial" w:hAnsi="Arial"/>
                <w:sz w:val="13"/>
                <w:szCs w:val="13"/>
                <w:color w:val="auto"/>
              </w:rPr>
              <w:t>1,214</w:t>
            </w:r>
          </w:p>
        </w:tc>
        <w:tc>
          <w:tcPr>
            <w:tcW w:w="1100" w:type="dxa"/>
            <w:vAlign w:val="bottom"/>
          </w:tcPr>
          <w:p>
            <w:pPr>
              <w:jc w:val="right"/>
              <w:ind w:right="336"/>
              <w:spacing w:after="0"/>
              <w:rPr>
                <w:sz w:val="20"/>
                <w:szCs w:val="20"/>
                <w:color w:val="auto"/>
              </w:rPr>
            </w:pPr>
            <w:r>
              <w:rPr>
                <w:rFonts w:ascii="Arial" w:cs="Arial" w:eastAsia="Arial" w:hAnsi="Arial"/>
                <w:sz w:val="13"/>
                <w:szCs w:val="13"/>
                <w:color w:val="auto"/>
              </w:rPr>
              <w:t>1,900</w:t>
            </w:r>
          </w:p>
        </w:tc>
        <w:tc>
          <w:tcPr>
            <w:tcW w:w="940" w:type="dxa"/>
            <w:vAlign w:val="bottom"/>
          </w:tcPr>
          <w:p>
            <w:pPr>
              <w:spacing w:after="0"/>
              <w:rPr>
                <w:sz w:val="15"/>
                <w:szCs w:val="15"/>
                <w:color w:val="auto"/>
              </w:rPr>
            </w:pPr>
          </w:p>
        </w:tc>
      </w:tr>
      <w:tr>
        <w:trPr>
          <w:trHeight w:val="191"/>
        </w:trPr>
        <w:tc>
          <w:tcPr>
            <w:tcW w:w="2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Accruals and other liabilities</w:t>
            </w:r>
          </w:p>
        </w:tc>
        <w:tc>
          <w:tcPr>
            <w:tcW w:w="16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rPr>
              <w:t>15,897</w:t>
            </w:r>
          </w:p>
        </w:tc>
        <w:tc>
          <w:tcPr>
            <w:tcW w:w="12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15,897</w:t>
            </w:r>
          </w:p>
        </w:tc>
        <w:tc>
          <w:tcPr>
            <w:tcW w:w="14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8,502</w:t>
            </w:r>
          </w:p>
        </w:tc>
        <w:tc>
          <w:tcPr>
            <w:tcW w:w="12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1,923</w:t>
            </w:r>
          </w:p>
        </w:tc>
        <w:tc>
          <w:tcPr>
            <w:tcW w:w="12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1,335</w:t>
            </w:r>
          </w:p>
        </w:tc>
        <w:tc>
          <w:tcPr>
            <w:tcW w:w="11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1,957</w:t>
            </w:r>
          </w:p>
        </w:tc>
        <w:tc>
          <w:tcPr>
            <w:tcW w:w="9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2,180</w:t>
            </w:r>
          </w:p>
        </w:tc>
      </w:tr>
      <w:tr>
        <w:trPr>
          <w:trHeight w:val="157"/>
        </w:trPr>
        <w:tc>
          <w:tcPr>
            <w:tcW w:w="24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92"/>
        </w:trPr>
        <w:tc>
          <w:tcPr>
            <w:tcW w:w="24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20,335</w:t>
            </w:r>
          </w:p>
        </w:tc>
        <w:tc>
          <w:tcPr>
            <w:tcW w:w="12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20,335</w:t>
            </w:r>
          </w:p>
        </w:tc>
        <w:tc>
          <w:tcPr>
            <w:tcW w:w="14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9,164</w:t>
            </w:r>
          </w:p>
        </w:tc>
        <w:tc>
          <w:tcPr>
            <w:tcW w:w="12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2,585</w:t>
            </w:r>
          </w:p>
        </w:tc>
        <w:tc>
          <w:tcPr>
            <w:tcW w:w="12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2,549</w:t>
            </w:r>
          </w:p>
        </w:tc>
        <w:tc>
          <w:tcPr>
            <w:tcW w:w="11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3,857</w:t>
            </w:r>
          </w:p>
        </w:tc>
        <w:tc>
          <w:tcPr>
            <w:tcW w:w="9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2,180</w:t>
            </w:r>
          </w:p>
        </w:tc>
      </w:tr>
      <w:tr>
        <w:trPr>
          <w:trHeight w:val="537"/>
        </w:trPr>
        <w:tc>
          <w:tcPr>
            <w:tcW w:w="2400" w:type="dxa"/>
            <w:vAlign w:val="bottom"/>
          </w:tcPr>
          <w:p>
            <w:pPr>
              <w:ind w:left="20"/>
              <w:spacing w:after="0"/>
              <w:rPr>
                <w:sz w:val="20"/>
                <w:szCs w:val="20"/>
                <w:color w:val="auto"/>
              </w:rPr>
            </w:pPr>
            <w:r>
              <w:rPr>
                <w:rFonts w:ascii="Arial" w:cs="Arial" w:eastAsia="Arial" w:hAnsi="Arial"/>
                <w:sz w:val="13"/>
                <w:szCs w:val="13"/>
                <w:b w:val="1"/>
                <w:bCs w:val="1"/>
                <w:color w:val="auto"/>
              </w:rPr>
              <w:t>At 31 December 2018</w:t>
            </w:r>
          </w:p>
        </w:tc>
        <w:tc>
          <w:tcPr>
            <w:tcW w:w="1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2400" w:type="dxa"/>
            <w:vAlign w:val="bottom"/>
          </w:tcPr>
          <w:p>
            <w:pPr>
              <w:spacing w:after="0"/>
              <w:rPr>
                <w:sz w:val="14"/>
                <w:szCs w:val="14"/>
                <w:color w:val="auto"/>
              </w:rPr>
            </w:pPr>
          </w:p>
        </w:tc>
        <w:tc>
          <w:tcPr>
            <w:tcW w:w="1680" w:type="dxa"/>
            <w:vAlign w:val="bottom"/>
          </w:tcPr>
          <w:p>
            <w:pPr>
              <w:jc w:val="right"/>
              <w:ind w:right="296"/>
              <w:spacing w:after="0"/>
              <w:rPr>
                <w:sz w:val="20"/>
                <w:szCs w:val="20"/>
                <w:color w:val="auto"/>
              </w:rPr>
            </w:pPr>
            <w:r>
              <w:rPr>
                <w:rFonts w:ascii="Arial" w:cs="Arial" w:eastAsia="Arial" w:hAnsi="Arial"/>
                <w:sz w:val="13"/>
                <w:szCs w:val="13"/>
                <w:b w:val="1"/>
                <w:bCs w:val="1"/>
                <w:color w:val="auto"/>
              </w:rPr>
              <w:t>Carrying</w:t>
            </w:r>
          </w:p>
        </w:tc>
        <w:tc>
          <w:tcPr>
            <w:tcW w:w="1240" w:type="dxa"/>
            <w:vAlign w:val="bottom"/>
          </w:tcPr>
          <w:p>
            <w:pPr>
              <w:jc w:val="right"/>
              <w:ind w:right="136"/>
              <w:spacing w:after="0"/>
              <w:rPr>
                <w:sz w:val="20"/>
                <w:szCs w:val="20"/>
                <w:color w:val="auto"/>
              </w:rPr>
            </w:pPr>
            <w:r>
              <w:rPr>
                <w:rFonts w:ascii="Arial" w:cs="Arial" w:eastAsia="Arial" w:hAnsi="Arial"/>
                <w:sz w:val="13"/>
                <w:szCs w:val="13"/>
                <w:b w:val="1"/>
                <w:bCs w:val="1"/>
                <w:color w:val="auto"/>
              </w:rPr>
              <w:t>Contractual</w:t>
            </w:r>
          </w:p>
        </w:tc>
        <w:tc>
          <w:tcPr>
            <w:tcW w:w="1440" w:type="dxa"/>
            <w:vAlign w:val="bottom"/>
          </w:tcPr>
          <w:p>
            <w:pPr>
              <w:spacing w:after="0"/>
              <w:rPr>
                <w:sz w:val="14"/>
                <w:szCs w:val="14"/>
                <w:color w:val="auto"/>
              </w:rPr>
            </w:pPr>
          </w:p>
        </w:tc>
        <w:tc>
          <w:tcPr>
            <w:tcW w:w="1240" w:type="dxa"/>
            <w:vAlign w:val="bottom"/>
          </w:tcPr>
          <w:p>
            <w:pPr>
              <w:jc w:val="right"/>
              <w:ind w:right="356"/>
              <w:spacing w:after="0"/>
              <w:rPr>
                <w:sz w:val="20"/>
                <w:szCs w:val="20"/>
                <w:color w:val="auto"/>
              </w:rPr>
            </w:pPr>
            <w:r>
              <w:rPr>
                <w:rFonts w:ascii="Arial" w:cs="Arial" w:eastAsia="Arial" w:hAnsi="Arial"/>
                <w:sz w:val="13"/>
                <w:szCs w:val="13"/>
                <w:b w:val="1"/>
                <w:bCs w:val="1"/>
                <w:color w:val="auto"/>
              </w:rPr>
              <w:t>6 to 12</w:t>
            </w:r>
          </w:p>
        </w:tc>
        <w:tc>
          <w:tcPr>
            <w:tcW w:w="1220" w:type="dxa"/>
            <w:vAlign w:val="bottom"/>
          </w:tcPr>
          <w:p>
            <w:pPr>
              <w:jc w:val="right"/>
              <w:ind w:right="356"/>
              <w:spacing w:after="0"/>
              <w:rPr>
                <w:sz w:val="20"/>
                <w:szCs w:val="20"/>
                <w:color w:val="auto"/>
              </w:rPr>
            </w:pPr>
            <w:r>
              <w:rPr>
                <w:rFonts w:ascii="Arial" w:cs="Arial" w:eastAsia="Arial" w:hAnsi="Arial"/>
                <w:sz w:val="13"/>
                <w:szCs w:val="13"/>
                <w:b w:val="1"/>
                <w:bCs w:val="1"/>
                <w:color w:val="auto"/>
              </w:rPr>
              <w:t>1 to 2</w:t>
            </w:r>
          </w:p>
        </w:tc>
        <w:tc>
          <w:tcPr>
            <w:tcW w:w="1100" w:type="dxa"/>
            <w:vAlign w:val="bottom"/>
          </w:tcPr>
          <w:p>
            <w:pPr>
              <w:jc w:val="right"/>
              <w:ind w:right="256"/>
              <w:spacing w:after="0"/>
              <w:rPr>
                <w:sz w:val="20"/>
                <w:szCs w:val="20"/>
                <w:color w:val="auto"/>
              </w:rPr>
            </w:pPr>
            <w:r>
              <w:rPr>
                <w:rFonts w:ascii="Arial" w:cs="Arial" w:eastAsia="Arial" w:hAnsi="Arial"/>
                <w:sz w:val="13"/>
                <w:szCs w:val="13"/>
                <w:b w:val="1"/>
                <w:bCs w:val="1"/>
                <w:color w:val="auto"/>
              </w:rPr>
              <w:t>2 to 5</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More than</w:t>
            </w:r>
          </w:p>
        </w:tc>
      </w:tr>
      <w:tr>
        <w:trPr>
          <w:trHeight w:val="149"/>
        </w:trPr>
        <w:tc>
          <w:tcPr>
            <w:tcW w:w="2400" w:type="dxa"/>
            <w:vAlign w:val="bottom"/>
          </w:tcPr>
          <w:p>
            <w:pPr>
              <w:spacing w:after="0"/>
              <w:rPr>
                <w:sz w:val="12"/>
                <w:szCs w:val="12"/>
                <w:color w:val="auto"/>
              </w:rPr>
            </w:pPr>
          </w:p>
        </w:tc>
        <w:tc>
          <w:tcPr>
            <w:tcW w:w="1680" w:type="dxa"/>
            <w:vAlign w:val="bottom"/>
          </w:tcPr>
          <w:p>
            <w:pPr>
              <w:jc w:val="right"/>
              <w:ind w:right="296"/>
              <w:spacing w:after="0"/>
              <w:rPr>
                <w:sz w:val="20"/>
                <w:szCs w:val="20"/>
                <w:color w:val="auto"/>
              </w:rPr>
            </w:pPr>
            <w:r>
              <w:rPr>
                <w:rFonts w:ascii="Arial" w:cs="Arial" w:eastAsia="Arial" w:hAnsi="Arial"/>
                <w:sz w:val="13"/>
                <w:szCs w:val="13"/>
                <w:b w:val="1"/>
                <w:bCs w:val="1"/>
                <w:color w:val="auto"/>
              </w:rPr>
              <w:t>Amount</w:t>
            </w:r>
          </w:p>
        </w:tc>
        <w:tc>
          <w:tcPr>
            <w:tcW w:w="1240" w:type="dxa"/>
            <w:vAlign w:val="bottom"/>
          </w:tcPr>
          <w:p>
            <w:pPr>
              <w:jc w:val="right"/>
              <w:ind w:right="136"/>
              <w:spacing w:after="0"/>
              <w:rPr>
                <w:sz w:val="20"/>
                <w:szCs w:val="20"/>
                <w:color w:val="auto"/>
              </w:rPr>
            </w:pPr>
            <w:r>
              <w:rPr>
                <w:rFonts w:ascii="Arial" w:cs="Arial" w:eastAsia="Arial" w:hAnsi="Arial"/>
                <w:sz w:val="13"/>
                <w:szCs w:val="13"/>
                <w:b w:val="1"/>
                <w:bCs w:val="1"/>
                <w:color w:val="auto"/>
              </w:rPr>
              <w:t>Cashflows</w:t>
            </w:r>
          </w:p>
        </w:tc>
        <w:tc>
          <w:tcPr>
            <w:tcW w:w="1440" w:type="dxa"/>
            <w:vAlign w:val="bottom"/>
          </w:tcPr>
          <w:p>
            <w:pPr>
              <w:jc w:val="right"/>
              <w:ind w:right="336"/>
              <w:spacing w:after="0"/>
              <w:rPr>
                <w:sz w:val="20"/>
                <w:szCs w:val="20"/>
                <w:color w:val="auto"/>
              </w:rPr>
            </w:pPr>
            <w:r>
              <w:rPr>
                <w:rFonts w:ascii="Arial" w:cs="Arial" w:eastAsia="Arial" w:hAnsi="Arial"/>
                <w:sz w:val="13"/>
                <w:szCs w:val="13"/>
                <w:b w:val="1"/>
                <w:bCs w:val="1"/>
                <w:color w:val="auto"/>
              </w:rPr>
              <w:t>6 mths or less</w:t>
            </w:r>
          </w:p>
        </w:tc>
        <w:tc>
          <w:tcPr>
            <w:tcW w:w="1240" w:type="dxa"/>
            <w:vAlign w:val="bottom"/>
          </w:tcPr>
          <w:p>
            <w:pPr>
              <w:jc w:val="right"/>
              <w:ind w:right="336"/>
              <w:spacing w:after="0"/>
              <w:rPr>
                <w:sz w:val="20"/>
                <w:szCs w:val="20"/>
                <w:color w:val="auto"/>
              </w:rPr>
            </w:pPr>
            <w:r>
              <w:rPr>
                <w:rFonts w:ascii="Arial" w:cs="Arial" w:eastAsia="Arial" w:hAnsi="Arial"/>
                <w:sz w:val="13"/>
                <w:szCs w:val="13"/>
                <w:b w:val="1"/>
                <w:bCs w:val="1"/>
                <w:color w:val="auto"/>
              </w:rPr>
              <w:t>mths</w:t>
            </w:r>
          </w:p>
        </w:tc>
        <w:tc>
          <w:tcPr>
            <w:tcW w:w="1220" w:type="dxa"/>
            <w:vAlign w:val="bottom"/>
          </w:tcPr>
          <w:p>
            <w:pPr>
              <w:jc w:val="right"/>
              <w:ind w:right="336"/>
              <w:spacing w:after="0"/>
              <w:rPr>
                <w:sz w:val="20"/>
                <w:szCs w:val="20"/>
                <w:color w:val="auto"/>
              </w:rPr>
            </w:pPr>
            <w:r>
              <w:rPr>
                <w:rFonts w:ascii="Arial" w:cs="Arial" w:eastAsia="Arial" w:hAnsi="Arial"/>
                <w:sz w:val="13"/>
                <w:szCs w:val="13"/>
                <w:b w:val="1"/>
                <w:bCs w:val="1"/>
                <w:color w:val="auto"/>
              </w:rPr>
              <w:t>years</w:t>
            </w:r>
          </w:p>
        </w:tc>
        <w:tc>
          <w:tcPr>
            <w:tcW w:w="1100" w:type="dxa"/>
            <w:vAlign w:val="bottom"/>
          </w:tcPr>
          <w:p>
            <w:pPr>
              <w:jc w:val="right"/>
              <w:ind w:right="216"/>
              <w:spacing w:after="0"/>
              <w:rPr>
                <w:sz w:val="20"/>
                <w:szCs w:val="20"/>
                <w:color w:val="auto"/>
              </w:rPr>
            </w:pPr>
            <w:r>
              <w:rPr>
                <w:rFonts w:ascii="Arial" w:cs="Arial" w:eastAsia="Arial" w:hAnsi="Arial"/>
                <w:sz w:val="13"/>
                <w:szCs w:val="13"/>
                <w:b w:val="1"/>
                <w:bCs w:val="1"/>
                <w:color w:val="auto"/>
              </w:rPr>
              <w:t>years</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5 years</w:t>
            </w:r>
          </w:p>
        </w:tc>
      </w:tr>
      <w:tr>
        <w:trPr>
          <w:trHeight w:val="177"/>
        </w:trPr>
        <w:tc>
          <w:tcPr>
            <w:tcW w:w="2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$’000</w:t>
            </w:r>
          </w:p>
        </w:tc>
        <w:tc>
          <w:tcPr>
            <w:tcW w:w="12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$’000</w:t>
            </w:r>
          </w:p>
        </w:tc>
        <w:tc>
          <w:tcPr>
            <w:tcW w:w="14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2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2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$’000</w:t>
            </w:r>
          </w:p>
        </w:tc>
        <w:tc>
          <w:tcPr>
            <w:tcW w:w="11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$’000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r>
      <w:tr>
        <w:trPr>
          <w:trHeight w:val="157"/>
        </w:trPr>
        <w:tc>
          <w:tcPr>
            <w:tcW w:w="24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83"/>
        </w:trPr>
        <w:tc>
          <w:tcPr>
            <w:tcW w:w="240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1680" w:type="dxa"/>
            <w:vAlign w:val="bottom"/>
          </w:tcPr>
          <w:p>
            <w:pPr>
              <w:jc w:val="right"/>
              <w:ind w:right="436"/>
              <w:spacing w:after="0"/>
              <w:rPr>
                <w:sz w:val="20"/>
                <w:szCs w:val="20"/>
                <w:color w:val="auto"/>
              </w:rPr>
            </w:pPr>
            <w:r>
              <w:rPr>
                <w:rFonts w:ascii="Arial" w:cs="Arial" w:eastAsia="Arial" w:hAnsi="Arial"/>
                <w:sz w:val="13"/>
                <w:szCs w:val="13"/>
                <w:color w:val="auto"/>
              </w:rPr>
              <w:t>56</w:t>
            </w:r>
          </w:p>
        </w:tc>
        <w:tc>
          <w:tcPr>
            <w:tcW w:w="1240" w:type="dxa"/>
            <w:vAlign w:val="bottom"/>
          </w:tcPr>
          <w:p>
            <w:pPr>
              <w:jc w:val="right"/>
              <w:ind w:right="276"/>
              <w:spacing w:after="0"/>
              <w:rPr>
                <w:sz w:val="20"/>
                <w:szCs w:val="20"/>
                <w:color w:val="auto"/>
              </w:rPr>
            </w:pPr>
            <w:r>
              <w:rPr>
                <w:rFonts w:ascii="Arial" w:cs="Arial" w:eastAsia="Arial" w:hAnsi="Arial"/>
                <w:sz w:val="13"/>
                <w:szCs w:val="13"/>
                <w:color w:val="auto"/>
              </w:rPr>
              <w:t>56</w:t>
            </w:r>
          </w:p>
        </w:tc>
        <w:tc>
          <w:tcPr>
            <w:tcW w:w="1440" w:type="dxa"/>
            <w:vAlign w:val="bottom"/>
          </w:tcPr>
          <w:p>
            <w:pPr>
              <w:jc w:val="right"/>
              <w:ind w:right="476"/>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456"/>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45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w:t>
            </w:r>
          </w:p>
        </w:tc>
      </w:tr>
      <w:tr>
        <w:trPr>
          <w:trHeight w:val="191"/>
        </w:trPr>
        <w:tc>
          <w:tcPr>
            <w:tcW w:w="2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Accruals and other liabilities</w:t>
            </w:r>
          </w:p>
        </w:tc>
        <w:tc>
          <w:tcPr>
            <w:tcW w:w="16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rPr>
              <w:t>14,440</w:t>
            </w:r>
          </w:p>
        </w:tc>
        <w:tc>
          <w:tcPr>
            <w:tcW w:w="12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8,715</w:t>
            </w:r>
          </w:p>
        </w:tc>
        <w:tc>
          <w:tcPr>
            <w:tcW w:w="14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rPr>
              <w:t>1,943</w:t>
            </w:r>
          </w:p>
        </w:tc>
        <w:tc>
          <w:tcPr>
            <w:tcW w:w="12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1,249</w:t>
            </w:r>
          </w:p>
        </w:tc>
        <w:tc>
          <w:tcPr>
            <w:tcW w:w="12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1,023</w:t>
            </w:r>
          </w:p>
        </w:tc>
        <w:tc>
          <w:tcPr>
            <w:tcW w:w="11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rPr>
              <w:t>1,510</w:t>
            </w:r>
          </w:p>
        </w:tc>
        <w:tc>
          <w:tcPr>
            <w:tcW w:w="9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r>
        <w:trPr>
          <w:trHeight w:val="157"/>
        </w:trPr>
        <w:tc>
          <w:tcPr>
            <w:tcW w:w="24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92"/>
        </w:trPr>
        <w:tc>
          <w:tcPr>
            <w:tcW w:w="24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b w:val="1"/>
                <w:bCs w:val="1"/>
                <w:color w:val="auto"/>
              </w:rPr>
              <w:t>14,496</w:t>
            </w:r>
          </w:p>
        </w:tc>
        <w:tc>
          <w:tcPr>
            <w:tcW w:w="12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8,771</w:t>
            </w:r>
          </w:p>
        </w:tc>
        <w:tc>
          <w:tcPr>
            <w:tcW w:w="14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1,943</w:t>
            </w:r>
          </w:p>
        </w:tc>
        <w:tc>
          <w:tcPr>
            <w:tcW w:w="12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1,249</w:t>
            </w:r>
          </w:p>
        </w:tc>
        <w:tc>
          <w:tcPr>
            <w:tcW w:w="12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b w:val="1"/>
                <w:bCs w:val="1"/>
                <w:color w:val="auto"/>
              </w:rPr>
              <w:t>1,023</w:t>
            </w:r>
          </w:p>
        </w:tc>
        <w:tc>
          <w:tcPr>
            <w:tcW w:w="11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1,510</w:t>
            </w:r>
          </w:p>
        </w:tc>
        <w:tc>
          <w:tcPr>
            <w:tcW w:w="9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280"/>
          </w:cols>
          <w:pgMar w:left="300" w:top="696" w:right="31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 the year ended 31 December 2019</w:t>
      </w: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Financial instruments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currency risk</w:t>
      </w:r>
    </w:p>
    <w:p>
      <w:pPr>
        <w:spacing w:after="0" w:line="1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While the functional currency of the Company is USD, the functional currency of the branches is Euro. As a consequence, the results, when translated into U.S. dollars, could be affected by fluctuations in exchange rates against the U.S. dollar. At 31 December 2019 the Company had $Nil US dollar denominated bank loans (2018: $Nil).</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rate risk</w:t>
      </w:r>
    </w:p>
    <w:p>
      <w:pPr>
        <w:spacing w:after="0" w:line="1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Company finances its operations through a mixture of shareholders’ funds, borrowings and working capital. The Company borrows in required currencies at both fixed and floating interest rates. In general the Company borrows at floating rates of interest but may borrow at fixed rates depending on rates available having regard to current market rates and future trends. The Company has no external borrowings.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values</w:t>
      </w:r>
    </w:p>
    <w:p>
      <w:pPr>
        <w:spacing w:after="0" w:line="11" w:lineRule="exact"/>
        <w:rPr>
          <w:sz w:val="20"/>
          <w:szCs w:val="20"/>
          <w:color w:val="auto"/>
        </w:rPr>
      </w:pPr>
    </w:p>
    <w:p>
      <w:pPr>
        <w:ind w:right="80"/>
        <w:spacing w:after="0" w:line="241" w:lineRule="auto"/>
        <w:rPr>
          <w:sz w:val="20"/>
          <w:szCs w:val="20"/>
          <w:color w:val="auto"/>
        </w:rPr>
      </w:pPr>
      <w:r>
        <w:rPr>
          <w:rFonts w:ascii="Arial" w:cs="Arial" w:eastAsia="Arial" w:hAnsi="Arial"/>
          <w:sz w:val="13"/>
          <w:szCs w:val="13"/>
          <w:color w:val="auto"/>
        </w:rPr>
        <w:t>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79" w:lineRule="exact"/>
        <w:rPr>
          <w:sz w:val="20"/>
          <w:szCs w:val="20"/>
          <w:color w:val="auto"/>
        </w:rPr>
      </w:pPr>
    </w:p>
    <w:tbl>
      <w:tblPr>
        <w:tblLayout w:type="fixed"/>
        <w:tblInd w:w="60" w:type="dxa"/>
        <w:tblCellMar>
          <w:top w:w="0" w:type="dxa"/>
          <w:left w:w="0" w:type="dxa"/>
          <w:bottom w:w="0" w:type="dxa"/>
          <w:right w:w="0" w:type="dxa"/>
        </w:tblCellMar>
      </w:tblPr>
      <w:tr>
        <w:trPr>
          <w:trHeight w:val="191"/>
        </w:trPr>
        <w:tc>
          <w:tcPr>
            <w:tcW w:w="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Level 1:</w:t>
            </w:r>
          </w:p>
        </w:tc>
        <w:tc>
          <w:tcPr>
            <w:tcW w:w="101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Inputs are based upon unadjusted quoted prices for identical instruments traded in active markets.</w:t>
            </w:r>
          </w:p>
        </w:tc>
      </w:tr>
      <w:tr>
        <w:trPr>
          <w:trHeight w:val="202"/>
        </w:trPr>
        <w:tc>
          <w:tcPr>
            <w:tcW w:w="940" w:type="dxa"/>
            <w:vAlign w:val="bottom"/>
          </w:tcPr>
          <w:p>
            <w:pPr>
              <w:spacing w:after="0"/>
              <w:rPr>
                <w:sz w:val="17"/>
                <w:szCs w:val="17"/>
                <w:color w:val="auto"/>
              </w:rPr>
            </w:pPr>
          </w:p>
        </w:tc>
        <w:tc>
          <w:tcPr>
            <w:tcW w:w="10160" w:type="dxa"/>
            <w:vAlign w:val="bottom"/>
          </w:tcPr>
          <w:p>
            <w:pPr>
              <w:spacing w:after="0"/>
              <w:rPr>
                <w:sz w:val="17"/>
                <w:szCs w:val="17"/>
                <w:color w:val="auto"/>
              </w:rPr>
            </w:pPr>
          </w:p>
        </w:tc>
      </w:tr>
      <w:tr>
        <w:trPr>
          <w:trHeight w:val="171"/>
        </w:trPr>
        <w:tc>
          <w:tcPr>
            <w:tcW w:w="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Level 2:</w:t>
            </w:r>
          </w:p>
        </w:tc>
        <w:tc>
          <w:tcPr>
            <w:tcW w:w="101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Inputs are based upon quoted prices for similar instruments in active markets, quoted prices for identical or similar instruments in markets that are not active and model-</w:t>
            </w:r>
          </w:p>
        </w:tc>
      </w:tr>
      <w:tr>
        <w:trPr>
          <w:trHeight w:val="149"/>
        </w:trPr>
        <w:tc>
          <w:tcPr>
            <w:tcW w:w="940" w:type="dxa"/>
            <w:vAlign w:val="bottom"/>
            <w:shd w:val="clear" w:color="auto" w:fill="CCEEFF"/>
          </w:tcPr>
          <w:p>
            <w:pPr>
              <w:spacing w:after="0"/>
              <w:rPr>
                <w:sz w:val="12"/>
                <w:szCs w:val="12"/>
                <w:color w:val="auto"/>
              </w:rPr>
            </w:pPr>
          </w:p>
        </w:tc>
        <w:tc>
          <w:tcPr>
            <w:tcW w:w="101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based valuation techniques for which all significant assumptions are observable in the market or can be corroborated by observable market data for substantially the full</w:t>
            </w:r>
          </w:p>
        </w:tc>
      </w:tr>
      <w:tr>
        <w:trPr>
          <w:trHeight w:val="168"/>
        </w:trPr>
        <w:tc>
          <w:tcPr>
            <w:tcW w:w="940" w:type="dxa"/>
            <w:vAlign w:val="bottom"/>
            <w:shd w:val="clear" w:color="auto" w:fill="CCEEFF"/>
          </w:tcPr>
          <w:p>
            <w:pPr>
              <w:spacing w:after="0"/>
              <w:rPr>
                <w:sz w:val="14"/>
                <w:szCs w:val="14"/>
                <w:color w:val="auto"/>
              </w:rPr>
            </w:pPr>
          </w:p>
        </w:tc>
        <w:tc>
          <w:tcPr>
            <w:tcW w:w="101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term of the assets or liabilities.</w:t>
            </w:r>
          </w:p>
        </w:tc>
      </w:tr>
      <w:tr>
        <w:trPr>
          <w:trHeight w:val="202"/>
        </w:trPr>
        <w:tc>
          <w:tcPr>
            <w:tcW w:w="940" w:type="dxa"/>
            <w:vAlign w:val="bottom"/>
          </w:tcPr>
          <w:p>
            <w:pPr>
              <w:spacing w:after="0"/>
              <w:rPr>
                <w:sz w:val="17"/>
                <w:szCs w:val="17"/>
                <w:color w:val="auto"/>
              </w:rPr>
            </w:pPr>
          </w:p>
        </w:tc>
        <w:tc>
          <w:tcPr>
            <w:tcW w:w="10160" w:type="dxa"/>
            <w:vAlign w:val="bottom"/>
          </w:tcPr>
          <w:p>
            <w:pPr>
              <w:spacing w:after="0"/>
              <w:rPr>
                <w:sz w:val="17"/>
                <w:szCs w:val="17"/>
                <w:color w:val="auto"/>
              </w:rPr>
            </w:pPr>
          </w:p>
        </w:tc>
      </w:tr>
      <w:tr>
        <w:trPr>
          <w:trHeight w:val="176"/>
        </w:trPr>
        <w:tc>
          <w:tcPr>
            <w:tcW w:w="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Level 3:</w:t>
            </w:r>
          </w:p>
        </w:tc>
        <w:tc>
          <w:tcPr>
            <w:tcW w:w="101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Inputs are generally unobservable and typically reflect management’s estimates of assumptions that market participants would use in pricing the asset or liability.</w:t>
            </w:r>
          </w:p>
        </w:tc>
      </w:tr>
      <w:tr>
        <w:trPr>
          <w:trHeight w:val="206"/>
        </w:trPr>
        <w:tc>
          <w:tcPr>
            <w:tcW w:w="940" w:type="dxa"/>
            <w:vAlign w:val="bottom"/>
            <w:shd w:val="clear" w:color="auto" w:fill="CCEEFF"/>
          </w:tcPr>
          <w:p>
            <w:pPr>
              <w:spacing w:after="0"/>
              <w:rPr>
                <w:sz w:val="17"/>
                <w:szCs w:val="17"/>
                <w:color w:val="auto"/>
              </w:rPr>
            </w:pPr>
          </w:p>
        </w:tc>
        <w:tc>
          <w:tcPr>
            <w:tcW w:w="10160" w:type="dxa"/>
            <w:vAlign w:val="bottom"/>
            <w:shd w:val="clear" w:color="auto" w:fill="CCEEFF"/>
          </w:tcPr>
          <w:p>
            <w:pPr>
              <w:spacing w:after="0"/>
              <w:rPr>
                <w:sz w:val="17"/>
                <w:szCs w:val="17"/>
                <w:color w:val="auto"/>
              </w:rPr>
            </w:pPr>
          </w:p>
        </w:tc>
      </w:tr>
    </w:tbl>
    <w:p>
      <w:pPr>
        <w:spacing w:after="0" w:line="267"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 carrying values of amounts due from subsidiary undertakings, cash and cash equivalents, other current assets, accounts payable and accruals and other liabilities are carried at amortised cost and assumed to be approximate to their fair values due to the short term nature of these balances.</w:t>
      </w:r>
    </w:p>
    <w:p>
      <w:pPr>
        <w:spacing w:after="0" w:line="184"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Amounts owed by subsidiary undertakings are non-interest bearing and repayable on demand. All amounts are therefore recorded as due within one year. Fair value is deemed to equal carrying value on this basis.</w:t>
      </w:r>
    </w:p>
    <w:p>
      <w:pPr>
        <w:spacing w:after="0" w:line="184"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Approval of financial statements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3"/>
          <w:szCs w:val="13"/>
          <w:color w:val="auto"/>
        </w:rPr>
        <w:t>The Board of Directors approved the Company Financial Statements on 21 April 2020.</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1280"/>
          </w:cols>
          <w:pgMar w:left="300" w:top="695" w:right="31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Reconciliation from IFRS to US Accounting Policies</w:t>
      </w:r>
    </w:p>
    <w:p>
      <w:pPr>
        <w:spacing w:after="0" w:line="200" w:lineRule="exact"/>
        <w:rPr>
          <w:sz w:val="20"/>
          <w:szCs w:val="20"/>
          <w:color w:val="auto"/>
        </w:rPr>
      </w:pPr>
    </w:p>
    <w:p>
      <w:pPr>
        <w:spacing w:after="0" w:line="34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Consolidated Financial Statements set out on pages 28 to 125 have been prepared in accordance with International Financial Reporting Standards (“IFRS”), as adopted by the European Union (“EU IFRS”), which differ in certain significant respects from generally accepted accounting principles applicable in the U.S. (“U.S. GAAP”). The material differences as they apply to the Consolidated Financial Statements are as follows: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(a)  Financial statement format</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format of the financial statements and certain note disclosures differ under U.S. GAAP from those under EU IFRS. The Group prepared a U.S. Securities and Exchange Commission Form 20-F Report which was made available to all shareholders in February 2020. The financial statements included in such Form 20-F are prepared in accordance with U.S. GAAP.</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 Merger with PRAI</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 xml:space="preserve">The Group accounts for business combinations under EU IFRS in accordance with the 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As permitted by IFRS 1 </w:t>
      </w:r>
      <w:r>
        <w:rPr>
          <w:rFonts w:ascii="Arial" w:cs="Arial" w:eastAsia="Arial" w:hAnsi="Arial"/>
          <w:sz w:val="13"/>
          <w:szCs w:val="13"/>
          <w:i w:val="1"/>
          <w:iCs w:val="1"/>
          <w:color w:val="auto"/>
        </w:rPr>
        <w:t>First Time Adoption of International Financial Reporting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Standards </w:t>
      </w:r>
      <w:r>
        <w:rPr>
          <w:rFonts w:ascii="Arial" w:cs="Arial" w:eastAsia="Arial" w:hAnsi="Arial"/>
          <w:sz w:val="13"/>
          <w:szCs w:val="13"/>
          <w:color w:val="auto"/>
        </w:rPr>
        <w:t>the Group has only restated business combinations from 1 June 2001 onwards. Business combinations prior to this date have not been restated. In addition, goodwill has no longer been</w:t>
      </w:r>
      <w:r>
        <w:rPr>
          <w:rFonts w:ascii="Arial" w:cs="Arial" w:eastAsia="Arial" w:hAnsi="Arial"/>
          <w:sz w:val="13"/>
          <w:szCs w:val="13"/>
          <w:i w:val="1"/>
          <w:iCs w:val="1"/>
          <w:color w:val="auto"/>
        </w:rPr>
        <w:t xml:space="preserve"> </w:t>
      </w:r>
      <w:r>
        <w:rPr>
          <w:rFonts w:ascii="Arial" w:cs="Arial" w:eastAsia="Arial" w:hAnsi="Arial"/>
          <w:sz w:val="13"/>
          <w:szCs w:val="13"/>
          <w:color w:val="auto"/>
        </w:rPr>
        <w:t>amortised since 1 June 2001, but rather is tested annually for impairment. U.S. GAAP adopts different criteria to EU IFRS for establishing the method of accounting to be adopted for business combinations. On 28 January 2000 the Group completed a transaction with Pacific Research Associates Inc. (“PRAI”), a Group specialising in data management, statistical analysis and medical and regulatory consulting based in San Francisco, USA. The merger with PRAI was accounted for using acquisition accounting principles in accordance with EU IFRS whilst U.S. GAAP required that the merger be accounted for using the pooling-of-interest method of accounting. U.S. GAAP pooling-of-interest accounting has resulted in a number of adjustments. Most significantly:</w:t>
      </w:r>
    </w:p>
    <w:p>
      <w:pPr>
        <w:spacing w:after="0" w:line="185" w:lineRule="exact"/>
        <w:rPr>
          <w:sz w:val="20"/>
          <w:szCs w:val="20"/>
          <w:color w:val="auto"/>
        </w:rPr>
      </w:pPr>
    </w:p>
    <w:p>
      <w:pPr>
        <w:ind w:left="500" w:hanging="377"/>
        <w:spacing w:after="0"/>
        <w:tabs>
          <w:tab w:leader="none" w:pos="500" w:val="left"/>
        </w:tabs>
        <w:numPr>
          <w:ilvl w:val="1"/>
          <w:numId w:val="42"/>
        </w:numPr>
        <w:rPr>
          <w:rFonts w:ascii="Arial" w:cs="Arial" w:eastAsia="Arial" w:hAnsi="Arial"/>
          <w:sz w:val="13"/>
          <w:szCs w:val="13"/>
          <w:color w:val="auto"/>
        </w:rPr>
      </w:pPr>
      <w:r>
        <w:rPr>
          <w:rFonts w:ascii="Arial" w:cs="Arial" w:eastAsia="Arial" w:hAnsi="Arial"/>
          <w:sz w:val="13"/>
          <w:szCs w:val="13"/>
          <w:color w:val="auto"/>
        </w:rPr>
        <w:t>the Group’s historic U.S. GAAP financial statements have been restated to reflect the combined results of ICON and PRAI;</w:t>
      </w:r>
    </w:p>
    <w:p>
      <w:pPr>
        <w:ind w:left="500" w:hanging="405"/>
        <w:spacing w:after="0"/>
        <w:tabs>
          <w:tab w:leader="none" w:pos="500" w:val="left"/>
        </w:tabs>
        <w:numPr>
          <w:ilvl w:val="1"/>
          <w:numId w:val="42"/>
        </w:numPr>
        <w:rPr>
          <w:rFonts w:ascii="Arial" w:cs="Arial" w:eastAsia="Arial" w:hAnsi="Arial"/>
          <w:sz w:val="13"/>
          <w:szCs w:val="13"/>
          <w:color w:val="auto"/>
        </w:rPr>
      </w:pPr>
      <w:r>
        <w:rPr>
          <w:rFonts w:ascii="Arial" w:cs="Arial" w:eastAsia="Arial" w:hAnsi="Arial"/>
          <w:sz w:val="13"/>
          <w:szCs w:val="13"/>
          <w:color w:val="auto"/>
        </w:rPr>
        <w:t>the costs of the merger were expensed for U.S. GAAP purposes and included in the cost of acquisition for IFRS;</w:t>
      </w:r>
    </w:p>
    <w:p>
      <w:pPr>
        <w:ind w:left="500" w:hanging="434"/>
        <w:spacing w:after="0"/>
        <w:tabs>
          <w:tab w:leader="none" w:pos="500" w:val="left"/>
        </w:tabs>
        <w:numPr>
          <w:ilvl w:val="1"/>
          <w:numId w:val="42"/>
        </w:numPr>
        <w:rPr>
          <w:rFonts w:ascii="Arial" w:cs="Arial" w:eastAsia="Arial" w:hAnsi="Arial"/>
          <w:sz w:val="13"/>
          <w:szCs w:val="13"/>
          <w:color w:val="auto"/>
        </w:rPr>
      </w:pPr>
      <w:r>
        <w:rPr>
          <w:rFonts w:ascii="Arial" w:cs="Arial" w:eastAsia="Arial" w:hAnsi="Arial"/>
          <w:sz w:val="13"/>
          <w:szCs w:val="13"/>
          <w:color w:val="auto"/>
        </w:rPr>
        <w:t>goodwill arising on IFRS has been amortised over its expected useful life up to 31 May 2001. No goodwill arose on the merger under U.S. GAAP;</w:t>
      </w:r>
    </w:p>
    <w:p>
      <w:pPr>
        <w:ind w:left="500" w:hanging="441"/>
        <w:spacing w:after="0"/>
        <w:tabs>
          <w:tab w:leader="none" w:pos="500" w:val="left"/>
        </w:tabs>
        <w:numPr>
          <w:ilvl w:val="1"/>
          <w:numId w:val="42"/>
        </w:numPr>
        <w:rPr>
          <w:rFonts w:ascii="Arial" w:cs="Arial" w:eastAsia="Arial" w:hAnsi="Arial"/>
          <w:sz w:val="13"/>
          <w:szCs w:val="13"/>
          <w:color w:val="auto"/>
        </w:rPr>
      </w:pPr>
      <w:r>
        <w:rPr>
          <w:rFonts w:ascii="Arial" w:cs="Arial" w:eastAsia="Arial" w:hAnsi="Arial"/>
          <w:sz w:val="13"/>
          <w:szCs w:val="13"/>
          <w:color w:val="auto"/>
        </w:rPr>
        <w:t>the tax charge arising on the conversion of PRAI from an S-Corporation to a C-Corporation is treated as a pre-acquisition charge under IFRS.</w:t>
      </w:r>
    </w:p>
    <w:p>
      <w:pPr>
        <w:spacing w:after="0" w:line="174" w:lineRule="exact"/>
        <w:rPr>
          <w:rFonts w:ascii="Arial" w:cs="Arial" w:eastAsia="Arial" w:hAnsi="Arial"/>
          <w:sz w:val="13"/>
          <w:szCs w:val="13"/>
          <w:color w:val="auto"/>
        </w:rPr>
      </w:pPr>
    </w:p>
    <w:p>
      <w:pPr>
        <w:ind w:left="200" w:hanging="195"/>
        <w:spacing w:after="0"/>
        <w:tabs>
          <w:tab w:leader="none" w:pos="20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Share-based payment expense</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3"/>
          <w:szCs w:val="13"/>
          <w:color w:val="auto"/>
        </w:rPr>
        <w:t xml:space="preserve">IFRS requires that the fair value of share-based payments be expensed to the Consolidated Statement of Profit and Loss over the period the related services are received, with a corresponding increase in equity. In the year ending 31 December 2019, the Group has accounted for share-based payments under U.S. GAAP in accordance with </w:t>
      </w:r>
      <w:r>
        <w:rPr>
          <w:rFonts w:ascii="Arial" w:cs="Arial" w:eastAsia="Arial" w:hAnsi="Arial"/>
          <w:sz w:val="13"/>
          <w:szCs w:val="13"/>
          <w:i w:val="1"/>
          <w:iCs w:val="1"/>
          <w:color w:val="auto"/>
        </w:rPr>
        <w:t>FASB ASC 718, Compensation – Stock</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Compensation </w:t>
      </w:r>
      <w:r>
        <w:rPr>
          <w:rFonts w:ascii="Arial" w:cs="Arial" w:eastAsia="Arial" w:hAnsi="Arial"/>
          <w:sz w:val="13"/>
          <w:szCs w:val="13"/>
          <w:color w:val="auto"/>
        </w:rPr>
        <w:t>, which also requires that the fair value of share-based payments be expensed to the Consolidated Statement of Profit and Loss over the period the related services are received, with a</w:t>
      </w:r>
      <w:r>
        <w:rPr>
          <w:rFonts w:ascii="Arial" w:cs="Arial" w:eastAsia="Arial" w:hAnsi="Arial"/>
          <w:sz w:val="13"/>
          <w:szCs w:val="13"/>
          <w:i w:val="1"/>
          <w:iCs w:val="1"/>
          <w:color w:val="auto"/>
        </w:rPr>
        <w:t xml:space="preserve"> </w:t>
      </w:r>
      <w:r>
        <w:rPr>
          <w:rFonts w:ascii="Arial" w:cs="Arial" w:eastAsia="Arial" w:hAnsi="Arial"/>
          <w:sz w:val="13"/>
          <w:szCs w:val="13"/>
          <w:color w:val="auto"/>
        </w:rPr>
        <w:t>corresponding increase in equity.</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There is a difference in recorded expense because firstly different periods are in scope for both treatments due to the different effective dates under both standards and secondly due to different models used to calculate the fair value of options. Under U.S. GAAP the Black-Scholes model was used for the calculation of the expense, whereas under IFRS the binomial model has been used.</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U.S. GAAP requires that the accelerated graded vesting attribution approach is applied in respect of awards with straight line graded vesting. IFRS requires that each instalment of an award where there is graded vesting is treated as a separate grant with a different fair value. Each instalment is therefore separately measured and charged to the Consolidated Statement of Profit and Loss over the related vesting period. This results in accelerated expense recognition under IFRS.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 IAS 19R Defined Benefit Pensions</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Group has recognised the net interest expense of the defined benefit pension scheme within payroll costs (operating expenses) in the Consolidated Statement of Profit and Loss under IAS19R which is consistent with the U.S. GAAP treatment of this cost. Additional net credits related to the defined benefit pension schemes refer to the adjustment required to reverse the application of the corridor approach permitted under U.S. GAAP ($103k) and the different net interest expense recorded under IFRS and U.S. GAAP ($(284k)).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11280"/>
          </w:cols>
          <w:pgMar w:left="300" w:top="1098" w:right="31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 xml:space="preserve">Reconciliation from IFRS to US Accounting Policies </w:t>
      </w:r>
      <w:r>
        <w:rPr>
          <w:rFonts w:ascii="Arial" w:cs="Arial" w:eastAsia="Arial" w:hAnsi="Arial"/>
          <w:sz w:val="18"/>
          <w:szCs w:val="18"/>
          <w:i w:val="1"/>
          <w:iCs w:val="1"/>
          <w:color w:val="auto"/>
        </w:rPr>
        <w:t>(continued)</w:t>
      </w: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 Current tax and deferred tax assets</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U.S. GAAP, ASC 740, Income Taxes requires recognition of a deferred tax asset in respect of the cumulative amount of compensation cost recognised in the financial statements in respect of unexercised options that will give rise to a future tax deduction. The tax deduction is based on the intrinsic value of the options, with the full tax deduction recorded in profit or loss in the year of exercise.</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IFRS also requires that a deferred tax asset is recognised in respect of options not yet exercised where a tax deduction will arise. IAS 12 Income taxes requires that the tax deduction is estimated. The fair value estimate is based on the share price at the exercise date.</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U.S. GAAP, ASC 740, Income Taxes requires recognition of a current tax benefit of certain tax deductions arising from Share based payment windfall gains in the Consolidated Statement of Operations. IFRS requires that the current tax benefit of these Share based payment windfall gains is recognised through Equity, in the Share-based payment reserve.</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 IFRS 16 Leases</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Under US GAAP, ASC 842, Leases, lessees account for leases as operating or finance. Costs in respect of operating leases are charged to the Consolidated Statement of Operations on a straight-line basis over the lease term. Lease costs for all leases under IFRS 16 are comprised of the depreciation of right-of-use assets and the interest charge in respect of the associated lease liability. Total costs recognised under IFRS are higher than those recognised under US GAAP by $1 million.</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 Noncontrolling interest</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ICON acquired a majority ownership interest in MeDiNova during 2019. Included in the purchase agreement are put and call option arrangements with the noncontrolling interest holders that require (put option) or enable (call option) ICON to purchase the remaining minority ownership at a future date. Under US GAAP, the option is accounted for as temporary equity, which is presented separately as redeemable noncontrolling interest on the Consolidated Balance Sheet. This classification reflects the assessment that the instruments are contingently redeemable in accordance with ASC 480-10-S99 'Distinguishing Liabilities from Equity'. Redeemable noncontrolling interests are accreted to their redemption value over the period from the date of issuance to the first date on which the option is exercisable. The change in the option's redemption value is recorded against retained earnings.</w:t>
      </w:r>
    </w:p>
    <w:p>
      <w:pPr>
        <w:spacing w:after="0" w:line="13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Under IFRS, the put and call options are required to be bifurcated from the noncontrolling interest. ICON does not have present access to the returns of the noncontrolling interest and this is retained by the noncontrolling interest holders. The noncontrolling interest is recorded at its fair value at the acquisition date in equity. The financial liability for the noncontrolling interest put option is recognised at the present value of the amount payable upon exercise of the option. On initial recognition, the corresponding debit relating to the financial liability is made to equity attributable to the Company within the category 'put option in noncontrolling interest shares'. The financial asset relating to the call option meets the definition of a derivative under IFRS 9 and has been measured at fair value through the profit and loss in accordance with IFRS 9.</w:t>
      </w:r>
    </w:p>
    <w:p>
      <w:pPr>
        <w:spacing w:after="0" w:line="13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All subsequent changes in the carrying amount of the financial liability that result from the remeasurement of the present value of the amount payable upon exercise of the noncontrolling interest put option are recognised in the profit or loss attributable to the Company under IFRS.</w:t>
      </w:r>
    </w:p>
    <w:p>
      <w:pPr>
        <w:spacing w:after="0" w:line="14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following is a summary of the material adjustments to profit for the financial year and shareholders’ equity, which would be required, had the Consolidated Financial Statements been prepared in accordance with U.S. GAAP:</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ectPr>
          <w:pgSz w:w="11900" w:h="16838" w:orient="portrait"/>
          <w:cols w:equalWidth="0" w:num="1">
            <w:col w:w="11280"/>
          </w:cols>
          <w:pgMar w:left="300" w:top="1269" w:right="31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 xml:space="preserve">Reconciliation from IFRS to US Accounting Policies </w:t>
      </w:r>
      <w:r>
        <w:rPr>
          <w:rFonts w:ascii="Arial" w:cs="Arial" w:eastAsia="Arial" w:hAnsi="Arial"/>
          <w:sz w:val="18"/>
          <w:szCs w:val="18"/>
          <w:i w:val="1"/>
          <w:iCs w:val="1"/>
          <w:color w:val="auto"/>
        </w:rPr>
        <w:t>(continued)</w:t>
      </w:r>
    </w:p>
    <w:p>
      <w:pPr>
        <w:spacing w:after="0" w:line="361" w:lineRule="exact"/>
        <w:rPr>
          <w:sz w:val="20"/>
          <w:szCs w:val="20"/>
          <w:color w:val="auto"/>
        </w:rPr>
      </w:pPr>
    </w:p>
    <w:p>
      <w:pPr>
        <w:ind w:left="40"/>
        <w:spacing w:after="0"/>
        <w:tabs>
          <w:tab w:leader="none" w:pos="280" w:val="left"/>
        </w:tabs>
        <w:rPr>
          <w:sz w:val="20"/>
          <w:szCs w:val="20"/>
          <w:color w:val="auto"/>
        </w:rPr>
      </w:pPr>
      <w:r>
        <w:rPr>
          <w:rFonts w:ascii="Arial" w:cs="Arial" w:eastAsia="Arial" w:hAnsi="Arial"/>
          <w:sz w:val="13"/>
          <w:szCs w:val="13"/>
          <w:i w:val="1"/>
          <w:iCs w:val="1"/>
          <w:color w:val="auto"/>
        </w:rPr>
        <w:t>(i)</w:t>
        <w:tab/>
        <w:t>Effect on profit for the financial year</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420" w:type="dxa"/>
            <w:vAlign w:val="bottom"/>
            <w:shd w:val="clear" w:color="auto" w:fill="CCEEFF"/>
          </w:tcPr>
          <w:p>
            <w:pPr>
              <w:spacing w:after="0"/>
              <w:rPr>
                <w:sz w:val="13"/>
                <w:szCs w:val="13"/>
                <w:color w:val="auto"/>
              </w:rPr>
            </w:pP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xml:space="preserve">Year ended 31 </w:t>
            </w:r>
            <w:r>
              <w:rPr>
                <w:rFonts w:ascii="Arial" w:cs="Arial" w:eastAsia="Arial" w:hAnsi="Arial"/>
                <w:sz w:val="13"/>
                <w:szCs w:val="13"/>
                <w:color w:val="auto"/>
              </w:rPr>
              <w:t>Year ended 31 December</w:t>
            </w:r>
          </w:p>
        </w:tc>
      </w:tr>
      <w:tr>
        <w:trPr>
          <w:trHeight w:val="149"/>
        </w:trPr>
        <w:tc>
          <w:tcPr>
            <w:tcW w:w="7420" w:type="dxa"/>
            <w:vAlign w:val="bottom"/>
            <w:shd w:val="clear" w:color="auto" w:fill="CCEEFF"/>
          </w:tcPr>
          <w:p>
            <w:pPr>
              <w:spacing w:after="0"/>
              <w:rPr>
                <w:sz w:val="12"/>
                <w:szCs w:val="12"/>
                <w:color w:val="auto"/>
              </w:rPr>
            </w:pPr>
          </w:p>
        </w:tc>
        <w:tc>
          <w:tcPr>
            <w:tcW w:w="282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December</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77"/>
        </w:trPr>
        <w:tc>
          <w:tcPr>
            <w:tcW w:w="7420" w:type="dxa"/>
            <w:vAlign w:val="bottom"/>
            <w:tcBorders>
              <w:bottom w:val="single" w:sz="8" w:color="auto"/>
            </w:tcBorders>
            <w:shd w:val="clear" w:color="auto" w:fill="CCEEFF"/>
          </w:tcPr>
          <w:p>
            <w:pPr>
              <w:spacing w:after="0"/>
              <w:rPr>
                <w:sz w:val="15"/>
                <w:szCs w:val="15"/>
                <w:color w:val="auto"/>
              </w:rPr>
            </w:pPr>
          </w:p>
        </w:tc>
        <w:tc>
          <w:tcPr>
            <w:tcW w:w="28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2019</w:t>
            </w:r>
          </w:p>
        </w:tc>
        <w:tc>
          <w:tcPr>
            <w:tcW w:w="1040" w:type="dxa"/>
            <w:vAlign w:val="bottom"/>
            <w:tcBorders>
              <w:bottom w:val="single" w:sz="8" w:color="auto"/>
            </w:tcBorders>
            <w:shd w:val="clear" w:color="auto" w:fill="CCEEFF"/>
          </w:tcPr>
          <w:p>
            <w:pPr>
              <w:spacing w:after="0"/>
              <w:rPr>
                <w:sz w:val="15"/>
                <w:szCs w:val="15"/>
                <w:color w:val="auto"/>
              </w:rPr>
            </w:pPr>
          </w:p>
        </w:tc>
      </w:tr>
      <w:tr>
        <w:trPr>
          <w:trHeight w:val="182"/>
        </w:trPr>
        <w:tc>
          <w:tcPr>
            <w:tcW w:w="7420" w:type="dxa"/>
            <w:vAlign w:val="bottom"/>
          </w:tcPr>
          <w:p>
            <w:pPr>
              <w:spacing w:after="0"/>
              <w:rPr>
                <w:sz w:val="15"/>
                <w:szCs w:val="15"/>
                <w:color w:val="auto"/>
              </w:rPr>
            </w:pPr>
          </w:p>
        </w:tc>
        <w:tc>
          <w:tcPr>
            <w:tcW w:w="2820" w:type="dxa"/>
            <w:vAlign w:val="bottom"/>
          </w:tcPr>
          <w:p>
            <w:pPr>
              <w:jc w:val="right"/>
              <w:ind w:right="376"/>
              <w:spacing w:after="0"/>
              <w:rPr>
                <w:sz w:val="20"/>
                <w:szCs w:val="20"/>
                <w:color w:val="auto"/>
              </w:rPr>
            </w:pPr>
            <w:r>
              <w:rPr>
                <w:rFonts w:ascii="Arial" w:cs="Arial" w:eastAsia="Arial" w:hAnsi="Arial"/>
                <w:sz w:val="13"/>
                <w:szCs w:val="13"/>
                <w:b w:val="1"/>
                <w:bCs w:val="1"/>
                <w:color w:val="auto"/>
              </w:rPr>
              <w:t>$’000</w:t>
            </w:r>
          </w:p>
        </w:tc>
        <w:tc>
          <w:tcPr>
            <w:tcW w:w="1040" w:type="dxa"/>
            <w:vAlign w:val="bottom"/>
          </w:tcPr>
          <w:p>
            <w:pPr>
              <w:jc w:val="right"/>
              <w:spacing w:after="0"/>
              <w:rPr>
                <w:sz w:val="20"/>
                <w:szCs w:val="20"/>
                <w:color w:val="auto"/>
              </w:rPr>
            </w:pPr>
            <w:r>
              <w:rPr>
                <w:rFonts w:ascii="Arial" w:cs="Arial" w:eastAsia="Arial" w:hAnsi="Arial"/>
                <w:sz w:val="13"/>
                <w:szCs w:val="13"/>
                <w:color w:val="auto"/>
              </w:rPr>
              <w:t>$’000</w:t>
            </w:r>
          </w:p>
        </w:tc>
      </w:tr>
      <w:tr>
        <w:trPr>
          <w:trHeight w:val="220"/>
        </w:trPr>
        <w:tc>
          <w:tcPr>
            <w:tcW w:w="742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3"/>
        </w:trPr>
        <w:tc>
          <w:tcPr>
            <w:tcW w:w="7420" w:type="dxa"/>
            <w:vAlign w:val="bottom"/>
          </w:tcPr>
          <w:p>
            <w:pPr>
              <w:ind w:left="20"/>
              <w:spacing w:after="0"/>
              <w:rPr>
                <w:sz w:val="20"/>
                <w:szCs w:val="20"/>
                <w:color w:val="auto"/>
              </w:rPr>
            </w:pPr>
            <w:r>
              <w:rPr>
                <w:rFonts w:ascii="Arial" w:cs="Arial" w:eastAsia="Arial" w:hAnsi="Arial"/>
                <w:sz w:val="13"/>
                <w:szCs w:val="13"/>
                <w:color w:val="auto"/>
              </w:rPr>
              <w:t>Profit for the financial year attributable to equity holders and noncontrolling interest as stated under IFRS</w:t>
            </w:r>
          </w:p>
        </w:tc>
        <w:tc>
          <w:tcPr>
            <w:tcW w:w="2820" w:type="dxa"/>
            <w:vAlign w:val="bottom"/>
          </w:tcPr>
          <w:p>
            <w:pPr>
              <w:jc w:val="right"/>
              <w:ind w:right="516"/>
              <w:spacing w:after="0"/>
              <w:rPr>
                <w:sz w:val="20"/>
                <w:szCs w:val="20"/>
                <w:color w:val="auto"/>
              </w:rPr>
            </w:pPr>
            <w:r>
              <w:rPr>
                <w:rFonts w:ascii="Arial" w:cs="Arial" w:eastAsia="Arial" w:hAnsi="Arial"/>
                <w:sz w:val="13"/>
                <w:szCs w:val="13"/>
                <w:b w:val="1"/>
                <w:bCs w:val="1"/>
                <w:color w:val="auto"/>
              </w:rPr>
              <w:t>361,033</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322,817</w:t>
            </w:r>
          </w:p>
        </w:tc>
      </w:tr>
      <w:tr>
        <w:trPr>
          <w:trHeight w:val="220"/>
        </w:trPr>
        <w:tc>
          <w:tcPr>
            <w:tcW w:w="742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3"/>
        </w:trPr>
        <w:tc>
          <w:tcPr>
            <w:tcW w:w="7420" w:type="dxa"/>
            <w:vAlign w:val="bottom"/>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28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9"/>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 expense under IFRS</w:t>
            </w:r>
          </w:p>
        </w:tc>
        <w:tc>
          <w:tcPr>
            <w:tcW w:w="282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25,886</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28,059</w:t>
            </w:r>
          </w:p>
        </w:tc>
      </w:tr>
      <w:tr>
        <w:trPr>
          <w:trHeight w:val="183"/>
        </w:trPr>
        <w:tc>
          <w:tcPr>
            <w:tcW w:w="7420" w:type="dxa"/>
            <w:vAlign w:val="bottom"/>
          </w:tcPr>
          <w:p>
            <w:pPr>
              <w:ind w:left="20"/>
              <w:spacing w:after="0"/>
              <w:rPr>
                <w:sz w:val="20"/>
                <w:szCs w:val="20"/>
                <w:color w:val="auto"/>
              </w:rPr>
            </w:pPr>
            <w:r>
              <w:rPr>
                <w:rFonts w:ascii="Arial" w:cs="Arial" w:eastAsia="Arial" w:hAnsi="Arial"/>
                <w:sz w:val="13"/>
                <w:szCs w:val="13"/>
                <w:color w:val="auto"/>
              </w:rPr>
              <w:t>Share-based payment expense under U.S. GAAP</w:t>
            </w:r>
          </w:p>
        </w:tc>
        <w:tc>
          <w:tcPr>
            <w:tcW w:w="2820" w:type="dxa"/>
            <w:vAlign w:val="bottom"/>
          </w:tcPr>
          <w:p>
            <w:pPr>
              <w:jc w:val="right"/>
              <w:ind w:right="476"/>
              <w:spacing w:after="0"/>
              <w:rPr>
                <w:sz w:val="20"/>
                <w:szCs w:val="20"/>
                <w:color w:val="auto"/>
              </w:rPr>
            </w:pPr>
            <w:r>
              <w:rPr>
                <w:rFonts w:ascii="Arial" w:cs="Arial" w:eastAsia="Arial" w:hAnsi="Arial"/>
                <w:sz w:val="13"/>
                <w:szCs w:val="13"/>
                <w:b w:val="1"/>
                <w:bCs w:val="1"/>
                <w:color w:val="auto"/>
              </w:rPr>
              <w:t>(26,819)</w:t>
            </w: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(31,594)</w:t>
            </w:r>
          </w:p>
        </w:tc>
      </w:tr>
      <w:tr>
        <w:trPr>
          <w:trHeight w:val="199"/>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movement on put option under IFRS</w:t>
            </w:r>
          </w:p>
        </w:tc>
        <w:tc>
          <w:tcPr>
            <w:tcW w:w="282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8,723</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r>
        <w:trPr>
          <w:trHeight w:val="183"/>
        </w:trPr>
        <w:tc>
          <w:tcPr>
            <w:tcW w:w="7420" w:type="dxa"/>
            <w:vAlign w:val="bottom"/>
          </w:tcPr>
          <w:p>
            <w:pPr>
              <w:ind w:left="20"/>
              <w:spacing w:after="0"/>
              <w:rPr>
                <w:sz w:val="20"/>
                <w:szCs w:val="20"/>
                <w:color w:val="auto"/>
              </w:rPr>
            </w:pPr>
            <w:r>
              <w:rPr>
                <w:rFonts w:ascii="Arial" w:cs="Arial" w:eastAsia="Arial" w:hAnsi="Arial"/>
                <w:sz w:val="13"/>
                <w:szCs w:val="13"/>
                <w:color w:val="auto"/>
              </w:rPr>
              <w:t>Right-of-use asset amortisation adjustment under IFRS</w:t>
            </w:r>
          </w:p>
        </w:tc>
        <w:tc>
          <w:tcPr>
            <w:tcW w:w="2820" w:type="dxa"/>
            <w:vAlign w:val="bottom"/>
          </w:tcPr>
          <w:p>
            <w:pPr>
              <w:jc w:val="right"/>
              <w:ind w:right="516"/>
              <w:spacing w:after="0"/>
              <w:rPr>
                <w:sz w:val="20"/>
                <w:szCs w:val="20"/>
                <w:color w:val="auto"/>
              </w:rPr>
            </w:pPr>
            <w:r>
              <w:rPr>
                <w:rFonts w:ascii="Arial" w:cs="Arial" w:eastAsia="Arial" w:hAnsi="Arial"/>
                <w:sz w:val="13"/>
                <w:szCs w:val="13"/>
                <w:b w:val="1"/>
                <w:bCs w:val="1"/>
                <w:color w:val="auto"/>
              </w:rPr>
              <w:t>1,015</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w:t>
            </w:r>
          </w:p>
        </w:tc>
      </w:tr>
      <w:tr>
        <w:trPr>
          <w:trHeight w:val="199"/>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adjustments on share-based payments</w:t>
            </w:r>
          </w:p>
        </w:tc>
        <w:tc>
          <w:tcPr>
            <w:tcW w:w="282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(666)</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(1,026)</w:t>
            </w:r>
          </w:p>
        </w:tc>
      </w:tr>
      <w:tr>
        <w:trPr>
          <w:trHeight w:val="183"/>
        </w:trPr>
        <w:tc>
          <w:tcPr>
            <w:tcW w:w="7420" w:type="dxa"/>
            <w:vAlign w:val="bottom"/>
          </w:tcPr>
          <w:p>
            <w:pPr>
              <w:ind w:left="20"/>
              <w:spacing w:after="0"/>
              <w:rPr>
                <w:sz w:val="20"/>
                <w:szCs w:val="20"/>
                <w:color w:val="auto"/>
              </w:rPr>
            </w:pPr>
            <w:r>
              <w:rPr>
                <w:rFonts w:ascii="Arial" w:cs="Arial" w:eastAsia="Arial" w:hAnsi="Arial"/>
                <w:sz w:val="13"/>
                <w:szCs w:val="13"/>
                <w:color w:val="auto"/>
              </w:rPr>
              <w:t>Current tax adjustments on share-based payments</w:t>
            </w:r>
          </w:p>
        </w:tc>
        <w:tc>
          <w:tcPr>
            <w:tcW w:w="2820" w:type="dxa"/>
            <w:vAlign w:val="bottom"/>
          </w:tcPr>
          <w:p>
            <w:pPr>
              <w:jc w:val="right"/>
              <w:ind w:right="516"/>
              <w:spacing w:after="0"/>
              <w:rPr>
                <w:sz w:val="20"/>
                <w:szCs w:val="20"/>
                <w:color w:val="auto"/>
              </w:rPr>
            </w:pPr>
            <w:r>
              <w:rPr>
                <w:rFonts w:ascii="Arial" w:cs="Arial" w:eastAsia="Arial" w:hAnsi="Arial"/>
                <w:sz w:val="13"/>
                <w:szCs w:val="13"/>
                <w:b w:val="1"/>
                <w:bCs w:val="1"/>
                <w:color w:val="auto"/>
              </w:rPr>
              <w:t>7,046</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4,626</w:t>
            </w:r>
          </w:p>
        </w:tc>
      </w:tr>
      <w:tr>
        <w:trPr>
          <w:trHeight w:val="199"/>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adjustments on leases</w:t>
            </w:r>
          </w:p>
        </w:tc>
        <w:tc>
          <w:tcPr>
            <w:tcW w:w="2820" w:type="dxa"/>
            <w:vAlign w:val="bottom"/>
            <w:shd w:val="clear" w:color="auto" w:fill="CCEEFF"/>
          </w:tcPr>
          <w:p>
            <w:pPr>
              <w:jc w:val="right"/>
              <w:ind w:right="476"/>
              <w:spacing w:after="0"/>
              <w:rPr>
                <w:sz w:val="20"/>
                <w:szCs w:val="20"/>
                <w:color w:val="auto"/>
              </w:rPr>
            </w:pPr>
            <w:r>
              <w:rPr>
                <w:rFonts w:ascii="Arial" w:cs="Arial" w:eastAsia="Arial" w:hAnsi="Arial"/>
                <w:sz w:val="13"/>
                <w:szCs w:val="13"/>
                <w:b w:val="1"/>
                <w:bCs w:val="1"/>
                <w:color w:val="auto"/>
              </w:rPr>
              <w:t>(181)</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r>
        <w:trPr>
          <w:trHeight w:val="183"/>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Additional costs defined benefit pension scheme</w:t>
            </w:r>
          </w:p>
        </w:tc>
        <w:tc>
          <w:tcPr>
            <w:tcW w:w="28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(181)</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(226)</w:t>
            </w:r>
          </w:p>
        </w:tc>
      </w:tr>
      <w:tr>
        <w:trPr>
          <w:trHeight w:val="200"/>
        </w:trPr>
        <w:tc>
          <w:tcPr>
            <w:tcW w:w="74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2"/>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income as stated under U.S. GAAP</w:t>
            </w:r>
          </w:p>
        </w:tc>
        <w:tc>
          <w:tcPr>
            <w:tcW w:w="28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375,856</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322,656</w:t>
            </w:r>
          </w:p>
        </w:tc>
      </w:tr>
      <w:tr>
        <w:trPr>
          <w:trHeight w:val="202"/>
        </w:trPr>
        <w:tc>
          <w:tcPr>
            <w:tcW w:w="74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2"/>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Basic earnings per Ordinary Share under U.S. GAAP</w:t>
            </w:r>
          </w:p>
        </w:tc>
        <w:tc>
          <w:tcPr>
            <w:tcW w:w="28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$6.85</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$5.96</w:t>
            </w:r>
          </w:p>
        </w:tc>
      </w:tr>
      <w:tr>
        <w:trPr>
          <w:trHeight w:val="202"/>
        </w:trPr>
        <w:tc>
          <w:tcPr>
            <w:tcW w:w="74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2"/>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Diluted earnings per Ordinary Share under U.S. GAAP</w:t>
            </w:r>
          </w:p>
        </w:tc>
        <w:tc>
          <w:tcPr>
            <w:tcW w:w="28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$6.79</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ectPr>
          <w:pgSz w:w="11900" w:h="16838" w:orient="portrait"/>
          <w:cols w:equalWidth="0" w:num="1">
            <w:col w:w="11280"/>
          </w:cols>
          <w:pgMar w:left="300" w:top="1269" w:right="31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 xml:space="preserve">Reconciliation from IFRS to US Accounting Policies </w:t>
      </w:r>
      <w:r>
        <w:rPr>
          <w:rFonts w:ascii="Arial" w:cs="Arial" w:eastAsia="Arial" w:hAnsi="Arial"/>
          <w:sz w:val="18"/>
          <w:szCs w:val="18"/>
          <w:i w:val="1"/>
          <w:iCs w:val="1"/>
          <w:color w:val="auto"/>
        </w:rPr>
        <w:t>(continued)</w:t>
      </w:r>
    </w:p>
    <w:p>
      <w:pPr>
        <w:spacing w:after="0" w:line="361"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i w:val="1"/>
          <w:iCs w:val="1"/>
          <w:color w:val="auto"/>
        </w:rPr>
        <w:t>(ii)</w:t>
        <w:tab/>
        <w:t>Effect on shareholders’ equity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120" w:type="dxa"/>
            <w:vAlign w:val="bottom"/>
            <w:shd w:val="clear" w:color="auto" w:fill="CCEEFF"/>
          </w:tcPr>
          <w:p>
            <w:pPr>
              <w:spacing w:after="0"/>
              <w:rPr>
                <w:sz w:val="13"/>
                <w:szCs w:val="13"/>
                <w:color w:val="auto"/>
              </w:rPr>
            </w:pPr>
          </w:p>
        </w:tc>
        <w:tc>
          <w:tcPr>
            <w:tcW w:w="302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7120" w:type="dxa"/>
            <w:vAlign w:val="bottom"/>
            <w:tcBorders>
              <w:bottom w:val="single" w:sz="8" w:color="auto"/>
            </w:tcBorders>
            <w:shd w:val="clear" w:color="auto" w:fill="CCEEFF"/>
          </w:tcPr>
          <w:p>
            <w:pPr>
              <w:spacing w:after="0"/>
              <w:rPr>
                <w:sz w:val="15"/>
                <w:szCs w:val="15"/>
                <w:color w:val="auto"/>
              </w:rPr>
            </w:pPr>
          </w:p>
        </w:tc>
        <w:tc>
          <w:tcPr>
            <w:tcW w:w="30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7120" w:type="dxa"/>
            <w:vAlign w:val="bottom"/>
          </w:tcPr>
          <w:p>
            <w:pPr>
              <w:spacing w:after="0"/>
              <w:rPr>
                <w:sz w:val="15"/>
                <w:szCs w:val="15"/>
                <w:color w:val="auto"/>
              </w:rPr>
            </w:pPr>
          </w:p>
        </w:tc>
        <w:tc>
          <w:tcPr>
            <w:tcW w:w="302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220"/>
        </w:trPr>
        <w:tc>
          <w:tcPr>
            <w:tcW w:w="712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83"/>
        </w:trPr>
        <w:tc>
          <w:tcPr>
            <w:tcW w:w="7120" w:type="dxa"/>
            <w:vAlign w:val="bottom"/>
          </w:tcPr>
          <w:p>
            <w:pPr>
              <w:ind w:left="20"/>
              <w:spacing w:after="0"/>
              <w:rPr>
                <w:sz w:val="20"/>
                <w:szCs w:val="20"/>
                <w:color w:val="auto"/>
              </w:rPr>
            </w:pPr>
            <w:r>
              <w:rPr>
                <w:rFonts w:ascii="Arial" w:cs="Arial" w:eastAsia="Arial" w:hAnsi="Arial"/>
                <w:sz w:val="13"/>
                <w:szCs w:val="13"/>
                <w:color w:val="auto"/>
              </w:rPr>
              <w:t>Total equity attributable to the owners and noncontrolling interest as stated under IFRS</w:t>
            </w:r>
          </w:p>
        </w:tc>
        <w:tc>
          <w:tcPr>
            <w:tcW w:w="3020" w:type="dxa"/>
            <w:vAlign w:val="bottom"/>
          </w:tcPr>
          <w:p>
            <w:pPr>
              <w:jc w:val="right"/>
              <w:ind w:right="416"/>
              <w:spacing w:after="0"/>
              <w:rPr>
                <w:sz w:val="20"/>
                <w:szCs w:val="20"/>
                <w:color w:val="auto"/>
              </w:rPr>
            </w:pPr>
            <w:r>
              <w:rPr>
                <w:rFonts w:ascii="Arial" w:cs="Arial" w:eastAsia="Arial" w:hAnsi="Arial"/>
                <w:sz w:val="13"/>
                <w:szCs w:val="13"/>
                <w:b w:val="1"/>
                <w:bCs w:val="1"/>
                <w:color w:val="auto"/>
              </w:rPr>
              <w:t>1,641,609</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1,386,379</w:t>
            </w:r>
          </w:p>
        </w:tc>
      </w:tr>
      <w:tr>
        <w:trPr>
          <w:trHeight w:val="220"/>
        </w:trPr>
        <w:tc>
          <w:tcPr>
            <w:tcW w:w="712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83"/>
        </w:trPr>
        <w:tc>
          <w:tcPr>
            <w:tcW w:w="7120" w:type="dxa"/>
            <w:vAlign w:val="bottom"/>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30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9"/>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Accretion adjustment to bring noncontrolling interest to redemption amount</w:t>
            </w:r>
          </w:p>
        </w:tc>
        <w:tc>
          <w:tcPr>
            <w:tcW w:w="302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5,048</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r>
      <w:tr>
        <w:trPr>
          <w:trHeight w:val="183"/>
        </w:trPr>
        <w:tc>
          <w:tcPr>
            <w:tcW w:w="7120" w:type="dxa"/>
            <w:vAlign w:val="bottom"/>
          </w:tcPr>
          <w:p>
            <w:pPr>
              <w:ind w:left="20"/>
              <w:spacing w:after="0"/>
              <w:rPr>
                <w:sz w:val="20"/>
                <w:szCs w:val="20"/>
                <w:color w:val="auto"/>
              </w:rPr>
            </w:pPr>
            <w:r>
              <w:rPr>
                <w:rFonts w:ascii="Arial" w:cs="Arial" w:eastAsia="Arial" w:hAnsi="Arial"/>
                <w:sz w:val="13"/>
                <w:szCs w:val="13"/>
                <w:color w:val="auto"/>
              </w:rPr>
              <w:t>Retained earnings impact of noncontrolling interest accretion adjustment</w:t>
            </w:r>
          </w:p>
        </w:tc>
        <w:tc>
          <w:tcPr>
            <w:tcW w:w="3020" w:type="dxa"/>
            <w:vAlign w:val="bottom"/>
          </w:tcPr>
          <w:p>
            <w:pPr>
              <w:jc w:val="right"/>
              <w:ind w:right="376"/>
              <w:spacing w:after="0"/>
              <w:rPr>
                <w:sz w:val="20"/>
                <w:szCs w:val="20"/>
                <w:color w:val="auto"/>
              </w:rPr>
            </w:pPr>
            <w:r>
              <w:rPr>
                <w:rFonts w:ascii="Arial" w:cs="Arial" w:eastAsia="Arial" w:hAnsi="Arial"/>
                <w:sz w:val="13"/>
                <w:szCs w:val="13"/>
                <w:b w:val="1"/>
                <w:bCs w:val="1"/>
                <w:color w:val="auto"/>
              </w:rPr>
              <w:t>(5,048)</w:t>
            </w:r>
          </w:p>
        </w:tc>
        <w:tc>
          <w:tcPr>
            <w:tcW w:w="114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r>
      <w:tr>
        <w:trPr>
          <w:trHeight w:val="199"/>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Right-of-use asset amortisation adjustment under IFRS</w:t>
            </w:r>
          </w:p>
        </w:tc>
        <w:tc>
          <w:tcPr>
            <w:tcW w:w="302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1,015</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r>
      <w:tr>
        <w:trPr>
          <w:trHeight w:val="183"/>
        </w:trPr>
        <w:tc>
          <w:tcPr>
            <w:tcW w:w="7120" w:type="dxa"/>
            <w:vAlign w:val="bottom"/>
          </w:tcPr>
          <w:p>
            <w:pPr>
              <w:ind w:left="20"/>
              <w:spacing w:after="0"/>
              <w:rPr>
                <w:sz w:val="20"/>
                <w:szCs w:val="20"/>
                <w:color w:val="auto"/>
              </w:rPr>
            </w:pPr>
            <w:r>
              <w:rPr>
                <w:rFonts w:ascii="Arial" w:cs="Arial" w:eastAsia="Arial" w:hAnsi="Arial"/>
                <w:sz w:val="13"/>
                <w:szCs w:val="13"/>
                <w:color w:val="auto"/>
              </w:rPr>
              <w:t>Deferred tax adjustments on leases</w:t>
            </w:r>
          </w:p>
        </w:tc>
        <w:tc>
          <w:tcPr>
            <w:tcW w:w="3020" w:type="dxa"/>
            <w:vAlign w:val="bottom"/>
          </w:tcPr>
          <w:p>
            <w:pPr>
              <w:jc w:val="right"/>
              <w:ind w:right="376"/>
              <w:spacing w:after="0"/>
              <w:rPr>
                <w:sz w:val="20"/>
                <w:szCs w:val="20"/>
                <w:color w:val="auto"/>
              </w:rPr>
            </w:pPr>
            <w:r>
              <w:rPr>
                <w:rFonts w:ascii="Arial" w:cs="Arial" w:eastAsia="Arial" w:hAnsi="Arial"/>
                <w:sz w:val="13"/>
                <w:szCs w:val="13"/>
                <w:b w:val="1"/>
                <w:bCs w:val="1"/>
                <w:color w:val="auto"/>
              </w:rPr>
              <w:t>(181)</w:t>
            </w:r>
          </w:p>
        </w:tc>
        <w:tc>
          <w:tcPr>
            <w:tcW w:w="114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r>
      <w:tr>
        <w:trPr>
          <w:trHeight w:val="199"/>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Put option on noncontrolling interest shares recognised separately under IFRS</w:t>
            </w:r>
          </w:p>
        </w:tc>
        <w:tc>
          <w:tcPr>
            <w:tcW w:w="302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47,205</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r>
      <w:tr>
        <w:trPr>
          <w:trHeight w:val="183"/>
        </w:trPr>
        <w:tc>
          <w:tcPr>
            <w:tcW w:w="7120" w:type="dxa"/>
            <w:vAlign w:val="bottom"/>
          </w:tcPr>
          <w:p>
            <w:pPr>
              <w:ind w:left="20"/>
              <w:spacing w:after="0"/>
              <w:rPr>
                <w:sz w:val="20"/>
                <w:szCs w:val="20"/>
                <w:color w:val="auto"/>
              </w:rPr>
            </w:pPr>
            <w:r>
              <w:rPr>
                <w:rFonts w:ascii="Arial" w:cs="Arial" w:eastAsia="Arial" w:hAnsi="Arial"/>
                <w:sz w:val="13"/>
                <w:szCs w:val="13"/>
                <w:color w:val="auto"/>
              </w:rPr>
              <w:t>Goodwill (net) arising on merger with PRAI</w:t>
            </w:r>
          </w:p>
        </w:tc>
        <w:tc>
          <w:tcPr>
            <w:tcW w:w="3020" w:type="dxa"/>
            <w:vAlign w:val="bottom"/>
          </w:tcPr>
          <w:p>
            <w:pPr>
              <w:jc w:val="right"/>
              <w:ind w:right="376"/>
              <w:spacing w:after="0"/>
              <w:rPr>
                <w:sz w:val="20"/>
                <w:szCs w:val="20"/>
                <w:color w:val="auto"/>
              </w:rPr>
            </w:pPr>
            <w:r>
              <w:rPr>
                <w:rFonts w:ascii="Arial" w:cs="Arial" w:eastAsia="Arial" w:hAnsi="Arial"/>
                <w:sz w:val="13"/>
                <w:szCs w:val="13"/>
                <w:b w:val="1"/>
                <w:bCs w:val="1"/>
                <w:color w:val="auto"/>
              </w:rPr>
              <w:t>(14,009)</w:t>
            </w: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(14,009)</w:t>
            </w:r>
          </w:p>
        </w:tc>
      </w:tr>
      <w:tr>
        <w:trPr>
          <w:trHeight w:val="191"/>
        </w:trPr>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Deferred tax adjustments on share-based payments</w:t>
            </w:r>
          </w:p>
        </w:tc>
        <w:tc>
          <w:tcPr>
            <w:tcW w:w="30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(18,074)</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(18,089)</w:t>
            </w:r>
          </w:p>
        </w:tc>
      </w:tr>
      <w:tr>
        <w:trPr>
          <w:trHeight w:val="200"/>
        </w:trPr>
        <w:tc>
          <w:tcPr>
            <w:tcW w:w="71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2"/>
        </w:trPr>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equity attributable to the owners and noncontrolling interest as stated under U.S. GAAP</w:t>
            </w:r>
          </w:p>
        </w:tc>
        <w:tc>
          <w:tcPr>
            <w:tcW w:w="30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1,657,565</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1,354,281</w:t>
            </w:r>
          </w:p>
        </w:tc>
      </w:tr>
      <w:tr>
        <w:trPr>
          <w:trHeight w:val="420"/>
        </w:trPr>
        <w:tc>
          <w:tcPr>
            <w:tcW w:w="7120" w:type="dxa"/>
            <w:vAlign w:val="bottom"/>
          </w:tcPr>
          <w:p>
            <w:pPr>
              <w:ind w:left="40"/>
              <w:spacing w:after="0"/>
              <w:rPr>
                <w:sz w:val="20"/>
                <w:szCs w:val="20"/>
                <w:color w:val="auto"/>
              </w:rPr>
            </w:pPr>
            <w:r>
              <w:rPr>
                <w:rFonts w:ascii="Arial" w:cs="Arial" w:eastAsia="Arial" w:hAnsi="Arial"/>
                <w:sz w:val="13"/>
                <w:szCs w:val="13"/>
                <w:i w:val="1"/>
                <w:iCs w:val="1"/>
                <w:color w:val="auto"/>
              </w:rPr>
              <w:t>(iii)  Effect on total assets</w:t>
            </w:r>
          </w:p>
        </w:tc>
        <w:tc>
          <w:tcPr>
            <w:tcW w:w="30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9"/>
        </w:trPr>
        <w:tc>
          <w:tcPr>
            <w:tcW w:w="71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155"/>
        </w:trPr>
        <w:tc>
          <w:tcPr>
            <w:tcW w:w="7120" w:type="dxa"/>
            <w:vAlign w:val="bottom"/>
            <w:shd w:val="clear" w:color="auto" w:fill="CCEEFF"/>
          </w:tcPr>
          <w:p>
            <w:pPr>
              <w:spacing w:after="0"/>
              <w:rPr>
                <w:sz w:val="13"/>
                <w:szCs w:val="13"/>
                <w:color w:val="auto"/>
              </w:rPr>
            </w:pPr>
          </w:p>
        </w:tc>
        <w:tc>
          <w:tcPr>
            <w:tcW w:w="302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7120" w:type="dxa"/>
            <w:vAlign w:val="bottom"/>
            <w:tcBorders>
              <w:bottom w:val="single" w:sz="8" w:color="auto"/>
            </w:tcBorders>
            <w:shd w:val="clear" w:color="auto" w:fill="CCEEFF"/>
          </w:tcPr>
          <w:p>
            <w:pPr>
              <w:spacing w:after="0"/>
              <w:rPr>
                <w:sz w:val="15"/>
                <w:szCs w:val="15"/>
                <w:color w:val="auto"/>
              </w:rPr>
            </w:pPr>
          </w:p>
        </w:tc>
        <w:tc>
          <w:tcPr>
            <w:tcW w:w="30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7120" w:type="dxa"/>
            <w:vAlign w:val="bottom"/>
          </w:tcPr>
          <w:p>
            <w:pPr>
              <w:spacing w:after="0"/>
              <w:rPr>
                <w:sz w:val="15"/>
                <w:szCs w:val="15"/>
                <w:color w:val="auto"/>
              </w:rPr>
            </w:pPr>
          </w:p>
        </w:tc>
        <w:tc>
          <w:tcPr>
            <w:tcW w:w="302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209"/>
        </w:trPr>
        <w:tc>
          <w:tcPr>
            <w:tcW w:w="71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83"/>
        </w:trPr>
        <w:tc>
          <w:tcPr>
            <w:tcW w:w="7120" w:type="dxa"/>
            <w:vAlign w:val="bottom"/>
          </w:tcPr>
          <w:p>
            <w:pPr>
              <w:ind w:left="20"/>
              <w:spacing w:after="0"/>
              <w:rPr>
                <w:sz w:val="20"/>
                <w:szCs w:val="20"/>
                <w:color w:val="auto"/>
              </w:rPr>
            </w:pPr>
            <w:r>
              <w:rPr>
                <w:rFonts w:ascii="Arial" w:cs="Arial" w:eastAsia="Arial" w:hAnsi="Arial"/>
                <w:sz w:val="13"/>
                <w:szCs w:val="13"/>
                <w:color w:val="auto"/>
              </w:rPr>
              <w:t>Total assets as stated under IFRS</w:t>
            </w:r>
          </w:p>
        </w:tc>
        <w:tc>
          <w:tcPr>
            <w:tcW w:w="3020" w:type="dxa"/>
            <w:vAlign w:val="bottom"/>
          </w:tcPr>
          <w:p>
            <w:pPr>
              <w:jc w:val="right"/>
              <w:ind w:right="416"/>
              <w:spacing w:after="0"/>
              <w:rPr>
                <w:sz w:val="20"/>
                <w:szCs w:val="20"/>
                <w:color w:val="auto"/>
              </w:rPr>
            </w:pPr>
            <w:r>
              <w:rPr>
                <w:rFonts w:ascii="Arial" w:cs="Arial" w:eastAsia="Arial" w:hAnsi="Arial"/>
                <w:sz w:val="13"/>
                <w:szCs w:val="13"/>
                <w:b w:val="1"/>
                <w:bCs w:val="1"/>
                <w:color w:val="auto"/>
              </w:rPr>
              <w:t>2,938,580</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2,386,353</w:t>
            </w:r>
          </w:p>
        </w:tc>
      </w:tr>
      <w:tr>
        <w:trPr>
          <w:trHeight w:val="209"/>
        </w:trPr>
        <w:tc>
          <w:tcPr>
            <w:tcW w:w="71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83"/>
        </w:trPr>
        <w:tc>
          <w:tcPr>
            <w:tcW w:w="7120" w:type="dxa"/>
            <w:vAlign w:val="bottom"/>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30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9"/>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Right-of-use asset amortisation adjustment under IFRS</w:t>
            </w:r>
          </w:p>
        </w:tc>
        <w:tc>
          <w:tcPr>
            <w:tcW w:w="3020" w:type="dxa"/>
            <w:vAlign w:val="bottom"/>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1,015</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r>
      <w:tr>
        <w:trPr>
          <w:trHeight w:val="183"/>
        </w:trPr>
        <w:tc>
          <w:tcPr>
            <w:tcW w:w="7120" w:type="dxa"/>
            <w:vAlign w:val="bottom"/>
          </w:tcPr>
          <w:p>
            <w:pPr>
              <w:ind w:left="20"/>
              <w:spacing w:after="0"/>
              <w:rPr>
                <w:sz w:val="20"/>
                <w:szCs w:val="20"/>
                <w:color w:val="auto"/>
              </w:rPr>
            </w:pPr>
            <w:r>
              <w:rPr>
                <w:rFonts w:ascii="Arial" w:cs="Arial" w:eastAsia="Arial" w:hAnsi="Arial"/>
                <w:sz w:val="13"/>
                <w:szCs w:val="13"/>
                <w:color w:val="auto"/>
              </w:rPr>
              <w:t>Goodwill (net) arising on merger with PRAI</w:t>
            </w:r>
          </w:p>
        </w:tc>
        <w:tc>
          <w:tcPr>
            <w:tcW w:w="3020" w:type="dxa"/>
            <w:vAlign w:val="bottom"/>
          </w:tcPr>
          <w:p>
            <w:pPr>
              <w:jc w:val="right"/>
              <w:ind w:right="376"/>
              <w:spacing w:after="0"/>
              <w:rPr>
                <w:sz w:val="20"/>
                <w:szCs w:val="20"/>
                <w:color w:val="auto"/>
              </w:rPr>
            </w:pPr>
            <w:r>
              <w:rPr>
                <w:rFonts w:ascii="Arial" w:cs="Arial" w:eastAsia="Arial" w:hAnsi="Arial"/>
                <w:sz w:val="13"/>
                <w:szCs w:val="13"/>
                <w:b w:val="1"/>
                <w:bCs w:val="1"/>
                <w:color w:val="auto"/>
              </w:rPr>
              <w:t>(14,009)</w:t>
            </w: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(14,009)</w:t>
            </w:r>
          </w:p>
        </w:tc>
      </w:tr>
      <w:tr>
        <w:trPr>
          <w:trHeight w:val="191"/>
        </w:trPr>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Deferred tax adjustments on share-based payments</w:t>
            </w:r>
          </w:p>
        </w:tc>
        <w:tc>
          <w:tcPr>
            <w:tcW w:w="30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(18,074)</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(18,089)</w:t>
            </w:r>
          </w:p>
        </w:tc>
      </w:tr>
      <w:tr>
        <w:trPr>
          <w:trHeight w:val="200"/>
        </w:trPr>
        <w:tc>
          <w:tcPr>
            <w:tcW w:w="71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2"/>
        </w:trPr>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Total assets as stated under U.S. GAAP</w:t>
            </w:r>
          </w:p>
        </w:tc>
        <w:tc>
          <w:tcPr>
            <w:tcW w:w="30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2,907,512</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2,354,255</w:t>
            </w:r>
          </w:p>
        </w:tc>
      </w:tr>
      <w:tr>
        <w:trPr>
          <w:trHeight w:val="409"/>
        </w:trPr>
        <w:tc>
          <w:tcPr>
            <w:tcW w:w="7120" w:type="dxa"/>
            <w:vAlign w:val="bottom"/>
          </w:tcPr>
          <w:p>
            <w:pPr>
              <w:spacing w:after="0"/>
              <w:rPr>
                <w:sz w:val="20"/>
                <w:szCs w:val="20"/>
                <w:color w:val="auto"/>
              </w:rPr>
            </w:pPr>
            <w:r>
              <w:rPr>
                <w:rFonts w:ascii="Arial" w:cs="Arial" w:eastAsia="Arial" w:hAnsi="Arial"/>
                <w:sz w:val="13"/>
                <w:szCs w:val="13"/>
                <w:i w:val="1"/>
                <w:iCs w:val="1"/>
                <w:color w:val="auto"/>
              </w:rPr>
              <w:t>(iv) Effect on total liabilities</w:t>
            </w:r>
          </w:p>
        </w:tc>
        <w:tc>
          <w:tcPr>
            <w:tcW w:w="30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9"/>
        </w:trPr>
        <w:tc>
          <w:tcPr>
            <w:tcW w:w="71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155"/>
        </w:trPr>
        <w:tc>
          <w:tcPr>
            <w:tcW w:w="7120" w:type="dxa"/>
            <w:vAlign w:val="bottom"/>
            <w:shd w:val="clear" w:color="auto" w:fill="CCEEFF"/>
          </w:tcPr>
          <w:p>
            <w:pPr>
              <w:spacing w:after="0"/>
              <w:rPr>
                <w:sz w:val="13"/>
                <w:szCs w:val="13"/>
                <w:color w:val="auto"/>
              </w:rPr>
            </w:pPr>
          </w:p>
        </w:tc>
        <w:tc>
          <w:tcPr>
            <w:tcW w:w="3020" w:type="dxa"/>
            <w:vAlign w:val="bottom"/>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31 December</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December</w:t>
            </w:r>
          </w:p>
        </w:tc>
      </w:tr>
      <w:tr>
        <w:trPr>
          <w:trHeight w:val="177"/>
        </w:trPr>
        <w:tc>
          <w:tcPr>
            <w:tcW w:w="7120" w:type="dxa"/>
            <w:vAlign w:val="bottom"/>
            <w:tcBorders>
              <w:bottom w:val="single" w:sz="8" w:color="auto"/>
            </w:tcBorders>
            <w:shd w:val="clear" w:color="auto" w:fill="CCEEFF"/>
          </w:tcPr>
          <w:p>
            <w:pPr>
              <w:spacing w:after="0"/>
              <w:rPr>
                <w:sz w:val="15"/>
                <w:szCs w:val="15"/>
                <w:color w:val="auto"/>
              </w:rPr>
            </w:pPr>
          </w:p>
        </w:tc>
        <w:tc>
          <w:tcPr>
            <w:tcW w:w="30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w:t>
            </w:r>
          </w:p>
        </w:tc>
      </w:tr>
      <w:tr>
        <w:trPr>
          <w:trHeight w:val="182"/>
        </w:trPr>
        <w:tc>
          <w:tcPr>
            <w:tcW w:w="7120" w:type="dxa"/>
            <w:vAlign w:val="bottom"/>
          </w:tcPr>
          <w:p>
            <w:pPr>
              <w:spacing w:after="0"/>
              <w:rPr>
                <w:sz w:val="15"/>
                <w:szCs w:val="15"/>
                <w:color w:val="auto"/>
              </w:rPr>
            </w:pPr>
          </w:p>
        </w:tc>
        <w:tc>
          <w:tcPr>
            <w:tcW w:w="3020" w:type="dxa"/>
            <w:vAlign w:val="bottom"/>
          </w:tcPr>
          <w:p>
            <w:pPr>
              <w:jc w:val="right"/>
              <w:ind w:right="276"/>
              <w:spacing w:after="0"/>
              <w:rPr>
                <w:sz w:val="20"/>
                <w:szCs w:val="20"/>
                <w:color w:val="auto"/>
              </w:rPr>
            </w:pPr>
            <w:r>
              <w:rPr>
                <w:rFonts w:ascii="Arial" w:cs="Arial" w:eastAsia="Arial" w:hAnsi="Arial"/>
                <w:sz w:val="13"/>
                <w:szCs w:val="13"/>
                <w:b w:val="1"/>
                <w:bCs w:val="1"/>
                <w:color w:val="auto"/>
              </w:rPr>
              <w:t>$’000</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209"/>
        </w:trPr>
        <w:tc>
          <w:tcPr>
            <w:tcW w:w="71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83"/>
        </w:trPr>
        <w:tc>
          <w:tcPr>
            <w:tcW w:w="7120" w:type="dxa"/>
            <w:vAlign w:val="bottom"/>
          </w:tcPr>
          <w:p>
            <w:pPr>
              <w:ind w:left="20"/>
              <w:spacing w:after="0"/>
              <w:rPr>
                <w:sz w:val="20"/>
                <w:szCs w:val="20"/>
                <w:color w:val="auto"/>
              </w:rPr>
            </w:pPr>
            <w:r>
              <w:rPr>
                <w:rFonts w:ascii="Arial" w:cs="Arial" w:eastAsia="Arial" w:hAnsi="Arial"/>
                <w:sz w:val="13"/>
                <w:szCs w:val="13"/>
                <w:color w:val="auto"/>
              </w:rPr>
              <w:t>Total liabilities as stated under IFRS</w:t>
            </w:r>
          </w:p>
        </w:tc>
        <w:tc>
          <w:tcPr>
            <w:tcW w:w="3020" w:type="dxa"/>
            <w:vAlign w:val="bottom"/>
          </w:tcPr>
          <w:p>
            <w:pPr>
              <w:jc w:val="right"/>
              <w:ind w:right="416"/>
              <w:spacing w:after="0"/>
              <w:rPr>
                <w:sz w:val="20"/>
                <w:szCs w:val="20"/>
                <w:color w:val="auto"/>
              </w:rPr>
            </w:pPr>
            <w:r>
              <w:rPr>
                <w:rFonts w:ascii="Arial" w:cs="Arial" w:eastAsia="Arial" w:hAnsi="Arial"/>
                <w:sz w:val="13"/>
                <w:szCs w:val="13"/>
                <w:b w:val="1"/>
                <w:bCs w:val="1"/>
                <w:color w:val="auto"/>
              </w:rPr>
              <w:t>1,296,971</w:t>
            </w:r>
          </w:p>
        </w:tc>
        <w:tc>
          <w:tcPr>
            <w:tcW w:w="1140" w:type="dxa"/>
            <w:vAlign w:val="bottom"/>
          </w:tcPr>
          <w:p>
            <w:pPr>
              <w:jc w:val="right"/>
              <w:ind w:right="76"/>
              <w:spacing w:after="0"/>
              <w:rPr>
                <w:sz w:val="20"/>
                <w:szCs w:val="20"/>
                <w:color w:val="auto"/>
              </w:rPr>
            </w:pPr>
            <w:r>
              <w:rPr>
                <w:rFonts w:ascii="Arial" w:cs="Arial" w:eastAsia="Arial" w:hAnsi="Arial"/>
                <w:sz w:val="13"/>
                <w:szCs w:val="13"/>
                <w:color w:val="auto"/>
              </w:rPr>
              <w:t>999,974</w:t>
            </w:r>
          </w:p>
        </w:tc>
      </w:tr>
      <w:tr>
        <w:trPr>
          <w:trHeight w:val="209"/>
        </w:trPr>
        <w:tc>
          <w:tcPr>
            <w:tcW w:w="71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83"/>
        </w:trPr>
        <w:tc>
          <w:tcPr>
            <w:tcW w:w="7120" w:type="dxa"/>
            <w:vAlign w:val="bottom"/>
          </w:tcPr>
          <w:p>
            <w:pPr>
              <w:ind w:left="20"/>
              <w:spacing w:after="0"/>
              <w:rPr>
                <w:sz w:val="20"/>
                <w:szCs w:val="20"/>
                <w:color w:val="auto"/>
              </w:rPr>
            </w:pPr>
            <w:r>
              <w:rPr>
                <w:rFonts w:ascii="Arial" w:cs="Arial" w:eastAsia="Arial" w:hAnsi="Arial"/>
                <w:sz w:val="13"/>
                <w:szCs w:val="13"/>
                <w:b w:val="1"/>
                <w:bCs w:val="1"/>
                <w:color w:val="auto"/>
              </w:rPr>
              <w:t>U.S. GAAP adjustments</w:t>
            </w:r>
          </w:p>
        </w:tc>
        <w:tc>
          <w:tcPr>
            <w:tcW w:w="30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9"/>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Put option on noncontrolling interest shares recognised separately under IFRS</w:t>
            </w:r>
          </w:p>
        </w:tc>
        <w:tc>
          <w:tcPr>
            <w:tcW w:w="3020" w:type="dxa"/>
            <w:vAlign w:val="bottom"/>
            <w:shd w:val="clear" w:color="auto" w:fill="CCEEFF"/>
          </w:tcPr>
          <w:p>
            <w:pPr>
              <w:jc w:val="right"/>
              <w:ind w:right="376"/>
              <w:spacing w:after="0"/>
              <w:rPr>
                <w:sz w:val="20"/>
                <w:szCs w:val="20"/>
                <w:color w:val="auto"/>
              </w:rPr>
            </w:pPr>
            <w:r>
              <w:rPr>
                <w:rFonts w:ascii="Arial" w:cs="Arial" w:eastAsia="Arial" w:hAnsi="Arial"/>
                <w:sz w:val="13"/>
                <w:szCs w:val="13"/>
                <w:b w:val="1"/>
                <w:bCs w:val="1"/>
                <w:color w:val="auto"/>
              </w:rPr>
              <w:t>(47,205)</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r>
      <w:tr>
        <w:trPr>
          <w:trHeight w:val="183"/>
        </w:trPr>
        <w:tc>
          <w:tcPr>
            <w:tcW w:w="7120" w:type="dxa"/>
            <w:vAlign w:val="bottom"/>
          </w:tcPr>
          <w:p>
            <w:pPr>
              <w:ind w:left="20"/>
              <w:spacing w:after="0"/>
              <w:rPr>
                <w:sz w:val="20"/>
                <w:szCs w:val="20"/>
                <w:color w:val="auto"/>
              </w:rPr>
            </w:pPr>
            <w:r>
              <w:rPr>
                <w:rFonts w:ascii="Arial" w:cs="Arial" w:eastAsia="Arial" w:hAnsi="Arial"/>
                <w:sz w:val="13"/>
                <w:szCs w:val="13"/>
                <w:color w:val="auto"/>
              </w:rPr>
              <w:t>Deferred tax adjustments on leases</w:t>
            </w:r>
          </w:p>
        </w:tc>
        <w:tc>
          <w:tcPr>
            <w:tcW w:w="3020" w:type="dxa"/>
            <w:vAlign w:val="bottom"/>
          </w:tcPr>
          <w:p>
            <w:pPr>
              <w:jc w:val="right"/>
              <w:ind w:right="416"/>
              <w:spacing w:after="0"/>
              <w:rPr>
                <w:sz w:val="20"/>
                <w:szCs w:val="20"/>
                <w:color w:val="auto"/>
              </w:rPr>
            </w:pPr>
            <w:r>
              <w:rPr>
                <w:rFonts w:ascii="Arial" w:cs="Arial" w:eastAsia="Arial" w:hAnsi="Arial"/>
                <w:sz w:val="13"/>
                <w:szCs w:val="13"/>
                <w:b w:val="1"/>
                <w:bCs w:val="1"/>
                <w:color w:val="auto"/>
              </w:rPr>
              <w:t>181</w:t>
            </w:r>
          </w:p>
        </w:tc>
        <w:tc>
          <w:tcPr>
            <w:tcW w:w="114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r>
      <w:tr>
        <w:trPr>
          <w:trHeight w:val="191"/>
        </w:trPr>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Offset between deferred tax assets and liabilities</w:t>
            </w:r>
          </w:p>
        </w:tc>
        <w:tc>
          <w:tcPr>
            <w:tcW w:w="30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r>
      <w:tr>
        <w:trPr>
          <w:trHeight w:val="190"/>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liabilities as stated under U.S. GAAP</w:t>
            </w:r>
          </w:p>
        </w:tc>
        <w:tc>
          <w:tcPr>
            <w:tcW w:w="302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1,249,947</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999,974</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ectPr>
          <w:pgSz w:w="11900" w:h="16838" w:orient="portrait"/>
          <w:cols w:equalWidth="0" w:num="1">
            <w:col w:w="11280"/>
          </w:cols>
          <w:pgMar w:left="300" w:top="1269" w:right="31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Appendix A: Risk Factors</w:t>
      </w: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Business and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depend on a limited number of customers and a loss of or significant decrease in business from one or more of them could affect our business.</w:t>
      </w:r>
    </w:p>
    <w:p>
      <w:pPr>
        <w:spacing w:after="0" w:line="98"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During the year ended 31 December 2019, 37.6% of our revenues were derived from our top five customers, with two customers contributing more than 10% of our net revenues during the period (the largest contributing 12.5% and the second largest contributing 10.2%). During the year ended 31 December 2018, 39.5% of our revenues were derived from our top five customers, with one customer contributing more than 10% of our revenues during the period (13.6%). No other customer contributed more than 10% of our revenues during this period. During the year ended 31 December 2017, 42.0% of our net revenues (including revenue from reimbursable expenses) were derived from our top five customers, with one customer contributing more than 10% of our net revenues (including revenue from reimbursable expenses) during the period (21.0%). No other customer contributed more than 10% of our net revenues during this period. If we lose clients, we may not be able to attract new ones and if we lose individual projects, we may not be able to replace them. The loss of, or a significant decrease in business from one or more of these key customers could have a material adverse impact on our results of operations and financial results.</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Our financial results may be adversely impacted if we under price our contracts, overrun our cost estimates or fail to receive approval for or experience delays in documenting change orders.</w:t>
      </w:r>
    </w:p>
    <w:p>
      <w:pPr>
        <w:spacing w:after="0" w:line="213"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Many of our contracts are long-term fixed price or fixed unit price contracts for services. As a result, variations in the timing and progress of large contracts may materially adversely affect our results of operations. Revenue recognised on these service contracts are based on an assessment of progress towards completion being the cost of time and other third party costs as a percentage of total estimated time and other third party costs to deliver our services. As a result, variations in the timing and progress of large contracts may materially adversely affect our results of operations. Estimating time and costs to complete requires judgment and includes consideration of the complexity of the study, the number of geographical sites where trials are to be conducted and the number of patients to be recruited at each site. We regularly review the estimated hours on each contract to determine if the budget accurately reflects the agreed tasks to be performed taking into account the state of progress at the time of review.</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bear the risk of cost overruns unless the scope of activity is revised from the contract specifications and we are able to negotiate a contract modification. We endeavour to ensure that any changes in scope are appropriately monitored and change orders or contract modifications are promptly negotiated and documented for changes in scope. If we were to fail to successfully negotiate change orders for changes in the resources required or the scope of the work to be performed and the costs of performance of these contracts exceeded their fixed fees, it could materially adversely affect our operations and financial results.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potential loss or delay of our large contracts or of multiple contracts could adversely affect our results.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 amongst others:</w:t>
      </w:r>
    </w:p>
    <w:p>
      <w:pPr>
        <w:spacing w:after="0" w:line="143" w:lineRule="exact"/>
        <w:rPr>
          <w:sz w:val="20"/>
          <w:szCs w:val="20"/>
          <w:color w:val="auto"/>
        </w:rPr>
      </w:pPr>
    </w:p>
    <w:p>
      <w:pPr>
        <w:ind w:left="260" w:hanging="255"/>
        <w:spacing w:after="0"/>
        <w:tabs>
          <w:tab w:leader="none" w:pos="2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failure of products being tested to satisfy safety or efficacy requirements;</w:t>
      </w:r>
    </w:p>
    <w:p>
      <w:pPr>
        <w:ind w:left="260" w:hanging="255"/>
        <w:spacing w:after="0"/>
        <w:tabs>
          <w:tab w:leader="none" w:pos="2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unexpected or undesired clinical results of the product;</w:t>
      </w:r>
    </w:p>
    <w:p>
      <w:pPr>
        <w:ind w:left="260" w:hanging="255"/>
        <w:spacing w:after="0"/>
        <w:tabs>
          <w:tab w:leader="none" w:pos="2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 decision that a particular study is no longer necessary or viable;</w:t>
      </w:r>
    </w:p>
    <w:p>
      <w:pPr>
        <w:ind w:left="260" w:hanging="255"/>
        <w:spacing w:after="0"/>
        <w:tabs>
          <w:tab w:leader="none" w:pos="2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poor project performance, quality concerns, insufficient patient enrolment or investigator recruitment; and</w:t>
      </w:r>
    </w:p>
    <w:p>
      <w:pPr>
        <w:ind w:left="260" w:hanging="255"/>
        <w:spacing w:after="0"/>
        <w:tabs>
          <w:tab w:leader="none" w:pos="2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production problems resulting in shortages of the drug.</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3"/>
          <w:szCs w:val="13"/>
          <w:color w:val="auto"/>
        </w:rPr>
        <w:t>As a result, contract terminations, delays or other changes are part of our clinical services business. In the event of termination, our contracts often provide for fees for winding down the trial but these fees may not be sufficient for us to maintain our margins, and termination may result in lower resource utilisation rates. In addition, we may not realise the full benefits of our backlog of contractually committed services if our clients cancel, delay or reduce their commitments under our contracts with them. Therefore, the loss, early termination or delay of a large contract or contracts could adversely affect our revenues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1280"/>
          </w:cols>
          <w:pgMar w:left="300" w:top="1288" w:right="319" w:bottom="1440" w:gutter="0" w:footer="0" w:header="0"/>
        </w:sectPr>
      </w:pPr>
    </w:p>
    <w:bookmarkStart w:id="162" w:name="page163"/>
    <w:bookmarkEnd w:id="162"/>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5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If we do not generate new business awards, or if new business awards are delayed, terminated, reduced in scope or fail to go to contract, our business, financial conditions, results of operations or cash flows may be materially adversely affected.</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business is dependent on our ability to generate new business awards from new and existing customers and maintain existing customer contracts. If we were unable to generate new business awards on a timely basis and contract for those awards, that could have a material impact on our business, financial condition,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successfully develop and market new services or enter new markets, our growth, results of operations or financial condition could be adversely affected.</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A key element of our growth strategy is the successful development and marketing of new services or entering new markets that complement or expand our existing business. As we develop new services or enter new markets, we may not have or adequately build the competencies necessary to perform such services satisfactorily, may not receive market acceptance for such services or may face increased competition. If we are unable to succeed in developing new services, entering new markets or attracting a client base for our new services or in new markets, we will be unable to implement this element of our growth strategy, and our future business, reputation, results of operations could be adversely impacted.</w:t>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attract or retain key personnel, our performance may suffer.</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3"/>
          <w:szCs w:val="13"/>
          <w:color w:val="auto"/>
        </w:rPr>
        <w:t>Our business, future success and ability to continue to expand operations depends upon our ability to attract, hire, train and retain qualified professional, scientific and technical operating people. We compete for qualified professionals with other Clinical Research Organisations “CROs”, temporary staffing agencies and the in-house departments of pharmaceutical, biotechnology and medical device companies. An inability to attract and retain a sufficient number of high calibre clinical research professionals (in particular, key personnel and executives) at an acceptable cost would impact our ability to provide our services, our future performance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perform clinical trials is dependent upon the ability to recruit suitable willing patients.</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successful completion of clinical trials is dependent upon the ability to recruit suitable and willing patients on which to test the drug under study. The availability of suitable patients for enrolment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trials. Insufficient or inappropriate patient enrolment may result in the termination or delay of a study which could have a material adverse impact on our results of operations.</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is focused on continuing to develop its expertise in patient recruitment. The focus is on making it easier for the site and the patient to actively participate in a trial to ensure increased predictability, enrolment and retention. Our site and patient solutions group includes upfront planning of site and patient management including identification, enrolment and engagement.</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Improved site selection is achieved through:</w:t>
      </w:r>
    </w:p>
    <w:p>
      <w:pPr>
        <w:spacing w:after="0" w:line="190" w:lineRule="exact"/>
        <w:rPr>
          <w:sz w:val="20"/>
          <w:szCs w:val="20"/>
          <w:color w:val="auto"/>
        </w:rPr>
      </w:pPr>
    </w:p>
    <w:p>
      <w:pPr>
        <w:ind w:left="260" w:hanging="255"/>
        <w:spacing w:after="0"/>
        <w:tabs>
          <w:tab w:leader="none" w:pos="2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leading technology to identify where the patients are that match the protocol;</w:t>
      </w:r>
    </w:p>
    <w:p>
      <w:pPr>
        <w:spacing w:after="0" w:line="190" w:lineRule="exact"/>
        <w:rPr>
          <w:rFonts w:ascii="Arial" w:cs="Arial" w:eastAsia="Arial" w:hAnsi="Arial"/>
          <w:sz w:val="13"/>
          <w:szCs w:val="13"/>
          <w:color w:val="auto"/>
        </w:rPr>
      </w:pPr>
    </w:p>
    <w:p>
      <w:pPr>
        <w:ind w:left="260" w:hanging="255"/>
        <w:spacing w:after="0"/>
        <w:tabs>
          <w:tab w:leader="none" w:pos="2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assessment of the qualification of sites based on real data;</w:t>
      </w:r>
    </w:p>
    <w:p>
      <w:pPr>
        <w:spacing w:after="0" w:line="190" w:lineRule="exact"/>
        <w:rPr>
          <w:rFonts w:ascii="Arial" w:cs="Arial" w:eastAsia="Arial" w:hAnsi="Arial"/>
          <w:sz w:val="13"/>
          <w:szCs w:val="13"/>
          <w:color w:val="auto"/>
        </w:rPr>
      </w:pPr>
    </w:p>
    <w:p>
      <w:pPr>
        <w:ind w:left="260" w:hanging="255"/>
        <w:spacing w:after="0" w:line="244" w:lineRule="auto"/>
        <w:tabs>
          <w:tab w:leader="none" w:pos="251" w:val="left"/>
        </w:tabs>
        <w:numPr>
          <w:ilvl w:val="0"/>
          <w:numId w:val="45"/>
        </w:numPr>
        <w:rPr>
          <w:rFonts w:ascii="Arial" w:cs="Arial" w:eastAsia="Arial" w:hAnsi="Arial"/>
          <w:sz w:val="13"/>
          <w:szCs w:val="13"/>
          <w:color w:val="auto"/>
        </w:rPr>
      </w:pPr>
      <w:r>
        <w:rPr>
          <w:rFonts w:ascii="Arial" w:cs="Arial" w:eastAsia="Arial" w:hAnsi="Arial"/>
          <w:sz w:val="13"/>
          <w:szCs w:val="13"/>
          <w:color w:val="auto"/>
        </w:rPr>
        <w:t>partnerships with leading technology vendors such as Intel, EHR4CR and TriNeTX and developing the capability to enable EMR interrogation into clinical insights such as sub-populations and larger pre-screened pool where the technology and regulations are enabled.</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burden on the site, in ensuring patient enrolment and engagement, is achieved through integrated site networks. ICON have a number of site alliance partners. During 2018, we enhanced our site and patient recruitment capabilities with an expansion of the PMG Research network through a partnership with the Du Page Medical Group. During 2019, we further enhanced our site and patient recruitment abilities through the strategic acquisitions of MeDiNova and CRN Holdings, LLC (trading as Symphony Clinical Research ("Symphony")). We also use digital solutions to drive site performance, including pre-screening, eConsent, learning management, document tracking and management with key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1280"/>
          </w:cols>
          <w:pgMar w:left="300" w:top="1288" w:right="319" w:bottom="1440" w:gutter="0" w:footer="0" w:header="0"/>
        </w:sectPr>
      </w:pPr>
    </w:p>
    <w:bookmarkStart w:id="163" w:name="page164"/>
    <w:bookmarkEnd w:id="163"/>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perform clinical trials is dependent upon our ability to recruit suitable willing investigators.</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enrolment, may result in the termination or delay of a study which could have a material adverse impact on our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rely on third parties for important products and services.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We depend on certain third parties to provide us with products and services critical to our business. Such services include, amongst others, suppliers of drugs for patients participating in trials, suppliers of kits for use in our central laboratory business, suppliers of reagents for use in our testing equipment and providers of maintenance services for our equipment. The failure of any of these third parties to adequately provide the required products or services or the significant increase in the costs of such products and services could have a material adverse effect on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Climate change, extreme weather events, earthquakes and other natural disasters could adversely affect our business.</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In recent years, extreme weather events and changing weather patterns such as storms, flooding, droughts and temperature changes have become more common. As a result, we are potentially exposed to varying natural disaster or extreme weather risks such as hurricanes, tornadoes, droughts or floods, or other events that may result from the impact of climate change on the environment, such as sea level rise. As a result, we could experience increased costs, business interruptions, destruction of facilities, and loss of life, all of which could have a material adverse effect on our business, financial condition, or results of operations. The potential impacts of climate change may also include increased operating costs associated with additional regulatory requirements and investments in reducing energy, water use and greenhouse gas emissions.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COVID-19 has, and may continue to, adversely affected our business performance.</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Company has begun to experience a negative impact on our operations as a result of the global spread of COVID-19, including restrictions on our ability to ensure laboratory samples are collected and analysed on time, our ability to monitor our clinical trials, on the ability of patients or other service providers to travel, and our ability to travel. We have also experienced an increase in operating costs and investments in impact prevention.</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COVID-19 outbreak continues to rapidly evolve. The extent to which the outbreak may impact our business will depend on future developments, which are highly uncertain and cannot be predicted with confidence, such as the ultimate geographic spread of COVID-19, the duration of the outbreak, travel restrictions and actions to contain the outbreak or treat its impact, such as social distancing and quarantines or lock-downs, business closures or business disruptions and the effectiveness of actions taken throughout the world to contain and treat the disease.</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cyber-attacks to these systems may materially limit our operations or have a material adverse effect on our results of operations.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3"/>
          <w:szCs w:val="13"/>
          <w:color w:val="auto"/>
        </w:rPr>
        <w:t>Due to the global nature of our business and our reliance on information systems to provide our services, we use web-enabled and other integrated information systems in delivering our services. We will continue to increase the use of these systems and such systems will either be developed internally or provided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187" w:lineRule="exact"/>
        <w:rPr>
          <w:sz w:val="20"/>
          <w:szCs w:val="20"/>
          <w:color w:val="auto"/>
        </w:rPr>
      </w:pPr>
    </w:p>
    <w:p>
      <w:pPr>
        <w:ind w:left="760" w:hanging="246"/>
        <w:spacing w:after="0"/>
        <w:tabs>
          <w:tab w:leader="none" w:pos="7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disruption or failure of data centres, telecommunications facilities or other key infrastructure platforms;</w:t>
      </w:r>
    </w:p>
    <w:p>
      <w:pPr>
        <w:spacing w:after="0" w:line="190" w:lineRule="exact"/>
        <w:rPr>
          <w:rFonts w:ascii="Arial" w:cs="Arial" w:eastAsia="Arial" w:hAnsi="Arial"/>
          <w:sz w:val="13"/>
          <w:szCs w:val="13"/>
          <w:color w:val="auto"/>
        </w:rPr>
      </w:pPr>
    </w:p>
    <w:p>
      <w:pPr>
        <w:ind w:left="760" w:hanging="246"/>
        <w:spacing w:after="0" w:line="244" w:lineRule="auto"/>
        <w:tabs>
          <w:tab w:leader="none" w:pos="751" w:val="left"/>
        </w:tabs>
        <w:numPr>
          <w:ilvl w:val="0"/>
          <w:numId w:val="46"/>
        </w:numPr>
        <w:rPr>
          <w:rFonts w:ascii="Arial" w:cs="Arial" w:eastAsia="Arial" w:hAnsi="Arial"/>
          <w:sz w:val="13"/>
          <w:szCs w:val="13"/>
          <w:color w:val="auto"/>
        </w:rPr>
      </w:pPr>
      <w:r>
        <w:rPr>
          <w:rFonts w:ascii="Arial" w:cs="Arial" w:eastAsia="Arial" w:hAnsi="Arial"/>
          <w:sz w:val="13"/>
          <w:szCs w:val="13"/>
          <w:color w:val="auto"/>
        </w:rPr>
        <w:t>security breaches, cyber-attacks or other failures or malfunctions in our application or information systems or their associated hardware or other systems that we have access to or that we rely upon or that have access to our systems; and</w:t>
      </w:r>
    </w:p>
    <w:p>
      <w:pPr>
        <w:spacing w:after="0" w:line="184" w:lineRule="exact"/>
        <w:rPr>
          <w:rFonts w:ascii="Arial" w:cs="Arial" w:eastAsia="Arial" w:hAnsi="Arial"/>
          <w:sz w:val="13"/>
          <w:szCs w:val="13"/>
          <w:color w:val="auto"/>
        </w:rPr>
      </w:pPr>
    </w:p>
    <w:p>
      <w:pPr>
        <w:ind w:left="760" w:hanging="246"/>
        <w:spacing w:after="0"/>
        <w:tabs>
          <w:tab w:leader="none" w:pos="7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excessive costs, excessive delays or other deficiencies in or problems with systems development and deployment.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280"/>
          </w:cols>
          <w:pgMar w:left="300" w:top="1288" w:right="319" w:bottom="1440" w:gutter="0" w:footer="0" w:header="0"/>
        </w:sectPr>
      </w:pPr>
    </w:p>
    <w:bookmarkStart w:id="164" w:name="page165"/>
    <w:bookmarkEnd w:id="164"/>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6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materialisation of any of these risks may impede our ability to provide services, the processing of data, the delivery of databases and services and the day-to-day management of our business and could result in the corruption, loss or unauthorised disclosure of proprietary, confidential or other data, as well as reputational harm.</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While we have cybersecurity controls and disaster recovery plans in place, they might not adequately protect us in the event of a system failure, security breach or cyber-attack. Despite any precautions we take, damage from fire, floods, hurricanes, power loss, telecommunications failures, computer viruses, information system security breaches, cyber-attacks and similar events that impact on our various computer facilities could result in interruptions in the flow of data to our servers and from our servers to our clients. Corruption or loss of data may result in the need to repeat a trial at no cost to the client, but at significant cost to us, or result in the termination of one or more contracts, legal proceedings or claims against us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cyber-attacks, natural disasters, the outbreak of war, the escalation of hostilities and acts of terrorism, particularly involving cities in which we have offices, could adversely affect our business.</w:t>
      </w:r>
    </w:p>
    <w:p>
      <w:pPr>
        <w:spacing w:after="0" w:line="14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Unauthorised disclosure of sensitive or confidential data, whether through system failure or employee negligence, fraud or misappropriation, could damage our reputation and cause us to lose clients. Similarly, despite investing in information and cyber-security controls there is a risk that unauthorised access to or through our information systems or those we develop for our clients, whether by our employees or third parties, including a cyber-attack by computer programmers and hackers who may attack ICON systems, develop and deploy viruses, worms, ransomware or other malicious software programmes could result in negative publicity, significant remediation costs, legal liability, loss of customers and damage to our reputation and could have a material adverse effect on our results of operations and financial results. In addition, our liability insurance might not be sufficient in type, the cover provided or amount to adequately cover us against claims related to security breaches, cyber-attacks and other related breaches.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Upgrading the information systems that support our operating processes and evolving the technology platform for our services pose risks to our business.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Continued efficient operation of our business requires that we implement standardised global business processes and evolve our information systems to enable this implementation. We have continued to undertake significant programmes to optimise business processes with respect to our services. A failure to effectively manage the implementation and adapt to new processes designed into these new or upgraded systems in a timely and cost-effective manner may result in disruption to our business and negatively affect our operations.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have entered into agreements with certain vendors to provide systems development and integration services that develop or license to us the IT platform for programmes to optimise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prevent us from using preferred technology or seek license payments from us.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13"/>
          <w:szCs w:val="13"/>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If we do not keep pace with rapid technological changes in the CRO industry, our products and services may become less competitive or even obsolete. This applies in particular to our ICONIK, Firecrest and ADDPLAN and One Search services. Also, increased requirements for investment in information technology may negatively impact our financial condition, including profitability.</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Failure to meet productivity objectives under our business improvement objectives could adversely impact our competitiveness and therefore our operating results.</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continue to pursue business transformation initiatives to embed technology, innovation and deliver operational efficiencies. As part of these initiatives, we seek to improve our productivity, flexibility, quality, functionality and cost savings by our on-going investment in global technologies, continuous improvement of our business processes and functions to deliver economies of scale. These initiatives may not deliver their intended gains or be completed in a timely manner which may adversely impact our competitiveness and our ability to meet our growth objectives and therefore, could adversely affect our business and operating results, including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1280"/>
          </w:cols>
          <w:pgMar w:left="300" w:top="1288" w:right="319" w:bottom="1440" w:gutter="0" w:footer="0" w:header="0"/>
        </w:sectPr>
      </w:pPr>
    </w:p>
    <w:bookmarkStart w:id="165" w:name="page166"/>
    <w:bookmarkEnd w:id="165"/>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rely on our interactive response technologies to provide accurate information regarding the randomisation of patients and the dosage required for patients enrolled in the trials.</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develop and maintain computer run and web based interactive response technologies to automatically manage the randomisation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incorrect dosing of patients, invalidation of the trial and/or liability claims against the Company, amongst other things, any of which could have a material effect on our financial condition and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failure to identify and successfully close and integrate strategic acquisition targets could adversely impact our ongoing business and financial results.</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have made a number of acquisitions and continue to review new acquisition opportunities. If we are unable to identify suitable acquisition targets, complete an acquisition or successfully integrate an acquired company or business, our business may be disrupted. The success of an acquisition will depend upon, among other things, our ability to:</w:t>
      </w:r>
    </w:p>
    <w:p>
      <w:pPr>
        <w:spacing w:after="0" w:line="141" w:lineRule="exact"/>
        <w:rPr>
          <w:sz w:val="20"/>
          <w:szCs w:val="20"/>
          <w:color w:val="auto"/>
        </w:rPr>
      </w:pPr>
    </w:p>
    <w:p>
      <w:pPr>
        <w:ind w:left="1020" w:hanging="506"/>
        <w:spacing w:after="0"/>
        <w:tabs>
          <w:tab w:leader="none" w:pos="10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effectively and quickly assimilate the operations and services or products of the acquired company or business;</w:t>
      </w:r>
    </w:p>
    <w:p>
      <w:pPr>
        <w:ind w:left="1020" w:hanging="506"/>
        <w:spacing w:after="0"/>
        <w:tabs>
          <w:tab w:leader="none" w:pos="10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integrate acquired personnel;</w:t>
      </w:r>
    </w:p>
    <w:p>
      <w:pPr>
        <w:ind w:left="1020" w:hanging="506"/>
        <w:spacing w:after="0"/>
        <w:tabs>
          <w:tab w:leader="none" w:pos="10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retain and motivate key employees;</w:t>
      </w:r>
    </w:p>
    <w:p>
      <w:pPr>
        <w:ind w:left="1020" w:hanging="506"/>
        <w:spacing w:after="0"/>
        <w:tabs>
          <w:tab w:leader="none" w:pos="10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retain customers; and</w:t>
      </w:r>
    </w:p>
    <w:p>
      <w:pPr>
        <w:ind w:left="1020" w:hanging="506"/>
        <w:spacing w:after="0"/>
        <w:tabs>
          <w:tab w:leader="none" w:pos="10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minimise the diversion of management's attention from other business concerns.</w:t>
      </w:r>
    </w:p>
    <w:p>
      <w:pPr>
        <w:spacing w:after="0" w:line="190" w:lineRule="exact"/>
        <w:rPr>
          <w:sz w:val="20"/>
          <w:szCs w:val="20"/>
          <w:color w:val="auto"/>
        </w:rPr>
      </w:pPr>
    </w:p>
    <w:p>
      <w:pPr>
        <w:jc w:val="both"/>
        <w:ind w:firstLine="346"/>
        <w:spacing w:after="0" w:line="244" w:lineRule="auto"/>
        <w:rPr>
          <w:sz w:val="20"/>
          <w:szCs w:val="20"/>
          <w:color w:val="auto"/>
        </w:rPr>
      </w:pPr>
      <w:r>
        <w:rPr>
          <w:rFonts w:ascii="Arial" w:cs="Arial" w:eastAsia="Arial" w:hAnsi="Arial"/>
          <w:sz w:val="13"/>
          <w:szCs w:val="13"/>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Improper performance of our services.</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performance of clinical development services is complex and time-consuming. We may make mistakes in conducting a clinical trial that could negatively impact or damage the usefulness of the clinical trial or cause the results to be reported improperly. If the clinical trial results are compromised, we could be subject to significant costs or liability, which could have an adverse impact on our ability to perform our services. Large clinical trials are costly, and while we endeavour to contractually limit our exposure to such risks, improper performance of our services could have an adverse effect on our financial condition, damage our reputation and result in the cancellation of current contracts or failure to obtain new contracts from affected or other clients.</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companies. In addition to the adverse competitive interests that biopharmaceutical companies have with each other, biopharmaceutical companies also have adverse interests with respect to drug selection and reimbursement with other participants in the health 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 care market may adversely impact our relationships with biopharmaceutical customers and such customers may elect not to use our services, reduce the scope of services that we provide to them or seek to place restrictions on our ability to serve customers in the broader health care market with interests that are adverse to theirs. Any loss of customers or reductions in the level of revenues from a customer could have a material adverse effect on our results of operations, business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1280"/>
          </w:cols>
          <w:pgMar w:left="300" w:top="1288" w:right="319" w:bottom="1440" w:gutter="0" w:footer="0" w:header="0"/>
        </w:sectPr>
      </w:pPr>
    </w:p>
    <w:bookmarkStart w:id="166" w:name="page167"/>
    <w:bookmarkEnd w:id="166"/>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only a limited ability to protect our intellectual property rights and these rights are important to our success.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unauthorised use of, or take appropriate and timely steps to enforce our intellectual property rights. Enforcing our rights might also require considerable time, money and oversight and we may not be successful in enforcing our rights.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biopharmaceutical industry has a history of patent and other intellectual property litigation and we might be involved in costly intellectual property lawsuits.</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biopharmaceutical industry has a history of intellectual property litigation, and these lawsuits will likely continue in the future. Accordingly, we may face patent infringement legal proceedings by companies that have patents for similar business processes or other legal proceedings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unfavourable terms. Any infringement or other legal processing related to intellectual property could have a material adverse effect on our operations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act as authorised representative and legal representative for some clients pursuant to certain EU legislation.</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act as authorised representative pursuant to Medical Devices Directive 93/42/EEC (“MDD”) and Active Implantable Medical Devices Directive 90/385/EEC (“AIMD”) for certain clients who are located outside of the European Union. Medical Devices Regulation 2017/745 (“MDR”) will replace MDD on 26 May 2020 and provides for increased responsibility, and accordingly increased risk, for authorised representatives. As authorised representative, we act on behalf of medical device manufacturers in relation to specified tasks with regard to their obligations under MDR.</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also act as legal representative pursuant to MDD and AIMD, and will continue to do so pursuant to MDR, for certain clients who are located outside of the European Union with respect to clinical trials being carried out by those clients in the European Union. As legal representative, we are responsible for ensuring compliance with the client’s obligations pursuant to MDR and we are the addressee for all communications with the client provided for under MDR.</w:t>
      </w:r>
    </w:p>
    <w:p>
      <w:pPr>
        <w:spacing w:after="0" w:line="14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provide these services subject to certain terms and conditions which are contained in our agreements with clients pertaining to these services. We aim to reduce any potential liability associated with these activities by seeking contractual indemnification from our clients and by maintaining an appropriate level of insurance cover. However, there is no guarantee that the specific insurance will be available or that a client will fulfil its obligations in relation to their indemnity.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1280"/>
          </w:cols>
          <w:pgMar w:left="300" w:top="1287" w:right="319" w:bottom="1440" w:gutter="0" w:footer="0" w:header="0"/>
        </w:sectPr>
      </w:pPr>
    </w:p>
    <w:bookmarkStart w:id="167" w:name="page168"/>
    <w:bookmarkEnd w:id="167"/>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Industry</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Outsourcing trends in the pharmaceutical, biotechnology and medical device industries and changes in spending and research and development budgets could adversely affect our operating results and growth rates.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186" w:lineRule="exact"/>
        <w:rPr>
          <w:sz w:val="20"/>
          <w:szCs w:val="20"/>
          <w:color w:val="auto"/>
        </w:rPr>
      </w:pPr>
    </w:p>
    <w:p>
      <w:pPr>
        <w:ind w:left="700" w:hanging="313"/>
        <w:spacing w:after="0"/>
        <w:tabs>
          <w:tab w:leader="none" w:pos="7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if pharmaceutical, biotechnology or medical device companies expanded upon their in-house clinical or development capabilities, they would be less likely to utilise our services;</w:t>
      </w:r>
    </w:p>
    <w:p>
      <w:pPr>
        <w:ind w:left="700" w:hanging="313"/>
        <w:spacing w:after="0" w:line="238" w:lineRule="auto"/>
        <w:tabs>
          <w:tab w:leader="none" w:pos="691" w:val="left"/>
        </w:tabs>
        <w:numPr>
          <w:ilvl w:val="0"/>
          <w:numId w:val="48"/>
        </w:numPr>
        <w:rPr>
          <w:rFonts w:ascii="Arial" w:cs="Arial" w:eastAsia="Arial" w:hAnsi="Arial"/>
          <w:sz w:val="13"/>
          <w:szCs w:val="13"/>
          <w:color w:val="auto"/>
        </w:rPr>
      </w:pPr>
      <w:r>
        <w:rPr>
          <w:rFonts w:ascii="Arial" w:cs="Arial" w:eastAsia="Arial" w:hAnsi="Arial"/>
          <w:sz w:val="13"/>
          <w:szCs w:val="13"/>
          <w:color w:val="auto"/>
        </w:rPr>
        <w:t>if governmental regulations were changed, it could affect the ability of our clients to operate profitably, which may lead to a decrease in research spending and therefore this could have a material adverse effect on our business; and</w:t>
      </w:r>
    </w:p>
    <w:p>
      <w:pPr>
        <w:ind w:left="700" w:hanging="313"/>
        <w:spacing w:after="0"/>
        <w:tabs>
          <w:tab w:leader="none" w:pos="7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if unfavourable economic conditions or disruptions in the credit and capital markets negatively impacted our clients.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Large pharmaceutical companies are increasingly consolidating their vendor base and entering strategic partnership arrangements with a limited number of outsource providers.</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Increased collaboration amongst pharmaceutical companies in research and development activities may lead to fewer research opportunities.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operate in a highly competitive and dynamic market.</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would be a material adverse impact on our results. Similarly, we compete with other CROs for work which comes outside of these strategic relationships and being unable to win work outside of these strategic relationships would have a material adverse impact on our results.</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type and depth of services provided by CROs has changed in recent years. Failure to develop and market new services or expand existing service offerings could adversely affect our business and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New entrants may also enter the market which would further increase competition and could adversely affect our business and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adversely affected by industry, customer or therapeutic concentration.</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provide services to biopharmaceutical, biotechnology, medical device and government organisations and our revenue is dependent on expenditures by these customers. Our business could therefore be adversely impacted by mergers, consolidation, business failures, distress in financial markets or other factors resulting in a decrease in the number of potential customers or therapeutic products being developed through the drug development progress. There has been consolidation in the biopharmaceutical market in recent years. If the number of our potential customers were to decline in the future, they may be able to negotiate price discounts or other terms for services that are less favourable to us than they have been historically.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280"/>
          </w:cols>
          <w:pgMar w:left="300" w:top="1288" w:right="319" w:bottom="1440" w:gutter="0" w:footer="0" w:header="0"/>
        </w:sectPr>
      </w:pPr>
    </w:p>
    <w:bookmarkStart w:id="168" w:name="page169"/>
    <w:bookmarkEnd w:id="168"/>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Financial Results and Financial Position</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Our quarterly results are dependent upon a number of factors and can fluctuate from quarter to quarter. They may fall short of prior periods, our projections or the expectations of securities analysts or investors, which may adversely affect the market price of our stock.</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Our results of operations in any quarter can fluctuate or differ from expected or forecast results depending upon or due to, among other things, the number and scope of ongoing client projects, the commencement, postponement, variation, cancellation or termination of projects in a quarter, the mix of activity, cost overruns, employee hiring and other factors. Our revenue in any period is directly related to the number of employees who were working on billable projects together with investigator activity during that period. We may be unable to compensate for periods of under-utilisation during one part of a fiscal period by earning revenue during another part of that period. We believe that operating results for any particular quarter are not necessarily a meaningful indicator of future results.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Also, if in future quarters, we are unable to continue to deliver operational efficiencies and our expenses grow faster than our revenues, our operating margins, profitability and overall financial condition may be materially adversely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exposure to exchange rate fluctuations could adversely affect our results of operations.</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addition, we are also subject to translation exposures as our consolidated financial results are presented in U.S. dollars, while the local results of certain of our subsidiaries are prepared in currencies other than U.S. dollars, including, amongst others, the pound sterling and the euro. Accordingly, changes in exchange rates between the U.S. dollar and those other currencies will affect the translation of subsidiary companies' financial results into U.S. dollars in reporting our consolidated financial results.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effective tax rate may fluctuate from quarter-to-quarter, which may adversely affect our results of operations.</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Our quarterly effective tax rate has depended and will continue to depend on the geographic distribution of our taxable earnings amongst the multiple tax jurisdictions in which we operate and the tax law in those jurisdictions. Changes in the geographic mix of our results of operations amongst these jurisdictions may have a significant impact on our effective tax rate from quarter to quarter. Changes in tax law in one or more jurisdictions could also have a significant impact on our tax rate and results. In addition, as we operate in multiple tax jurisdictions, we may be subject to audits in certain jurisdictions. These audits may involve complex issues which could require an extended period of time for resolution. The resolution of audit issues may lead to differences, additional taxes, fines or penalties which could have a material adverse impact on our effective tax rate and our financial condition and results.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backlog may not convert to revenue and the rate of conversion may slow.</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Our backlog is that element of awards that has not yet converted to revenue. This value is not necessarily a meaningful predictor of future results, due to the potential for the cancellation or delay of projects included in the backlog. No assurances can be given that we will be able to realise this backlog in full as revenue. A failure to realise these awards could have a material adverse impact on our results of operations. In addition, as the length and complexity of projects increases, the rate at which awards convert to revenue may be slower than in the past. A significant reduction in the rate of conversion could have a material impact on our results of operations.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280"/>
          </w:cols>
          <w:pgMar w:left="300" w:top="1288" w:right="319" w:bottom="1440" w:gutter="0" w:footer="0" w:header="0"/>
        </w:sectPr>
      </w:pPr>
    </w:p>
    <w:bookmarkStart w:id="169" w:name="page170"/>
    <w:bookmarkEnd w:id="169"/>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 is exposed to various risks in relation to our cash and cash equivalents and short term investments.</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Company’s treasury function manages our available cash resources and invests significant cash balances in various financial institutions to try to ensure optimum returns for our surplus cash balances. These balances are classified as cash and cash equivalents or short term investments depending on the maturity of the related investment. Cash and cash equivalents comprise cash and highly liquid investments with maturities of three months or less. Short term investments comprise highly liquid investments with maturities of greater than three months and minimum “A-” rated fixed and floating rate securities.</w:t>
      </w:r>
    </w:p>
    <w:p>
      <w:pPr>
        <w:spacing w:after="0" w:line="14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Given the global nature of our business, we are exposed to various risks in relation to these balances including liquidity risk, credit risk associated with the counterparties with whom we invest, interest rate risk on floating rate securities, sovereign risk (our principle sovereign risk relates to investments in U.S. Treasury funds) and other factors.</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Although we have not recognised any significant losses to date on our cash and cash equivalents or short term investments, any significant declines in their market values could have a material adverse effect on our financial position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accounting standards may adversely affect our financial statements.</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 xml:space="preserve">We are required to prepare our financial statements in accordance with International Financial Reporting Standards (“IFRS”), as adopted by the European Union (“EU IFRS”) which are revised on an on-going basis by the authoritative bodies. It is possible that future accounting standard changes, may require additional changes to the accounting treatment that we apply in preparation of our financial statements. These changes may also require significant changes to our reporting systems. We applied IFRS 15 -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xml:space="preserve"> with effect from 1 January 2018. Under this new standard, the Company is required to recognise revenue in respect of our clinical trial services on a percentage of completion basis. The change in revenue recognition requires significant estimates of project costs that will need to be updated and adjusted on a regular basis. These updates may result in unexpected variability in the timing of recognition of revenue and therefore in our operating results. Application of IFRS 16 - '</w:t>
      </w:r>
      <w:r>
        <w:rPr>
          <w:rFonts w:ascii="Arial" w:cs="Arial" w:eastAsia="Arial" w:hAnsi="Arial"/>
          <w:sz w:val="13"/>
          <w:szCs w:val="13"/>
          <w:i w:val="1"/>
          <w:iCs w:val="1"/>
          <w:color w:val="auto"/>
        </w:rPr>
        <w:t>Leases</w:t>
      </w:r>
      <w:r>
        <w:rPr>
          <w:rFonts w:ascii="Arial" w:cs="Arial" w:eastAsia="Arial" w:hAnsi="Arial"/>
          <w:sz w:val="13"/>
          <w:szCs w:val="13"/>
          <w:color w:val="auto"/>
        </w:rPr>
        <w:t>' at 1 January 2019 results in the recognition of a lease liability and right-of-use asset on the Consolidated Statement of Financial Position.</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Political, Legal or Regulatory Environment</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lose business opportunities as a result of health care reform and the expansion of managed care organisations.</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Numerous governments, including the U.S. government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addition to health care reform proposals, the expansion of managed care organisations in the health care market may result in reduced spending on research and development. Managed care organisations'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Healthcare reform legislation, other changes in the healthcare industry and in healthcare spending could adversely affect our business model, financial condition or results of operations.</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Our results of operations and financial conditions could be affected by changes in healthcare spending and policy. The healthcare industry is subject to changing political, regulatory and other influences. It is possible that legislation will be introduced and passed in the United States repealing, modifying or invalidating the current healthcare reform legislation, in whole or in part, and signed into law. Because of the continued uncertainty about the implementation of the current healthcare reform legislation, including the potential for further legal challenges or repeal of that legislation, we cannot quantify or predict with any certainty the likely impact of the current healthcare reform legislation or its repeal on the health care sector, on our customers and ultimately on our financial condition or results of operations, in particular the outsourcing of costs by our customer base to CROs.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lose business as a result of changes in the regulatory environment.</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ectPr>
          <w:pgSz w:w="11900" w:h="16838" w:orient="portrait"/>
          <w:cols w:equalWidth="0" w:num="1">
            <w:col w:w="11280"/>
          </w:cols>
          <w:pgMar w:left="300" w:top="1288" w:right="319" w:bottom="1440" w:gutter="0" w:footer="0" w:header="0"/>
        </w:sectPr>
      </w:pPr>
    </w:p>
    <w:bookmarkStart w:id="170" w:name="page171"/>
    <w:bookmarkEnd w:id="170"/>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52" w:lineRule="exact"/>
        <w:rPr>
          <w:sz w:val="20"/>
          <w:szCs w:val="20"/>
          <w:color w:val="auto"/>
        </w:rPr>
      </w:pPr>
    </w:p>
    <w:p>
      <w:pPr>
        <w:spacing w:after="0" w:line="266" w:lineRule="auto"/>
        <w:rPr>
          <w:sz w:val="20"/>
          <w:szCs w:val="20"/>
          <w:color w:val="auto"/>
        </w:rPr>
      </w:pPr>
      <w:r>
        <w:rPr>
          <w:rFonts w:ascii="Arial" w:cs="Arial" w:eastAsia="Arial" w:hAnsi="Arial"/>
          <w:sz w:val="13"/>
          <w:szCs w:val="13"/>
          <w:b w:val="1"/>
          <w:bCs w:val="1"/>
          <w:i w:val="1"/>
          <w:iCs w:val="1"/>
          <w:color w:val="auto"/>
        </w:rPr>
        <w:t>Failure to comply with the regulations and requirements of the U.S. Food and Drug Administration and other regulatory authorities could result in substantial penalties and/or loss of business.</w:t>
      </w:r>
    </w:p>
    <w:p>
      <w:pPr>
        <w:spacing w:after="0" w:line="65" w:lineRule="exact"/>
        <w:rPr>
          <w:sz w:val="20"/>
          <w:szCs w:val="20"/>
          <w:color w:val="auto"/>
        </w:rPr>
      </w:pPr>
    </w:p>
    <w:p>
      <w:pPr>
        <w:jc w:val="both"/>
        <w:ind w:right="60"/>
        <w:spacing w:after="0"/>
        <w:rPr>
          <w:sz w:val="20"/>
          <w:szCs w:val="20"/>
          <w:color w:val="auto"/>
        </w:rPr>
      </w:pPr>
      <w:r>
        <w:rPr>
          <w:rFonts w:ascii="Arial" w:cs="Arial" w:eastAsia="Arial" w:hAnsi="Arial"/>
          <w:sz w:val="13"/>
          <w:szCs w:val="13"/>
          <w:color w:val="auto"/>
        </w:rPr>
        <w:t>The U.S. Food and Drug Administration, or FDA, and other regulatory and government authorities and agencies inspect and audit us from time to time to ensure that we comply with their regulations and guidelines, including environmental and health and safety matters, and other requirements imposed in connection with the performance of government contracts. We must comply with the applicable regulatory requirements governing the conduct of clinical trials and contracting with the government in all countries in which we operate. If we fail to comply with any of these requirements we could suffer some or all of:</w:t>
      </w:r>
    </w:p>
    <w:p>
      <w:pPr>
        <w:spacing w:after="0" w:line="186" w:lineRule="exact"/>
        <w:rPr>
          <w:sz w:val="20"/>
          <w:szCs w:val="20"/>
          <w:color w:val="auto"/>
        </w:rPr>
      </w:pPr>
    </w:p>
    <w:p>
      <w:pPr>
        <w:ind w:left="560" w:hanging="237"/>
        <w:spacing w:after="0"/>
        <w:tabs>
          <w:tab w:leader="none" w:pos="5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termination of or delay in any research;</w:t>
      </w:r>
    </w:p>
    <w:p>
      <w:pPr>
        <w:ind w:left="560" w:hanging="237"/>
        <w:spacing w:after="0"/>
        <w:tabs>
          <w:tab w:leader="none" w:pos="5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disqualification of data;</w:t>
      </w:r>
    </w:p>
    <w:p>
      <w:pPr>
        <w:ind w:left="560" w:hanging="237"/>
        <w:spacing w:after="0"/>
        <w:tabs>
          <w:tab w:leader="none" w:pos="5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denial of the right to conduct business;</w:t>
      </w:r>
    </w:p>
    <w:p>
      <w:pPr>
        <w:ind w:left="560" w:hanging="237"/>
        <w:spacing w:after="0"/>
        <w:tabs>
          <w:tab w:leader="none" w:pos="5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criminal penalties;</w:t>
      </w:r>
    </w:p>
    <w:p>
      <w:pPr>
        <w:ind w:left="560" w:hanging="237"/>
        <w:spacing w:after="0"/>
        <w:tabs>
          <w:tab w:leader="none" w:pos="5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other enforcement actions including debarment from government contracts;</w:t>
      </w:r>
    </w:p>
    <w:p>
      <w:pPr>
        <w:ind w:left="560" w:hanging="237"/>
        <w:spacing w:after="0"/>
        <w:tabs>
          <w:tab w:leader="none" w:pos="5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loss of clients and/or business; and</w:t>
      </w:r>
    </w:p>
    <w:p>
      <w:pPr>
        <w:ind w:left="560" w:hanging="237"/>
        <w:spacing w:after="0"/>
        <w:tabs>
          <w:tab w:leader="none" w:pos="5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litigation from clients and/or patients and/or regulatory authorities and/or other affected third parties, and resulting material penalties, damages and costs.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political, regulatory, operational and legal risks associated with our international operations.</w:t>
      </w:r>
    </w:p>
    <w:p>
      <w:pPr>
        <w:spacing w:after="0" w:line="204" w:lineRule="exact"/>
        <w:rPr>
          <w:sz w:val="20"/>
          <w:szCs w:val="20"/>
          <w:color w:val="auto"/>
        </w:rPr>
      </w:pPr>
    </w:p>
    <w:p>
      <w:pPr>
        <w:jc w:val="both"/>
        <w:ind w:right="60"/>
        <w:spacing w:after="0" w:line="238" w:lineRule="auto"/>
        <w:rPr>
          <w:sz w:val="20"/>
          <w:szCs w:val="20"/>
          <w:color w:val="auto"/>
        </w:rPr>
      </w:pPr>
      <w:r>
        <w:rPr>
          <w:rFonts w:ascii="Arial" w:cs="Arial" w:eastAsia="Arial" w:hAnsi="Arial"/>
          <w:sz w:val="13"/>
          <w:szCs w:val="13"/>
          <w:color w:val="auto"/>
        </w:rPr>
        <w:t>We are one of a small group of organisations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compliance with economic sanctions, laws and regulations, volatility in gross domestic product, economic and governmental instability, the potential for nationalisation of private assets and the imposition of exchange controls. In addition, operating globally means the Company faces the challenges associated with coordinating its services across different countries, time zones and cultures.</w:t>
      </w:r>
    </w:p>
    <w:p>
      <w:pPr>
        <w:spacing w:after="0" w:line="2" w:lineRule="exact"/>
        <w:rPr>
          <w:sz w:val="20"/>
          <w:szCs w:val="20"/>
          <w:color w:val="auto"/>
        </w:rPr>
      </w:pPr>
    </w:p>
    <w:p>
      <w:pPr>
        <w:jc w:val="both"/>
        <w:ind w:right="60"/>
        <w:spacing w:after="0" w:line="239" w:lineRule="auto"/>
        <w:rPr>
          <w:sz w:val="20"/>
          <w:szCs w:val="20"/>
          <w:color w:val="auto"/>
        </w:rPr>
      </w:pPr>
      <w:r>
        <w:rPr>
          <w:rFonts w:ascii="Arial" w:cs="Arial" w:eastAsia="Arial" w:hAnsi="Arial"/>
          <w:sz w:val="13"/>
          <w:szCs w:val="13"/>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w:t>
      </w:r>
    </w:p>
    <w:p>
      <w:pPr>
        <w:spacing w:after="0" w:line="200"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On 23 June 2016, the United Kingdom, or U.K., held a referendum, referred to as “Brexit”, in which voters approved an exit from the European Union (E.U). In October 2019, a Brexit deal was agreed in principle. The UK have left the EU with effect from 31 January 2020 and have entered an eleven month transition period which will end on 31 December 2020. The British government continues to negotiate the terms of the U.K.’s future relationship with the EU. The terms of the withdrawal agreement continue to be unknown however it is likely that there will be greater restrictions on trade and the transfer of goods and other items (including lab samples) between the U.K. and EU. countries and increased regulatory complexities. At present, these changes are not expected to significantly affect our operations or financial results. Approximately 3% of our revenue is billed in Sterling. We currently employ approximately 900 people in the U.K. The announcement of Brexit and continued uncertainty around the withdrawal terms caused volatility in global stock markets and exchange rates. Continued fluctuation in currency exchange rates may expose us to gains and losses on non U.S. currency transactions.</w:t>
      </w:r>
    </w:p>
    <w:p>
      <w:pPr>
        <w:spacing w:after="0" w:line="199" w:lineRule="exact"/>
        <w:rPr>
          <w:sz w:val="20"/>
          <w:szCs w:val="20"/>
          <w:color w:val="auto"/>
        </w:rPr>
      </w:pPr>
    </w:p>
    <w:p>
      <w:pPr>
        <w:ind w:right="60"/>
        <w:spacing w:after="0" w:line="244" w:lineRule="auto"/>
        <w:rPr>
          <w:sz w:val="20"/>
          <w:szCs w:val="20"/>
          <w:color w:val="auto"/>
        </w:rPr>
      </w:pPr>
      <w:r>
        <w:rPr>
          <w:rFonts w:ascii="Arial" w:cs="Arial" w:eastAsia="Arial" w:hAnsi="Arial"/>
          <w:sz w:val="13"/>
          <w:szCs w:val="13"/>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If any of the above risks or similar risks associated with our international operations were to materialise, our results of operations and financial condition could be materially adversely affected.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ectPr>
          <w:pgSz w:w="11900" w:h="16838" w:orient="portrait"/>
          <w:cols w:equalWidth="0" w:num="1">
            <w:col w:w="11280"/>
          </w:cols>
          <w:pgMar w:left="300" w:top="1288" w:right="319" w:bottom="1440" w:gutter="0" w:footer="0" w:header="0"/>
        </w:sectPr>
      </w:pPr>
    </w:p>
    <w:bookmarkStart w:id="171" w:name="page172"/>
    <w:bookmarkEnd w:id="171"/>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52" w:lineRule="exact"/>
        <w:rPr>
          <w:sz w:val="20"/>
          <w:szCs w:val="20"/>
          <w:color w:val="auto"/>
        </w:rPr>
      </w:pPr>
    </w:p>
    <w:p>
      <w:pPr>
        <w:spacing w:after="0" w:line="266" w:lineRule="auto"/>
        <w:rPr>
          <w:sz w:val="20"/>
          <w:szCs w:val="20"/>
          <w:color w:val="auto"/>
        </w:rPr>
      </w:pPr>
      <w:r>
        <w:rPr>
          <w:rFonts w:ascii="Arial" w:cs="Arial" w:eastAsia="Arial" w:hAnsi="Arial"/>
          <w:sz w:val="13"/>
          <w:szCs w:val="13"/>
          <w:b w:val="1"/>
          <w:bCs w:val="1"/>
          <w:i w:val="1"/>
          <w:iCs w:val="1"/>
          <w:color w:val="auto"/>
        </w:rPr>
        <w:t>We operate in many different jurisdictions and we could be adversely affected by violations of the Foreign Corrupt Practices Act of 1977 (FCPA), UK Bribery Act of 2010 and similar anti-corruption laws in other jurisdictions.</w:t>
      </w:r>
    </w:p>
    <w:p>
      <w:pPr>
        <w:spacing w:after="0" w:line="171" w:lineRule="exact"/>
        <w:rPr>
          <w:sz w:val="20"/>
          <w:szCs w:val="20"/>
          <w:color w:val="auto"/>
        </w:rPr>
      </w:pPr>
    </w:p>
    <w:p>
      <w:pPr>
        <w:jc w:val="both"/>
        <w:ind w:right="60"/>
        <w:spacing w:after="0" w:line="261" w:lineRule="auto"/>
        <w:rPr>
          <w:sz w:val="20"/>
          <w:szCs w:val="20"/>
          <w:color w:val="auto"/>
        </w:rPr>
      </w:pPr>
      <w:r>
        <w:rPr>
          <w:rFonts w:ascii="Arial" w:cs="Arial" w:eastAsia="Arial" w:hAnsi="Arial"/>
          <w:sz w:val="12"/>
          <w:szCs w:val="12"/>
          <w:color w:val="auto"/>
        </w:rPr>
        <w:t>The FCPA, UK Bribery Act of 2010 and similar anti-corruption laws in other jurisdictions prohibit companies and their intermediaries from making improper payments for the purpose of obtaining or retaining business. In addition, the FCPA imposes certain books, records and accounting control obligations on public companies and other issuers. Our internal policies mandate compliance with these anti-corruption laws. We operate in many jurisdictions that have experienced corruption to some degree and in certain circumstances, anti-corruption laws have appeared to conflict with local customs and practices. Despite our training and compliance programmes, we cannot assure that our internal control policies and procedures will protect us from acts in violation of anticorruption laws committed by persons associated with us and our continued expansion, including in developing countries, could increase such risk in the future. Violations of the FCPA, the U.K. Anti-Bribery Act of 2010 or other similar anti-corruption laws in other jurisdictions, or even allegations of such violations, could disrupt our business and result in a material adverse effect on our financial condition, results of operations, cash flows and reputation. For example, violations of anti-corruption laws can result in restatements of, or irregularities in, our financial statements as well as severe criminal or civil sanctions. In some cases, companies that violate the FCPA might be debarred by the U.S. government and/or lose their U.S. export privileges. In addition, U.S. or other governments may seek to hold us liable for successor liability FCPA violations or violations of other anticorruption laws committed by companies that we acquire or in which we invest. Changes in anti-corruption laws or enforcement priorities could also result in increased compliance requirements and related costs which could materially adversely affect our business, financial condition, results of operations and cash flows.</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3"/>
          <w:szCs w:val="13"/>
          <w:b w:val="1"/>
          <w:bCs w:val="1"/>
          <w:i w:val="1"/>
          <w:iCs w:val="1"/>
          <w:color w:val="auto"/>
        </w:rPr>
        <w:t>Current and proposed laws and regulations regarding the protection of personal data could result in increased risks of liability or increased costs to us or could limit our service offerings.</w:t>
      </w:r>
    </w:p>
    <w:p>
      <w:pPr>
        <w:spacing w:after="0" w:line="171" w:lineRule="exact"/>
        <w:rPr>
          <w:sz w:val="20"/>
          <w:szCs w:val="20"/>
          <w:color w:val="auto"/>
        </w:rPr>
      </w:pPr>
    </w:p>
    <w:p>
      <w:pPr>
        <w:jc w:val="both"/>
        <w:ind w:right="60"/>
        <w:spacing w:after="0" w:line="239" w:lineRule="auto"/>
        <w:rPr>
          <w:sz w:val="20"/>
          <w:szCs w:val="20"/>
          <w:color w:val="auto"/>
        </w:rPr>
      </w:pPr>
      <w:r>
        <w:rPr>
          <w:rFonts w:ascii="Arial" w:cs="Arial" w:eastAsia="Arial" w:hAnsi="Arial"/>
          <w:sz w:val="13"/>
          <w:szCs w:val="13"/>
          <w:color w:val="auto"/>
        </w:rPr>
        <w:t>The confidentiality, collection, use and disclosure of personal data, including clinical trial patient-specific information, is subject to governmental regulation generally in the country that the personal data was collected or used. For example, United States federal regulations under the Health Insurance Portability and Accountability Act of 1996, or HIPAA, and as amended in 2014 by the Health Information Technology for Economic and Clinical Health (“HITECH”) Act, require individuals’ written authorisation, in addition to any required informed consent, before Protected Health Information may be used for research. Such regulations specify standards for de-identifications and for limited data sets. We are both directly and indirectly affected by the privacy provisions surrounding individual authorisations because many investigators with whom we are involved in clinical trials are directly subject to them as a HIPAA “covered entity” and because we obtain identifiable health information from third parties that are subject to such regulations. As there are some instances where we are a HIPAA “business associate” of a “covered entity”, we can also be directly liable for mishandling protected health information. Under HIPAA’s enforcement scheme, we can be subject to up to $1.5 million in annual civil penalties for each HIPAA violation.</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The European data protection framework was significantly revised in 2018 with the coming into force of the General Data Protection Regulation ('GDPR') containing new provisions specifically directed at the processing of health information, sanctions of up to 4% of worldwide gross revenue and extra-territoriality measures intended to bring non-EU companies under the proposed regulation. Post GDPR implementation we are receiving increased volumes and breadth of data protection/privacy queries from both sponsors and strategic alliance partners and anticipate that this will continue.</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For the regulators in the European Union, or EU, personal data includes any information that relates to an identified or identifiable natural person with health information carrying special obligations, including obtaining the explicit consent from the individual for collection, use or disclosure of the information. EU regulations also apply to the personal data of EU data subjects travelling or living outside the EU. In addition, we are subject to EU rules with respect to cross-border transfers of such data out of the EU. The United States, the EU and its member states and other countries where we have operations, such as Japan, South Korea, Malaysia, the Philippines, Russia and Singapore, continue to issue new privacy and data protection rules and regulations that relate to personal data and health information. Failure to comply with certain certification/registration and annual re-certification/registration provisions associated with these data protection and privacy regulations and rules in various jurisdictions, or to resolve any serious privacy complaints, could subject us to regulatory sanctions, criminal prosecution or civil liability. Federal, state and foreign governments are contemplating or have proposed or adopted additional legislation governing the collection, possession, use or dissemination of personal data, such as personal health information and personal financial data as well as security breach notification rules for loss or theft of such data. Additional legislation or regulation of this type might, among other things, require us to implement new security measures and processes or bring within the legislation or regulation de-identified health or other personal data, each of which may require substantial expenditures or limit our ability to offer some of our services. Additionally, if we violate applicable laws, regulations or duties relating to the use, privacy or security of personal data, we could be subject to civil liability or criminal prosecution, be forced to alter our business practices or suffer reputational harm.</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ectPr>
          <w:pgSz w:w="11900" w:h="16838" w:orient="portrait"/>
          <w:cols w:equalWidth="0" w:num="1">
            <w:col w:w="11280"/>
          </w:cols>
          <w:pgMar w:left="300" w:top="1287" w:right="31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52" w:lineRule="exact"/>
        <w:rPr>
          <w:sz w:val="20"/>
          <w:szCs w:val="20"/>
          <w:color w:val="auto"/>
        </w:rPr>
      </w:pPr>
    </w:p>
    <w:p>
      <w:pPr>
        <w:spacing w:after="0" w:line="266" w:lineRule="auto"/>
        <w:rPr>
          <w:sz w:val="20"/>
          <w:szCs w:val="20"/>
          <w:color w:val="auto"/>
        </w:rPr>
      </w:pPr>
      <w:r>
        <w:rPr>
          <w:rFonts w:ascii="Arial" w:cs="Arial" w:eastAsia="Arial" w:hAnsi="Arial"/>
          <w:sz w:val="13"/>
          <w:szCs w:val="13"/>
          <w:b w:val="1"/>
          <w:bCs w:val="1"/>
          <w:i w:val="1"/>
          <w:iCs w:val="1"/>
          <w:color w:val="auto"/>
        </w:rPr>
        <w:t>The failure to comply with our government contracts or applicable laws and regulations could result in, among other things, fines or other liabilities, and changes in procurement regulations could adversely impact our business, results of operations or cash flows.</w:t>
      </w:r>
    </w:p>
    <w:p>
      <w:pPr>
        <w:spacing w:after="0" w:line="149" w:lineRule="exact"/>
        <w:rPr>
          <w:sz w:val="20"/>
          <w:szCs w:val="20"/>
          <w:color w:val="auto"/>
        </w:rPr>
      </w:pPr>
    </w:p>
    <w:p>
      <w:pPr>
        <w:jc w:val="both"/>
        <w:ind w:right="60"/>
        <w:spacing w:after="0" w:line="239" w:lineRule="auto"/>
        <w:rPr>
          <w:sz w:val="20"/>
          <w:szCs w:val="20"/>
          <w:color w:val="auto"/>
        </w:rPr>
      </w:pPr>
      <w:r>
        <w:rPr>
          <w:rFonts w:ascii="Arial" w:cs="Arial" w:eastAsia="Arial" w:hAnsi="Arial"/>
          <w:sz w:val="13"/>
          <w:szCs w:val="13"/>
          <w:color w:val="auto"/>
        </w:rPr>
        <w:t>Revenues from our government customers are derived from sales to federal, state and local governmental departments and agencies through various contracts. Sales to public segment customers are highly regulated. Noncompliance with contract provisions, government procurement regulations or other applicable laws or regulations (including but not limited to the False Claims Act) could result in civil, criminal and administrative liability, including substantial monetary fines or damages, termination of government contracts or other public segment customer contracts, and suspension, debarment or ineligibility from doing business with the government and other customers in the public segment. In addition, generally contracts in the public segment are terminable at any time for convenience of the contracting agency or upon default. The effect of any of these possible actions by any governmental department or agency could adversely affect our business, results of operations or cash flows. In addition, the adoption of new or modified procurement regulations and other requirements may increase our compliance costs and reduce our gross margins, which could have a negative effect on our business, results of operations or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Liability claims brought against us could result in payment of substantial damages, costs and liabilities and decrease our profitability.</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Customer Claims</w:t>
      </w:r>
    </w:p>
    <w:p>
      <w:pPr>
        <w:spacing w:after="0" w:line="11" w:lineRule="exact"/>
        <w:rPr>
          <w:sz w:val="20"/>
          <w:szCs w:val="20"/>
          <w:color w:val="auto"/>
        </w:rPr>
      </w:pPr>
    </w:p>
    <w:p>
      <w:pPr>
        <w:jc w:val="both"/>
        <w:ind w:right="60"/>
        <w:spacing w:after="0"/>
        <w:rPr>
          <w:sz w:val="20"/>
          <w:szCs w:val="20"/>
          <w:color w:val="auto"/>
        </w:rPr>
      </w:pPr>
      <w:r>
        <w:rPr>
          <w:rFonts w:ascii="Arial" w:cs="Arial" w:eastAsia="Arial" w:hAnsi="Arial"/>
          <w:sz w:val="13"/>
          <w:szCs w:val="13"/>
          <w:color w:val="auto"/>
        </w:rPr>
        <w:t>If we breach the terms of an agreement with a customer (for example if we fail to comply with the agreement, all applicable regulations or Good Clinical Practice) this could result in claims against us for substantial damages which could have a material adverse effect on our business. As we are a “people business” in that we provide staff to provide our services in hospitals and other sites, there is a risk that our management, quality and control structures fail to quickly detect a failure by one or more employees or contractors to comply with all applicable regulations and Good Clinical Practice and our internal requirements and standard operating procedures thereby exposing us to the risk of claims by customers.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Claims relating to Investigators</w:t>
      </w:r>
    </w:p>
    <w:p>
      <w:pPr>
        <w:spacing w:after="0" w:line="22" w:lineRule="exact"/>
        <w:rPr>
          <w:sz w:val="20"/>
          <w:szCs w:val="20"/>
          <w:color w:val="auto"/>
        </w:rPr>
      </w:pPr>
    </w:p>
    <w:p>
      <w:pPr>
        <w:jc w:val="both"/>
        <w:ind w:right="140"/>
        <w:spacing w:after="0" w:line="241" w:lineRule="auto"/>
        <w:rPr>
          <w:sz w:val="20"/>
          <w:szCs w:val="20"/>
          <w:color w:val="auto"/>
        </w:rPr>
      </w:pPr>
      <w:r>
        <w:rPr>
          <w:rFonts w:ascii="Arial" w:cs="Arial" w:eastAsia="Arial" w:hAnsi="Arial"/>
          <w:sz w:val="13"/>
          <w:szCs w:val="13"/>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or other actions brought against the investigators with whom we contract.</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Indemnification from Customers</w:t>
      </w:r>
    </w:p>
    <w:p>
      <w:pPr>
        <w:spacing w:after="0" w:line="11" w:lineRule="exact"/>
        <w:rPr>
          <w:sz w:val="20"/>
          <w:szCs w:val="20"/>
          <w:color w:val="auto"/>
        </w:rPr>
      </w:pPr>
    </w:p>
    <w:p>
      <w:pPr>
        <w:jc w:val="both"/>
        <w:ind w:right="120"/>
        <w:spacing w:after="0" w:line="241" w:lineRule="auto"/>
        <w:rPr>
          <w:sz w:val="20"/>
          <w:szCs w:val="20"/>
          <w:color w:val="auto"/>
        </w:rPr>
      </w:pPr>
      <w:r>
        <w:rPr>
          <w:rFonts w:ascii="Arial" w:cs="Arial" w:eastAsia="Arial" w:hAnsi="Arial"/>
          <w:sz w:val="13"/>
          <w:szCs w:val="13"/>
          <w:color w:val="auto"/>
        </w:rPr>
        <w:t>Indemnifications provided by our customers against the risk of liability for personal injury to or death of the patients arising from a study drug vary from customer to customer and from trial to trial and may not be sufficient in scope or amount, or our customer may not have the financial ability to fulfil their indemnification obligations. Furthermore, we would be liable for our own negligence and negligence of our employees which could lead to litigation from customers or action or enforcement by regulatory authorities.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Insurance</w:t>
      </w:r>
    </w:p>
    <w:p>
      <w:pPr>
        <w:spacing w:after="0" w:line="22" w:lineRule="exact"/>
        <w:rPr>
          <w:sz w:val="20"/>
          <w:szCs w:val="20"/>
          <w:color w:val="auto"/>
        </w:rPr>
      </w:pPr>
    </w:p>
    <w:p>
      <w:pPr>
        <w:jc w:val="both"/>
        <w:ind w:right="140"/>
        <w:spacing w:after="0" w:line="241" w:lineRule="auto"/>
        <w:rPr>
          <w:sz w:val="20"/>
          <w:szCs w:val="20"/>
          <w:color w:val="auto"/>
        </w:rPr>
      </w:pPr>
      <w:r>
        <w:rPr>
          <w:rFonts w:ascii="Arial" w:cs="Arial" w:eastAsia="Arial" w:hAnsi="Arial"/>
          <w:sz w:val="13"/>
          <w:szCs w:val="13"/>
          <w:color w:val="auto"/>
        </w:rPr>
        <w:t>We maintain what we believe is an appropriate level of worldwide Professional Liability/Error and Omissions Insurance. In the future we may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Claims to Date</w:t>
      </w:r>
    </w:p>
    <w:p>
      <w:pPr>
        <w:spacing w:after="0" w:line="22" w:lineRule="exact"/>
        <w:rPr>
          <w:sz w:val="20"/>
          <w:szCs w:val="20"/>
          <w:color w:val="auto"/>
        </w:rPr>
      </w:pPr>
    </w:p>
    <w:p>
      <w:pPr>
        <w:jc w:val="both"/>
        <w:ind w:right="120"/>
        <w:spacing w:after="0" w:line="244" w:lineRule="auto"/>
        <w:rPr>
          <w:sz w:val="20"/>
          <w:szCs w:val="20"/>
          <w:color w:val="auto"/>
        </w:rPr>
      </w:pPr>
      <w:r>
        <w:rPr>
          <w:rFonts w:ascii="Arial" w:cs="Arial" w:eastAsia="Arial" w:hAnsi="Arial"/>
          <w:sz w:val="13"/>
          <w:szCs w:val="13"/>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1280"/>
          </w:cols>
          <w:pgMar w:left="300" w:top="1288" w:right="319" w:bottom="1440" w:gutter="0" w:footer="0" w:header="0"/>
        </w:sectPr>
      </w:pPr>
    </w:p>
    <w:bookmarkStart w:id="173" w:name="page174"/>
    <w:bookmarkEnd w:id="173"/>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Our Indebtedness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incurred debt, which could impair our flexibility and access to capital and adversely affect our financial position.</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As of 31 December 2019, and 31 December 2018, we had an outstanding principal amount of indebtedness of $350 million under our $350 million Note Purchase and Guarantee Agreement or ‘Senior Notes’ that we entered into on 15 December 2015. The Senior Notes will mature on 15 December 2020. We also have up to $150 million of additional borrowing capacity available under the Revolving Credit Facility which was entered into with Citibank, JP Morgan, Santander, HSBC Bank and Morgan Stanley International on 12 March 2018. No amounts were drawn under the Revolving Credit Facility as of 31 December 2019. This facility bears interest at LIBOR plus a margin. We are monitoring the phasing out of LIBOR currently scheduled for 2021. We have engaged with our lenders on the implications of the change. In the absence of an agreed new rate, documents continue to be negotiated using LIBOR. We will continue to engage with our lenders in respect of the requirement for a new rate and seek an amendment letter at that point.</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cost and availability of credit are subject to changes in the global or regional economic environment. If conditions in the major credit markets deteriorate our ability to obtain debt financing on favourable terms may be negatively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We may incur additional debt in the future. Our debt could have significant adverse consequences, including to;</w:t>
      </w:r>
    </w:p>
    <w:p>
      <w:pPr>
        <w:spacing w:after="0" w:line="189" w:lineRule="exact"/>
        <w:rPr>
          <w:sz w:val="20"/>
          <w:szCs w:val="20"/>
          <w:color w:val="auto"/>
        </w:rPr>
      </w:pPr>
    </w:p>
    <w:p>
      <w:pPr>
        <w:ind w:left="500" w:hanging="240"/>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limit our ability to borrow additional funds for working capital, capital expenditures, acquisitions or other general business purposes;</w:t>
      </w:r>
    </w:p>
    <w:p>
      <w:pPr>
        <w:ind w:left="500" w:hanging="240"/>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limit our ability to use our cash flow or obtain additional financing for future working capital, capital expenditures, acquisitions or other general business purposes;</w:t>
      </w:r>
    </w:p>
    <w:p>
      <w:pPr>
        <w:ind w:left="500" w:hanging="240"/>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require us to use all or a portion of our cash flow from operations to make debt service payments;</w:t>
      </w:r>
    </w:p>
    <w:p>
      <w:pPr>
        <w:ind w:left="500" w:hanging="240"/>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require us to sell certain assets;</w:t>
      </w:r>
    </w:p>
    <w:p>
      <w:pPr>
        <w:ind w:left="500" w:hanging="240"/>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restrict us from making strategic investments, including acquisitions or cause us to make non-strategic divestitures;</w:t>
      </w:r>
    </w:p>
    <w:p>
      <w:pPr>
        <w:ind w:left="500" w:hanging="240"/>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place us at a competitive disadvantage compared to our competitors that have less debt;</w:t>
      </w:r>
    </w:p>
    <w:p>
      <w:pPr>
        <w:ind w:left="500" w:hanging="240"/>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cause us to incur substantial fees from time to time in connection with debt amendments or refinancing;</w:t>
      </w:r>
    </w:p>
    <w:p>
      <w:pPr>
        <w:ind w:left="500" w:hanging="240"/>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limit our flexibility to plan for, or react to, changes in our business and industry; and</w:t>
      </w:r>
    </w:p>
    <w:p>
      <w:pPr>
        <w:ind w:left="500" w:hanging="240"/>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increase our vulnerability to the impact of adverse economic and industry conditions.</w:t>
      </w:r>
    </w:p>
    <w:p>
      <w:pPr>
        <w:spacing w:after="0" w:line="190"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We are required, under the terms of the Senior Notes, to offer to purchase all of the outstanding Senior Notes if we experience a change of control. Similar requirements exist in the Revolving Credit Facility. These provisions may delay or prevent a change in control that our stockholders may consider desirable.</w:t>
      </w:r>
    </w:p>
    <w:p>
      <w:pPr>
        <w:spacing w:after="0" w:line="170" w:lineRule="exact"/>
        <w:rPr>
          <w:sz w:val="20"/>
          <w:szCs w:val="20"/>
          <w:color w:val="auto"/>
        </w:rPr>
      </w:pPr>
    </w:p>
    <w:p>
      <w:pPr>
        <w:spacing w:after="0" w:line="266" w:lineRule="auto"/>
        <w:rPr>
          <w:sz w:val="20"/>
          <w:szCs w:val="20"/>
          <w:color w:val="auto"/>
        </w:rPr>
      </w:pPr>
      <w:r>
        <w:rPr>
          <w:rFonts w:ascii="Arial" w:cs="Arial" w:eastAsia="Arial" w:hAnsi="Arial"/>
          <w:sz w:val="13"/>
          <w:szCs w:val="13"/>
          <w:b w:val="1"/>
          <w:bCs w:val="1"/>
          <w:i w:val="1"/>
          <w:iCs w:val="1"/>
          <w:color w:val="auto"/>
        </w:rPr>
        <w:t>Covenants in our credit agreements may restrict our business and operations and our financial condition and results of operations could be adversely affected if we do not comply with those covenants.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The Senior Notes and the Revolving Credit Facility credit agreements include certain customary covenants that limit our ability to, amongst other things, subject to certain exceptions;</w:t>
      </w:r>
    </w:p>
    <w:p>
      <w:pPr>
        <w:spacing w:after="0" w:line="189" w:lineRule="exact"/>
        <w:rPr>
          <w:sz w:val="20"/>
          <w:szCs w:val="20"/>
          <w:color w:val="auto"/>
        </w:rPr>
      </w:pP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incur or assume liens or additional debt;</w:t>
      </w: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dispose of assets;</w:t>
      </w: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engage in mergers or reorganisations, or;</w:t>
      </w:r>
    </w:p>
    <w:p>
      <w:pPr>
        <w:ind w:left="500" w:hanging="240"/>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enter into certain types of transactions with affiliates.</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Senior Notes agreement also includes certain financial covenants that require us to comply with a consolidated leverage ratio, a minimum EBITDA to consolidated net interest charge ratio and a maximum amount of priority debt, each of which are defined in the Note Purchase and Guarantee Agreement. Our ability to comply with these financial covenants may be affected by events beyond our control.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155</w:t>
      </w:r>
    </w:p>
    <w:p>
      <w:pPr>
        <w:sectPr>
          <w:pgSz w:w="11900" w:h="16838" w:orient="portrait"/>
          <w:cols w:equalWidth="0" w:num="1">
            <w:col w:w="11280"/>
          </w:cols>
          <w:pgMar w:left="300" w:top="1288" w:right="319" w:bottom="1440" w:gutter="0" w:footer="0" w:header="0"/>
        </w:sectPr>
      </w:pPr>
    </w:p>
    <w:bookmarkStart w:id="174" w:name="page175"/>
    <w:bookmarkEnd w:id="174"/>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5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Interest rate fluctuations may materially adversely affect our results of operations and financial condition in the event that the Company draws down on either Revolving Credit Facility or in respect of any future issuances of debt.</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interest rate in respect of the Senior Notes is fixed at 3.64% for the five year term of the agreement. The Revolving Credit Facility bears interest at LIBOR plus a margin. There were no amounts drawn on the Revolving Credit Facility at 31 December 2019. We continue to monitor the phasing out of LIBOR which is currently scheduled for 2021. We have engaged with our lenders on the implications of the change. In the absence of an agreed new rate, documents continue to be negotiated using LIBOR. We will continue to engage with our lenders in respect of the requirement for a new rate and seek an amendment letter at that point. The Company is therefore subject to interest rate volatility in respect of any future draw down on the Revolving Credit Facility or in respect of any future issuances of debt.</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Volatility in the market price of our common stock could lead to losses by investors.</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market price of our common stock has experienced volatility in the past and may experience volatility in the future which could lead to losses for investors. Factors impacting volatility in the market price of our common stock include, amongst others:</w:t>
      </w:r>
    </w:p>
    <w:p>
      <w:pPr>
        <w:spacing w:after="0" w:line="183" w:lineRule="exact"/>
        <w:rPr>
          <w:sz w:val="20"/>
          <w:szCs w:val="20"/>
          <w:color w:val="auto"/>
        </w:rPr>
      </w:pPr>
    </w:p>
    <w:p>
      <w:pPr>
        <w:ind w:left="500" w:hanging="240"/>
        <w:spacing w:after="0"/>
        <w:tabs>
          <w:tab w:leader="none" w:pos="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general market and economic conditions;</w:t>
      </w:r>
    </w:p>
    <w:p>
      <w:pPr>
        <w:ind w:left="500" w:hanging="240"/>
        <w:spacing w:after="0"/>
        <w:tabs>
          <w:tab w:leader="none" w:pos="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our results of operations;</w:t>
      </w:r>
    </w:p>
    <w:p>
      <w:pPr>
        <w:ind w:left="500" w:hanging="240"/>
        <w:spacing w:after="0"/>
        <w:tabs>
          <w:tab w:leader="none" w:pos="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issuance of new or changed securities analysts’ reports or recommendations;</w:t>
      </w:r>
    </w:p>
    <w:p>
      <w:pPr>
        <w:ind w:left="500" w:hanging="240"/>
        <w:spacing w:after="0"/>
        <w:tabs>
          <w:tab w:leader="none" w:pos="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developments impacting the industry or our competitors;</w:t>
      </w:r>
    </w:p>
    <w:p>
      <w:pPr>
        <w:ind w:left="500" w:hanging="240"/>
        <w:spacing w:after="0"/>
        <w:tabs>
          <w:tab w:leader="none" w:pos="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introduction of new products or services by us or our competitors;</w:t>
      </w:r>
    </w:p>
    <w:p>
      <w:pPr>
        <w:ind w:left="500" w:hanging="240"/>
        <w:spacing w:after="0"/>
        <w:tabs>
          <w:tab w:leader="none" w:pos="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public's reaction to our press releases, our other public announcements and our filings with the SEC;</w:t>
      </w:r>
    </w:p>
    <w:p>
      <w:pPr>
        <w:ind w:left="500" w:hanging="240"/>
        <w:spacing w:after="0"/>
        <w:tabs>
          <w:tab w:leader="none" w:pos="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guidance, if any, that we provide to the public, any changes in this guidance or failure to meet this guidance;</w:t>
      </w:r>
    </w:p>
    <w:p>
      <w:pPr>
        <w:ind w:left="500" w:hanging="240"/>
        <w:spacing w:after="0"/>
        <w:tabs>
          <w:tab w:leader="none" w:pos="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changes in the credit ratings of our debt;</w:t>
      </w:r>
    </w:p>
    <w:p>
      <w:pPr>
        <w:ind w:left="500" w:hanging="240"/>
        <w:spacing w:after="0"/>
        <w:tabs>
          <w:tab w:leader="none" w:pos="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sales, or anticipated sales, of large blocks of our stock;</w:t>
      </w:r>
    </w:p>
    <w:p>
      <w:pPr>
        <w:ind w:left="500" w:hanging="240"/>
        <w:spacing w:after="0"/>
        <w:tabs>
          <w:tab w:leader="none" w:pos="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additions or departures of key personnel;</w:t>
      </w:r>
    </w:p>
    <w:p>
      <w:pPr>
        <w:ind w:left="500" w:hanging="240"/>
        <w:spacing w:after="0"/>
        <w:tabs>
          <w:tab w:leader="none" w:pos="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regulatory or political developments;</w:t>
      </w:r>
    </w:p>
    <w:p>
      <w:pPr>
        <w:ind w:left="500" w:hanging="240"/>
        <w:spacing w:after="0"/>
        <w:tabs>
          <w:tab w:leader="none" w:pos="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litigation and governmental investigations;</w:t>
      </w:r>
    </w:p>
    <w:p>
      <w:pPr>
        <w:ind w:left="500" w:hanging="240"/>
        <w:spacing w:after="0"/>
        <w:tabs>
          <w:tab w:leader="none" w:pos="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changing economic conditions;</w:t>
      </w:r>
    </w:p>
    <w:p>
      <w:pPr>
        <w:ind w:left="500" w:hanging="240"/>
        <w:spacing w:after="0"/>
        <w:tabs>
          <w:tab w:leader="none" w:pos="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exchange rate fluctuations; and</w:t>
      </w:r>
    </w:p>
    <w:p>
      <w:pPr>
        <w:ind w:left="500" w:hanging="240"/>
        <w:spacing w:after="0"/>
        <w:tabs>
          <w:tab w:leader="none" w:pos="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other events or factors, including those resulting from natural disasters, war, acts of terrorism or responses to those events.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To the extent any statements made in this annual report deal with information that is not historical, these statements are necessarily forward-looking. Because forward-looking statements relate to the future, they are subject to inherent uncertainties, risks and changes in circumstances that are difficult to predict and many of which are outside of the Group’s control. Any forward-looking statement made by the Group is based only on information currently available as at the time of publication of this report. Forward-looking statements are subject to the occurrence of many events outside of the Group’s control and are subject to various risk factors that would cause our results to differ materially from those expressed in any forward-looking statement. These risk factors described in Appendix A include, without limitation, the inherent risk of dependence on pharmaceutical and biotechnology industries and certain clients, termination or delay of large contracts, risk of cost overruns, the risk of clinical outcomes, regulatory risks and market competition.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156</w:t>
      </w:r>
    </w:p>
    <w:sectPr>
      <w:pgSz w:w="11900" w:h="16838" w:orient="portrait"/>
      <w:cols w:equalWidth="0" w:num="1">
        <w:col w:w="11280"/>
      </w:cols>
      <w:pgMar w:left="300" w:top="128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lowerRoman"/>
      <w:start w:val="1"/>
    </w:lvl>
  </w:abstractNum>
  <w:abstractNum w:abstractNumId="29">
    <w:nsid w:val="153EA438"/>
    <w:multiLevelType w:val="hybridMultilevel"/>
    <w:lvl w:ilvl="0">
      <w:lvlJc w:val="left"/>
      <w:lvlText w:val="(%1)"/>
      <w:numFmt w:val="lowerRoman"/>
      <w:start w:val="2"/>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lowerLetter"/>
      <w:start w:val="2"/>
    </w:lvl>
    <w:lvl w:ilvl="1">
      <w:lvlJc w:val="left"/>
      <w:lvlText w:val="•"/>
      <w:numFmt w:val="bullet"/>
      <w:start w:val="1"/>
    </w:lvl>
  </w:abstractNum>
  <w:abstractNum w:abstractNumId="35">
    <w:nsid w:val="725A06FB"/>
    <w:multiLevelType w:val="hybridMultilevel"/>
    <w:lvl w:ilvl="0">
      <w:lvlJc w:val="left"/>
      <w:lvlText w:val="(%1)"/>
      <w:numFmt w:val="lowerRoman"/>
      <w:start w:val="1"/>
    </w:lvl>
  </w:abstractNum>
  <w:abstractNum w:abstractNumId="36">
    <w:nsid w:val="2CD89A32"/>
    <w:multiLevelType w:val="hybridMultilevel"/>
    <w:lvl w:ilvl="0">
      <w:lvlJc w:val="left"/>
      <w:lvlText w:val="(%1)"/>
      <w:numFmt w:val="lowerRoman"/>
      <w:start w:val="2"/>
    </w:lvl>
  </w:abstractNum>
  <w:abstractNum w:abstractNumId="37">
    <w:nsid w:val="57E4CCAF"/>
    <w:multiLevelType w:val="hybridMultilevel"/>
    <w:lvl w:ilvl="0">
      <w:lvlJc w:val="left"/>
      <w:lvlText w:val="%1."/>
      <w:numFmt w:val="decimal"/>
      <w:start w:val="32"/>
    </w:lvl>
    <w:lvl w:ilvl="1">
      <w:lvlJc w:val="left"/>
      <w:lvlText w:val="****"/>
      <w:numFmt w:val="bullet"/>
      <w:start w:val="1"/>
    </w:lvl>
  </w:abstractNum>
  <w:abstractNum w:abstractNumId="38">
    <w:nsid w:val="7A6D8D3C"/>
    <w:multiLevelType w:val="hybridMultilevel"/>
    <w:lvl w:ilvl="0">
      <w:lvlJc w:val="left"/>
      <w:lvlText w:val="%1."/>
      <w:numFmt w:val="lowerLetter"/>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lowerLetter"/>
      <w:start w:val="1"/>
    </w:lvl>
  </w:abstractNum>
  <w:abstractNum w:abstractNumId="41">
    <w:nsid w:val="6DE91B18"/>
    <w:multiLevelType w:val="hybridMultilevel"/>
    <w:lvl w:ilvl="0">
      <w:lvlJc w:val="left"/>
      <w:lvlText w:val="%1"/>
      <w:numFmt w:val="lowerLetter"/>
      <w:start w:val="1"/>
    </w:lvl>
    <w:lvl w:ilvl="1">
      <w:lvlJc w:val="left"/>
      <w:lvlText w:val="(%2)"/>
      <w:numFmt w:val="lowerRoman"/>
      <w:start w:val="1"/>
    </w:lvl>
  </w:abstractNum>
  <w:abstractNum w:abstractNumId="42">
    <w:nsid w:val="38437FDB"/>
    <w:multiLevelType w:val="hybridMultilevel"/>
    <w:lvl w:ilvl="0">
      <w:lvlJc w:val="left"/>
      <w:lvlText w:val="(%1)"/>
      <w:numFmt w:val="lowerLetter"/>
      <w:start w:val="3"/>
    </w:lvl>
    <w:lvl w:ilvl="1">
      <w:lvlJc w:val="left"/>
      <w:lvlText w:val="%2"/>
      <w:numFmt w:val="lowerRoman"/>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2020-06-09T06:58:15Z</dcterms:created>
  <dcterms:modified xsi:type="dcterms:W3CDTF">2020-06-09T06:58:15Z</dcterms:modified>
</cp:coreProperties>
</file>