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As filed with the Securities and Exchange Commission on July 22, 2013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ICON plc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4220" w:type="dxa"/>
            <w:vAlign w:val="bottom"/>
            <w:gridSpan w:val="7"/>
          </w:tcPr>
          <w:p>
            <w:pPr>
              <w:jc w:val="center"/>
              <w:ind w:right="3660"/>
              <w:spacing w:after="0"/>
              <w:rPr>
                <w:sz w:val="20"/>
                <w:szCs w:val="20"/>
                <w:color w:val="auto"/>
              </w:rPr>
            </w:pPr>
            <w:r>
              <w:rPr>
                <w:rFonts w:ascii="Arial" w:cs="Arial" w:eastAsia="Arial" w:hAnsi="Arial"/>
                <w:sz w:val="18"/>
                <w:szCs w:val="18"/>
                <w:b w:val="1"/>
                <w:bCs w:val="1"/>
                <w:color w:val="auto"/>
                <w:w w:val="94"/>
              </w:rPr>
              <w:t>Ireland</w:t>
            </w:r>
          </w:p>
        </w:tc>
        <w:tc>
          <w:tcPr>
            <w:tcW w:w="408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2"/>
              </w:rPr>
              <w:t>Not Applicable</w:t>
            </w:r>
          </w:p>
        </w:tc>
      </w:tr>
      <w:tr>
        <w:trPr>
          <w:trHeight w:val="20"/>
        </w:trPr>
        <w:tc>
          <w:tcPr>
            <w:tcW w:w="3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37"/>
        </w:trPr>
        <w:tc>
          <w:tcPr>
            <w:tcW w:w="7340" w:type="dxa"/>
            <w:vAlign w:val="bottom"/>
            <w:gridSpan w:val="8"/>
          </w:tcPr>
          <w:p>
            <w:pPr>
              <w:jc w:val="center"/>
              <w:ind w:right="5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80" w:type="dxa"/>
            <w:vAlign w:val="bottom"/>
            <w:gridSpan w:val="3"/>
          </w:tcPr>
          <w:p>
            <w:pPr>
              <w:jc w:val="center"/>
              <w:ind w:right="45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3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South County Business Park</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9"/>
              </w:rPr>
              <w:t>Leopardstown</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94"/>
        </w:trPr>
        <w:tc>
          <w:tcPr>
            <w:tcW w:w="3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4"/>
              </w:rPr>
              <w:t>Dublin 18, Ireland</w:t>
            </w:r>
          </w:p>
        </w:tc>
        <w:tc>
          <w:tcPr>
            <w:tcW w:w="920" w:type="dxa"/>
            <w:vAlign w:val="bottom"/>
            <w:gridSpan w:val="2"/>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7"/>
        </w:trPr>
        <w:tc>
          <w:tcPr>
            <w:tcW w:w="7340" w:type="dxa"/>
            <w:vAlign w:val="bottom"/>
            <w:gridSpan w:val="8"/>
          </w:tcPr>
          <w:p>
            <w:pPr>
              <w:spacing w:after="0"/>
              <w:rPr>
                <w:sz w:val="20"/>
                <w:szCs w:val="20"/>
                <w:color w:val="auto"/>
              </w:rPr>
            </w:pPr>
            <w:r>
              <w:rPr>
                <w:rFonts w:ascii="Arial" w:cs="Arial" w:eastAsia="Arial" w:hAnsi="Arial"/>
                <w:sz w:val="18"/>
                <w:szCs w:val="18"/>
                <w:color w:val="auto"/>
              </w:rPr>
              <w:t>(Address of Principal Executive Offices)</w:t>
            </w: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tcPr>
          <w:p>
            <w:pPr>
              <w:ind w:left="940"/>
              <w:spacing w:after="0"/>
              <w:rPr>
                <w:sz w:val="20"/>
                <w:szCs w:val="20"/>
                <w:color w:val="auto"/>
              </w:rPr>
            </w:pPr>
            <w:r>
              <w:rPr>
                <w:rFonts w:ascii="Arial" w:cs="Arial" w:eastAsia="Arial" w:hAnsi="Arial"/>
                <w:sz w:val="18"/>
                <w:szCs w:val="18"/>
                <w:color w:val="auto"/>
                <w:w w:val="91"/>
              </w:rPr>
              <w:t>(Zip Code)</w:t>
            </w:r>
          </w:p>
        </w:tc>
      </w:tr>
      <w:tr>
        <w:trPr>
          <w:trHeight w:val="419"/>
        </w:trPr>
        <w:tc>
          <w:tcPr>
            <w:tcW w:w="3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ICON plc 2013 Restricted Share Unit Plan</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7"/>
        </w:trPr>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20" w:type="dxa"/>
            <w:vAlign w:val="bottom"/>
            <w:gridSpan w:val="4"/>
          </w:tcPr>
          <w:p>
            <w:pPr>
              <w:jc w:val="center"/>
              <w:ind w:right="440"/>
              <w:spacing w:after="0"/>
              <w:rPr>
                <w:sz w:val="20"/>
                <w:szCs w:val="20"/>
                <w:color w:val="auto"/>
              </w:rPr>
            </w:pPr>
            <w:r>
              <w:rPr>
                <w:rFonts w:ascii="Arial" w:cs="Arial" w:eastAsia="Arial" w:hAnsi="Arial"/>
                <w:sz w:val="18"/>
                <w:szCs w:val="18"/>
                <w:color w:val="auto"/>
                <w:w w:val="94"/>
              </w:rPr>
              <w:t>(Full title of the plan)</w:t>
            </w: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41"/>
        </w:trPr>
        <w:tc>
          <w:tcPr>
            <w:tcW w:w="3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5"/>
              </w:rPr>
              <w:t>Cahill Gordon &amp; Reindel LLP</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8"/>
              </w:rPr>
              <w:t>80 Pine Street</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4"/>
              </w:rPr>
              <w:t>New York, New York 10005</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94"/>
        </w:trPr>
        <w:tc>
          <w:tcPr>
            <w:tcW w:w="3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20" w:type="dxa"/>
            <w:vAlign w:val="bottom"/>
            <w:gridSpan w:val="4"/>
          </w:tcPr>
          <w:p>
            <w:pPr>
              <w:jc w:val="center"/>
              <w:ind w:right="440"/>
              <w:spacing w:after="0" w:line="194" w:lineRule="exact"/>
              <w:rPr>
                <w:sz w:val="20"/>
                <w:szCs w:val="20"/>
                <w:color w:val="auto"/>
              </w:rPr>
            </w:pPr>
            <w:r>
              <w:rPr>
                <w:rFonts w:ascii="Arial" w:cs="Arial" w:eastAsia="Arial" w:hAnsi="Arial"/>
                <w:sz w:val="18"/>
                <w:szCs w:val="18"/>
                <w:b w:val="1"/>
                <w:bCs w:val="1"/>
                <w:color w:val="auto"/>
                <w:w w:val="90"/>
              </w:rPr>
              <w:t>Attention: John Schuster, Esq.</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
        </w:trPr>
        <w:tc>
          <w:tcPr>
            <w:tcW w:w="3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37"/>
        </w:trPr>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jc w:val="center"/>
              <w:spacing w:after="0"/>
              <w:rPr>
                <w:sz w:val="20"/>
                <w:szCs w:val="20"/>
                <w:color w:val="auto"/>
              </w:rPr>
            </w:pPr>
            <w:r>
              <w:rPr>
                <w:rFonts w:ascii="Arial" w:cs="Arial" w:eastAsia="Arial" w:hAnsi="Arial"/>
                <w:sz w:val="18"/>
                <w:szCs w:val="18"/>
                <w:color w:val="auto"/>
                <w:w w:val="89"/>
              </w:rPr>
              <w:t>(Name and address of agent for service)</w:t>
            </w: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(212) 701-3000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0" w:lineRule="exact"/>
        <w:rPr>
          <w:sz w:val="24"/>
          <w:szCs w:val="24"/>
          <w:color w:val="auto"/>
        </w:rPr>
      </w:pPr>
    </w:p>
    <w:p>
      <w:pPr>
        <w:spacing w:after="0" w:line="28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Large accelerated filer x</w:t>
            </w: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00" w:type="dxa"/>
            <w:vAlign w:val="bottom"/>
          </w:tcPr>
          <w:p>
            <w:pPr>
              <w:ind w:left="840"/>
              <w:spacing w:after="0"/>
              <w:rPr>
                <w:sz w:val="20"/>
                <w:szCs w:val="20"/>
                <w:color w:val="auto"/>
              </w:rPr>
            </w:pPr>
            <w:r>
              <w:rPr>
                <w:rFonts w:ascii="Arial" w:cs="Arial" w:eastAsia="Arial" w:hAnsi="Arial"/>
                <w:sz w:val="18"/>
                <w:szCs w:val="18"/>
                <w:color w:val="auto"/>
                <w:w w:val="98"/>
              </w:rPr>
              <w:t>Accelerated filer o</w:t>
            </w:r>
          </w:p>
        </w:tc>
        <w:tc>
          <w:tcPr>
            <w:tcW w:w="2260" w:type="dxa"/>
            <w:vAlign w:val="bottom"/>
          </w:tcPr>
          <w:p>
            <w:pPr>
              <w:spacing w:after="0"/>
              <w:rPr>
                <w:sz w:val="18"/>
                <w:szCs w:val="18"/>
                <w:color w:val="auto"/>
              </w:rPr>
            </w:pPr>
          </w:p>
        </w:tc>
      </w:tr>
      <w:tr>
        <w:trPr>
          <w:trHeight w:val="230"/>
        </w:trPr>
        <w:tc>
          <w:tcPr>
            <w:tcW w:w="6860" w:type="dxa"/>
            <w:vAlign w:val="bottom"/>
            <w:gridSpan w:val="6"/>
          </w:tcPr>
          <w:p>
            <w:pPr>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4560" w:type="dxa"/>
            <w:vAlign w:val="bottom"/>
            <w:gridSpan w:val="2"/>
          </w:tcPr>
          <w:p>
            <w:pPr>
              <w:ind w:left="840"/>
              <w:spacing w:after="0"/>
              <w:rPr>
                <w:sz w:val="20"/>
                <w:szCs w:val="20"/>
                <w:color w:val="auto"/>
              </w:rPr>
            </w:pPr>
            <w:r>
              <w:rPr>
                <w:rFonts w:ascii="Arial" w:cs="Arial" w:eastAsia="Arial" w:hAnsi="Arial"/>
                <w:sz w:val="18"/>
                <w:szCs w:val="18"/>
                <w:color w:val="auto"/>
              </w:rPr>
              <w:t>Smaller reporting company o</w:t>
            </w:r>
          </w:p>
        </w:tc>
      </w:tr>
      <w:tr>
        <w:trPr>
          <w:trHeight w:val="459"/>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0" w:type="dxa"/>
            <w:vAlign w:val="bottom"/>
            <w:gridSpan w:val="3"/>
          </w:tcPr>
          <w:p>
            <w:pPr>
              <w:jc w:val="center"/>
              <w:ind w:right="1610"/>
              <w:spacing w:after="0"/>
              <w:rPr>
                <w:sz w:val="20"/>
                <w:szCs w:val="20"/>
                <w:color w:val="auto"/>
              </w:rPr>
            </w:pPr>
            <w:r>
              <w:rPr>
                <w:rFonts w:ascii="Arial" w:cs="Arial" w:eastAsia="Arial" w:hAnsi="Arial"/>
                <w:sz w:val="18"/>
                <w:szCs w:val="18"/>
                <w:b w:val="1"/>
                <w:bCs w:val="1"/>
                <w:color w:val="auto"/>
              </w:rPr>
              <w:t>CALCULATION OF REGISTRATION FEE</w:t>
            </w:r>
          </w:p>
        </w:tc>
        <w:tc>
          <w:tcPr>
            <w:tcW w:w="22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r>
      <w:tr>
        <w:trPr>
          <w:trHeight w:val="181"/>
        </w:trPr>
        <w:tc>
          <w:tcPr>
            <w:tcW w:w="40" w:type="dxa"/>
            <w:vAlign w:val="bottom"/>
            <w:tcBorders>
              <w:right w:val="single" w:sz="8" w:color="auto"/>
            </w:tcBorders>
          </w:tcPr>
          <w:p>
            <w:pPr>
              <w:spacing w:after="0"/>
              <w:rPr>
                <w:sz w:val="15"/>
                <w:szCs w:val="15"/>
                <w:color w:val="auto"/>
              </w:rPr>
            </w:pPr>
          </w:p>
        </w:tc>
        <w:tc>
          <w:tcPr>
            <w:tcW w:w="22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89"/>
              </w:rPr>
              <w:t>Title of Securities to</w:t>
            </w:r>
          </w:p>
        </w:tc>
        <w:tc>
          <w:tcPr>
            <w:tcW w:w="40" w:type="dxa"/>
            <w:vAlign w:val="bottom"/>
          </w:tcPr>
          <w:p>
            <w:pPr>
              <w:spacing w:after="0"/>
              <w:rPr>
                <w:sz w:val="15"/>
                <w:szCs w:val="15"/>
                <w:color w:val="auto"/>
              </w:rPr>
            </w:pPr>
          </w:p>
        </w:tc>
        <w:tc>
          <w:tcPr>
            <w:tcW w:w="1640" w:type="dxa"/>
            <w:vAlign w:val="bottom"/>
          </w:tcPr>
          <w:p>
            <w:pPr>
              <w:jc w:val="center"/>
              <w:ind w:left="470"/>
              <w:spacing w:after="0" w:line="182" w:lineRule="exact"/>
              <w:rPr>
                <w:sz w:val="20"/>
                <w:szCs w:val="20"/>
                <w:color w:val="auto"/>
              </w:rPr>
            </w:pPr>
            <w:r>
              <w:rPr>
                <w:rFonts w:ascii="Arial" w:cs="Arial" w:eastAsia="Arial" w:hAnsi="Arial"/>
                <w:sz w:val="18"/>
                <w:szCs w:val="18"/>
                <w:b w:val="1"/>
                <w:bCs w:val="1"/>
                <w:color w:val="auto"/>
                <w:w w:val="89"/>
              </w:rPr>
              <w:t>Amount to be</w:t>
            </w:r>
          </w:p>
        </w:tc>
        <w:tc>
          <w:tcPr>
            <w:tcW w:w="62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1"/>
              </w:rPr>
              <w:t>Proposed Maximum</w:t>
            </w:r>
          </w:p>
        </w:tc>
        <w:tc>
          <w:tcPr>
            <w:tcW w:w="23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1"/>
              </w:rPr>
              <w:t>Proposed Maximum</w:t>
            </w:r>
          </w:p>
        </w:tc>
        <w:tc>
          <w:tcPr>
            <w:tcW w:w="22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1"/>
              </w:rPr>
              <w:t>Amount of</w:t>
            </w:r>
          </w:p>
        </w:tc>
      </w:tr>
      <w:tr>
        <w:trPr>
          <w:trHeight w:val="216"/>
        </w:trPr>
        <w:tc>
          <w:tcPr>
            <w:tcW w:w="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 Registered</w:t>
            </w:r>
          </w:p>
        </w:tc>
        <w:tc>
          <w:tcPr>
            <w:tcW w:w="40" w:type="dxa"/>
            <w:vAlign w:val="bottom"/>
          </w:tcPr>
          <w:p>
            <w:pPr>
              <w:spacing w:after="0"/>
              <w:rPr>
                <w:sz w:val="18"/>
                <w:szCs w:val="18"/>
                <w:color w:val="auto"/>
              </w:rPr>
            </w:pPr>
          </w:p>
        </w:tc>
        <w:tc>
          <w:tcPr>
            <w:tcW w:w="164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Registered (1)</w:t>
            </w:r>
          </w:p>
        </w:tc>
        <w:tc>
          <w:tcPr>
            <w:tcW w:w="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 (3)</w:t>
            </w:r>
          </w:p>
        </w:tc>
      </w:tr>
      <w:tr>
        <w:trPr>
          <w:trHeight w:val="258"/>
        </w:trPr>
        <w:tc>
          <w:tcPr>
            <w:tcW w:w="40" w:type="dxa"/>
            <w:vAlign w:val="bottom"/>
            <w:tcBorders>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 share (2)</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(2)</w:t>
            </w:r>
          </w:p>
        </w:tc>
        <w:tc>
          <w:tcPr>
            <w:tcW w:w="2260" w:type="dxa"/>
            <w:vAlign w:val="bottom"/>
            <w:tcBorders>
              <w:bottom w:val="single" w:sz="8" w:color="auto"/>
              <w:right w:val="single" w:sz="8" w:color="auto"/>
            </w:tcBorders>
          </w:tcPr>
          <w:p>
            <w:pPr>
              <w:spacing w:after="0"/>
              <w:rPr>
                <w:sz w:val="22"/>
                <w:szCs w:val="22"/>
                <w:color w:val="auto"/>
              </w:rPr>
            </w:pPr>
          </w:p>
        </w:tc>
      </w:tr>
      <w:tr>
        <w:trPr>
          <w:trHeight w:val="185"/>
        </w:trPr>
        <w:tc>
          <w:tcPr>
            <w:tcW w:w="40" w:type="dxa"/>
            <w:vAlign w:val="bottom"/>
            <w:tcBorders>
              <w:right w:val="single" w:sz="8" w:color="auto"/>
            </w:tcBorders>
            <w:shd w:val="clear" w:color="auto" w:fill="000000"/>
          </w:tcPr>
          <w:p>
            <w:pPr>
              <w:spacing w:after="0"/>
              <w:rPr>
                <w:sz w:val="16"/>
                <w:szCs w:val="16"/>
                <w:color w:val="auto"/>
              </w:rPr>
            </w:pPr>
          </w:p>
        </w:tc>
        <w:tc>
          <w:tcPr>
            <w:tcW w:w="2240" w:type="dxa"/>
            <w:vAlign w:val="bottom"/>
          </w:tcPr>
          <w:p>
            <w:pPr>
              <w:jc w:val="center"/>
              <w:spacing w:after="0" w:line="185" w:lineRule="exact"/>
              <w:rPr>
                <w:sz w:val="20"/>
                <w:szCs w:val="20"/>
                <w:color w:val="auto"/>
              </w:rPr>
            </w:pPr>
            <w:r>
              <w:rPr>
                <w:rFonts w:ascii="Arial" w:cs="Arial" w:eastAsia="Arial" w:hAnsi="Arial"/>
                <w:sz w:val="18"/>
                <w:szCs w:val="18"/>
                <w:color w:val="auto"/>
                <w:w w:val="89"/>
              </w:rPr>
              <w:t>Ordinary Shares, par value 6</w:t>
            </w:r>
          </w:p>
        </w:tc>
        <w:tc>
          <w:tcPr>
            <w:tcW w:w="40" w:type="dxa"/>
            <w:vAlign w:val="bottom"/>
            <w:tcBorders>
              <w:right w:val="single" w:sz="8" w:color="auto"/>
            </w:tcBorders>
          </w:tcPr>
          <w:p>
            <w:pPr>
              <w:spacing w:after="0"/>
              <w:rPr>
                <w:sz w:val="16"/>
                <w:szCs w:val="16"/>
                <w:color w:val="auto"/>
              </w:rPr>
            </w:pPr>
          </w:p>
        </w:tc>
        <w:tc>
          <w:tcPr>
            <w:tcW w:w="1640" w:type="dxa"/>
            <w:vAlign w:val="bottom"/>
          </w:tcPr>
          <w:p>
            <w:pPr>
              <w:jc w:val="center"/>
              <w:ind w:left="510"/>
              <w:spacing w:after="0" w:line="185" w:lineRule="exact"/>
              <w:rPr>
                <w:sz w:val="20"/>
                <w:szCs w:val="20"/>
                <w:color w:val="auto"/>
              </w:rPr>
            </w:pPr>
            <w:r>
              <w:rPr>
                <w:rFonts w:ascii="Arial" w:cs="Arial" w:eastAsia="Arial" w:hAnsi="Arial"/>
                <w:sz w:val="18"/>
                <w:szCs w:val="18"/>
                <w:color w:val="auto"/>
                <w:w w:val="89"/>
              </w:rPr>
              <w:t>1,600,000</w:t>
            </w:r>
          </w:p>
        </w:tc>
        <w:tc>
          <w:tcPr>
            <w:tcW w:w="62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$37.90</w:t>
            </w:r>
          </w:p>
        </w:tc>
        <w:tc>
          <w:tcPr>
            <w:tcW w:w="230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89"/>
              </w:rPr>
              <w:t>$60,632,000.00</w:t>
            </w:r>
          </w:p>
        </w:tc>
        <w:tc>
          <w:tcPr>
            <w:tcW w:w="22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89"/>
              </w:rPr>
              <w:t>$8,270.20</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Euro cents each reserved for</w:t>
            </w:r>
          </w:p>
        </w:tc>
        <w:tc>
          <w:tcPr>
            <w:tcW w:w="4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issuance under the ICON plc</w:t>
            </w:r>
          </w:p>
        </w:tc>
        <w:tc>
          <w:tcPr>
            <w:tcW w:w="4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2013 Restricted Share Unit</w:t>
            </w:r>
          </w:p>
        </w:tc>
        <w:tc>
          <w:tcPr>
            <w:tcW w:w="4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7"/>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4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902"/>
        </w:trPr>
        <w:tc>
          <w:tcPr>
            <w:tcW w:w="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 w:name="page2"/>
    <w:bookmarkEnd w:id="1"/>
    <w:p>
      <w:pPr>
        <w:jc w:val="both"/>
        <w:ind w:left="660" w:hanging="304"/>
        <w:spacing w:after="0" w:line="25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416(c) under the Securities Act of 1933, as amended (the “Securities Act”), this Registration Statement shall also cover an indeterminate number Ordinary Shares that may, with respect to the Ordinary Shares registered hereunder, become issuable under the ICON plc 2013 Restricted Share Unit Plan (the “2013 RSU Plan”) by reason of any stock dividend, stock split, recapitalization, or other similar transaction effected without ICON’s receipt of consideration that results in an increase in the number of outstanding Ordinary Shares in accordance with the provisions of the 2013 RSU Plan described herein.</w:t>
      </w:r>
    </w:p>
    <w:p>
      <w:pPr>
        <w:spacing w:after="0" w:line="215" w:lineRule="exact"/>
        <w:rPr>
          <w:rFonts w:ascii="Arial" w:cs="Arial" w:eastAsia="Arial" w:hAnsi="Arial"/>
          <w:sz w:val="18"/>
          <w:szCs w:val="18"/>
          <w:color w:val="auto"/>
        </w:rPr>
      </w:pPr>
    </w:p>
    <w:p>
      <w:pPr>
        <w:jc w:val="both"/>
        <w:ind w:left="660" w:hanging="304"/>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computed pursuant to Rule 457(c) and Rule 457(h)(1) under the Securities Act of 1933, as amended, on the basis of the average of the high and low sales prices of an ordinary share, as reported on The NASDAQ Global Select Market on July19, 2013.</w:t>
      </w:r>
    </w:p>
    <w:p>
      <w:pPr>
        <w:spacing w:after="0" w:line="208" w:lineRule="exact"/>
        <w:rPr>
          <w:rFonts w:ascii="Arial" w:cs="Arial" w:eastAsia="Arial" w:hAnsi="Arial"/>
          <w:sz w:val="18"/>
          <w:szCs w:val="18"/>
          <w:color w:val="auto"/>
        </w:rPr>
      </w:pPr>
    </w:p>
    <w:p>
      <w:pPr>
        <w:ind w:left="660" w:hanging="30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is based on the proposed maximum aggregate offering price of $60,632,000.00. See note (2)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r>
        <w:rPr>
          <w:rFonts w:ascii="Arial" w:cs="Arial" w:eastAsia="Arial" w:hAnsi="Arial"/>
          <w:sz w:val="17"/>
          <w:szCs w:val="17"/>
          <w:color w:val="auto"/>
        </w:rPr>
        <w:t>*</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r>
        <w:rPr>
          <w:rFonts w:ascii="Arial" w:cs="Arial" w:eastAsia="Arial" w:hAnsi="Arial"/>
          <w:sz w:val="16"/>
          <w:szCs w:val="16"/>
          <w:color w:val="auto"/>
        </w:rPr>
        <w:t>*</w:t>
      </w:r>
    </w:p>
    <w:p>
      <w:pPr>
        <w:spacing w:after="0" w:line="256" w:lineRule="exact"/>
        <w:rPr>
          <w:sz w:val="20"/>
          <w:szCs w:val="20"/>
          <w:color w:val="auto"/>
        </w:rPr>
      </w:pPr>
    </w:p>
    <w:p>
      <w:pPr>
        <w:ind w:right="720" w:firstLine="8"/>
        <w:spacing w:after="0" w:line="308" w:lineRule="auto"/>
        <w:tabs>
          <w:tab w:leader="none" w:pos="585" w:val="left"/>
        </w:tabs>
        <w:numPr>
          <w:ilvl w:val="0"/>
          <w:numId w:val="2"/>
        </w:numPr>
        <w:rPr>
          <w:rFonts w:ascii="Arial" w:cs="Arial" w:eastAsia="Arial" w:hAnsi="Arial"/>
          <w:sz w:val="17"/>
          <w:szCs w:val="17"/>
          <w:color w:val="auto"/>
        </w:rPr>
      </w:pPr>
      <w:r>
        <w:rPr>
          <w:rFonts w:ascii="Arial" w:cs="Arial" w:eastAsia="Arial" w:hAnsi="Arial"/>
          <w:sz w:val="17"/>
          <w:szCs w:val="17"/>
          <w:color w:val="auto"/>
        </w:rPr>
        <w:t>Information required by Part I to be contained in the Section 10(a) prospectus is omitted from this Registration Statement (this “Registration Statement”) in accordance with Rule 428 under the Securities Act of 1933, as amended, and the Note to Part I of Form S-8.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documents have been filed with the Securities and Exchange Commission (the “Commission”) by ICON plc (“ICON” or the “Registrant”) and are hereby incorporated by reference into this Registration Statement:</w:t>
      </w:r>
    </w:p>
    <w:p>
      <w:pPr>
        <w:spacing w:after="0" w:line="197" w:lineRule="exact"/>
        <w:rPr>
          <w:sz w:val="20"/>
          <w:szCs w:val="20"/>
          <w:color w:val="auto"/>
        </w:rPr>
      </w:pPr>
    </w:p>
    <w:p>
      <w:pPr>
        <w:ind w:left="1140" w:hanging="44"/>
        <w:spacing w:after="0" w:line="277" w:lineRule="auto"/>
        <w:rPr>
          <w:sz w:val="20"/>
          <w:szCs w:val="20"/>
          <w:color w:val="auto"/>
        </w:rPr>
      </w:pPr>
      <w:r>
        <w:rPr>
          <w:rFonts w:ascii="Arial" w:cs="Arial" w:eastAsia="Arial" w:hAnsi="Arial"/>
          <w:sz w:val="18"/>
          <w:szCs w:val="18"/>
          <w:color w:val="auto"/>
        </w:rPr>
        <w:t>·ICON’s Annual Report on Form 20-F (File No. 000-29714) for the fiscal year ended December 31, 2012, filed with the Commission on March 6, 2013; and</w:t>
      </w:r>
    </w:p>
    <w:p>
      <w:pPr>
        <w:spacing w:after="0" w:line="197" w:lineRule="exact"/>
        <w:rPr>
          <w:sz w:val="20"/>
          <w:szCs w:val="20"/>
          <w:color w:val="auto"/>
        </w:rPr>
      </w:pPr>
    </w:p>
    <w:p>
      <w:pPr>
        <w:ind w:left="1140" w:hanging="44"/>
        <w:spacing w:after="0" w:line="308" w:lineRule="auto"/>
        <w:rPr>
          <w:sz w:val="20"/>
          <w:szCs w:val="20"/>
          <w:color w:val="auto"/>
        </w:rPr>
      </w:pPr>
      <w:r>
        <w:rPr>
          <w:rFonts w:ascii="Arial" w:cs="Arial" w:eastAsia="Arial" w:hAnsi="Arial"/>
          <w:sz w:val="17"/>
          <w:szCs w:val="17"/>
          <w:color w:val="auto"/>
        </w:rPr>
        <w:t>·The description of ICON’s ordinary shares, par value 6 euro cents each (the “Ordinary Shares”) incorporated by reference to ICON’s Registration Statement on Form F-3 (File No. 333-133371) filed with the Commission on April 19, 2006, as amended on May 5, 2006.</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all documents subsequently filed by the Company with the Commission pursuant to Sections 13(a), 13(c), 14 or 15(d) of the Securities Exchange Act of 1934, as amended,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date of filing of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Paragraph 141 of the Articles of Association of ICON provides as follows:</w:t>
      </w:r>
    </w:p>
    <w:p>
      <w:pPr>
        <w:spacing w:after="0" w:line="252"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216"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ICON maintains a standard form of directors’ and officers’ insurance policy, which provides coverage to its directors and officers for certain liabilities.</w:t>
      </w:r>
    </w:p>
    <w:p>
      <w:pPr>
        <w:spacing w:after="0" w:line="2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complete list of exhibits filed or incorporated by reference as a part of this Registration Statement: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3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ICON plc 2013 Restricted Share Unit Plan.</w:t>
            </w:r>
          </w:p>
        </w:tc>
      </w:tr>
      <w:tr>
        <w:trPr>
          <w:trHeight w:val="432"/>
        </w:trPr>
        <w:tc>
          <w:tcPr>
            <w:tcW w:w="1440" w:type="dxa"/>
            <w:vAlign w:val="bottom"/>
            <w:gridSpan w:val="2"/>
          </w:tcPr>
          <w:p>
            <w:pPr>
              <w:jc w:val="center"/>
              <w:ind w:left="530"/>
              <w:spacing w:after="0"/>
              <w:rPr>
                <w:sz w:val="20"/>
                <w:szCs w:val="20"/>
                <w:color w:val="auto"/>
              </w:rPr>
            </w:pPr>
            <w:r>
              <w:rPr>
                <w:rFonts w:ascii="Arial" w:cs="Arial" w:eastAsia="Arial" w:hAnsi="Arial"/>
                <w:sz w:val="18"/>
                <w:szCs w:val="18"/>
                <w:color w:val="auto"/>
                <w:w w:val="87"/>
              </w:rPr>
              <w:t>5.1</w:t>
            </w:r>
          </w:p>
        </w:tc>
        <w:tc>
          <w:tcPr>
            <w:tcW w:w="60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Opinion of A&amp;L Goodbody Solicitors with respect to the legality of the Ordinary Shares being registered hereby.</w:t>
            </w:r>
          </w:p>
        </w:tc>
      </w:tr>
      <w:tr>
        <w:trPr>
          <w:trHeight w:val="432"/>
        </w:trPr>
        <w:tc>
          <w:tcPr>
            <w:tcW w:w="1440" w:type="dxa"/>
            <w:vAlign w:val="bottom"/>
            <w:gridSpan w:val="2"/>
          </w:tcPr>
          <w:p>
            <w:pPr>
              <w:jc w:val="center"/>
              <w:ind w:left="530"/>
              <w:spacing w:after="0"/>
              <w:rPr>
                <w:sz w:val="20"/>
                <w:szCs w:val="20"/>
                <w:color w:val="auto"/>
              </w:rPr>
            </w:pPr>
            <w:r>
              <w:rPr>
                <w:rFonts w:ascii="Arial" w:cs="Arial" w:eastAsia="Arial" w:hAnsi="Arial"/>
                <w:sz w:val="18"/>
                <w:szCs w:val="18"/>
                <w:color w:val="auto"/>
                <w:w w:val="85"/>
              </w:rPr>
              <w:t>23.2</w:t>
            </w:r>
          </w:p>
        </w:tc>
        <w:tc>
          <w:tcPr>
            <w:tcW w:w="60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Consent of KPMG.</w:t>
            </w:r>
          </w:p>
        </w:tc>
      </w:tr>
      <w:tr>
        <w:trPr>
          <w:trHeight w:val="851"/>
        </w:trPr>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380" w:type="dxa"/>
            <w:vAlign w:val="bottom"/>
            <w:gridSpan w:val="2"/>
          </w:tcPr>
          <w:p>
            <w:pPr>
              <w:ind w:left="3560"/>
              <w:spacing w:after="0"/>
              <w:rPr>
                <w:sz w:val="20"/>
                <w:szCs w:val="20"/>
                <w:color w:val="auto"/>
              </w:rPr>
            </w:pPr>
            <w:r>
              <w:rPr>
                <w:rFonts w:ascii="Arial" w:cs="Arial" w:eastAsia="Arial" w:hAnsi="Arial"/>
                <w:sz w:val="18"/>
                <w:szCs w:val="18"/>
                <w:color w:val="auto"/>
              </w:rPr>
              <w:t>-3-</w:t>
            </w:r>
          </w:p>
        </w:tc>
      </w:tr>
      <w:tr>
        <w:trPr>
          <w:trHeight w:val="118"/>
        </w:trPr>
        <w:tc>
          <w:tcPr>
            <w:tcW w:w="6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ind w:left="660" w:hanging="26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1300" w:hanging="572"/>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right="40" w:firstLine="728"/>
        <w:spacing w:after="0" w:line="273" w:lineRule="auto"/>
        <w:tabs>
          <w:tab w:leader="none" w:pos="1345"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05" w:lineRule="exact"/>
        <w:rPr>
          <w:rFonts w:ascii="Arial" w:cs="Arial" w:eastAsia="Arial" w:hAnsi="Arial"/>
          <w:sz w:val="17"/>
          <w:szCs w:val="17"/>
          <w:color w:val="auto"/>
        </w:rPr>
      </w:pPr>
    </w:p>
    <w:p>
      <w:pPr>
        <w:ind w:right="160" w:firstLine="728"/>
        <w:spacing w:after="0" w:line="277" w:lineRule="auto"/>
        <w:tabs>
          <w:tab w:leader="none" w:pos="1395"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252" w:lineRule="exact"/>
        <w:rPr>
          <w:sz w:val="20"/>
          <w:szCs w:val="20"/>
          <w:color w:val="auto"/>
        </w:rPr>
      </w:pPr>
    </w:p>
    <w:p>
      <w:pPr>
        <w:ind w:left="1300" w:right="160" w:firstLine="648"/>
        <w:spacing w:after="0" w:line="259" w:lineRule="auto"/>
        <w:rPr>
          <w:sz w:val="20"/>
          <w:szCs w:val="20"/>
          <w:color w:val="auto"/>
        </w:rPr>
      </w:pPr>
      <w:r>
        <w:rPr>
          <w:rFonts w:ascii="Arial" w:cs="Arial" w:eastAsia="Arial" w:hAnsi="Arial"/>
          <w:sz w:val="18"/>
          <w:szCs w:val="18"/>
          <w:color w:val="auto"/>
        </w:rPr>
        <w:t>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this Registration Statement.</w:t>
      </w:r>
    </w:p>
    <w:p>
      <w:pPr>
        <w:spacing w:after="0" w:line="214" w:lineRule="exact"/>
        <w:rPr>
          <w:sz w:val="20"/>
          <w:szCs w:val="20"/>
          <w:color w:val="auto"/>
        </w:rPr>
      </w:pPr>
    </w:p>
    <w:p>
      <w:pPr>
        <w:ind w:left="660" w:firstLine="645"/>
        <w:spacing w:after="0" w:line="264" w:lineRule="auto"/>
        <w:tabs>
          <w:tab w:leader="none" w:pos="20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660" w:right="180" w:firstLine="645"/>
        <w:spacing w:after="0" w:line="277" w:lineRule="auto"/>
        <w:tabs>
          <w:tab w:leader="none" w:pos="20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660" w:firstLine="645"/>
        <w:spacing w:after="0" w:line="276" w:lineRule="auto"/>
        <w:tabs>
          <w:tab w:leader="none" w:pos="201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Arial" w:cs="Arial" w:eastAsia="Arial" w:hAnsi="Arial"/>
          <w:sz w:val="17"/>
          <w:szCs w:val="17"/>
          <w:color w:val="auto"/>
        </w:rPr>
      </w:pPr>
    </w:p>
    <w:p>
      <w:pPr>
        <w:ind w:left="660" w:right="80" w:firstLine="645"/>
        <w:spacing w:after="0" w:line="271" w:lineRule="auto"/>
        <w:tabs>
          <w:tab w:leader="none" w:pos="2013" w:val="left"/>
        </w:tabs>
        <w:numPr>
          <w:ilvl w:val="0"/>
          <w:numId w:val="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Dublin, Ireland on July 22, 2013.</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Brendan Brennan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Brendan Brennan</w:t>
      </w:r>
    </w:p>
    <w:p>
      <w:pPr>
        <w:spacing w:after="0" w:line="9"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99"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Ciaran Murray and Brendan Brennan, and each of them, his or her true and lawful attorneys-in-fact and agents, with full power of substitution and resubstitution, for him or her and in his or her name, place, and stead, in any and all capacities, to sign the Registration Statement on Form S-8 under the Securities Act of 1933, as amended, to sign any and all pre- or post-effective amendments to the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substitutes, may lawfully do or cause to be done by virtue hereof.</w:t>
      </w:r>
    </w:p>
    <w:p>
      <w:pPr>
        <w:spacing w:after="0" w:line="2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10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1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/s/ Thomas Lynch</w:t>
            </w:r>
          </w:p>
        </w:tc>
        <w:tc>
          <w:tcPr>
            <w:tcW w:w="76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Chairman of the Board, 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July 22, 2013</w:t>
            </w:r>
          </w:p>
        </w:tc>
      </w:tr>
      <w:tr>
        <w:trPr>
          <w:trHeight w:val="237"/>
        </w:trPr>
        <w:tc>
          <w:tcPr>
            <w:tcW w:w="3820" w:type="dxa"/>
            <w:vAlign w:val="bottom"/>
            <w:gridSpan w:val="12"/>
          </w:tcPr>
          <w:p>
            <w:pPr>
              <w:spacing w:after="0"/>
              <w:rPr>
                <w:sz w:val="20"/>
                <w:szCs w:val="20"/>
                <w:color w:val="auto"/>
              </w:rPr>
            </w:pPr>
            <w:r>
              <w:rPr>
                <w:rFonts w:ascii="Arial" w:cs="Arial" w:eastAsia="Arial" w:hAnsi="Arial"/>
                <w:sz w:val="18"/>
                <w:szCs w:val="18"/>
                <w:color w:val="auto"/>
              </w:rPr>
              <w:t>Thomas Lynch</w:t>
            </w:r>
          </w:p>
        </w:tc>
        <w:tc>
          <w:tcPr>
            <w:tcW w:w="3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3820" w:type="dxa"/>
            <w:vAlign w:val="bottom"/>
            <w:gridSpan w:val="12"/>
          </w:tcPr>
          <w:p>
            <w:pPr>
              <w:spacing w:after="0"/>
              <w:rPr>
                <w:sz w:val="20"/>
                <w:szCs w:val="20"/>
                <w:color w:val="auto"/>
              </w:rPr>
            </w:pPr>
            <w:r>
              <w:rPr>
                <w:rFonts w:ascii="Arial" w:cs="Arial" w:eastAsia="Arial" w:hAnsi="Arial"/>
                <w:sz w:val="18"/>
                <w:szCs w:val="18"/>
                <w:color w:val="auto"/>
              </w:rPr>
              <w:t>/s/ Ciaran Murray</w:t>
            </w: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Chief Executive Officer, 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July 22, 2013</w:t>
            </w:r>
          </w:p>
        </w:tc>
      </w:tr>
      <w:tr>
        <w:trPr>
          <w:trHeight w:val="237"/>
        </w:trPr>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Ciaran Murray</w:t>
            </w:r>
          </w:p>
        </w:tc>
        <w:tc>
          <w:tcPr>
            <w:tcW w:w="2540" w:type="dxa"/>
            <w:vAlign w:val="bottom"/>
            <w:gridSpan w:val="10"/>
          </w:tcPr>
          <w:p>
            <w:pPr>
              <w:spacing w:after="0"/>
              <w:rPr>
                <w:sz w:val="20"/>
                <w:szCs w:val="20"/>
                <w:color w:val="auto"/>
              </w:rPr>
            </w:pP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(principal executive officer)</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3820" w:type="dxa"/>
            <w:vAlign w:val="bottom"/>
            <w:gridSpan w:val="12"/>
          </w:tcPr>
          <w:p>
            <w:pPr>
              <w:spacing w:after="0"/>
              <w:rPr>
                <w:sz w:val="20"/>
                <w:szCs w:val="20"/>
                <w:color w:val="auto"/>
              </w:rPr>
            </w:pPr>
            <w:r>
              <w:rPr>
                <w:rFonts w:ascii="Arial" w:cs="Arial" w:eastAsia="Arial" w:hAnsi="Arial"/>
                <w:sz w:val="18"/>
                <w:szCs w:val="18"/>
                <w:color w:val="auto"/>
              </w:rPr>
              <w:t>/s/ Brendan Brennan</w:t>
            </w: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Chief Financial Officer, Chief Accounting Officer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July 22, 2013</w:t>
            </w:r>
          </w:p>
        </w:tc>
      </w:tr>
      <w:tr>
        <w:trPr>
          <w:trHeight w:val="237"/>
        </w:trPr>
        <w:tc>
          <w:tcPr>
            <w:tcW w:w="14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Brendan Brennan</w:t>
            </w:r>
          </w:p>
        </w:tc>
        <w:tc>
          <w:tcPr>
            <w:tcW w:w="2340" w:type="dxa"/>
            <w:vAlign w:val="bottom"/>
            <w:gridSpan w:val="6"/>
          </w:tcPr>
          <w:p>
            <w:pPr>
              <w:spacing w:after="0"/>
              <w:rPr>
                <w:sz w:val="20"/>
                <w:szCs w:val="20"/>
                <w:color w:val="auto"/>
              </w:rPr>
            </w:pP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(principal financial and accounting officer)</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2"/>
              </w:rPr>
              <w:t>/s/ Dr. John Climax</w:t>
            </w:r>
          </w:p>
        </w:tc>
        <w:tc>
          <w:tcPr>
            <w:tcW w:w="2400" w:type="dxa"/>
            <w:vAlign w:val="bottom"/>
            <w:gridSpan w:val="7"/>
          </w:tcPr>
          <w:p>
            <w:pPr>
              <w:spacing w:after="0"/>
              <w:rPr>
                <w:sz w:val="24"/>
                <w:szCs w:val="24"/>
                <w:color w:val="auto"/>
              </w:rPr>
            </w:pP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July 22, 2013</w:t>
            </w:r>
          </w:p>
        </w:tc>
      </w:tr>
      <w:tr>
        <w:trPr>
          <w:trHeight w:val="237"/>
        </w:trPr>
        <w:tc>
          <w:tcPr>
            <w:tcW w:w="3820" w:type="dxa"/>
            <w:vAlign w:val="bottom"/>
            <w:gridSpan w:val="12"/>
          </w:tcPr>
          <w:p>
            <w:pPr>
              <w:spacing w:after="0"/>
              <w:rPr>
                <w:sz w:val="20"/>
                <w:szCs w:val="20"/>
                <w:color w:val="auto"/>
              </w:rPr>
            </w:pPr>
            <w:r>
              <w:rPr>
                <w:rFonts w:ascii="Arial" w:cs="Arial" w:eastAsia="Arial" w:hAnsi="Arial"/>
                <w:sz w:val="18"/>
                <w:szCs w:val="18"/>
                <w:color w:val="auto"/>
              </w:rPr>
              <w:t>Dr. John Climax</w:t>
            </w:r>
          </w:p>
        </w:tc>
        <w:tc>
          <w:tcPr>
            <w:tcW w:w="3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18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2"/>
              </w:rPr>
              <w:t>/s/ Prof. Dermot Kelleher</w:t>
            </w:r>
          </w:p>
        </w:tc>
        <w:tc>
          <w:tcPr>
            <w:tcW w:w="1980" w:type="dxa"/>
            <w:vAlign w:val="bottom"/>
            <w:gridSpan w:val="3"/>
          </w:tcPr>
          <w:p>
            <w:pPr>
              <w:spacing w:after="0"/>
              <w:rPr>
                <w:sz w:val="24"/>
                <w:szCs w:val="24"/>
                <w:color w:val="auto"/>
              </w:rPr>
            </w:pP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July 22, 2013</w:t>
            </w:r>
          </w:p>
        </w:tc>
      </w:tr>
      <w:tr>
        <w:trPr>
          <w:trHeight w:val="237"/>
        </w:trPr>
        <w:tc>
          <w:tcPr>
            <w:tcW w:w="3820" w:type="dxa"/>
            <w:vAlign w:val="bottom"/>
            <w:gridSpan w:val="12"/>
          </w:tcPr>
          <w:p>
            <w:pPr>
              <w:spacing w:after="0"/>
              <w:rPr>
                <w:sz w:val="20"/>
                <w:szCs w:val="20"/>
                <w:color w:val="auto"/>
              </w:rPr>
            </w:pPr>
            <w:r>
              <w:rPr>
                <w:rFonts w:ascii="Arial" w:cs="Arial" w:eastAsia="Arial" w:hAnsi="Arial"/>
                <w:sz w:val="18"/>
                <w:szCs w:val="18"/>
                <w:color w:val="auto"/>
              </w:rPr>
              <w:t>Prof. Dermot Kelleher</w:t>
            </w:r>
          </w:p>
        </w:tc>
        <w:tc>
          <w:tcPr>
            <w:tcW w:w="3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3820" w:type="dxa"/>
            <w:vAlign w:val="bottom"/>
            <w:gridSpan w:val="12"/>
          </w:tcPr>
          <w:p>
            <w:pPr>
              <w:spacing w:after="0"/>
              <w:rPr>
                <w:sz w:val="20"/>
                <w:szCs w:val="20"/>
                <w:color w:val="auto"/>
              </w:rPr>
            </w:pPr>
            <w:r>
              <w:rPr>
                <w:rFonts w:ascii="Arial" w:cs="Arial" w:eastAsia="Arial" w:hAnsi="Arial"/>
                <w:sz w:val="18"/>
                <w:szCs w:val="18"/>
                <w:color w:val="auto"/>
              </w:rPr>
              <w:t>/s/ Dr. Ronan Lambe</w:t>
            </w: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July 22, 2013</w:t>
            </w:r>
          </w:p>
        </w:tc>
      </w:tr>
      <w:tr>
        <w:trPr>
          <w:trHeight w:val="237"/>
        </w:trPr>
        <w:tc>
          <w:tcPr>
            <w:tcW w:w="15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Dr. Ronan Lambe</w:t>
            </w:r>
          </w:p>
        </w:tc>
        <w:tc>
          <w:tcPr>
            <w:tcW w:w="2320" w:type="dxa"/>
            <w:vAlign w:val="bottom"/>
            <w:gridSpan w:val="5"/>
          </w:tcPr>
          <w:p>
            <w:pPr>
              <w:spacing w:after="0"/>
              <w:rPr>
                <w:sz w:val="20"/>
                <w:szCs w:val="20"/>
                <w:color w:val="auto"/>
              </w:rPr>
            </w:pPr>
          </w:p>
        </w:tc>
        <w:tc>
          <w:tcPr>
            <w:tcW w:w="3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3820" w:type="dxa"/>
            <w:vAlign w:val="bottom"/>
            <w:gridSpan w:val="12"/>
          </w:tcPr>
          <w:p>
            <w:pPr>
              <w:spacing w:after="0"/>
              <w:rPr>
                <w:sz w:val="20"/>
                <w:szCs w:val="20"/>
                <w:color w:val="auto"/>
              </w:rPr>
            </w:pPr>
            <w:r>
              <w:rPr>
                <w:rFonts w:ascii="Arial" w:cs="Arial" w:eastAsia="Arial" w:hAnsi="Arial"/>
                <w:sz w:val="18"/>
                <w:szCs w:val="18"/>
                <w:color w:val="auto"/>
              </w:rPr>
              <w:t>/s/ Declan McKeon</w:t>
            </w: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July 22, 2013</w:t>
            </w:r>
          </w:p>
        </w:tc>
      </w:tr>
      <w:tr>
        <w:trPr>
          <w:trHeight w:val="237"/>
        </w:trPr>
        <w:tc>
          <w:tcPr>
            <w:tcW w:w="14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Declan McKeon</w:t>
            </w:r>
          </w:p>
        </w:tc>
        <w:tc>
          <w:tcPr>
            <w:tcW w:w="2420" w:type="dxa"/>
            <w:vAlign w:val="bottom"/>
            <w:gridSpan w:val="8"/>
          </w:tcPr>
          <w:p>
            <w:pPr>
              <w:spacing w:after="0"/>
              <w:rPr>
                <w:sz w:val="20"/>
                <w:szCs w:val="20"/>
                <w:color w:val="auto"/>
              </w:rPr>
            </w:pPr>
          </w:p>
        </w:tc>
        <w:tc>
          <w:tcPr>
            <w:tcW w:w="3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Cathrin Petty</w:t>
            </w:r>
          </w:p>
        </w:tc>
        <w:tc>
          <w:tcPr>
            <w:tcW w:w="2640" w:type="dxa"/>
            <w:vAlign w:val="bottom"/>
            <w:gridSpan w:val="11"/>
          </w:tcPr>
          <w:p>
            <w:pPr>
              <w:spacing w:after="0"/>
              <w:rPr>
                <w:sz w:val="24"/>
                <w:szCs w:val="24"/>
                <w:color w:val="auto"/>
              </w:rPr>
            </w:pP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July 22, 2013</w:t>
            </w:r>
          </w:p>
        </w:tc>
      </w:tr>
      <w:tr>
        <w:trPr>
          <w:trHeight w:val="237"/>
        </w:trPr>
        <w:tc>
          <w:tcPr>
            <w:tcW w:w="3820" w:type="dxa"/>
            <w:vAlign w:val="bottom"/>
            <w:gridSpan w:val="12"/>
          </w:tcPr>
          <w:p>
            <w:pPr>
              <w:spacing w:after="0"/>
              <w:rPr>
                <w:sz w:val="20"/>
                <w:szCs w:val="20"/>
                <w:color w:val="auto"/>
              </w:rPr>
            </w:pPr>
            <w:r>
              <w:rPr>
                <w:rFonts w:ascii="Arial" w:cs="Arial" w:eastAsia="Arial" w:hAnsi="Arial"/>
                <w:sz w:val="18"/>
                <w:szCs w:val="18"/>
                <w:color w:val="auto"/>
              </w:rPr>
              <w:t>Cathrin Petty</w:t>
            </w:r>
          </w:p>
        </w:tc>
        <w:tc>
          <w:tcPr>
            <w:tcW w:w="3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3820" w:type="dxa"/>
            <w:vAlign w:val="bottom"/>
            <w:gridSpan w:val="12"/>
          </w:tcPr>
          <w:p>
            <w:pPr>
              <w:spacing w:after="0"/>
              <w:rPr>
                <w:sz w:val="20"/>
                <w:szCs w:val="20"/>
                <w:color w:val="auto"/>
              </w:rPr>
            </w:pPr>
            <w:r>
              <w:rPr>
                <w:rFonts w:ascii="Arial" w:cs="Arial" w:eastAsia="Arial" w:hAnsi="Arial"/>
                <w:sz w:val="18"/>
                <w:szCs w:val="18"/>
                <w:color w:val="auto"/>
              </w:rPr>
              <w:t>/s/ Prof. William Hall</w:t>
            </w:r>
          </w:p>
        </w:tc>
        <w:tc>
          <w:tcPr>
            <w:tcW w:w="5240" w:type="dxa"/>
            <w:vAlign w:val="bottom"/>
            <w:gridSpan w:val="3"/>
          </w:tcPr>
          <w:p>
            <w:pPr>
              <w:ind w:left="102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July 22, 2013</w:t>
            </w:r>
          </w:p>
        </w:tc>
      </w:tr>
      <w:tr>
        <w:trPr>
          <w:trHeight w:val="237"/>
        </w:trPr>
        <w:tc>
          <w:tcPr>
            <w:tcW w:w="15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Prof. William Hall</w:t>
            </w:r>
          </w:p>
        </w:tc>
        <w:tc>
          <w:tcPr>
            <w:tcW w:w="2260" w:type="dxa"/>
            <w:vAlign w:val="bottom"/>
            <w:gridSpan w:val="4"/>
          </w:tcPr>
          <w:p>
            <w:pPr>
              <w:spacing w:after="0"/>
              <w:rPr>
                <w:sz w:val="20"/>
                <w:szCs w:val="20"/>
                <w:color w:val="auto"/>
              </w:rPr>
            </w:pPr>
          </w:p>
        </w:tc>
        <w:tc>
          <w:tcPr>
            <w:tcW w:w="3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902"/>
        </w:trPr>
        <w:tc>
          <w:tcPr>
            <w:tcW w:w="1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340" w:type="dxa"/>
            <w:vAlign w:val="bottom"/>
          </w:tcPr>
          <w:p>
            <w:pPr>
              <w:ind w:left="640"/>
              <w:spacing w:after="0"/>
              <w:rPr>
                <w:sz w:val="20"/>
                <w:szCs w:val="20"/>
                <w:color w:val="auto"/>
              </w:rPr>
            </w:pPr>
            <w:r>
              <w:rPr>
                <w:rFonts w:ascii="Arial" w:cs="Arial" w:eastAsia="Arial" w:hAnsi="Arial"/>
                <w:sz w:val="18"/>
                <w:szCs w:val="18"/>
                <w:b w:val="1"/>
                <w:bCs w:val="1"/>
                <w:color w:val="auto"/>
              </w:rPr>
              <w:t>AUTHORIZED REPRESENTATIVE</w:t>
            </w:r>
          </w:p>
        </w:tc>
        <w:tc>
          <w:tcPr>
            <w:tcW w:w="2460" w:type="dxa"/>
            <w:vAlign w:val="bottom"/>
          </w:tcPr>
          <w:p>
            <w:pPr>
              <w:spacing w:after="0"/>
              <w:rPr>
                <w:sz w:val="20"/>
                <w:szCs w:val="20"/>
                <w:color w:val="auto"/>
              </w:rPr>
            </w:pPr>
          </w:p>
        </w:tc>
      </w:tr>
      <w:tr>
        <w:trPr>
          <w:trHeight w:val="459"/>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Puglisi &amp; Associates</w:t>
            </w:r>
          </w:p>
        </w:tc>
        <w:tc>
          <w:tcPr>
            <w:tcW w:w="53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392"/>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Donald J. Puglisi</w:t>
            </w:r>
          </w:p>
        </w:tc>
        <w:tc>
          <w:tcPr>
            <w:tcW w:w="2160" w:type="dxa"/>
            <w:vAlign w:val="bottom"/>
          </w:tcPr>
          <w:p>
            <w:pPr>
              <w:spacing w:after="0"/>
              <w:rPr>
                <w:sz w:val="24"/>
                <w:szCs w:val="24"/>
                <w:color w:val="auto"/>
              </w:rPr>
            </w:pPr>
          </w:p>
        </w:tc>
        <w:tc>
          <w:tcPr>
            <w:tcW w:w="5340" w:type="dxa"/>
            <w:vAlign w:val="bottom"/>
          </w:tcPr>
          <w:p>
            <w:pPr>
              <w:ind w:left="1220"/>
              <w:spacing w:after="0"/>
              <w:rPr>
                <w:sz w:val="20"/>
                <w:szCs w:val="20"/>
                <w:color w:val="auto"/>
              </w:rPr>
            </w:pPr>
            <w:r>
              <w:rPr>
                <w:rFonts w:ascii="Arial" w:cs="Arial" w:eastAsia="Arial" w:hAnsi="Arial"/>
                <w:sz w:val="18"/>
                <w:szCs w:val="18"/>
                <w:color w:val="auto"/>
              </w:rPr>
              <w:t>Authorized Representative in the United States</w:t>
            </w:r>
          </w:p>
        </w:tc>
        <w:tc>
          <w:tcPr>
            <w:tcW w:w="2460" w:type="dxa"/>
            <w:vAlign w:val="bottom"/>
          </w:tcPr>
          <w:p>
            <w:pPr>
              <w:ind w:left="720"/>
              <w:spacing w:after="0"/>
              <w:rPr>
                <w:sz w:val="20"/>
                <w:szCs w:val="20"/>
                <w:color w:val="auto"/>
              </w:rPr>
            </w:pPr>
            <w:r>
              <w:rPr>
                <w:rFonts w:ascii="Arial" w:cs="Arial" w:eastAsia="Arial" w:hAnsi="Arial"/>
                <w:sz w:val="18"/>
                <w:szCs w:val="18"/>
                <w:color w:val="auto"/>
              </w:rPr>
              <w:t>July 22, 2013</w:t>
            </w: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Donald J. Puglisi</w:t>
            </w:r>
          </w:p>
        </w:tc>
        <w:tc>
          <w:tcPr>
            <w:tcW w:w="53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Managing Director, Puglisi &amp; Associates</w:t>
            </w:r>
          </w:p>
        </w:tc>
        <w:tc>
          <w:tcPr>
            <w:tcW w:w="5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902"/>
        </w:trPr>
        <w:tc>
          <w:tcPr>
            <w:tcW w:w="14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320" w:type="dxa"/>
            <w:vAlign w:val="bottom"/>
          </w:tcPr>
          <w:p>
            <w:pPr>
              <w:ind w:left="1940"/>
              <w:spacing w:after="0"/>
              <w:rPr>
                <w:sz w:val="20"/>
                <w:szCs w:val="20"/>
                <w:color w:val="auto"/>
              </w:rPr>
            </w:pPr>
            <w:r>
              <w:rPr>
                <w:rFonts w:ascii="Arial" w:cs="Arial" w:eastAsia="Arial" w:hAnsi="Arial"/>
                <w:sz w:val="18"/>
                <w:szCs w:val="18"/>
                <w:b w:val="1"/>
                <w:bCs w:val="1"/>
                <w:color w:val="auto"/>
              </w:rPr>
              <w:t>INDEX TO EXHIBITS</w:t>
            </w:r>
          </w:p>
        </w:tc>
      </w:tr>
      <w:tr>
        <w:trPr>
          <w:trHeight w:val="419"/>
        </w:trPr>
        <w:tc>
          <w:tcPr>
            <w:tcW w:w="14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1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453"/>
        </w:trPr>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ICON plc 2013 Restricted Share Unit Plan.</w:t>
            </w:r>
          </w:p>
        </w:tc>
      </w:tr>
      <w:tr>
        <w:trPr>
          <w:trHeight w:val="432"/>
        </w:trPr>
        <w:tc>
          <w:tcPr>
            <w:tcW w:w="84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60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Opinion of A&amp;L Goodbody Solicitors with respect to the legality of the Ordinary Shares being registered hereby.</w:t>
            </w:r>
          </w:p>
        </w:tc>
      </w:tr>
      <w:tr>
        <w:trPr>
          <w:trHeight w:val="432"/>
        </w:trPr>
        <w:tc>
          <w:tcPr>
            <w:tcW w:w="84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60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Consent of KPMG.</w:t>
            </w:r>
          </w:p>
        </w:tc>
      </w:tr>
    </w:tbl>
    <w:p>
      <w:pPr>
        <w:sectPr>
          <w:pgSz w:w="11900" w:h="16838" w:orient="portrait"/>
          <w:cols w:equalWidth="0" w:num="1">
            <w:col w:w="9619"/>
          </w:cols>
          <w:pgMar w:left="840" w:top="999"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Employees Restricted Share Unit Plan</w:t>
      </w:r>
    </w:p>
    <w:p>
      <w:pPr>
        <w:spacing w:after="0" w:line="256" w:lineRule="exact"/>
        <w:rPr>
          <w:sz w:val="20"/>
          <w:szCs w:val="20"/>
          <w:color w:val="auto"/>
        </w:rPr>
      </w:pPr>
    </w:p>
    <w:p>
      <w:pPr>
        <w:ind w:left="1940" w:hanging="635"/>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w:t>
      </w:r>
    </w:p>
    <w:p>
      <w:pPr>
        <w:spacing w:after="0" w:line="252"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ICON plc 2013 Restricted Share Unit Plan (the “Plan”) is established pursuant to a resolution of Directors dated 23rd April, 2013 as an employee share scheme as defined in Section 2 of the Companies (Amendment) Act 1983. The purpose of the Plan is to promote the long-term success of the Company and the creation of shareholder value by (a) encouraging Employees to focus on critical long-range objectives, (b) encouraging the attraction and retention of Employees, and (c) linking Employees directly to shareholder interests through increased share ownership. The Plan seeks to achieve this purpose by providing for Awards in the form of Restricted Share Units and Other Share-Based Awards. The Plan shall be governed by, and construed in accordance with, the laws of Ireland.</w:t>
      </w:r>
    </w:p>
    <w:p>
      <w:pPr>
        <w:spacing w:after="0" w:line="220" w:lineRule="exact"/>
        <w:rPr>
          <w:sz w:val="20"/>
          <w:szCs w:val="20"/>
          <w:color w:val="auto"/>
        </w:rPr>
      </w:pPr>
    </w:p>
    <w:p>
      <w:pPr>
        <w:ind w:left="1940" w:hanging="635"/>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252" w:lineRule="exact"/>
        <w:rPr>
          <w:sz w:val="20"/>
          <w:szCs w:val="20"/>
          <w:color w:val="auto"/>
        </w:rPr>
      </w:pPr>
    </w:p>
    <w:p>
      <w:pPr>
        <w:ind w:left="2000" w:hanging="695"/>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“Award” means any Restricted Share Unit or Other Share-Based Award granted to an Employee under the Plan.</w:t>
      </w:r>
    </w:p>
    <w:p>
      <w:pPr>
        <w:spacing w:after="0" w:line="252" w:lineRule="exact"/>
        <w:rPr>
          <w:rFonts w:ascii="Arial" w:cs="Arial" w:eastAsia="Arial" w:hAnsi="Arial"/>
          <w:sz w:val="18"/>
          <w:szCs w:val="18"/>
          <w:color w:val="auto"/>
        </w:rPr>
      </w:pPr>
    </w:p>
    <w:p>
      <w:pPr>
        <w:ind w:right="60" w:firstLine="1305"/>
        <w:spacing w:after="0" w:line="277" w:lineRule="auto"/>
        <w:tabs>
          <w:tab w:leader="none" w:pos="2001" w:val="left"/>
        </w:tabs>
        <w:numPr>
          <w:ilvl w:val="0"/>
          <w:numId w:val="7"/>
        </w:numPr>
        <w:rPr>
          <w:rFonts w:ascii="Arial" w:cs="Arial" w:eastAsia="Arial" w:hAnsi="Arial"/>
          <w:sz w:val="18"/>
          <w:szCs w:val="18"/>
          <w:color w:val="auto"/>
        </w:rPr>
      </w:pPr>
      <w:r>
        <w:rPr>
          <w:rFonts w:ascii="Arial" w:cs="Arial" w:eastAsia="Arial" w:hAnsi="Arial"/>
          <w:sz w:val="18"/>
          <w:szCs w:val="18"/>
          <w:color w:val="auto"/>
        </w:rPr>
        <w:t>“Award Agreement” means any written agreement, contract, or other instrument or document evidencing an Award which may be included electronically or in writing.</w:t>
      </w:r>
    </w:p>
    <w:p>
      <w:pPr>
        <w:spacing w:after="0" w:line="197" w:lineRule="exact"/>
        <w:rPr>
          <w:rFonts w:ascii="Arial" w:cs="Arial" w:eastAsia="Arial" w:hAnsi="Arial"/>
          <w:sz w:val="18"/>
          <w:szCs w:val="18"/>
          <w:color w:val="auto"/>
        </w:rPr>
      </w:pPr>
    </w:p>
    <w:p>
      <w:pPr>
        <w:jc w:val="both"/>
        <w:ind w:right="360" w:firstLine="1305"/>
        <w:spacing w:after="0" w:line="259" w:lineRule="auto"/>
        <w:tabs>
          <w:tab w:leader="none" w:pos="1991"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“Beneficiary” means the person, persons, trust or trusts which have been designated by a Participant in his or her most recent written beneficiary designation filed with the Company to receive the benefits specified under this Plan upon the death of the Participant, or, if there is no designated Beneficiary or surviving designated Beneficiary or if no such designation can be made under applicable law, then the person, persons, trust or trusts entitled by will or the laws of descent and distribution to receive such benefits.</w:t>
      </w:r>
    </w:p>
    <w:p>
      <w:pPr>
        <w:spacing w:after="0" w:line="213" w:lineRule="exact"/>
        <w:rPr>
          <w:rFonts w:ascii="Arial" w:cs="Arial" w:eastAsia="Arial" w:hAnsi="Arial"/>
          <w:sz w:val="18"/>
          <w:szCs w:val="18"/>
          <w:color w:val="auto"/>
        </w:rPr>
      </w:pPr>
    </w:p>
    <w:p>
      <w:pPr>
        <w:ind w:left="2000" w:hanging="695"/>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as constituted from time to time.</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Control” means:</w:t>
      </w:r>
    </w:p>
    <w:p>
      <w:pPr>
        <w:spacing w:after="0" w:line="252" w:lineRule="exact"/>
        <w:rPr>
          <w:sz w:val="20"/>
          <w:szCs w:val="20"/>
          <w:color w:val="auto"/>
        </w:rPr>
      </w:pPr>
    </w:p>
    <w:p>
      <w:pPr>
        <w:ind w:left="660" w:right="140" w:firstLine="645"/>
        <w:spacing w:after="0" w:line="257" w:lineRule="auto"/>
        <w:tabs>
          <w:tab w:leader="none" w:pos="197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reorganisation (however effected, including by general offer or court-sanctioned compromise, arrangement or scheme),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ind w:left="2020" w:hanging="715"/>
        <w:spacing w:after="0"/>
        <w:tabs>
          <w:tab w:leader="none" w:pos="2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52" w:lineRule="exact"/>
        <w:rPr>
          <w:rFonts w:ascii="Arial" w:cs="Arial" w:eastAsia="Arial" w:hAnsi="Arial"/>
          <w:sz w:val="18"/>
          <w:szCs w:val="18"/>
          <w:color w:val="auto"/>
        </w:rPr>
      </w:pPr>
    </w:p>
    <w:p>
      <w:pPr>
        <w:ind w:left="660" w:right="20" w:firstLine="645"/>
        <w:spacing w:after="0" w:line="257" w:lineRule="auto"/>
        <w:tabs>
          <w:tab w:leader="none" w:pos="2063"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215" w:lineRule="exact"/>
        <w:rPr>
          <w:rFonts w:ascii="Arial" w:cs="Arial" w:eastAsia="Arial" w:hAnsi="Arial"/>
          <w:sz w:val="18"/>
          <w:szCs w:val="18"/>
          <w:color w:val="auto"/>
        </w:rPr>
      </w:pPr>
    </w:p>
    <w:p>
      <w:pPr>
        <w:ind w:left="660" w:firstLine="645"/>
        <w:spacing w:after="0" w:line="255" w:lineRule="auto"/>
        <w:tabs>
          <w:tab w:leader="none" w:pos="205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22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197" w:lineRule="exact"/>
        <w:rPr>
          <w:sz w:val="20"/>
          <w:szCs w:val="20"/>
          <w:color w:val="auto"/>
        </w:rPr>
      </w:pPr>
    </w:p>
    <w:p>
      <w:pPr>
        <w:ind w:right="120" w:firstLine="1305"/>
        <w:spacing w:after="0" w:line="277" w:lineRule="auto"/>
        <w:tabs>
          <w:tab w:leader="none" w:pos="19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References to any provision of the Code shall be deemed to include successor provisions thereto and regulations thereunder.</w:t>
      </w:r>
    </w:p>
    <w:p>
      <w:pPr>
        <w:spacing w:after="0" w:line="197" w:lineRule="exact"/>
        <w:rPr>
          <w:rFonts w:ascii="Arial" w:cs="Arial" w:eastAsia="Arial" w:hAnsi="Arial"/>
          <w:sz w:val="18"/>
          <w:szCs w:val="18"/>
          <w:color w:val="auto"/>
        </w:rPr>
      </w:pPr>
    </w:p>
    <w:p>
      <w:pPr>
        <w:ind w:right="260" w:firstLine="1305"/>
        <w:spacing w:after="0" w:line="277" w:lineRule="auto"/>
        <w:tabs>
          <w:tab w:leader="none" w:pos="20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such other Board committee (which may include the entire Board) as may be designated by the Board to administer the Plan.</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“Company” means ICON plc, an Irish corporation and its successor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10" w:name="page11"/>
    <w:bookmarkEnd w:id="10"/>
    <w:p>
      <w:pPr>
        <w:ind w:right="80" w:firstLine="1305"/>
        <w:spacing w:after="0" w:line="277" w:lineRule="auto"/>
        <w:tabs>
          <w:tab w:leader="none" w:pos="19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means (a) an employee of the Company or any Subsidiary and (b) a director holding a salaried employment or office with the Company or any Subsidiary.</w:t>
      </w:r>
    </w:p>
    <w:p>
      <w:pPr>
        <w:spacing w:after="0" w:line="197" w:lineRule="exact"/>
        <w:rPr>
          <w:rFonts w:ascii="Arial" w:cs="Arial" w:eastAsia="Arial" w:hAnsi="Arial"/>
          <w:sz w:val="18"/>
          <w:szCs w:val="18"/>
          <w:color w:val="auto"/>
        </w:rPr>
      </w:pPr>
    </w:p>
    <w:p>
      <w:pPr>
        <w:ind w:right="180" w:firstLine="1305"/>
        <w:spacing w:after="0" w:line="277" w:lineRule="auto"/>
        <w:tabs>
          <w:tab w:leader="none" w:pos="19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 Equivalent” means a right to receive cash, Shares, or other property equal in value to dividends paid with respect to a specified number of Shares.</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Date” has the meaning set forth in Section 7(l) below.</w:t>
      </w:r>
    </w:p>
    <w:p>
      <w:pPr>
        <w:spacing w:after="0" w:line="252" w:lineRule="exact"/>
        <w:rPr>
          <w:rFonts w:ascii="Arial" w:cs="Arial" w:eastAsia="Arial" w:hAnsi="Arial"/>
          <w:sz w:val="18"/>
          <w:szCs w:val="18"/>
          <w:color w:val="auto"/>
        </w:rPr>
      </w:pPr>
    </w:p>
    <w:p>
      <w:pPr>
        <w:ind w:right="200" w:firstLine="1305"/>
        <w:spacing w:after="0" w:line="277" w:lineRule="auto"/>
        <w:tabs>
          <w:tab w:leader="none" w:pos="19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 References to any provision of the Exchange Act shall be deemed to include successor provisions thereto and regulations thereunder.</w:t>
      </w:r>
    </w:p>
    <w:p>
      <w:pPr>
        <w:spacing w:after="0" w:line="197" w:lineRule="exact"/>
        <w:rPr>
          <w:rFonts w:ascii="Arial" w:cs="Arial" w:eastAsia="Arial" w:hAnsi="Arial"/>
          <w:sz w:val="18"/>
          <w:szCs w:val="18"/>
          <w:color w:val="auto"/>
        </w:rPr>
      </w:pPr>
    </w:p>
    <w:p>
      <w:pPr>
        <w:ind w:firstLine="1305"/>
        <w:spacing w:after="0" w:line="273" w:lineRule="auto"/>
        <w:tabs>
          <w:tab w:leader="none" w:pos="20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“Fair Market Value” means the market price of Shares, determined by the Committee as follows: (i) if Shares are listed on a stock exchange on the date in question, then the Fair Market Value shall be equal to the higher of Par Value and the closing price reported for such date by the applicable composite-transactions report or, if the Shares were not traded on that day, the next preceding day that the Shares were traded; and (ii) if Shares are not traded on a stock exchange on the date in question, the Fair Market Value shall be determined by the Committee in good faith on such basis as it deems appropriate. Whenever possible, the determination of Fair Market Value by the Committee shall be based on the prices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Eastern Edition, USA. Such determination shall be conclusive and binding on all persons.</w:t>
      </w:r>
    </w:p>
    <w:p>
      <w:pPr>
        <w:spacing w:after="0" w:line="205" w:lineRule="exact"/>
        <w:rPr>
          <w:rFonts w:ascii="Arial" w:cs="Arial" w:eastAsia="Arial" w:hAnsi="Arial"/>
          <w:sz w:val="17"/>
          <w:szCs w:val="17"/>
          <w:color w:val="auto"/>
        </w:rPr>
      </w:pPr>
    </w:p>
    <w:p>
      <w:pPr>
        <w:ind w:left="2000" w:hanging="695"/>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“Group” means the Company and its Subsidiaries.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Share” means one ordinary share in the capital of the Company.</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Share-Based Award” means a right, granted under Section 5(c), that relates to or is valued by reference to Shares.</w:t>
      </w:r>
    </w:p>
    <w:p>
      <w:pPr>
        <w:spacing w:after="0" w:line="263" w:lineRule="exact"/>
        <w:rPr>
          <w:rFonts w:ascii="Arial" w:cs="Arial" w:eastAsia="Arial" w:hAnsi="Arial"/>
          <w:sz w:val="17"/>
          <w:szCs w:val="17"/>
          <w:color w:val="auto"/>
        </w:rPr>
      </w:pPr>
    </w:p>
    <w:p>
      <w:pPr>
        <w:ind w:left="2000" w:hanging="695"/>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 Value” means €0.06.</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“Participant” means an Employee who has been granted an Award under the Plan.</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 means this ICON plc 2013 Employee Restricted Share Unit Plan.</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“Restricted Share Unit” means a right, granted under Section 5(b), to receive Shares or cash at the end of a specified deferral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11" w:name="page12"/>
    <w:bookmarkEnd w:id="11"/>
    <w:p>
      <w:pPr>
        <w:ind w:left="1940" w:hanging="695"/>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means Ordinary Shares.</w:t>
      </w:r>
    </w:p>
    <w:p>
      <w:pPr>
        <w:spacing w:after="0" w:line="252" w:lineRule="exact"/>
        <w:rPr>
          <w:rFonts w:ascii="Arial" w:cs="Arial" w:eastAsia="Arial" w:hAnsi="Arial"/>
          <w:sz w:val="18"/>
          <w:szCs w:val="18"/>
          <w:color w:val="auto"/>
        </w:rPr>
      </w:pPr>
    </w:p>
    <w:p>
      <w:pPr>
        <w:ind w:left="-60" w:right="120" w:firstLine="1305"/>
        <w:spacing w:after="0" w:line="264" w:lineRule="auto"/>
        <w:tabs>
          <w:tab w:leader="none" w:pos="19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“Subsidiary” means any company, if the Company and/or one or more other Subsidiaries own not less than 50% of the total combined voting power of all classes of outstanding stock (e.g., issued shares) of such company. A company that attains the status of a Subsidiary on a date after the adoption of the Plan shall be considered a Subsidiary commencing as of such date.</w:t>
      </w:r>
    </w:p>
    <w:p>
      <w:pPr>
        <w:spacing w:after="0" w:line="208" w:lineRule="exact"/>
        <w:rPr>
          <w:rFonts w:ascii="Arial" w:cs="Arial" w:eastAsia="Arial" w:hAnsi="Arial"/>
          <w:sz w:val="18"/>
          <w:szCs w:val="18"/>
          <w:color w:val="auto"/>
        </w:rPr>
      </w:pPr>
    </w:p>
    <w:p>
      <w:pPr>
        <w:ind w:left="-60" w:right="60" w:firstLine="1305"/>
        <w:spacing w:after="0" w:line="272" w:lineRule="auto"/>
        <w:tabs>
          <w:tab w:leader="none" w:pos="198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“Termination of Service” means, unless otherwise defined in an applicable Award Agreement, either (i) the termination of the Participant’s employment or directorship with the Company or its Subsidiaries, as the case may be (whether by reason of dismissal, resignation, operation of law or otherwise, and irrespective of the application or otherwise of the European Communities (Protection of Employees on Transfer of Undertakings) Regulations 2003); or (ii) where a Participant is employed by a Subsidiary of the Company, the Participant’s employer ceases to be such a Subsidiary; unless in either case the Participant immediately thereafter becomes an employee or director of the Company or another Subsidiary of the Company. For the avoidance of doubt, temporary absences from employment which do not involve a termination of the Participant’s employment (including absences because of illness, vacation, statutory leave or leave of absence) shall not be considered a Termination of Service.</w:t>
      </w:r>
    </w:p>
    <w:p>
      <w:pPr>
        <w:spacing w:after="0" w:line="205" w:lineRule="exact"/>
        <w:rPr>
          <w:sz w:val="20"/>
          <w:szCs w:val="20"/>
          <w:color w:val="auto"/>
        </w:rPr>
      </w:pPr>
    </w:p>
    <w:p>
      <w:pPr>
        <w:ind w:left="1880" w:hanging="635"/>
        <w:spacing w:after="0"/>
        <w:tabs>
          <w:tab w:leader="none" w:pos="18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52" w:lineRule="exact"/>
        <w:rPr>
          <w:sz w:val="20"/>
          <w:szCs w:val="20"/>
          <w:color w:val="auto"/>
        </w:rPr>
      </w:pPr>
    </w:p>
    <w:p>
      <w:pPr>
        <w:ind w:left="-60" w:firstLine="1305"/>
        <w:spacing w:after="0" w:line="273" w:lineRule="auto"/>
        <w:tabs>
          <w:tab w:leader="none" w:pos="193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Authority of the Committee</w:t>
      </w:r>
      <w:r>
        <w:rPr>
          <w:rFonts w:ascii="Arial" w:cs="Arial" w:eastAsia="Arial" w:hAnsi="Arial"/>
          <w:sz w:val="17"/>
          <w:szCs w:val="17"/>
          <w:color w:val="auto"/>
        </w:rPr>
        <w:t>. The Plan shall be administered by the Committee, and the Committee shall have full and final authority to take the following actions, in each case subject to and consistent with the provisions of the Plan: (i) select Employees to whom Awards may be granted; (ii) determine the type, number, vesting requirements and other conditions of such Awards; (iii) interpret the Plan; (iv) to prescribe the form of each Award Agreement, which need not be identical for each Employee; (v) to accelerate the vesting of all or any portion of any Award and (vi)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205" w:lineRule="exact"/>
        <w:rPr>
          <w:rFonts w:ascii="Arial" w:cs="Arial" w:eastAsia="Arial" w:hAnsi="Arial"/>
          <w:sz w:val="17"/>
          <w:szCs w:val="17"/>
          <w:color w:val="auto"/>
        </w:rPr>
      </w:pPr>
    </w:p>
    <w:p>
      <w:pPr>
        <w:ind w:left="-60" w:right="40" w:firstLine="1305"/>
        <w:spacing w:after="0" w:line="255" w:lineRule="auto"/>
        <w:tabs>
          <w:tab w:leader="none" w:pos="194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Manner of Exercise of Committee Authority</w:t>
      </w:r>
      <w:r>
        <w:rPr>
          <w:rFonts w:ascii="Arial" w:cs="Arial" w:eastAsia="Arial" w:hAnsi="Arial"/>
          <w:sz w:val="18"/>
          <w:szCs w:val="18"/>
          <w:color w:val="auto"/>
        </w:rPr>
        <w:t>. The Committee shall have sole discretion in exercising its authority under the Plan. Any action of the Committee with respect to the Plan shall be final, conclusive, and binding on all persons, including the Company, Subsidiaries, Employees, any person claiming any rights under the Plan from or through any Employee, and shareholders. The express grant of any specific power to the Committee, and the taking of any action by the Committee, shall not be construed as limiting any power or authority of the Committee. The Committee may delegate to any of its members or to other members of the Board or officers or managers of the Company or any Subsidiary the authority, subject to such terms as the Committee shall determine, to perform administrative functions and to perform such other functions as the Committee may determine, to the extent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003" w:right="299" w:bottom="1440" w:gutter="0" w:footer="0" w:header="0"/>
        </w:sectPr>
      </w:pPr>
    </w:p>
    <w:bookmarkStart w:id="12" w:name="page13"/>
    <w:bookmarkEnd w:id="12"/>
    <w:p>
      <w:pPr>
        <w:ind w:left="-40" w:right="40" w:firstLine="1305"/>
        <w:spacing w:after="0" w:line="273" w:lineRule="auto"/>
        <w:tabs>
          <w:tab w:leader="none" w:pos="1951"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Each member of the Committee shall be entitled to, in good faith, rely or act upon any report or other information furnished to him or her by any officer or other employee of the Company or any Subsidiary, the Company’s independent certified public accountants, or other professional retained by the Company to assist in the administration of the Plan. No member of the Committee, and no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their behalf shall, to the extent permitted by law, be fully indemnified and protected by the Company with respect to any such action, determination, or interpretation.</w:t>
      </w:r>
    </w:p>
    <w:p>
      <w:pPr>
        <w:spacing w:after="0" w:line="205" w:lineRule="exact"/>
        <w:rPr>
          <w:rFonts w:ascii="Arial" w:cs="Arial" w:eastAsia="Arial" w:hAnsi="Arial"/>
          <w:sz w:val="17"/>
          <w:szCs w:val="17"/>
          <w:color w:val="auto"/>
        </w:rPr>
      </w:pPr>
    </w:p>
    <w:p>
      <w:pPr>
        <w:ind w:left="-40" w:right="60" w:firstLine="1305"/>
        <w:spacing w:after="0" w:line="302" w:lineRule="auto"/>
        <w:tabs>
          <w:tab w:leader="none" w:pos="196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Limitation on Committee’s Authority under 409A</w:t>
      </w:r>
      <w:r>
        <w:rPr>
          <w:rFonts w:ascii="Arial" w:cs="Arial" w:eastAsia="Arial" w:hAnsi="Arial"/>
          <w:sz w:val="16"/>
          <w:szCs w:val="16"/>
          <w:color w:val="auto"/>
        </w:rPr>
        <w:t>. Anything in this Plan to the contrary notwithstanding, the Committee’s authority to modify outstanding Awards shall be limited to the extent necessary so that the existence of such authority does not (i) cause an Award that is not otherwise deferred compensation subject to Section 409A of the Code to become deferred compensation subject to Section 409A of the Code or (ii) cause an Award that is otherwise deferred compensation subject to Section 409A of the Code to fail to meet the requirements prescribed by Section 409A of the Code.</w:t>
      </w:r>
    </w:p>
    <w:p>
      <w:pPr>
        <w:spacing w:after="0" w:line="181" w:lineRule="exact"/>
        <w:rPr>
          <w:sz w:val="20"/>
          <w:szCs w:val="20"/>
          <w:color w:val="auto"/>
        </w:rPr>
      </w:pPr>
    </w:p>
    <w:p>
      <w:pPr>
        <w:ind w:left="1900" w:hanging="635"/>
        <w:spacing w:after="0"/>
        <w:tabs>
          <w:tab w:leader="none" w:pos="1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252" w:lineRule="exact"/>
        <w:rPr>
          <w:sz w:val="20"/>
          <w:szCs w:val="20"/>
          <w:color w:val="auto"/>
        </w:rPr>
      </w:pPr>
    </w:p>
    <w:p>
      <w:pPr>
        <w:ind w:left="-40" w:firstLine="1305"/>
        <w:spacing w:after="0" w:line="293" w:lineRule="auto"/>
        <w:tabs>
          <w:tab w:leader="none" w:pos="19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adjustment as provided in Section 4(b) hereof, (i) the total number of Shares reserved for issuance in connection with Awards under the Plan shall be 1,600,000. No Award may be granted if the number of Shares to which such Award relates, when added to the number of Shares previously issued under the Plan, exceeds the number of Shares reserved for issuance under the Plan in the preceding sentence. If any Awards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shall, to the extent of any such forfeiture, settlement, termination, cancellation, exchange or surrender, again be available for Awards under the Plan.</w:t>
      </w:r>
    </w:p>
    <w:p>
      <w:pPr>
        <w:spacing w:after="0" w:line="191" w:lineRule="exact"/>
        <w:rPr>
          <w:rFonts w:ascii="Arial" w:cs="Arial" w:eastAsia="Arial" w:hAnsi="Arial"/>
          <w:sz w:val="16"/>
          <w:szCs w:val="16"/>
          <w:color w:val="auto"/>
        </w:rPr>
      </w:pPr>
    </w:p>
    <w:p>
      <w:pPr>
        <w:jc w:val="both"/>
        <w:ind w:left="-40" w:right="100" w:firstLine="1305"/>
        <w:spacing w:after="0" w:line="259" w:lineRule="auto"/>
        <w:tabs>
          <w:tab w:leader="none" w:pos="19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of a subdivision of the Shares, a declaration of a dividend payable in Shares, a declaration of a dividend payable in 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003" w:right="279" w:bottom="1440" w:gutter="0" w:footer="0" w:header="0"/>
        </w:sectPr>
      </w:pPr>
    </w:p>
    <w:bookmarkStart w:id="13" w:name="page14"/>
    <w:bookmarkEnd w:id="13"/>
    <w:p>
      <w:pPr>
        <w:spacing w:after="0" w:line="253" w:lineRule="auto"/>
        <w:rPr>
          <w:sz w:val="20"/>
          <w:szCs w:val="20"/>
          <w:color w:val="auto"/>
        </w:rPr>
      </w:pPr>
      <w:r>
        <w:rPr>
          <w:rFonts w:ascii="Arial" w:cs="Arial" w:eastAsia="Arial" w:hAnsi="Arial"/>
          <w:sz w:val="18"/>
          <w:szCs w:val="18"/>
          <w:color w:val="auto"/>
        </w:rPr>
        <w:t>appropriate in order to prevent dilution or enlargement of the rights of Participants under the Plan, the Committee shall make appropriate adjustments in one or more of (a) the number and kind of Shares available for future Awards under Section 4(a); (b) the definitions of Shares and/or Ordinary Share; (c) the number and kind of Shares covered by each outstanding Award and (d) the purchase price, if any, relating to any Award. Except as provided in this Section 4(b), a Participant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 In addition, the Committee is authorized to make adjustments in the terms and conditions of and the criteria and performance objectives, if any, included in Awards in recognition of unusual or non-recurring events (including, without limitation, events described in the preceding sentence) affecting the Company or any Subsidiary or the financial statements of the Company or any Subsidiary, or in response to changes in applicable laws, regulations, or accounting principles.</w:t>
      </w:r>
    </w:p>
    <w:p>
      <w:pPr>
        <w:spacing w:after="0" w:line="224" w:lineRule="exact"/>
        <w:rPr>
          <w:sz w:val="20"/>
          <w:szCs w:val="20"/>
          <w:color w:val="auto"/>
        </w:rPr>
      </w:pPr>
    </w:p>
    <w:p>
      <w:pPr>
        <w:ind w:right="40" w:firstLine="1305"/>
        <w:spacing w:after="0" w:line="288" w:lineRule="auto"/>
        <w:tabs>
          <w:tab w:leader="none" w:pos="199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event that the Company is a party to a merger, takeover, Change in Control or other reorganization, outstanding Awards shall be subject to the agreement of merger or reorganization, the terms of the relevant scheme of arrangement or other applicable transaction agreement. Such agreement may provide, without limitation, for one or more of the following: (i) the continuation or assumption of outstanding Awards by</w:t>
      </w:r>
    </w:p>
    <w:p>
      <w:pPr>
        <w:spacing w:after="0" w:line="286" w:lineRule="auto"/>
        <w:rPr>
          <w:rFonts w:ascii="Arial" w:cs="Arial" w:eastAsia="Arial" w:hAnsi="Arial"/>
          <w:sz w:val="16"/>
          <w:szCs w:val="16"/>
          <w:color w:val="auto"/>
        </w:rPr>
      </w:pPr>
      <w:r>
        <w:rPr>
          <w:rFonts w:ascii="Arial" w:cs="Arial" w:eastAsia="Arial" w:hAnsi="Arial"/>
          <w:sz w:val="16"/>
          <w:szCs w:val="16"/>
          <w:color w:val="auto"/>
        </w:rPr>
        <w:t>the Company or the surviving company (the term “surviving company” for purposes of this Section 4(c) shall include reference to an acquiring company in a takeover situation) or its parent; (ii)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(iii) cancellation of all or any portion of the outstanding Awards (and the expiration of the balance, as appropriate) in exchange for a cash payment of the excess, if any, of the Fair Market Value at the date of cancellation of the Shares subject to such outstanding Awards or portion thereof being canceled over the aggregate purchase price, if any, with respect to such Awards or portion thereof being canceled; or (iv) the acceleration of the vesting of all or a portion of such outstanding Awards (and the expiration of the balance, as appropriate) to take effect at such time before or after completion of the merger, takeover, Change in Control or other reorganization as the Committee shall in its absolute discretion determine, all in any case without the Participant’s consent. In the event that the transaction agreement or document does not provide for any of the above, the Board has discretion to determine whether any one or more of (i) to (iv) will apply to all or any portion of such outstanding Awards.</w:t>
      </w:r>
    </w:p>
    <w:p>
      <w:pPr>
        <w:spacing w:after="0" w:line="197" w:lineRule="exact"/>
        <w:rPr>
          <w:rFonts w:ascii="Arial" w:cs="Arial" w:eastAsia="Arial" w:hAnsi="Arial"/>
          <w:sz w:val="16"/>
          <w:szCs w:val="16"/>
          <w:color w:val="auto"/>
        </w:rPr>
      </w:pPr>
    </w:p>
    <w:p>
      <w:pPr>
        <w:ind w:right="400" w:firstLine="1305"/>
        <w:spacing w:after="0" w:line="277" w:lineRule="auto"/>
        <w:tabs>
          <w:tab w:leader="none" w:pos="19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Shares distributed pursuant to an Award may consist, in whole or in part, of authorized and unissued Shares or treasury Shares including Shares acquired by purchase in the open market or in private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03" w:right="339" w:bottom="1440" w:gutter="0" w:footer="0" w:header="0"/>
        </w:sectPr>
      </w:pPr>
    </w:p>
    <w:bookmarkStart w:id="14" w:name="page15"/>
    <w:bookmarkEnd w:id="14"/>
    <w:p>
      <w:pPr>
        <w:ind w:left="1940" w:hanging="635"/>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Specific Terms of Awards</w:t>
      </w:r>
      <w:r>
        <w:rPr>
          <w:rFonts w:ascii="Arial" w:cs="Arial" w:eastAsia="Arial" w:hAnsi="Arial"/>
          <w:sz w:val="18"/>
          <w:szCs w:val="18"/>
          <w:color w:val="auto"/>
        </w:rPr>
        <w:t>.</w:t>
      </w:r>
    </w:p>
    <w:p>
      <w:pPr>
        <w:spacing w:after="0" w:line="252" w:lineRule="exact"/>
        <w:rPr>
          <w:sz w:val="20"/>
          <w:szCs w:val="20"/>
          <w:color w:val="auto"/>
        </w:rPr>
      </w:pPr>
    </w:p>
    <w:p>
      <w:pPr>
        <w:ind w:right="80" w:firstLine="1305"/>
        <w:spacing w:after="0" w:line="257" w:lineRule="auto"/>
        <w:tabs>
          <w:tab w:leader="none" w:pos="199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Awards may be granted on the terms and conditions set forth in this Section 5. In addition, the Committee may impose on any Award in the Award Agreement, at the date of grant or thereafter (subject to Section 7(d)), such additional terms and conditions, not inconsistent with the provisions of the Plan, as the Committee shall determine, including terms regarding forfeiture of Awards in the event of Termination of Service by the Participant. Each Award shall be evidenced by an Award Agreement to be executed or accepted electronically by the Participant within such time as the Committee may specify.</w:t>
      </w:r>
    </w:p>
    <w:p>
      <w:pPr>
        <w:spacing w:after="0" w:line="215" w:lineRule="exact"/>
        <w:rPr>
          <w:rFonts w:ascii="Arial" w:cs="Arial" w:eastAsia="Arial" w:hAnsi="Arial"/>
          <w:sz w:val="18"/>
          <w:szCs w:val="18"/>
          <w:color w:val="auto"/>
        </w:rPr>
      </w:pPr>
    </w:p>
    <w:p>
      <w:pPr>
        <w:ind w:left="2000" w:hanging="695"/>
        <w:spacing w:after="0"/>
        <w:tabs>
          <w:tab w:leader="none" w:pos="200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Restricted Share Units</w:t>
      </w:r>
      <w:r>
        <w:rPr>
          <w:rFonts w:ascii="Arial" w:cs="Arial" w:eastAsia="Arial" w:hAnsi="Arial"/>
          <w:sz w:val="16"/>
          <w:szCs w:val="16"/>
          <w:color w:val="auto"/>
        </w:rPr>
        <w:t>. The Committee is authorized to grant Restricted Share Units to Employees, subject to the following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conditions:</w:t>
      </w:r>
    </w:p>
    <w:p>
      <w:pPr>
        <w:spacing w:after="0" w:line="238" w:lineRule="exact"/>
        <w:rPr>
          <w:sz w:val="20"/>
          <w:szCs w:val="20"/>
          <w:color w:val="auto"/>
        </w:rPr>
      </w:pPr>
    </w:p>
    <w:p>
      <w:pPr>
        <w:ind w:left="660" w:firstLine="645"/>
        <w:spacing w:after="0" w:line="255" w:lineRule="auto"/>
        <w:tabs>
          <w:tab w:leader="none" w:pos="197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Award and Restrictions</w:t>
      </w:r>
      <w:r>
        <w:rPr>
          <w:rFonts w:ascii="Arial" w:cs="Arial" w:eastAsia="Arial" w:hAnsi="Arial"/>
          <w:sz w:val="18"/>
          <w:szCs w:val="18"/>
          <w:color w:val="auto"/>
        </w:rPr>
        <w:t>. Delivery of Shares or cash, as the case may be, will occur upon expiration of the deferral period specified for Restricted Share Units by the Committee (or, if permitted by the Committee, as elected by the Participant). In addition, Restricted Share Units shall be subject to such restrictions as the Committee may impose, if any (including, without limitation, the achievement of performance criteria if deemed appropriate by the Committee), at the date of grant or thereafter, which restrictions may lapse at the expiration of the deferral period or at earlier or later specified times, separately or in combination, in installments or otherwise, as the Committee may determine. The Committee may determine that settlement of any Award (and distribution of Shares in connection therewith) is subject to and conditioned on payment by the Participant of any sum specified in the Award Agreement.</w:t>
      </w:r>
    </w:p>
    <w:p>
      <w:pPr>
        <w:spacing w:after="0" w:line="216" w:lineRule="exact"/>
        <w:rPr>
          <w:rFonts w:ascii="Arial" w:cs="Arial" w:eastAsia="Arial" w:hAnsi="Arial"/>
          <w:sz w:val="18"/>
          <w:szCs w:val="18"/>
          <w:color w:val="auto"/>
        </w:rPr>
      </w:pPr>
    </w:p>
    <w:p>
      <w:pPr>
        <w:ind w:left="660" w:right="20" w:firstLine="645"/>
        <w:spacing w:after="0" w:line="272" w:lineRule="auto"/>
        <w:tabs>
          <w:tab w:leader="none" w:pos="202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xml:space="preserve">. Except as otherwise determined by the Committee at the date of grant or thereafter, upon Termination of Service during the applicable deferral period or portion thereof to which forfeiture conditions apply (as provided in the Award Agreement evidencing the Restricted Share Units), or upon failure to satisfy any other conditions precedent to the delivery of Shares or cash to which such Restricted Share Units relate, all Restricted Share Units that are at that time subject to deferral or restriction shall be forfeited;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provide, by rule or regulation or in any Award Agreement, or may determine in any individual case, that restrictions or forfeiture conditions relating to Restricted Share Units will be waived in whole or in part in the event of Termination of Service resulting from specified causes, and the Committee may in other cases waive in whole or in part the forfeiture of Restricted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15" w:name="page16"/>
    <w:bookmarkEnd w:id="15"/>
    <w:p>
      <w:pPr>
        <w:ind w:left="660" w:right="100" w:firstLine="645"/>
        <w:spacing w:after="0" w:line="271" w:lineRule="auto"/>
        <w:tabs>
          <w:tab w:leader="none" w:pos="207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i w:val="1"/>
          <w:iCs w:val="1"/>
          <w:color w:val="auto"/>
        </w:rPr>
        <w:t>.</w:t>
      </w:r>
      <w:r>
        <w:rPr>
          <w:rFonts w:ascii="Arial" w:cs="Arial" w:eastAsia="Arial" w:hAnsi="Arial"/>
          <w:sz w:val="17"/>
          <w:szCs w:val="17"/>
          <w:color w:val="auto"/>
        </w:rPr>
        <w:t xml:space="preserve"> The applicable Award Agreement may provide, as of each date on which a cash dividend is paid on Shares, that Dividend Equivalents on the specified number of Shares covered by the Award will be paid with respect to such Restricted Share Units at the dividend payment date either (A) in cash or in restricted or unrestricted Shares having a Fair Market Value equal to the amount of such dividends, or (B) by increasing the number of Restricted Share Units subject to a Restricted Share Unit Award by that number of Restricted Share Units (including fractional units) determined by (i) multiplying the amount of such dividend (per Share) by the number of Restricted Share Units subject to the Award immediately before the payment of the dividend, and (ii) dividing the total so determined by the Fair Market Value of a Share on the date of payment of such cash dividend; and any such additional Restricted Share Units so credited shall have the same deferral and forfeiture provisions as the Restricted Share Units with respect to which they are credited.</w:t>
      </w:r>
    </w:p>
    <w:p>
      <w:pPr>
        <w:spacing w:after="0" w:line="206" w:lineRule="exact"/>
        <w:rPr>
          <w:sz w:val="20"/>
          <w:szCs w:val="20"/>
          <w:color w:val="auto"/>
        </w:rPr>
      </w:pPr>
    </w:p>
    <w:p>
      <w:pPr>
        <w:ind w:firstLine="1305"/>
        <w:spacing w:after="0" w:line="270" w:lineRule="auto"/>
        <w:tabs>
          <w:tab w:leader="none" w:pos="199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Other Share-Based Awards</w:t>
      </w:r>
      <w:r>
        <w:rPr>
          <w:rFonts w:ascii="Arial" w:cs="Arial" w:eastAsia="Arial" w:hAnsi="Arial"/>
          <w:sz w:val="17"/>
          <w:szCs w:val="17"/>
          <w:color w:val="auto"/>
        </w:rPr>
        <w:t>. The Committee is authorized, subject to limitations under applicable law, to grant to Employees such other Awards that may be denominated or payable in, valued in whole or in part by reference to, or otherwise based on, or related to, Shares, as deemed by the Committee to be consistent with the purposes of the Plan, including, without limitation, unrestricted shares awarded purely as a “bonus” and not subject to any restrictions or conditions, other rights convertible or exchangeable into Shares, purchase rights for Shares, Awards with value and payment contingent upon performance of the Company or any other factors designated by the Committee, and Awards valued by reference to the performance of specified Subsidiaries. The Committee shall determine the terms and conditions of such Awards at date of grant. Shares delivered pursuant to an Award in the nature of a purchase right granted under this Section 5(c) shall be purchased for such consideration, paid for at such times, by such methods, and in such forms, including, without limitation, cash, Shares, notes or other property, as the Committee shall determine. Cash awards, as an element of or supplement to any other Award under the Plan, shall also be authorized pursuant to this Section 5(c).</w:t>
      </w:r>
    </w:p>
    <w:p>
      <w:pPr>
        <w:spacing w:after="0" w:line="209" w:lineRule="exact"/>
        <w:rPr>
          <w:sz w:val="20"/>
          <w:szCs w:val="20"/>
          <w:color w:val="auto"/>
        </w:rPr>
      </w:pPr>
    </w:p>
    <w:p>
      <w:pPr>
        <w:ind w:left="1940" w:hanging="635"/>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Certain Provisions Applicable to Awards</w:t>
      </w:r>
      <w:r>
        <w:rPr>
          <w:rFonts w:ascii="Arial" w:cs="Arial" w:eastAsia="Arial" w:hAnsi="Arial"/>
          <w:sz w:val="18"/>
          <w:szCs w:val="18"/>
          <w:color w:val="auto"/>
        </w:rPr>
        <w:t>.</w:t>
      </w:r>
    </w:p>
    <w:p>
      <w:pPr>
        <w:spacing w:after="0" w:line="252" w:lineRule="exact"/>
        <w:rPr>
          <w:sz w:val="20"/>
          <w:szCs w:val="20"/>
          <w:color w:val="auto"/>
        </w:rPr>
      </w:pPr>
    </w:p>
    <w:p>
      <w:pPr>
        <w:ind w:right="20" w:firstLine="1305"/>
        <w:spacing w:after="0" w:line="297" w:lineRule="auto"/>
        <w:tabs>
          <w:tab w:leader="none" w:pos="1991"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Stand-Alone, Additional, Tandem and Substitute Awards</w:t>
      </w:r>
      <w:r>
        <w:rPr>
          <w:rFonts w:ascii="Arial" w:cs="Arial" w:eastAsia="Arial" w:hAnsi="Arial"/>
          <w:sz w:val="16"/>
          <w:szCs w:val="16"/>
          <w:color w:val="auto"/>
        </w:rPr>
        <w:t>. Awards granted under the Plan may, in the discretion of the Committee, be granted to Employees either alone or in addition to, in tandem with, or in exchange or substitution for, any other Award granted under the Plan or any award granted under any other plan or agreement of the Company, any Subsidiary, or any business entity to be acquired by the Company or a Subsidiary, or any other right of an Employee to receive payment from the Company or any Subsidiary. Awards may be granted in addition to or in tandem with such other Awards or awards, and may be granted either as of the same time as, or a different time from, the grant of such other Awards or awards.</w:t>
      </w:r>
    </w:p>
    <w:p>
      <w:pPr>
        <w:spacing w:after="0" w:line="185" w:lineRule="exact"/>
        <w:rPr>
          <w:rFonts w:ascii="Arial" w:cs="Arial" w:eastAsia="Arial" w:hAnsi="Arial"/>
          <w:sz w:val="16"/>
          <w:szCs w:val="16"/>
          <w:color w:val="auto"/>
        </w:rPr>
      </w:pPr>
    </w:p>
    <w:p>
      <w:pPr>
        <w:ind w:left="2000" w:hanging="695"/>
        <w:spacing w:after="0"/>
        <w:tabs>
          <w:tab w:leader="none" w:pos="200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Term of Awards</w:t>
      </w:r>
      <w:r>
        <w:rPr>
          <w:rFonts w:ascii="Arial" w:cs="Arial" w:eastAsia="Arial" w:hAnsi="Arial"/>
          <w:sz w:val="17"/>
          <w:szCs w:val="17"/>
          <w:color w:val="auto"/>
        </w:rPr>
        <w:t>. The term of each Award granted to a Participant shall be for such period as may be determined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16" w:name="page17"/>
    <w:bookmarkEnd w:id="16"/>
    <w:p>
      <w:pPr>
        <w:ind w:left="-20" w:firstLine="1305"/>
        <w:spacing w:after="0" w:line="293" w:lineRule="auto"/>
        <w:tabs>
          <w:tab w:leader="none" w:pos="197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Form of Payment Under Awards</w:t>
      </w:r>
      <w:r>
        <w:rPr>
          <w:rFonts w:ascii="Arial" w:cs="Arial" w:eastAsia="Arial" w:hAnsi="Arial"/>
          <w:sz w:val="16"/>
          <w:szCs w:val="16"/>
          <w:color w:val="auto"/>
        </w:rPr>
        <w:t>. Subject to the terms of the Plan and any applicable Award Agreement, payments to be made by the Company or a Subsidiary upon the grant or vesting of an Award may be made in such forms as the Committee shall determine at the date of grant or allow (in accordance with applicable law) at the time of payment, including, without limitation, cash, Shares, notes or other property, and may be made in a single payment or transfer, in installments, or on a deferred basis. The Committee may make rules relating to installment or deferred payments with respect to Awards, including the rate of interest to be credited with respect to such payments, and the Committee may require deferral of payment under an Award if, in the sole judgment of the Committee, it may be necessary in order to avoid nondeductibility of the payment under Section 162(m) of the Code.</w:t>
      </w:r>
    </w:p>
    <w:p>
      <w:pPr>
        <w:spacing w:after="0" w:line="191" w:lineRule="exact"/>
        <w:rPr>
          <w:rFonts w:ascii="Arial" w:cs="Arial" w:eastAsia="Arial" w:hAnsi="Arial"/>
          <w:sz w:val="16"/>
          <w:szCs w:val="16"/>
          <w:color w:val="auto"/>
        </w:rPr>
      </w:pPr>
    </w:p>
    <w:p>
      <w:pPr>
        <w:ind w:left="-20" w:right="20" w:firstLine="1305"/>
        <w:spacing w:after="0" w:line="293" w:lineRule="auto"/>
        <w:tabs>
          <w:tab w:leader="none" w:pos="198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Unless otherwise set forth by the Committee in an Award Agreement, Awards shall not be transferable by a Participant except by will or the laws of descent and distribution (except pursuant to a Beneficiary designation where permitted under applicable law) and shall be exercisable during the lifetime of a Participant only by such Participant or his guardian or legal representative. A Participant’s rights under the Plan may not be pledged, mortgaged, hypothecated, or otherwise encumbered, and shall not be subject to claims of the Participant’s creditors. The transferee of an Award shall be bound by the provisions of this Plan and the Award Agreement entered into by the Participant and the Company and (unless otherwise determined by the Committee in its absolute discretion) such transferee shall agree in writing on a form prescribed by the Committee to be so bound.</w:t>
      </w:r>
    </w:p>
    <w:p>
      <w:pPr>
        <w:spacing w:after="0" w:line="191" w:lineRule="exact"/>
        <w:rPr>
          <w:rFonts w:ascii="Arial" w:cs="Arial" w:eastAsia="Arial" w:hAnsi="Arial"/>
          <w:sz w:val="16"/>
          <w:szCs w:val="16"/>
          <w:color w:val="auto"/>
        </w:rPr>
      </w:pPr>
    </w:p>
    <w:p>
      <w:pPr>
        <w:ind w:left="-20" w:right="80" w:firstLine="1305"/>
        <w:spacing w:after="0" w:line="312" w:lineRule="auto"/>
        <w:tabs>
          <w:tab w:leader="none" w:pos="197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Committee may, by way of the Award Agreements or otherwise, establish such other terms, conditions, restrictions and/or limitations, if any, of any Award, provided they are not inconsistent with the Plan, including, without limitation, the requirement that the Participant not engage in competition with, solicit customers or employees of, or disclose or use confidential information of the Company or its Subsidiaries.</w:t>
      </w:r>
    </w:p>
    <w:p>
      <w:pPr>
        <w:spacing w:after="0" w:line="173" w:lineRule="exact"/>
        <w:rPr>
          <w:rFonts w:ascii="Arial" w:cs="Arial" w:eastAsia="Arial" w:hAnsi="Arial"/>
          <w:sz w:val="16"/>
          <w:szCs w:val="16"/>
          <w:color w:val="auto"/>
        </w:rPr>
      </w:pPr>
    </w:p>
    <w:p>
      <w:pPr>
        <w:ind w:left="-20" w:right="120" w:firstLine="1305"/>
        <w:spacing w:after="0" w:line="308" w:lineRule="auto"/>
        <w:tabs>
          <w:tab w:leader="none" w:pos="1951"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The Committee may determine, at the time of granting an Award or thereafter, that such Award shall become fully vested as to all or part of the Shares subject to such Award in the event that a Change in Control occurs with respect to the Company.</w:t>
      </w:r>
    </w:p>
    <w:p>
      <w:pPr>
        <w:spacing w:after="0" w:line="174" w:lineRule="exact"/>
        <w:rPr>
          <w:sz w:val="20"/>
          <w:szCs w:val="20"/>
          <w:color w:val="auto"/>
        </w:rPr>
      </w:pPr>
    </w:p>
    <w:p>
      <w:pPr>
        <w:ind w:left="1920" w:hanging="635"/>
        <w:spacing w:after="0"/>
        <w:tabs>
          <w:tab w:leader="none" w:pos="19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52" w:lineRule="exact"/>
        <w:rPr>
          <w:sz w:val="20"/>
          <w:szCs w:val="20"/>
          <w:color w:val="auto"/>
        </w:rPr>
      </w:pPr>
    </w:p>
    <w:p>
      <w:pPr>
        <w:ind w:left="-20" w:right="100" w:firstLine="1305"/>
        <w:spacing w:after="0" w:line="257" w:lineRule="auto"/>
        <w:tabs>
          <w:tab w:leader="none" w:pos="197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Compliance with Legal and Trading Requirements</w:t>
      </w:r>
      <w:r>
        <w:rPr>
          <w:rFonts w:ascii="Arial" w:cs="Arial" w:eastAsia="Arial" w:hAnsi="Arial"/>
          <w:sz w:val="18"/>
          <w:szCs w:val="18"/>
          <w:color w:val="auto"/>
        </w:rPr>
        <w:t>. The Plan, the granting and exercising of Awards thereunder, and the other obligations of the Company under the Plan and any Award Agreement, shall be subject to all applicable federal, state and foreign laws, rules and regulations, and to such approvals by any stock exchange, regulatory or governmental agency as may be required. The Company, in its discretion, may postpone the issuance or delivery of Shares under any Award until completion of such stock exchange or market system listing or registration or qualification of such Shares or any required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003" w:right="259" w:bottom="1440" w:gutter="0" w:footer="0" w:header="0"/>
        </w:sectPr>
      </w:pPr>
    </w:p>
    <w:bookmarkStart w:id="17" w:name="page18"/>
    <w:bookmarkEnd w:id="17"/>
    <w:p>
      <w:pPr>
        <w:ind w:right="480"/>
        <w:spacing w:after="0" w:line="302" w:lineRule="auto"/>
        <w:rPr>
          <w:sz w:val="20"/>
          <w:szCs w:val="20"/>
          <w:color w:val="auto"/>
        </w:rPr>
      </w:pPr>
      <w:r>
        <w:rPr>
          <w:rFonts w:ascii="Arial" w:cs="Arial" w:eastAsia="Arial" w:hAnsi="Arial"/>
          <w:sz w:val="16"/>
          <w:szCs w:val="16"/>
          <w:color w:val="auto"/>
        </w:rPr>
        <w:t>under any state, federal or foreign law, rule or regulation as the Company may consider appropriate, and may require any Participant to make such representations and furnish such information as it may consider appropriate in connection with the issuance or delivery of Shares in compliance with applicable laws, rules and regulations. No provisions of the Plan shall be interpreted or construed to obligate the Company to register any Shares under federal, state or foreign law. The Shares issued under the Plan may be subject to such other restrictions on transfer as determined by the Committee.</w:t>
      </w:r>
    </w:p>
    <w:p>
      <w:pPr>
        <w:spacing w:after="0" w:line="181" w:lineRule="exact"/>
        <w:rPr>
          <w:sz w:val="20"/>
          <w:szCs w:val="20"/>
          <w:color w:val="auto"/>
        </w:rPr>
      </w:pPr>
    </w:p>
    <w:p>
      <w:pPr>
        <w:ind w:right="20" w:firstLine="1305"/>
        <w:spacing w:after="0" w:line="273" w:lineRule="auto"/>
        <w:tabs>
          <w:tab w:leader="none" w:pos="200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 or Service</w:t>
      </w:r>
      <w:r>
        <w:rPr>
          <w:rFonts w:ascii="Arial" w:cs="Arial" w:eastAsia="Arial" w:hAnsi="Arial"/>
          <w:sz w:val="17"/>
          <w:szCs w:val="17"/>
          <w:color w:val="auto"/>
        </w:rPr>
        <w:t>. Neither the Plan nor any action taken thereunder shall be construed as giving any Participant the right to be retained in the employ or service of the Company or any of its Subsidiaries, nor shall it interfere in any way with any right of the Company or any of its Subsidiaries to terminate any Participant’s employment or service at any time in accordance with applicable law. Under no circumstances will any Participant ceasing to be an Employee be entitled to any compensation for any loss of any right or benefit or prospective right or benefit under the Plan which he might otherwise have enjoyed whether such compensation is claimed by way of damages for wrongful dismissal or other breach of contract or by way of compensation for loss of office or otherwise howsoever.</w:t>
      </w:r>
    </w:p>
    <w:p>
      <w:pPr>
        <w:spacing w:after="0" w:line="205" w:lineRule="exact"/>
        <w:rPr>
          <w:rFonts w:ascii="Arial" w:cs="Arial" w:eastAsia="Arial" w:hAnsi="Arial"/>
          <w:sz w:val="17"/>
          <w:szCs w:val="17"/>
          <w:color w:val="auto"/>
        </w:rPr>
      </w:pPr>
    </w:p>
    <w:p>
      <w:pPr>
        <w:ind w:firstLine="1305"/>
        <w:spacing w:after="0" w:line="291" w:lineRule="auto"/>
        <w:tabs>
          <w:tab w:leader="none" w:pos="199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xml:space="preserve">. The Company or any Subsidiary is authorized to withhold from any Award granted, any payment relating to an Award under the Plan, including from a distribution of Shares, or any payroll or other payment to an Employee, amounts of withholding social insurance, levies and other taxes due in connection with any transaction involving an Award, and to take such other action as the Committee may deem advisable to enable the Company and Employee to satisfy obligations for the payment of withholding taxes and other tax obligations relating to any Award. This authority shall include authority to withhold or receive Shares or other property and to make cash payments in respect thereof in satisfaction of an Employee’s tax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 of tax withholding to be satisfied by withholding Shares shall be limited to the minimum amount of taxes and any amount of social insurance and/or levies, including employment taxes, required to be withheld under applicable Federal, state and local law.</w:t>
      </w:r>
    </w:p>
    <w:p>
      <w:pPr>
        <w:spacing w:after="0" w:line="194" w:lineRule="exact"/>
        <w:rPr>
          <w:rFonts w:ascii="Arial" w:cs="Arial" w:eastAsia="Arial" w:hAnsi="Arial"/>
          <w:sz w:val="16"/>
          <w:szCs w:val="16"/>
          <w:color w:val="auto"/>
        </w:rPr>
      </w:pPr>
    </w:p>
    <w:p>
      <w:pPr>
        <w:ind w:right="60" w:firstLine="1305"/>
        <w:spacing w:after="0" w:line="270" w:lineRule="auto"/>
        <w:tabs>
          <w:tab w:leader="none" w:pos="200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Changes to the Plan and Awards</w:t>
      </w:r>
      <w:r>
        <w:rPr>
          <w:rFonts w:ascii="Arial" w:cs="Arial" w:eastAsia="Arial" w:hAnsi="Arial"/>
          <w:sz w:val="17"/>
          <w:szCs w:val="17"/>
          <w:color w:val="auto"/>
        </w:rPr>
        <w:t xml:space="preserve">. The Board may amend, alter, suspend, discontinue, or terminate the Plan or the Committee’s authority to grant Awards under the Plan without the consent of shareholders of the Company or Participants, except that any such amendment or alteration shall be subject to the approval of the Company’s shareholders to the extent such shareholder approval is required under the rules of any stock exchange or automated quotation system on which the Shares may then be listed or quoted or any applicable law, regulation or rule;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without the consent of an affected Participant, no amendment, alteration, suspension, discontinuation, or termination of the Plan may materially and adversely affect the rights of such Participant under any Award theretofore granted to him or her. The Committee may waive any conditions or rights under, amend any terms of, or amend, alter, suspend, discontinue or terminate, any Award theretofore granted, prospectively or retrospectively;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without the consent of a Participant, no amendment, alteration, suspension, discontinuation or termination of any Award may materially and adversely affect the rights of such Participant under any Award theretofore granted to him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18" w:name="page19"/>
    <w:bookmarkEnd w:id="18"/>
    <w:p>
      <w:pPr>
        <w:ind w:left="-40" w:right="180" w:firstLine="1305"/>
        <w:spacing w:after="0" w:line="259" w:lineRule="auto"/>
        <w:tabs>
          <w:tab w:leader="none" w:pos="195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Rights to Awards; No Shareholder Rights</w:t>
      </w:r>
      <w:r>
        <w:rPr>
          <w:rFonts w:ascii="Arial" w:cs="Arial" w:eastAsia="Arial" w:hAnsi="Arial"/>
          <w:sz w:val="18"/>
          <w:szCs w:val="18"/>
          <w:color w:val="auto"/>
        </w:rPr>
        <w:t>. No Employee shall have any claim to be granted any Award under the Plan, and there is no obligation for uniformity of treatment of Employees. No Award shall confer on any Participant any of the rights of a shareholder (including, but not limited to, shareholder voting rights or rights to dividends) of the Company unless and until Shares are duly issued or transferred to the Participant in accordance with the terms of the Award.</w:t>
      </w:r>
    </w:p>
    <w:p>
      <w:pPr>
        <w:spacing w:after="0" w:line="213" w:lineRule="exact"/>
        <w:rPr>
          <w:rFonts w:ascii="Arial" w:cs="Arial" w:eastAsia="Arial" w:hAnsi="Arial"/>
          <w:sz w:val="18"/>
          <w:szCs w:val="18"/>
          <w:color w:val="auto"/>
        </w:rPr>
      </w:pPr>
    </w:p>
    <w:p>
      <w:pPr>
        <w:ind w:left="-40" w:right="40" w:firstLine="1305"/>
        <w:spacing w:after="0" w:line="255" w:lineRule="auto"/>
        <w:tabs>
          <w:tab w:leader="none" w:pos="193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xml:space="preserve">. The Plan is intended to constitute an “unfunded” plan for incentive compensation. With respect to any payments not yet made to a Participant pursuant to an Award, nothing contained in the Plan or any Award shall give any such Participant any rights that are greater than those of a general creditor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authorize the creation of trusts or make other arrangements to meet the Company’s obligations under the Plan to deliver cash, Shares, other Awards, or other property pursuant to any Award, which trusts or other arrangements shall be consistent with the “unfunded” status of the Plan unless the Committee otherwise determines with the consent of each affected Participant.</w:t>
      </w:r>
    </w:p>
    <w:p>
      <w:pPr>
        <w:spacing w:after="0" w:line="220" w:lineRule="exact"/>
        <w:rPr>
          <w:rFonts w:ascii="Arial" w:cs="Arial" w:eastAsia="Arial" w:hAnsi="Arial"/>
          <w:sz w:val="18"/>
          <w:szCs w:val="18"/>
          <w:color w:val="auto"/>
        </w:rPr>
      </w:pPr>
    </w:p>
    <w:p>
      <w:pPr>
        <w:ind w:left="-40" w:firstLine="1305"/>
        <w:spacing w:after="0" w:line="302" w:lineRule="auto"/>
        <w:tabs>
          <w:tab w:leader="none" w:pos="196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Provision of Financial Assistance</w:t>
      </w:r>
      <w:r>
        <w:rPr>
          <w:rFonts w:ascii="Arial" w:cs="Arial" w:eastAsia="Arial" w:hAnsi="Arial"/>
          <w:sz w:val="16"/>
          <w:szCs w:val="16"/>
          <w:color w:val="auto"/>
        </w:rPr>
        <w:t>. The Company (or any Subsidiary) may from time to time at the absolute discretion of the Board (or in the case of a Subsidiary of its board) provide monies to, make loans to, guarantee loans for, or provide any form of financial assistance permitted by applicable law to or for such one or more Participants as it deems fit in order to assist such Participant(s) to acquire Shares on foot of Awards. Any loan or guarantee shall be on such terms as to repayment, interest or otherwise as the Board (or in the case of a Subsidiary as its board) may determine.</w:t>
      </w:r>
    </w:p>
    <w:p>
      <w:pPr>
        <w:spacing w:after="0" w:line="181" w:lineRule="exact"/>
        <w:rPr>
          <w:rFonts w:ascii="Arial" w:cs="Arial" w:eastAsia="Arial" w:hAnsi="Arial"/>
          <w:sz w:val="16"/>
          <w:szCs w:val="16"/>
          <w:color w:val="auto"/>
        </w:rPr>
      </w:pPr>
    </w:p>
    <w:p>
      <w:pPr>
        <w:ind w:left="-40" w:right="60" w:firstLine="1305"/>
        <w:spacing w:after="0" w:line="259" w:lineRule="auto"/>
        <w:tabs>
          <w:tab w:leader="none" w:pos="196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its submission to the shareholders of the Company for approval shall be construed as creating any limitations on the power of the Board to adopt such other incentive arrangements as it may deem desirable, including, without limitation, the granting of options and other awards otherwise than under the Plan, and such arrangements may be either applicable generally or only in specific cases.</w:t>
      </w:r>
    </w:p>
    <w:p>
      <w:pPr>
        <w:spacing w:after="0" w:line="213" w:lineRule="exact"/>
        <w:rPr>
          <w:rFonts w:ascii="Arial" w:cs="Arial" w:eastAsia="Arial" w:hAnsi="Arial"/>
          <w:sz w:val="18"/>
          <w:szCs w:val="18"/>
          <w:color w:val="auto"/>
        </w:rPr>
      </w:pPr>
    </w:p>
    <w:p>
      <w:pPr>
        <w:ind w:left="-40" w:right="140" w:firstLine="1305"/>
        <w:spacing w:after="0" w:line="264" w:lineRule="auto"/>
        <w:tabs>
          <w:tab w:leader="none" w:pos="192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 Compensation for Benefit Plans</w:t>
      </w:r>
      <w:r>
        <w:rPr>
          <w:rFonts w:ascii="Arial" w:cs="Arial" w:eastAsia="Arial" w:hAnsi="Arial"/>
          <w:sz w:val="18"/>
          <w:szCs w:val="18"/>
          <w:color w:val="auto"/>
        </w:rPr>
        <w:t>. No Award payable under this Plan shall be deemed salary or compensation for the purpose of computing benefits under any benefit plan or other arrangement of the Company for the benefit of its employees, consultants or directors unless the Company shall determine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003" w:right="279" w:bottom="1440" w:gutter="0" w:footer="0" w:header="0"/>
        </w:sectPr>
      </w:pPr>
    </w:p>
    <w:bookmarkStart w:id="19" w:name="page20"/>
    <w:bookmarkEnd w:id="19"/>
    <w:p>
      <w:pPr>
        <w:ind w:left="-60" w:right="120" w:firstLine="1305"/>
        <w:spacing w:after="0" w:line="264" w:lineRule="auto"/>
        <w:tabs>
          <w:tab w:leader="none" w:pos="190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208" w:lineRule="exact"/>
        <w:rPr>
          <w:rFonts w:ascii="Arial" w:cs="Arial" w:eastAsia="Arial" w:hAnsi="Arial"/>
          <w:sz w:val="18"/>
          <w:szCs w:val="18"/>
          <w:color w:val="auto"/>
        </w:rPr>
      </w:pPr>
    </w:p>
    <w:p>
      <w:pPr>
        <w:ind w:left="-60" w:right="140" w:firstLine="1305"/>
        <w:spacing w:after="0" w:line="308" w:lineRule="auto"/>
        <w:tabs>
          <w:tab w:leader="none" w:pos="194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construction, and effect of the Plan, any rules and regulations relating to the Plan, and any Award Agreement shall be determined in accordance with the laws of Ireland, without giving effect to principles of conflict of laws thereof.</w:t>
      </w:r>
    </w:p>
    <w:p>
      <w:pPr>
        <w:spacing w:after="0" w:line="173" w:lineRule="exact"/>
        <w:rPr>
          <w:rFonts w:ascii="Arial" w:cs="Arial" w:eastAsia="Arial" w:hAnsi="Arial"/>
          <w:sz w:val="17"/>
          <w:szCs w:val="17"/>
          <w:color w:val="auto"/>
        </w:rPr>
      </w:pPr>
    </w:p>
    <w:p>
      <w:pPr>
        <w:ind w:left="-60" w:firstLine="1305"/>
        <w:spacing w:after="0" w:line="308" w:lineRule="auto"/>
        <w:tabs>
          <w:tab w:leader="none" w:pos="190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Effective Date; Plan Termination</w:t>
      </w:r>
      <w:r>
        <w:rPr>
          <w:rFonts w:ascii="Arial" w:cs="Arial" w:eastAsia="Arial" w:hAnsi="Arial"/>
          <w:sz w:val="17"/>
          <w:szCs w:val="17"/>
          <w:color w:val="auto"/>
        </w:rPr>
        <w:t>. This Plan shall become effective as of 23 April 2013 (the “Effective Date”), subject to approval by the Directors of the Company. The Plan shall terminate as to future awards on the date which is ten (10) years after the Effective Date.</w:t>
      </w:r>
    </w:p>
    <w:p>
      <w:pPr>
        <w:spacing w:after="0" w:line="173" w:lineRule="exact"/>
        <w:rPr>
          <w:rFonts w:ascii="Arial" w:cs="Arial" w:eastAsia="Arial" w:hAnsi="Arial"/>
          <w:sz w:val="17"/>
          <w:szCs w:val="17"/>
          <w:color w:val="auto"/>
        </w:rPr>
      </w:pPr>
    </w:p>
    <w:p>
      <w:pPr>
        <w:ind w:left="-60" w:right="120" w:firstLine="1305"/>
        <w:spacing w:after="0" w:line="259" w:lineRule="auto"/>
        <w:tabs>
          <w:tab w:leader="none" w:pos="199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Plan and Awards issued thereunder will comply with Section 409A of the Code (and any regulations and 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pacing w:after="0" w:line="213" w:lineRule="exact"/>
        <w:rPr>
          <w:rFonts w:ascii="Arial" w:cs="Arial" w:eastAsia="Arial" w:hAnsi="Arial"/>
          <w:sz w:val="18"/>
          <w:szCs w:val="18"/>
          <w:color w:val="auto"/>
        </w:rPr>
      </w:pPr>
    </w:p>
    <w:p>
      <w:pPr>
        <w:ind w:left="-60" w:right="20" w:firstLine="1305"/>
        <w:spacing w:after="0" w:line="277" w:lineRule="auto"/>
        <w:tabs>
          <w:tab w:leader="none" w:pos="194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In the event of any conflict, the text of the Plan, rather than such titles or headings, shall control.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00"/>
          </w:cols>
          <w:pgMar w:left="300" w:top="1003" w:right="29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color w:val="auto"/>
        </w:rPr>
        <w:t>Exhibit 5.1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A&amp;L GOODBODY SOLICITORS, DUBLIN, IRELAND]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 (ICON)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acting as Irish Counsel for ICON, a public limited company incorporated under the laws of Ireland in connection with the registration under the U.S. Securities Act of 1933, as amended (the Securities Act) of ordinary shares of €0.06 nominal value each (each a Share and together referred to as the Shares) in ICON which may be issued pursuant to the ICON 2013 Employee Restricted Share Unit Plan (the Plan).</w:t>
      </w:r>
    </w:p>
    <w:p>
      <w:pPr>
        <w:spacing w:after="0" w:line="20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this opinion, we have examined and have assumed the truth and accuracy of the contents of such documents and certificates of officers of and advisers to ICON and of public officials as to factual matters as we have deemed necessary or appropriate for the purposes of this opinion but have made no independent investigation regarding such factual matters.</w:t>
      </w:r>
    </w:p>
    <w:p>
      <w:pPr>
        <w:spacing w:after="0" w:line="2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our examination, we have assumed the genuineness of all signatures, the authenticity of all documents submitted to us as originals, the conformity to original documents submitted of all documents submitted to us as certified or photostatic copies and the authenticity of the originals of such documents. We have examined the director resolutions of ICON establishing the Plan and have assumed that such resolutions were duly passed and have not been varied, amended or revoked in any respect and that all the Shares will be issued in accordance with such resolutions and authorities.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express no opinion on the laws of any jurisdiction other than the laws (and the interpretation thereof) of Ireland in force as at the date hereof.</w:t>
      </w:r>
    </w:p>
    <w:p>
      <w:pPr>
        <w:spacing w:after="0" w:line="2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upon the foregoing, we are of the opinion that when the Shares, to be issued upon the vesting of the restricted stock units granted or to be granted under and in the manner referred to in the Plan, are issued in accordance with their respective terms and the Memorandum and Articles of Association of the Company and on payment (as appropriate), they will be legally and validly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line="302" w:lineRule="auto"/>
        <w:rPr>
          <w:sz w:val="20"/>
          <w:szCs w:val="20"/>
          <w:color w:val="auto"/>
        </w:rPr>
      </w:pPr>
      <w:r>
        <w:rPr>
          <w:rFonts w:ascii="Arial" w:cs="Arial" w:eastAsia="Arial" w:hAnsi="Arial"/>
          <w:sz w:val="16"/>
          <w:szCs w:val="16"/>
          <w:color w:val="auto"/>
        </w:rPr>
        <w:t>We hereby consent to the filing of this Opinion with the United States Securities and Exchange Commission as an exhibit to the Registration Statement and to the references to our Firm in the Registration Statement. Our consent to such references does not constitute a consent under Section 7 of the Securities Act, as in consenting to such references, we have not certified any part of the Registration Statement and do not otherwise come within the categories of persons whose consent is required under Section 7 or under the rules and regulations of the United States Securities and Exchange Commission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to be construed in accordance with and governed by the laws of Ireland.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A&amp;L Goodbody Solicitors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22, 2013</w:t>
      </w:r>
    </w:p>
    <w:p>
      <w:pPr>
        <w:sectPr>
          <w:pgSz w:w="11900" w:h="16838" w:orient="portrait"/>
          <w:cols w:equalWidth="0" w:num="1">
            <w:col w:w="11420"/>
          </w:cols>
          <w:pgMar w:left="240" w:top="1003"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23.2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 on Form S-8 of ICON plc of our reports dated March 6, 2013, with respect to the consolidated balance sheets of ICON plc as of December 31, 2012 and 2011,and the related consolidated statements of operations, shareholders’ equity and comprehensive income, and cash flows for each of the years in the three-year period ended December 31, 2012, and the effectiveness of internal control over financial reporting as of December 31, 2012, which reports appear in the December 31, 2012 annual report on Form 20-F of ICON plc.</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22, 2013</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upperLetter"/>
      <w:start w:val="1"/>
    </w:lvl>
    <w:lvl w:ilvl="1">
      <w:lvlJc w:val="left"/>
      <w:lvlText w:val="(%2)"/>
      <w:numFmt w:val="lowerRoman"/>
    </w:lvl>
    <w:lvl w:ilvl="2">
      <w:lvlJc w:val="left"/>
      <w:lvlText w:val="(%3)"/>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Roman"/>
      <w:start w:val="1"/>
    </w:lvl>
  </w:abstractNum>
  <w:abstractNum w:abstractNumId="8">
    <w:nsid w:val="62BBD95A"/>
    <w:multiLevelType w:val="hybridMultilevel"/>
    <w:lvl w:ilvl="0">
      <w:lvlJc w:val="left"/>
      <w:lvlText w:val="(%1)"/>
      <w:numFmt w:val="lowerRoman"/>
      <w:start w:val="2"/>
    </w:lvl>
  </w:abstractNum>
  <w:abstractNum w:abstractNumId="9">
    <w:nsid w:val="436C6125"/>
    <w:multiLevelType w:val="hybridMultilevel"/>
    <w:lvl w:ilvl="0">
      <w:lvlJc w:val="left"/>
      <w:lvlText w:val="(%1)"/>
      <w:numFmt w:val="lowerLetter"/>
      <w:start w:val="6"/>
    </w:lvl>
  </w:abstractNum>
  <w:abstractNum w:abstractNumId="10">
    <w:nsid w:val="628C895D"/>
    <w:multiLevelType w:val="hybridMultilevel"/>
    <w:lvl w:ilvl="0">
      <w:lvlJc w:val="left"/>
      <w:lvlText w:val="(%1)"/>
      <w:numFmt w:val="lowerLetter"/>
      <w:start w:val="9"/>
    </w:lvl>
  </w:abstractNum>
  <w:abstractNum w:abstractNumId="11">
    <w:nsid w:val="333AB105"/>
    <w:multiLevelType w:val="hybridMultilevel"/>
    <w:lvl w:ilvl="0">
      <w:lvlJc w:val="left"/>
      <w:lvlText w:val="(%1)"/>
      <w:numFmt w:val="lowerLetter"/>
      <w:start w:val="21"/>
    </w:lvl>
  </w:abstractNum>
  <w:abstractNum w:abstractNumId="12">
    <w:nsid w:val="721DA317"/>
    <w:multiLevelType w:val="hybridMultilevel"/>
    <w:lvl w:ilvl="0">
      <w:lvlJc w:val="left"/>
      <w:lvlText w:val="%1."/>
      <w:numFmt w:val="decimal"/>
      <w:start w:val="3"/>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3"/>
    </w:lvl>
  </w:abstractNum>
  <w:abstractNum w:abstractNumId="15">
    <w:nsid w:val="6763845E"/>
    <w:multiLevelType w:val="hybridMultilevel"/>
    <w:lvl w:ilvl="0">
      <w:lvlJc w:val="left"/>
      <w:lvlText w:val="%1."/>
      <w:numFmt w:val="decimal"/>
      <w:start w:val="4"/>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3"/>
    </w:lvl>
  </w:abstractNum>
  <w:abstractNum w:abstractNumId="18">
    <w:nsid w:val="79838CB2"/>
    <w:multiLevelType w:val="hybridMultilevel"/>
    <w:lvl w:ilvl="0">
      <w:lvlJc w:val="left"/>
      <w:lvlText w:val="%1."/>
      <w:numFmt w:val="decimal"/>
      <w:start w:val="5"/>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Roman"/>
      <w:start w:val="1"/>
    </w:lvl>
  </w:abstractNum>
  <w:abstractNum w:abstractNumId="21">
    <w:nsid w:val="189A769B"/>
    <w:multiLevelType w:val="hybridMultilevel"/>
    <w:lvl w:ilvl="0">
      <w:lvlJc w:val="left"/>
      <w:lvlText w:val="(%1)"/>
      <w:numFmt w:val="lowerRoman"/>
      <w:start w:val="3"/>
    </w:lvl>
  </w:abstractNum>
  <w:abstractNum w:abstractNumId="22">
    <w:nsid w:val="54E49EB4"/>
    <w:multiLevelType w:val="hybridMultilevel"/>
    <w:lvl w:ilvl="0">
      <w:lvlJc w:val="left"/>
      <w:lvlText w:val="(%1)"/>
      <w:numFmt w:val="lowerLetter"/>
      <w:start w:val="3"/>
    </w:lvl>
  </w:abstractNum>
  <w:abstractNum w:abstractNumId="23">
    <w:nsid w:val="71F32454"/>
    <w:multiLevelType w:val="hybridMultilevel"/>
    <w:lvl w:ilvl="0">
      <w:lvlJc w:val="left"/>
      <w:lvlText w:val="%1."/>
      <w:numFmt w:val="decimal"/>
      <w:start w:val="6"/>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3"/>
    </w:lvl>
  </w:abstractNum>
  <w:abstractNum w:abstractNumId="26">
    <w:nsid w:val="2901D82"/>
    <w:multiLevelType w:val="hybridMultilevel"/>
    <w:lvl w:ilvl="0">
      <w:lvlJc w:val="left"/>
      <w:lvlText w:val="%1."/>
      <w:numFmt w:val="decimal"/>
      <w:start w:val="7"/>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lowerLetter"/>
      <w:start w:val="5"/>
    </w:lvl>
  </w:abstractNum>
  <w:abstractNum w:abstractNumId="30">
    <w:nsid w:val="7C3DBD3D"/>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2019-12-06T20:21:14Z</dcterms:created>
  <dcterms:modified xsi:type="dcterms:W3CDTF">2019-12-06T20:21:14Z</dcterms:modified>
</cp:coreProperties>
</file>