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38" w:lineRule="auto"/>
        <w:rPr>
          <w:sz w:val="20"/>
          <w:szCs w:val="20"/>
          <w:color w:val="auto"/>
        </w:rPr>
      </w:pPr>
      <w:r>
        <w:rPr>
          <w:rFonts w:ascii="Courier New" w:cs="Courier New" w:eastAsia="Courier New" w:hAnsi="Courier New"/>
          <w:sz w:val="18"/>
          <w:szCs w:val="18"/>
          <w:color w:val="auto"/>
        </w:rPr>
        <w:t>ICON PLC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#G4705A100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#G4705A100</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345,200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2,098,681</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2,098,681</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15.000%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#G4705A100</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2,098,681</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2,098,681</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15.000%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ICON PLC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South Business Park</w:t>
      </w:r>
    </w:p>
    <w:p>
      <w:pPr>
        <w:ind w:left="1700"/>
        <w:spacing w:after="0" w:line="238" w:lineRule="auto"/>
        <w:rPr>
          <w:sz w:val="20"/>
          <w:szCs w:val="20"/>
          <w:color w:val="auto"/>
        </w:rPr>
      </w:pPr>
      <w:r>
        <w:rPr>
          <w:rFonts w:ascii="Courier New" w:cs="Courier New" w:eastAsia="Courier New" w:hAnsi="Courier New"/>
          <w:sz w:val="18"/>
          <w:szCs w:val="18"/>
          <w:color w:val="auto"/>
        </w:rPr>
        <w:t>Leopardstown</w:t>
      </w:r>
    </w:p>
    <w:p>
      <w:pPr>
        <w:ind w:left="1700"/>
        <w:spacing w:after="0"/>
        <w:rPr>
          <w:sz w:val="20"/>
          <w:szCs w:val="20"/>
          <w:color w:val="auto"/>
        </w:rPr>
      </w:pPr>
      <w:r>
        <w:rPr>
          <w:rFonts w:ascii="Courier New" w:cs="Courier New" w:eastAsia="Courier New" w:hAnsi="Courier New"/>
          <w:sz w:val="18"/>
          <w:szCs w:val="18"/>
          <w:color w:val="auto"/>
        </w:rPr>
        <w:t>Dublin 18, Ireland</w:t>
      </w:r>
    </w:p>
    <w:p>
      <w:pPr>
        <w:spacing w:after="0" w:line="200" w:lineRule="exact"/>
        <w:rPr>
          <w:sz w:val="24"/>
          <w:szCs w:val="24"/>
          <w:color w:val="auto"/>
        </w:rPr>
      </w:pP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G4705A100</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2,098,681</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15.000%</w:t>
            </w:r>
          </w:p>
        </w:tc>
        <w:tc>
          <w:tcPr>
            <w:tcW w:w="100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pacing w:after="0" w:line="202"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sole power to vote or to direct</w:t>
      </w:r>
    </w:p>
    <w:p>
      <w:pPr>
        <w:spacing w:after="0"/>
        <w:tabs>
          <w:tab w:leader="none" w:pos="1680" w:val="left"/>
        </w:tabs>
        <w:rPr>
          <w:sz w:val="20"/>
          <w:szCs w:val="20"/>
          <w:color w:val="auto"/>
        </w:rPr>
      </w:pPr>
      <w:r>
        <w:rPr>
          <w:rFonts w:ascii="Courier New" w:cs="Courier New" w:eastAsia="Courier New" w:hAnsi="Courier New"/>
          <w:sz w:val="18"/>
          <w:szCs w:val="18"/>
          <w:color w:val="auto"/>
        </w:rPr>
        <w:t>the vote:</w:t>
      </w:r>
      <w:r>
        <w:rPr>
          <w:sz w:val="20"/>
          <w:szCs w:val="20"/>
          <w:color w:val="auto"/>
        </w:rPr>
        <w:tab/>
      </w:r>
      <w:r>
        <w:rPr>
          <w:rFonts w:ascii="Courier New" w:cs="Courier New" w:eastAsia="Courier New" w:hAnsi="Courier New"/>
          <w:sz w:val="16"/>
          <w:szCs w:val="16"/>
          <w:color w:val="auto"/>
        </w:rPr>
        <w:t>345,200</w:t>
      </w:r>
    </w:p>
    <w:p>
      <w:pPr>
        <w:spacing w:after="0" w:line="202"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2,098,681</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ICON PLC. The interest of one person, Fidelity Low Priced Stock Fund, an investment</w:t>
      </w:r>
    </w:p>
    <w:p>
      <w:pPr>
        <w:spacing w:after="0" w:line="5" w:lineRule="exact"/>
        <w:rPr>
          <w:sz w:val="20"/>
          <w:szCs w:val="20"/>
          <w:color w:val="auto"/>
        </w:rPr>
      </w:pPr>
    </w:p>
    <w:p>
      <w:pPr>
        <w:ind w:right="4519"/>
        <w:spacing w:after="0" w:line="268" w:lineRule="auto"/>
        <w:rPr>
          <w:sz w:val="20"/>
          <w:szCs w:val="20"/>
          <w:color w:val="auto"/>
        </w:rPr>
      </w:pPr>
      <w:r>
        <w:rPr>
          <w:rFonts w:ascii="Courier New" w:cs="Courier New" w:eastAsia="Courier New" w:hAnsi="Courier New"/>
          <w:sz w:val="16"/>
          <w:szCs w:val="16"/>
          <w:color w:val="auto"/>
        </w:rPr>
        <w:t>company registered under the Investment Company Act of 1940, in the Common Stock of ICON PLC, amounted to</w:t>
      </w:r>
    </w:p>
    <w:p>
      <w:pPr>
        <w:ind w:right="4319"/>
        <w:spacing w:after="0" w:line="235" w:lineRule="auto"/>
        <w:rPr>
          <w:sz w:val="20"/>
          <w:szCs w:val="20"/>
          <w:color w:val="auto"/>
        </w:rPr>
      </w:pPr>
      <w:r>
        <w:rPr>
          <w:rFonts w:ascii="Courier New" w:cs="Courier New" w:eastAsia="Courier New" w:hAnsi="Courier New"/>
          <w:sz w:val="18"/>
          <w:szCs w:val="18"/>
          <w:color w:val="auto"/>
        </w:rPr>
        <w:t>915,000 shares or 6.540% of the total outstanding Common Stock at December 31, 2005.</w:t>
      </w:r>
    </w:p>
    <w:p>
      <w:pPr>
        <w:spacing w:after="0" w:line="20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2006</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dated December 30, 1997 by and on behalf of FMR Corp. and its direct and indirect subsidiaries</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SCHEDULE 13G - TO BE INCLUDED IN</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STATEMENTS</w:t>
      </w:r>
    </w:p>
    <w:p>
      <w:pPr>
        <w:ind w:left="860"/>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w:t>
      </w:r>
    </w:p>
    <w:p>
      <w:pPr>
        <w:spacing w:after="0" w:line="6" w:lineRule="exact"/>
        <w:rPr>
          <w:sz w:val="20"/>
          <w:szCs w:val="20"/>
          <w:color w:val="auto"/>
        </w:rPr>
      </w:pPr>
    </w:p>
    <w:p>
      <w:pPr>
        <w:ind w:right="4419"/>
        <w:spacing w:after="0" w:line="268" w:lineRule="auto"/>
        <w:rPr>
          <w:sz w:val="20"/>
          <w:szCs w:val="20"/>
          <w:color w:val="auto"/>
        </w:rPr>
      </w:pPr>
      <w:r>
        <w:rPr>
          <w:rFonts w:ascii="Courier New" w:cs="Courier New" w:eastAsia="Courier New" w:hAnsi="Courier New"/>
          <w:sz w:val="16"/>
          <w:szCs w:val="16"/>
          <w:color w:val="auto"/>
        </w:rPr>
        <w:t>of 1940, is the beneficial owner of 2,091,981 shares or 14.952% of the Common Stock outstanding of ICON PLC</w:t>
      </w:r>
    </w:p>
    <w:p>
      <w:pPr>
        <w:ind w:right="3679"/>
        <w:spacing w:after="0" w:line="236" w:lineRule="auto"/>
        <w:rPr>
          <w:sz w:val="20"/>
          <w:szCs w:val="20"/>
          <w:color w:val="auto"/>
        </w:rPr>
      </w:pPr>
      <w:r>
        <w:rPr>
          <w:rFonts w:ascii="Courier New" w:cs="Courier New" w:eastAsia="Courier New" w:hAnsi="Courier New"/>
          <w:sz w:val="18"/>
          <w:szCs w:val="18"/>
          <w:color w:val="auto"/>
        </w:rPr>
        <w:t>("the Company") as a result of acting as investment adviser to various investment companies registered under Section 8 of the Investment Company Act of 1940.</w:t>
      </w:r>
    </w:p>
    <w:p>
      <w:pPr>
        <w:spacing w:after="0" w:line="209" w:lineRule="exact"/>
        <w:rPr>
          <w:sz w:val="20"/>
          <w:szCs w:val="20"/>
          <w:color w:val="auto"/>
        </w:rPr>
      </w:pPr>
    </w:p>
    <w:p>
      <w:pPr>
        <w:ind w:right="4199" w:firstLine="843"/>
        <w:spacing w:after="0" w:line="273" w:lineRule="auto"/>
        <w:rPr>
          <w:sz w:val="20"/>
          <w:szCs w:val="20"/>
          <w:color w:val="auto"/>
        </w:rPr>
      </w:pPr>
      <w:r>
        <w:rPr>
          <w:rFonts w:ascii="Courier New" w:cs="Courier New" w:eastAsia="Courier New" w:hAnsi="Courier New"/>
          <w:sz w:val="16"/>
          <w:szCs w:val="16"/>
          <w:color w:val="auto"/>
        </w:rPr>
        <w:t>The ownership of one investment company, Fidelity Low Priced Stock Fund, amounted to 915,000 shares or 6.540% of the Common Stock outstanding. Fidelity Low Priced Stock Fund has its principal business office at 82 Devonshire Street, Boston, Massachusetts 02109.</w:t>
      </w:r>
    </w:p>
    <w:p>
      <w:pPr>
        <w:spacing w:after="0" w:line="185"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Corp., through its control of Fidelity, and the funds each has sole power to dispose of the 2,091,981 shares owned by the Funds.</w:t>
      </w:r>
    </w:p>
    <w:p>
      <w:pPr>
        <w:spacing w:after="0" w:line="209" w:lineRule="exact"/>
        <w:rPr>
          <w:sz w:val="20"/>
          <w:szCs w:val="20"/>
          <w:color w:val="auto"/>
        </w:rPr>
      </w:pPr>
    </w:p>
    <w:p>
      <w:pPr>
        <w:ind w:right="3679" w:firstLine="843"/>
        <w:spacing w:after="0" w:line="238" w:lineRule="auto"/>
        <w:rPr>
          <w:sz w:val="20"/>
          <w:szCs w:val="20"/>
          <w:color w:val="auto"/>
        </w:rPr>
      </w:pPr>
      <w:r>
        <w:rPr>
          <w:rFonts w:ascii="Courier New" w:cs="Courier New" w:eastAsia="Courier New" w:hAnsi="Courier New"/>
          <w:sz w:val="18"/>
          <w:szCs w:val="18"/>
          <w:color w:val="auto"/>
        </w:rPr>
        <w:t>Members of the family of Edward C. Johnson 3d, Chairman of FMR Corp., are the predominant owners, directly or through trusts, of Series B shares of common stock of FMR Corp., representing 49% of the voting power of FMR Corp. The Johnson family group and all other Series B shareholders have entered into a shareholders' voting agreement under which all Series B shares will be voted in accordance with the majority vote of Series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7"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6,700 shares or 0.048% of the Common Stock outstanding of the Company as a result of its serving as investment manager of the institutional account(s).</w:t>
      </w:r>
    </w:p>
    <w:p>
      <w:pPr>
        <w:spacing w:after="0" w:line="211"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each has sole dispositive power over 6,700 shares and sole power to vote or to direct the voting of 6,700 shares of Common Stock owned by the institutional account(s) as reported above.</w:t>
      </w:r>
    </w:p>
    <w:p>
      <w:pPr>
        <w:spacing w:after="0" w:line="209" w:lineRule="exact"/>
        <w:rPr>
          <w:sz w:val="20"/>
          <w:szCs w:val="20"/>
          <w:color w:val="auto"/>
        </w:rPr>
      </w:pPr>
    </w:p>
    <w:p>
      <w:pPr>
        <w:ind w:right="4199" w:firstLine="843"/>
        <w:spacing w:after="0" w:line="268" w:lineRule="auto"/>
        <w:rPr>
          <w:sz w:val="20"/>
          <w:szCs w:val="20"/>
          <w:color w:val="auto"/>
        </w:rPr>
      </w:pPr>
      <w:r>
        <w:rPr>
          <w:rFonts w:ascii="Courier New" w:cs="Courier New" w:eastAsia="Courier New" w:hAnsi="Courier New"/>
          <w:sz w:val="16"/>
          <w:szCs w:val="16"/>
          <w:color w:val="auto"/>
        </w:rPr>
        <w:t>Some or all of the shares of Common Stock of ICON PLC owned by the investment companies at December 31,</w:t>
      </w:r>
    </w:p>
    <w:p>
      <w:pPr>
        <w:ind w:right="4099"/>
        <w:spacing w:after="0" w:line="235" w:lineRule="auto"/>
        <w:rPr>
          <w:sz w:val="20"/>
          <w:szCs w:val="20"/>
          <w:color w:val="auto"/>
        </w:rPr>
      </w:pPr>
      <w:r>
        <w:rPr>
          <w:rFonts w:ascii="Courier New" w:cs="Courier New" w:eastAsia="Courier New" w:hAnsi="Courier New"/>
          <w:sz w:val="18"/>
          <w:szCs w:val="18"/>
          <w:color w:val="auto"/>
        </w:rPr>
        <w:t>2005 may include shares represented by American Depository Shares.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2006, agree and consent to the joint filing on their behalf of this Schedule 13G in connection with their beneficial ownership of the Common Stock of ICON PLC at December 31, 2005.</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ectPr>
          <w:pgSz w:w="11900" w:h="16838" w:orient="portrait"/>
          <w:cols w:equalWidth="0" w:num="1">
            <w:col w:w="10219"/>
          </w:cols>
          <w:pgMar w:left="240" w:top="136" w:right="1440" w:bottom="0" w:gutter="0" w:footer="0" w:header="0"/>
        </w:sectPr>
      </w:pPr>
    </w:p>
    <w:bookmarkStart w:id="3" w:name="page4"/>
    <w:bookmarkEnd w:id="3"/>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FMR Corp.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Edward C. Johnson 3d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Low Priced Stock Fund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2019-12-12T02:23:35Z</dcterms:created>
  <dcterms:modified xsi:type="dcterms:W3CDTF">2019-12-12T02:23:35Z</dcterms:modified>
</cp:coreProperties>
</file>