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July, 2018</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CFO</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July 25, 2018 - ICON Shareholders Vote in Favour of All Resolutions at its Annual General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680"/>
          </w:cols>
          <w:pgMar w:left="240" w:top="364" w:right="97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860"/>
        <w:spacing w:after="0"/>
        <w:rPr>
          <w:sz w:val="20"/>
          <w:szCs w:val="20"/>
          <w:color w:val="auto"/>
        </w:rPr>
      </w:pPr>
      <w:r>
        <w:rPr>
          <w:rFonts w:ascii="Arial" w:cs="Arial" w:eastAsia="Arial" w:hAnsi="Arial"/>
          <w:sz w:val="18"/>
          <w:szCs w:val="18"/>
          <w:u w:val="single" w:color="auto"/>
          <w:color w:val="auto"/>
        </w:rPr>
        <w:t>/s/ Brendan Brennan</w:t>
      </w:r>
    </w:p>
    <w:p>
      <w:pPr>
        <w:spacing w:after="0" w:line="36" w:lineRule="exact"/>
        <w:rPr>
          <w:sz w:val="20"/>
          <w:szCs w:val="20"/>
          <w:color w:val="auto"/>
        </w:rPr>
      </w:pPr>
    </w:p>
    <w:p>
      <w:pPr>
        <w:ind w:left="580" w:right="2700" w:hanging="6846"/>
        <w:spacing w:after="0" w:line="274" w:lineRule="auto"/>
        <w:tabs>
          <w:tab w:leader="none" w:pos="560" w:val="left"/>
        </w:tabs>
        <w:rPr>
          <w:sz w:val="20"/>
          <w:szCs w:val="20"/>
          <w:color w:val="auto"/>
        </w:rPr>
      </w:pPr>
      <w:r>
        <w:rPr>
          <w:rFonts w:ascii="Arial" w:cs="Arial" w:eastAsia="Arial" w:hAnsi="Arial"/>
          <w:sz w:val="18"/>
          <w:szCs w:val="18"/>
          <w:color w:val="auto"/>
        </w:rPr>
        <w:t>Date:</w:t>
        <w:tab/>
        <w:t>July 25, 2018 Brendan Brennan Chief Financial Officer</w:t>
      </w:r>
    </w:p>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Shareholders Vote in Favour of All Resolutions at its Annual General Meeting</w:t>
      </w:r>
    </w:p>
    <w:p>
      <w:pPr>
        <w:spacing w:after="0" w:line="206" w:lineRule="exact"/>
        <w:rPr>
          <w:sz w:val="20"/>
          <w:szCs w:val="20"/>
          <w:color w:val="auto"/>
        </w:rPr>
      </w:pPr>
    </w:p>
    <w:p>
      <w:pPr>
        <w:ind w:right="20"/>
        <w:spacing w:after="0" w:line="237" w:lineRule="auto"/>
        <w:rPr>
          <w:sz w:val="20"/>
          <w:szCs w:val="20"/>
          <w:color w:val="auto"/>
        </w:rPr>
      </w:pPr>
      <w:r>
        <w:rPr>
          <w:rFonts w:ascii="Arial" w:cs="Arial" w:eastAsia="Arial" w:hAnsi="Arial"/>
          <w:sz w:val="22"/>
          <w:szCs w:val="22"/>
          <w:color w:val="auto"/>
        </w:rPr>
        <w:t>DUBLIN--(BUSINESS WIRE)--July 25, 2018--</w:t>
      </w:r>
      <w:r>
        <w:rPr>
          <w:rFonts w:ascii="Arial" w:cs="Arial" w:eastAsia="Arial" w:hAnsi="Arial"/>
          <w:sz w:val="22"/>
          <w:szCs w:val="22"/>
          <w:b w:val="1"/>
          <w:bCs w:val="1"/>
          <w:color w:val="auto"/>
        </w:rPr>
        <w:t>ICON plc (NASDAQ: ICLR),</w:t>
      </w:r>
      <w:r>
        <w:rPr>
          <w:rFonts w:ascii="Arial" w:cs="Arial" w:eastAsia="Arial" w:hAnsi="Arial"/>
          <w:sz w:val="22"/>
          <w:szCs w:val="22"/>
          <w:color w:val="auto"/>
        </w:rPr>
        <w:t xml:space="preserve"> a global provider of drug development solutions and services to the pharmaceutical, biotechnology and medical device industries, today announced that all resolutions at the Annual General Meeting of the Company (AGM) held on July 24, 2018 (which resolutions had all been recommended by the Board) were all duly passed by shareholders. These resolutions were set out in the Notice of the AGM sent to shareholders dated June 12, 2018 and are available on the ICON plc website.</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color w:val="auto"/>
        </w:rPr>
        <w:t>The final results of the voting are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RESOLUTION</w:t>
            </w:r>
          </w:p>
        </w:tc>
        <w:tc>
          <w:tcPr>
            <w:tcW w:w="1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jc w:val="center"/>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VOTE</w:t>
            </w:r>
          </w:p>
        </w:tc>
        <w:tc>
          <w:tcPr>
            <w:tcW w:w="120" w:type="dxa"/>
            <w:vAlign w:val="bottom"/>
          </w:tcPr>
          <w:p>
            <w:pPr>
              <w:spacing w:after="0"/>
              <w:rPr>
                <w:sz w:val="14"/>
                <w:szCs w:val="14"/>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VOTE</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176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30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rPr>
              <w:t>RESOLUTION</w:t>
            </w:r>
          </w:p>
        </w:tc>
        <w:tc>
          <w:tcPr>
            <w:tcW w:w="120" w:type="dxa"/>
            <w:vAlign w:val="bottom"/>
          </w:tcPr>
          <w:p>
            <w:pPr>
              <w:spacing w:after="0"/>
              <w:rPr>
                <w:sz w:val="5"/>
                <w:szCs w:val="5"/>
                <w:color w:val="auto"/>
              </w:rPr>
            </w:pPr>
          </w:p>
        </w:tc>
        <w:tc>
          <w:tcPr>
            <w:tcW w:w="15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rPr>
              <w:t>NUMBER OF</w:t>
            </w:r>
          </w:p>
        </w:tc>
        <w:tc>
          <w:tcPr>
            <w:tcW w:w="100" w:type="dxa"/>
            <w:vAlign w:val="bottom"/>
          </w:tcPr>
          <w:p>
            <w:pPr>
              <w:spacing w:after="0"/>
              <w:rPr>
                <w:sz w:val="5"/>
                <w:szCs w:val="5"/>
                <w:color w:val="auto"/>
              </w:rPr>
            </w:pPr>
          </w:p>
        </w:tc>
        <w:tc>
          <w:tcPr>
            <w:tcW w:w="13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rPr>
              <w:t>VOTE FOR</w:t>
            </w:r>
          </w:p>
        </w:tc>
        <w:tc>
          <w:tcPr>
            <w:tcW w:w="100" w:type="dxa"/>
            <w:vAlign w:val="bottom"/>
          </w:tcPr>
          <w:p>
            <w:pPr>
              <w:spacing w:after="0"/>
              <w:rPr>
                <w:sz w:val="5"/>
                <w:szCs w:val="5"/>
                <w:color w:val="auto"/>
              </w:rPr>
            </w:pPr>
          </w:p>
        </w:tc>
        <w:tc>
          <w:tcPr>
            <w:tcW w:w="12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50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7"/>
                <w:szCs w:val="7"/>
                <w:color w:val="auto"/>
              </w:rPr>
            </w:pPr>
          </w:p>
        </w:tc>
        <w:tc>
          <w:tcPr>
            <w:tcW w:w="33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58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138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AGAINST</w:t>
            </w:r>
          </w:p>
        </w:tc>
        <w:tc>
          <w:tcPr>
            <w:tcW w:w="120" w:type="dxa"/>
            <w:vAlign w:val="bottom"/>
          </w:tcPr>
          <w:p>
            <w:pPr>
              <w:spacing w:after="0"/>
              <w:rPr>
                <w:sz w:val="7"/>
                <w:szCs w:val="7"/>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WITHHELD</w:t>
            </w: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176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3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VOTES</w:t>
            </w:r>
          </w:p>
        </w:tc>
        <w:tc>
          <w:tcPr>
            <w:tcW w:w="1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50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176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33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580" w:type="dxa"/>
            <w:vAlign w:val="bottom"/>
            <w:tcBorders>
              <w:bottom w:val="single" w:sz="8" w:color="auto"/>
            </w:tcBorders>
            <w:vMerge w:val="continue"/>
          </w:tcPr>
          <w:p>
            <w:pPr>
              <w:spacing w:after="0"/>
              <w:rPr>
                <w:sz w:val="6"/>
                <w:szCs w:val="6"/>
                <w:color w:val="auto"/>
              </w:rPr>
            </w:pPr>
          </w:p>
        </w:tc>
        <w:tc>
          <w:tcPr>
            <w:tcW w:w="100" w:type="dxa"/>
            <w:vAlign w:val="bottom"/>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500" w:type="dxa"/>
            <w:vAlign w:val="bottom"/>
            <w:tcBorders>
              <w:bottom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9"/>
        </w:trPr>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1.1</w:t>
            </w:r>
          </w:p>
        </w:tc>
        <w:tc>
          <w:tcPr>
            <w:tcW w:w="100" w:type="dxa"/>
            <w:vAlign w:val="bottom"/>
          </w:tcPr>
          <w:p>
            <w:pPr>
              <w:spacing w:after="0"/>
              <w:rPr>
                <w:sz w:val="14"/>
                <w:szCs w:val="14"/>
                <w:color w:val="auto"/>
              </w:rPr>
            </w:pPr>
          </w:p>
        </w:tc>
        <w:tc>
          <w:tcPr>
            <w:tcW w:w="3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To re-elect Mr. Ciaran Murray</w:t>
            </w:r>
          </w:p>
        </w:tc>
        <w:tc>
          <w:tcPr>
            <w:tcW w:w="120" w:type="dxa"/>
            <w:vAlign w:val="bottom"/>
          </w:tcPr>
          <w:p>
            <w:pPr>
              <w:spacing w:after="0"/>
              <w:rPr>
                <w:sz w:val="14"/>
                <w:szCs w:val="14"/>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46,363,577</w:t>
            </w:r>
          </w:p>
        </w:tc>
        <w:tc>
          <w:tcPr>
            <w:tcW w:w="100" w:type="dxa"/>
            <w:vAlign w:val="bottom"/>
          </w:tcPr>
          <w:p>
            <w:pPr>
              <w:spacing w:after="0"/>
              <w:rPr>
                <w:sz w:val="14"/>
                <w:szCs w:val="1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43,309,546</w:t>
            </w:r>
          </w:p>
        </w:tc>
        <w:tc>
          <w:tcPr>
            <w:tcW w:w="10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3,049,154</w:t>
            </w:r>
          </w:p>
        </w:tc>
        <w:tc>
          <w:tcPr>
            <w:tcW w:w="120" w:type="dxa"/>
            <w:vAlign w:val="bottom"/>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4,877</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1.2</w:t>
            </w:r>
          </w:p>
        </w:tc>
        <w:tc>
          <w:tcPr>
            <w:tcW w:w="100" w:type="dxa"/>
            <w:vAlign w:val="bottom"/>
          </w:tcPr>
          <w:p>
            <w:pPr>
              <w:spacing w:after="0"/>
              <w:rPr>
                <w:sz w:val="14"/>
                <w:szCs w:val="14"/>
                <w:color w:val="auto"/>
              </w:rPr>
            </w:pPr>
          </w:p>
        </w:tc>
        <w:tc>
          <w:tcPr>
            <w:tcW w:w="3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To re-elect Mr. Declan McKeon</w:t>
            </w:r>
          </w:p>
        </w:tc>
        <w:tc>
          <w:tcPr>
            <w:tcW w:w="120" w:type="dxa"/>
            <w:vAlign w:val="bottom"/>
          </w:tcPr>
          <w:p>
            <w:pPr>
              <w:spacing w:after="0"/>
              <w:rPr>
                <w:sz w:val="14"/>
                <w:szCs w:val="14"/>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46,363,577</w:t>
            </w:r>
          </w:p>
        </w:tc>
        <w:tc>
          <w:tcPr>
            <w:tcW w:w="100" w:type="dxa"/>
            <w:vAlign w:val="bottom"/>
          </w:tcPr>
          <w:p>
            <w:pPr>
              <w:spacing w:after="0"/>
              <w:rPr>
                <w:sz w:val="14"/>
                <w:szCs w:val="1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45,438,950</w:t>
            </w:r>
          </w:p>
        </w:tc>
        <w:tc>
          <w:tcPr>
            <w:tcW w:w="10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919,871</w:t>
            </w:r>
          </w:p>
        </w:tc>
        <w:tc>
          <w:tcPr>
            <w:tcW w:w="120" w:type="dxa"/>
            <w:vAlign w:val="bottom"/>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4,756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1.3</w:t>
            </w:r>
          </w:p>
        </w:tc>
        <w:tc>
          <w:tcPr>
            <w:tcW w:w="100" w:type="dxa"/>
            <w:vAlign w:val="bottom"/>
          </w:tcPr>
          <w:p>
            <w:pPr>
              <w:spacing w:after="0"/>
              <w:rPr>
                <w:sz w:val="11"/>
                <w:szCs w:val="11"/>
                <w:color w:val="auto"/>
              </w:rPr>
            </w:pPr>
          </w:p>
        </w:tc>
        <w:tc>
          <w:tcPr>
            <w:tcW w:w="3300" w:type="dxa"/>
            <w:vAlign w:val="bottom"/>
          </w:tcPr>
          <w:p>
            <w:pPr>
              <w:jc w:val="center"/>
              <w:spacing w:after="0" w:line="137" w:lineRule="exact"/>
              <w:rPr>
                <w:sz w:val="20"/>
                <w:szCs w:val="20"/>
                <w:color w:val="auto"/>
              </w:rPr>
            </w:pPr>
            <w:r>
              <w:rPr>
                <w:rFonts w:ascii="Arial" w:cs="Arial" w:eastAsia="Arial" w:hAnsi="Arial"/>
                <w:sz w:val="14"/>
                <w:szCs w:val="14"/>
                <w:color w:val="auto"/>
                <w:w w:val="92"/>
              </w:rPr>
              <w:t>To re-elect Mr. Eugene</w:t>
            </w:r>
          </w:p>
        </w:tc>
        <w:tc>
          <w:tcPr>
            <w:tcW w:w="1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1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93"/>
              </w:rPr>
              <w:t>McCague</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46,158,700</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4"/>
              </w:rPr>
              <w:t>200,090</w:t>
            </w:r>
          </w:p>
        </w:tc>
        <w:tc>
          <w:tcPr>
            <w:tcW w:w="1620" w:type="dxa"/>
            <w:vAlign w:val="bottom"/>
            <w:gridSpan w:val="2"/>
          </w:tcPr>
          <w:p>
            <w:pPr>
              <w:jc w:val="center"/>
              <w:ind w:left="68"/>
              <w:spacing w:after="0"/>
              <w:rPr>
                <w:sz w:val="20"/>
                <w:szCs w:val="20"/>
                <w:color w:val="auto"/>
              </w:rPr>
            </w:pPr>
            <w:r>
              <w:rPr>
                <w:rFonts w:ascii="Arial" w:cs="Arial" w:eastAsia="Arial" w:hAnsi="Arial"/>
                <w:sz w:val="14"/>
                <w:szCs w:val="14"/>
                <w:color w:val="auto"/>
                <w:w w:val="91"/>
              </w:rPr>
              <w:t>4,787</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17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1.4</w:t>
            </w:r>
          </w:p>
        </w:tc>
        <w:tc>
          <w:tcPr>
            <w:tcW w:w="100" w:type="dxa"/>
            <w:vAlign w:val="bottom"/>
          </w:tcPr>
          <w:p>
            <w:pPr>
              <w:spacing w:after="0"/>
              <w:rPr>
                <w:sz w:val="14"/>
                <w:szCs w:val="14"/>
                <w:color w:val="auto"/>
              </w:rPr>
            </w:pPr>
          </w:p>
        </w:tc>
        <w:tc>
          <w:tcPr>
            <w:tcW w:w="33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To re-elect Ms. Joan Garahy</w:t>
            </w:r>
          </w:p>
        </w:tc>
        <w:tc>
          <w:tcPr>
            <w:tcW w:w="120" w:type="dxa"/>
            <w:vAlign w:val="bottom"/>
          </w:tcPr>
          <w:p>
            <w:pPr>
              <w:spacing w:after="0"/>
              <w:rPr>
                <w:sz w:val="14"/>
                <w:szCs w:val="14"/>
                <w:color w:val="auto"/>
              </w:rPr>
            </w:pP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1"/>
              </w:rPr>
              <w:t>46,363,577</w:t>
            </w:r>
          </w:p>
        </w:tc>
        <w:tc>
          <w:tcPr>
            <w:tcW w:w="100" w:type="dxa"/>
            <w:vAlign w:val="bottom"/>
          </w:tcPr>
          <w:p>
            <w:pPr>
              <w:spacing w:after="0"/>
              <w:rPr>
                <w:sz w:val="14"/>
                <w:szCs w:val="14"/>
                <w:color w:val="auto"/>
              </w:rPr>
            </w:pPr>
          </w:p>
        </w:tc>
        <w:tc>
          <w:tcPr>
            <w:tcW w:w="13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4"/>
              </w:rPr>
              <w:t>46,160,214</w:t>
            </w:r>
          </w:p>
        </w:tc>
        <w:tc>
          <w:tcPr>
            <w:tcW w:w="100" w:type="dxa"/>
            <w:vAlign w:val="bottom"/>
          </w:tcPr>
          <w:p>
            <w:pPr>
              <w:spacing w:after="0"/>
              <w:rPr>
                <w:sz w:val="14"/>
                <w:szCs w:val="14"/>
                <w:color w:val="auto"/>
              </w:rPr>
            </w:pPr>
          </w:p>
        </w:tc>
        <w:tc>
          <w:tcPr>
            <w:tcW w:w="12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4"/>
              </w:rPr>
              <w:t>198,360</w:t>
            </w:r>
          </w:p>
        </w:tc>
        <w:tc>
          <w:tcPr>
            <w:tcW w:w="120" w:type="dxa"/>
            <w:vAlign w:val="bottom"/>
          </w:tcPr>
          <w:p>
            <w:pPr>
              <w:spacing w:after="0"/>
              <w:rPr>
                <w:sz w:val="14"/>
                <w:szCs w:val="14"/>
                <w:color w:val="auto"/>
              </w:rPr>
            </w:pPr>
          </w:p>
        </w:tc>
        <w:tc>
          <w:tcPr>
            <w:tcW w:w="15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1"/>
              </w:rPr>
              <w:t>5,003</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300" w:type="dxa"/>
            <w:vAlign w:val="bottom"/>
          </w:tcPr>
          <w:p>
            <w:pPr>
              <w:jc w:val="center"/>
              <w:spacing w:after="0" w:line="137" w:lineRule="exact"/>
              <w:rPr>
                <w:sz w:val="20"/>
                <w:szCs w:val="20"/>
                <w:color w:val="auto"/>
              </w:rPr>
            </w:pPr>
            <w:r>
              <w:rPr>
                <w:rFonts w:ascii="Arial" w:cs="Arial" w:eastAsia="Arial" w:hAnsi="Arial"/>
                <w:sz w:val="14"/>
                <w:szCs w:val="14"/>
                <w:color w:val="auto"/>
                <w:w w:val="92"/>
              </w:rPr>
              <w:t>To review the Company's</w:t>
            </w:r>
          </w:p>
        </w:tc>
        <w:tc>
          <w:tcPr>
            <w:tcW w:w="1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2</w:t>
            </w:r>
          </w:p>
        </w:tc>
        <w:tc>
          <w:tcPr>
            <w:tcW w:w="100" w:type="dxa"/>
            <w:vAlign w:val="bottom"/>
          </w:tcPr>
          <w:p>
            <w:pPr>
              <w:spacing w:after="0"/>
              <w:rPr>
                <w:sz w:val="12"/>
                <w:szCs w:val="12"/>
                <w:color w:val="auto"/>
              </w:rPr>
            </w:pPr>
          </w:p>
        </w:tc>
        <w:tc>
          <w:tcPr>
            <w:tcW w:w="3300" w:type="dxa"/>
            <w:vAlign w:val="bottom"/>
          </w:tcPr>
          <w:p>
            <w:pPr>
              <w:jc w:val="center"/>
              <w:spacing w:after="0" w:line="149" w:lineRule="exact"/>
              <w:rPr>
                <w:sz w:val="20"/>
                <w:szCs w:val="20"/>
                <w:color w:val="auto"/>
              </w:rPr>
            </w:pPr>
            <w:r>
              <w:rPr>
                <w:rFonts w:ascii="Arial" w:cs="Arial" w:eastAsia="Arial" w:hAnsi="Arial"/>
                <w:sz w:val="14"/>
                <w:szCs w:val="14"/>
                <w:color w:val="auto"/>
                <w:w w:val="92"/>
              </w:rPr>
              <w:t>affairs and consider the</w:t>
            </w:r>
          </w:p>
        </w:tc>
        <w:tc>
          <w:tcPr>
            <w:tcW w:w="1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1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90"/>
              </w:rPr>
              <w:t>accounts and reports</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46,233,943</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1"/>
              </w:rPr>
              <w:t>1,906</w:t>
            </w:r>
          </w:p>
        </w:tc>
        <w:tc>
          <w:tcPr>
            <w:tcW w:w="1620" w:type="dxa"/>
            <w:vAlign w:val="bottom"/>
            <w:gridSpan w:val="2"/>
          </w:tcPr>
          <w:p>
            <w:pPr>
              <w:jc w:val="center"/>
              <w:ind w:left="48"/>
              <w:spacing w:after="0"/>
              <w:rPr>
                <w:sz w:val="20"/>
                <w:szCs w:val="20"/>
                <w:color w:val="auto"/>
              </w:rPr>
            </w:pPr>
            <w:r>
              <w:rPr>
                <w:rFonts w:ascii="Arial" w:cs="Arial" w:eastAsia="Arial" w:hAnsi="Arial"/>
                <w:sz w:val="14"/>
                <w:szCs w:val="14"/>
                <w:color w:val="auto"/>
                <w:w w:val="90"/>
              </w:rPr>
              <w:t>127,728</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6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rPr>
              <w:t>3</w:t>
            </w:r>
          </w:p>
        </w:tc>
        <w:tc>
          <w:tcPr>
            <w:tcW w:w="100" w:type="dxa"/>
            <w:vAlign w:val="bottom"/>
          </w:tcPr>
          <w:p>
            <w:pPr>
              <w:spacing w:after="0"/>
              <w:rPr>
                <w:sz w:val="11"/>
                <w:szCs w:val="11"/>
                <w:color w:val="auto"/>
              </w:rPr>
            </w:pPr>
          </w:p>
        </w:tc>
        <w:tc>
          <w:tcPr>
            <w:tcW w:w="3300" w:type="dxa"/>
            <w:vAlign w:val="bottom"/>
            <w:tcBorders>
              <w:top w:val="single" w:sz="8" w:color="auto"/>
            </w:tcBorders>
          </w:tcPr>
          <w:p>
            <w:pPr>
              <w:jc w:val="center"/>
              <w:spacing w:after="0" w:line="137" w:lineRule="exact"/>
              <w:rPr>
                <w:sz w:val="20"/>
                <w:szCs w:val="20"/>
                <w:color w:val="auto"/>
              </w:rPr>
            </w:pPr>
            <w:r>
              <w:rPr>
                <w:rFonts w:ascii="Arial" w:cs="Arial" w:eastAsia="Arial" w:hAnsi="Arial"/>
                <w:sz w:val="14"/>
                <w:szCs w:val="14"/>
                <w:color w:val="auto"/>
                <w:w w:val="95"/>
              </w:rPr>
              <w:t>To authorise the fixing of the</w:t>
            </w:r>
          </w:p>
        </w:tc>
        <w:tc>
          <w:tcPr>
            <w:tcW w:w="120" w:type="dxa"/>
            <w:vAlign w:val="bottom"/>
          </w:tcPr>
          <w:p>
            <w:pPr>
              <w:spacing w:after="0"/>
              <w:rPr>
                <w:sz w:val="11"/>
                <w:szCs w:val="11"/>
                <w:color w:val="auto"/>
              </w:rPr>
            </w:pPr>
          </w:p>
        </w:tc>
        <w:tc>
          <w:tcPr>
            <w:tcW w:w="15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1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94"/>
              </w:rPr>
              <w:t>auditors’ remuneration</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43,981,210</w:t>
            </w:r>
          </w:p>
        </w:tc>
        <w:tc>
          <w:tcPr>
            <w:tcW w:w="1320" w:type="dxa"/>
            <w:vAlign w:val="bottom"/>
            <w:gridSpan w:val="2"/>
          </w:tcPr>
          <w:p>
            <w:pPr>
              <w:jc w:val="center"/>
              <w:ind w:left="28"/>
              <w:spacing w:after="0"/>
              <w:rPr>
                <w:sz w:val="20"/>
                <w:szCs w:val="20"/>
                <w:color w:val="auto"/>
              </w:rPr>
            </w:pPr>
            <w:r>
              <w:rPr>
                <w:rFonts w:ascii="Arial" w:cs="Arial" w:eastAsia="Arial" w:hAnsi="Arial"/>
                <w:sz w:val="14"/>
                <w:szCs w:val="14"/>
                <w:color w:val="auto"/>
                <w:w w:val="93"/>
              </w:rPr>
              <w:t>2,377,642</w:t>
            </w:r>
          </w:p>
        </w:tc>
        <w:tc>
          <w:tcPr>
            <w:tcW w:w="1620" w:type="dxa"/>
            <w:vAlign w:val="bottom"/>
            <w:gridSpan w:val="2"/>
          </w:tcPr>
          <w:p>
            <w:pPr>
              <w:jc w:val="center"/>
              <w:ind w:left="68"/>
              <w:spacing w:after="0"/>
              <w:rPr>
                <w:sz w:val="20"/>
                <w:szCs w:val="20"/>
                <w:color w:val="auto"/>
              </w:rPr>
            </w:pPr>
            <w:r>
              <w:rPr>
                <w:rFonts w:ascii="Arial" w:cs="Arial" w:eastAsia="Arial" w:hAnsi="Arial"/>
                <w:sz w:val="14"/>
                <w:szCs w:val="14"/>
                <w:color w:val="auto"/>
                <w:w w:val="91"/>
              </w:rPr>
              <w:t>4,725</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6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rPr>
              <w:t>4</w:t>
            </w:r>
          </w:p>
        </w:tc>
        <w:tc>
          <w:tcPr>
            <w:tcW w:w="100" w:type="dxa"/>
            <w:vAlign w:val="bottom"/>
          </w:tcPr>
          <w:p>
            <w:pPr>
              <w:spacing w:after="0"/>
              <w:rPr>
                <w:sz w:val="11"/>
                <w:szCs w:val="11"/>
                <w:color w:val="auto"/>
              </w:rPr>
            </w:pPr>
          </w:p>
        </w:tc>
        <w:tc>
          <w:tcPr>
            <w:tcW w:w="3300" w:type="dxa"/>
            <w:vAlign w:val="bottom"/>
            <w:tcBorders>
              <w:top w:val="single" w:sz="8" w:color="auto"/>
            </w:tcBorders>
          </w:tcPr>
          <w:p>
            <w:pPr>
              <w:jc w:val="center"/>
              <w:spacing w:after="0" w:line="137" w:lineRule="exact"/>
              <w:rPr>
                <w:sz w:val="20"/>
                <w:szCs w:val="20"/>
                <w:color w:val="auto"/>
              </w:rPr>
            </w:pPr>
            <w:r>
              <w:rPr>
                <w:rFonts w:ascii="Arial" w:cs="Arial" w:eastAsia="Arial" w:hAnsi="Arial"/>
                <w:sz w:val="14"/>
                <w:szCs w:val="14"/>
                <w:color w:val="auto"/>
                <w:w w:val="91"/>
              </w:rPr>
              <w:t>To authorise the Company to</w:t>
            </w:r>
          </w:p>
        </w:tc>
        <w:tc>
          <w:tcPr>
            <w:tcW w:w="120" w:type="dxa"/>
            <w:vAlign w:val="bottom"/>
          </w:tcPr>
          <w:p>
            <w:pPr>
              <w:spacing w:after="0"/>
              <w:rPr>
                <w:sz w:val="11"/>
                <w:szCs w:val="11"/>
                <w:color w:val="auto"/>
              </w:rPr>
            </w:pPr>
          </w:p>
        </w:tc>
        <w:tc>
          <w:tcPr>
            <w:tcW w:w="15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17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92"/>
              </w:rPr>
              <w:t>allot shares</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45,518,647</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4"/>
              </w:rPr>
              <w:t>831,568</w:t>
            </w:r>
          </w:p>
        </w:tc>
        <w:tc>
          <w:tcPr>
            <w:tcW w:w="1620" w:type="dxa"/>
            <w:vAlign w:val="bottom"/>
            <w:gridSpan w:val="2"/>
          </w:tcPr>
          <w:p>
            <w:pPr>
              <w:jc w:val="center"/>
              <w:ind w:left="68"/>
              <w:spacing w:after="0"/>
              <w:rPr>
                <w:sz w:val="20"/>
                <w:szCs w:val="20"/>
                <w:color w:val="auto"/>
              </w:rPr>
            </w:pPr>
            <w:r>
              <w:rPr>
                <w:rFonts w:ascii="Arial" w:cs="Arial" w:eastAsia="Arial" w:hAnsi="Arial"/>
                <w:sz w:val="14"/>
                <w:szCs w:val="14"/>
                <w:color w:val="auto"/>
                <w:w w:val="93"/>
              </w:rPr>
              <w:t>13,362</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17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rPr>
              <w:t>5**</w:t>
            </w:r>
          </w:p>
        </w:tc>
        <w:tc>
          <w:tcPr>
            <w:tcW w:w="100" w:type="dxa"/>
            <w:vAlign w:val="bottom"/>
          </w:tcPr>
          <w:p>
            <w:pPr>
              <w:spacing w:after="0"/>
              <w:rPr>
                <w:sz w:val="14"/>
                <w:szCs w:val="14"/>
                <w:color w:val="auto"/>
              </w:rPr>
            </w:pPr>
          </w:p>
        </w:tc>
        <w:tc>
          <w:tcPr>
            <w:tcW w:w="33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4"/>
              </w:rPr>
              <w:t>To disapply pre-emption rights</w:t>
            </w:r>
          </w:p>
        </w:tc>
        <w:tc>
          <w:tcPr>
            <w:tcW w:w="120" w:type="dxa"/>
            <w:vAlign w:val="bottom"/>
          </w:tcPr>
          <w:p>
            <w:pPr>
              <w:spacing w:after="0"/>
              <w:rPr>
                <w:sz w:val="14"/>
                <w:szCs w:val="14"/>
                <w:color w:val="auto"/>
              </w:rPr>
            </w:pP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1"/>
              </w:rPr>
              <w:t>46,363,577</w:t>
            </w:r>
          </w:p>
        </w:tc>
        <w:tc>
          <w:tcPr>
            <w:tcW w:w="100" w:type="dxa"/>
            <w:vAlign w:val="bottom"/>
          </w:tcPr>
          <w:p>
            <w:pPr>
              <w:spacing w:after="0"/>
              <w:rPr>
                <w:sz w:val="14"/>
                <w:szCs w:val="14"/>
                <w:color w:val="auto"/>
              </w:rPr>
            </w:pPr>
          </w:p>
        </w:tc>
        <w:tc>
          <w:tcPr>
            <w:tcW w:w="13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4"/>
              </w:rPr>
              <w:t>46,218,055</w:t>
            </w:r>
          </w:p>
        </w:tc>
        <w:tc>
          <w:tcPr>
            <w:tcW w:w="100" w:type="dxa"/>
            <w:vAlign w:val="bottom"/>
          </w:tcPr>
          <w:p>
            <w:pPr>
              <w:spacing w:after="0"/>
              <w:rPr>
                <w:sz w:val="14"/>
                <w:szCs w:val="14"/>
                <w:color w:val="auto"/>
              </w:rPr>
            </w:pPr>
          </w:p>
        </w:tc>
        <w:tc>
          <w:tcPr>
            <w:tcW w:w="12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4"/>
              </w:rPr>
              <w:t>126,968</w:t>
            </w:r>
          </w:p>
        </w:tc>
        <w:tc>
          <w:tcPr>
            <w:tcW w:w="120" w:type="dxa"/>
            <w:vAlign w:val="bottom"/>
          </w:tcPr>
          <w:p>
            <w:pPr>
              <w:spacing w:after="0"/>
              <w:rPr>
                <w:sz w:val="14"/>
                <w:szCs w:val="14"/>
                <w:color w:val="auto"/>
              </w:rPr>
            </w:pPr>
          </w:p>
        </w:tc>
        <w:tc>
          <w:tcPr>
            <w:tcW w:w="15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3"/>
              </w:rPr>
              <w:t>18,554</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6**</w:t>
            </w:r>
          </w:p>
        </w:tc>
        <w:tc>
          <w:tcPr>
            <w:tcW w:w="100" w:type="dxa"/>
            <w:vAlign w:val="bottom"/>
          </w:tcPr>
          <w:p>
            <w:pPr>
              <w:spacing w:after="0"/>
              <w:rPr>
                <w:sz w:val="11"/>
                <w:szCs w:val="11"/>
                <w:color w:val="auto"/>
              </w:rPr>
            </w:pPr>
          </w:p>
        </w:tc>
        <w:tc>
          <w:tcPr>
            <w:tcW w:w="3300" w:type="dxa"/>
            <w:vAlign w:val="bottom"/>
          </w:tcPr>
          <w:p>
            <w:pPr>
              <w:jc w:val="center"/>
              <w:spacing w:after="0" w:line="137" w:lineRule="exact"/>
              <w:rPr>
                <w:sz w:val="20"/>
                <w:szCs w:val="20"/>
                <w:color w:val="auto"/>
              </w:rPr>
            </w:pPr>
            <w:r>
              <w:rPr>
                <w:rFonts w:ascii="Arial" w:cs="Arial" w:eastAsia="Arial" w:hAnsi="Arial"/>
                <w:sz w:val="14"/>
                <w:szCs w:val="14"/>
                <w:color w:val="auto"/>
                <w:w w:val="94"/>
              </w:rPr>
              <w:t>To disapply pre-emption rights</w:t>
            </w:r>
          </w:p>
        </w:tc>
        <w:tc>
          <w:tcPr>
            <w:tcW w:w="1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jc w:val="center"/>
              <w:spacing w:after="0" w:line="149" w:lineRule="exact"/>
              <w:rPr>
                <w:sz w:val="20"/>
                <w:szCs w:val="20"/>
                <w:color w:val="auto"/>
              </w:rPr>
            </w:pPr>
            <w:r>
              <w:rPr>
                <w:rFonts w:ascii="Arial" w:cs="Arial" w:eastAsia="Arial" w:hAnsi="Arial"/>
                <w:sz w:val="14"/>
                <w:szCs w:val="14"/>
                <w:color w:val="auto"/>
                <w:w w:val="95"/>
              </w:rPr>
              <w:t>for funding capital investment</w:t>
            </w:r>
          </w:p>
        </w:tc>
        <w:tc>
          <w:tcPr>
            <w:tcW w:w="1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1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93"/>
              </w:rPr>
              <w:t>or acquisitions</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46,159,710</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4"/>
              </w:rPr>
              <w:t>186,608</w:t>
            </w:r>
          </w:p>
        </w:tc>
        <w:tc>
          <w:tcPr>
            <w:tcW w:w="1620" w:type="dxa"/>
            <w:vAlign w:val="bottom"/>
            <w:gridSpan w:val="2"/>
          </w:tcPr>
          <w:p>
            <w:pPr>
              <w:jc w:val="center"/>
              <w:ind w:left="68"/>
              <w:spacing w:after="0"/>
              <w:rPr>
                <w:sz w:val="20"/>
                <w:szCs w:val="20"/>
                <w:color w:val="auto"/>
              </w:rPr>
            </w:pPr>
            <w:r>
              <w:rPr>
                <w:rFonts w:ascii="Arial" w:cs="Arial" w:eastAsia="Arial" w:hAnsi="Arial"/>
                <w:sz w:val="14"/>
                <w:szCs w:val="14"/>
                <w:color w:val="auto"/>
                <w:w w:val="93"/>
              </w:rPr>
              <w:t>17,259</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6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rPr>
              <w:t>7**</w:t>
            </w:r>
          </w:p>
        </w:tc>
        <w:tc>
          <w:tcPr>
            <w:tcW w:w="100" w:type="dxa"/>
            <w:vAlign w:val="bottom"/>
          </w:tcPr>
          <w:p>
            <w:pPr>
              <w:spacing w:after="0"/>
              <w:rPr>
                <w:sz w:val="11"/>
                <w:szCs w:val="11"/>
                <w:color w:val="auto"/>
              </w:rPr>
            </w:pPr>
          </w:p>
        </w:tc>
        <w:tc>
          <w:tcPr>
            <w:tcW w:w="3300" w:type="dxa"/>
            <w:vAlign w:val="bottom"/>
            <w:tcBorders>
              <w:top w:val="single" w:sz="8" w:color="auto"/>
            </w:tcBorders>
          </w:tcPr>
          <w:p>
            <w:pPr>
              <w:jc w:val="center"/>
              <w:spacing w:after="0" w:line="137" w:lineRule="exact"/>
              <w:rPr>
                <w:sz w:val="20"/>
                <w:szCs w:val="20"/>
                <w:color w:val="auto"/>
              </w:rPr>
            </w:pPr>
            <w:r>
              <w:rPr>
                <w:rFonts w:ascii="Arial" w:cs="Arial" w:eastAsia="Arial" w:hAnsi="Arial"/>
                <w:sz w:val="14"/>
                <w:szCs w:val="14"/>
                <w:color w:val="auto"/>
                <w:w w:val="91"/>
              </w:rPr>
              <w:t>To authorise the Company to</w:t>
            </w:r>
          </w:p>
        </w:tc>
        <w:tc>
          <w:tcPr>
            <w:tcW w:w="120" w:type="dxa"/>
            <w:vAlign w:val="bottom"/>
          </w:tcPr>
          <w:p>
            <w:pPr>
              <w:spacing w:after="0"/>
              <w:rPr>
                <w:sz w:val="11"/>
                <w:szCs w:val="11"/>
                <w:color w:val="auto"/>
              </w:rPr>
            </w:pPr>
          </w:p>
        </w:tc>
        <w:tc>
          <w:tcPr>
            <w:tcW w:w="15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jc w:val="center"/>
              <w:spacing w:after="0" w:line="149" w:lineRule="exact"/>
              <w:rPr>
                <w:sz w:val="20"/>
                <w:szCs w:val="20"/>
                <w:color w:val="auto"/>
              </w:rPr>
            </w:pPr>
            <w:r>
              <w:rPr>
                <w:rFonts w:ascii="Arial" w:cs="Arial" w:eastAsia="Arial" w:hAnsi="Arial"/>
                <w:sz w:val="14"/>
                <w:szCs w:val="14"/>
                <w:color w:val="auto"/>
                <w:w w:val="90"/>
              </w:rPr>
              <w:t>make market purchases of</w:t>
            </w:r>
          </w:p>
        </w:tc>
        <w:tc>
          <w:tcPr>
            <w:tcW w:w="1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1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85"/>
              </w:rPr>
              <w:t>shares</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45,717,396</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4"/>
              </w:rPr>
              <w:t>461,062</w:t>
            </w:r>
          </w:p>
        </w:tc>
        <w:tc>
          <w:tcPr>
            <w:tcW w:w="1620" w:type="dxa"/>
            <w:vAlign w:val="bottom"/>
            <w:gridSpan w:val="2"/>
          </w:tcPr>
          <w:p>
            <w:pPr>
              <w:jc w:val="center"/>
              <w:ind w:left="48"/>
              <w:spacing w:after="0"/>
              <w:rPr>
                <w:sz w:val="20"/>
                <w:szCs w:val="20"/>
                <w:color w:val="auto"/>
              </w:rPr>
            </w:pPr>
            <w:r>
              <w:rPr>
                <w:rFonts w:ascii="Arial" w:cs="Arial" w:eastAsia="Arial" w:hAnsi="Arial"/>
                <w:sz w:val="14"/>
                <w:szCs w:val="14"/>
                <w:color w:val="auto"/>
                <w:w w:val="90"/>
              </w:rPr>
              <w:t>185,119</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300" w:type="dxa"/>
            <w:vAlign w:val="bottom"/>
            <w:tcBorders>
              <w:top w:val="single" w:sz="8" w:color="auto"/>
            </w:tcBorders>
          </w:tcPr>
          <w:p>
            <w:pPr>
              <w:jc w:val="center"/>
              <w:spacing w:after="0" w:line="137" w:lineRule="exact"/>
              <w:rPr>
                <w:sz w:val="20"/>
                <w:szCs w:val="20"/>
                <w:color w:val="auto"/>
              </w:rPr>
            </w:pPr>
            <w:r>
              <w:rPr>
                <w:rFonts w:ascii="Arial" w:cs="Arial" w:eastAsia="Arial" w:hAnsi="Arial"/>
                <w:sz w:val="14"/>
                <w:szCs w:val="14"/>
                <w:color w:val="auto"/>
                <w:w w:val="91"/>
              </w:rPr>
              <w:t>To authorise the price range at</w:t>
            </w:r>
          </w:p>
        </w:tc>
        <w:tc>
          <w:tcPr>
            <w:tcW w:w="120" w:type="dxa"/>
            <w:vAlign w:val="bottom"/>
          </w:tcPr>
          <w:p>
            <w:pPr>
              <w:spacing w:after="0"/>
              <w:rPr>
                <w:sz w:val="11"/>
                <w:szCs w:val="11"/>
                <w:color w:val="auto"/>
              </w:rPr>
            </w:pPr>
          </w:p>
        </w:tc>
        <w:tc>
          <w:tcPr>
            <w:tcW w:w="15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50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8**</w:t>
            </w:r>
          </w:p>
        </w:tc>
        <w:tc>
          <w:tcPr>
            <w:tcW w:w="100" w:type="dxa"/>
            <w:vAlign w:val="bottom"/>
          </w:tcPr>
          <w:p>
            <w:pPr>
              <w:spacing w:after="0"/>
              <w:rPr>
                <w:sz w:val="12"/>
                <w:szCs w:val="12"/>
                <w:color w:val="auto"/>
              </w:rPr>
            </w:pPr>
          </w:p>
        </w:tc>
        <w:tc>
          <w:tcPr>
            <w:tcW w:w="3300" w:type="dxa"/>
            <w:vAlign w:val="bottom"/>
          </w:tcPr>
          <w:p>
            <w:pPr>
              <w:jc w:val="center"/>
              <w:spacing w:after="0" w:line="149" w:lineRule="exact"/>
              <w:rPr>
                <w:sz w:val="20"/>
                <w:szCs w:val="20"/>
                <w:color w:val="auto"/>
              </w:rPr>
            </w:pPr>
            <w:r>
              <w:rPr>
                <w:rFonts w:ascii="Arial" w:cs="Arial" w:eastAsia="Arial" w:hAnsi="Arial"/>
                <w:sz w:val="14"/>
                <w:szCs w:val="14"/>
                <w:color w:val="auto"/>
                <w:w w:val="93"/>
              </w:rPr>
              <w:t>which the Company can</w:t>
            </w:r>
          </w:p>
        </w:tc>
        <w:tc>
          <w:tcPr>
            <w:tcW w:w="1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176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3300" w:type="dxa"/>
            <w:vAlign w:val="bottom"/>
            <w:vMerge w:val="restart"/>
          </w:tcPr>
          <w:p>
            <w:pPr>
              <w:jc w:val="center"/>
              <w:spacing w:after="0" w:line="149" w:lineRule="exact"/>
              <w:rPr>
                <w:sz w:val="20"/>
                <w:szCs w:val="20"/>
                <w:color w:val="auto"/>
              </w:rPr>
            </w:pPr>
            <w:r>
              <w:rPr>
                <w:rFonts w:ascii="Arial" w:cs="Arial" w:eastAsia="Arial" w:hAnsi="Arial"/>
                <w:sz w:val="14"/>
                <w:szCs w:val="14"/>
                <w:color w:val="auto"/>
                <w:w w:val="89"/>
              </w:rPr>
              <w:t>reissue shares it holds as</w:t>
            </w:r>
          </w:p>
        </w:tc>
        <w:tc>
          <w:tcPr>
            <w:tcW w:w="12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50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1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30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3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500" w:type="dxa"/>
            <w:vAlign w:val="bottom"/>
          </w:tcPr>
          <w:p>
            <w:pPr>
              <w:spacing w:after="0"/>
              <w:rPr>
                <w:sz w:val="4"/>
                <w:szCs w:val="4"/>
                <w:color w:val="auto"/>
              </w:rPr>
            </w:pPr>
          </w:p>
        </w:tc>
        <w:tc>
          <w:tcPr>
            <w:tcW w:w="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1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300" w:type="dxa"/>
            <w:vAlign w:val="bottom"/>
          </w:tcPr>
          <w:p>
            <w:pPr>
              <w:jc w:val="center"/>
              <w:spacing w:after="0"/>
              <w:rPr>
                <w:sz w:val="20"/>
                <w:szCs w:val="20"/>
                <w:color w:val="auto"/>
              </w:rPr>
            </w:pPr>
            <w:r>
              <w:rPr>
                <w:rFonts w:ascii="Arial" w:cs="Arial" w:eastAsia="Arial" w:hAnsi="Arial"/>
                <w:sz w:val="14"/>
                <w:szCs w:val="14"/>
                <w:color w:val="auto"/>
                <w:w w:val="89"/>
              </w:rPr>
              <w:t>treasury shares</w:t>
            </w:r>
          </w:p>
        </w:tc>
        <w:tc>
          <w:tcPr>
            <w:tcW w:w="1700" w:type="dxa"/>
            <w:vAlign w:val="bottom"/>
            <w:gridSpan w:val="2"/>
          </w:tcPr>
          <w:p>
            <w:pPr>
              <w:jc w:val="center"/>
              <w:ind w:left="28"/>
              <w:spacing w:after="0"/>
              <w:rPr>
                <w:sz w:val="20"/>
                <w:szCs w:val="20"/>
                <w:color w:val="auto"/>
              </w:rPr>
            </w:pPr>
            <w:r>
              <w:rPr>
                <w:rFonts w:ascii="Arial" w:cs="Arial" w:eastAsia="Arial" w:hAnsi="Arial"/>
                <w:sz w:val="14"/>
                <w:szCs w:val="14"/>
                <w:color w:val="auto"/>
                <w:w w:val="91"/>
              </w:rPr>
              <w:t>46,363,577</w:t>
            </w:r>
          </w:p>
        </w:tc>
        <w:tc>
          <w:tcPr>
            <w:tcW w:w="14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46,253,806</w:t>
            </w:r>
          </w:p>
        </w:tc>
        <w:tc>
          <w:tcPr>
            <w:tcW w:w="1320" w:type="dxa"/>
            <w:vAlign w:val="bottom"/>
            <w:gridSpan w:val="2"/>
          </w:tcPr>
          <w:p>
            <w:pPr>
              <w:jc w:val="center"/>
              <w:ind w:left="48"/>
              <w:spacing w:after="0"/>
              <w:rPr>
                <w:sz w:val="20"/>
                <w:szCs w:val="20"/>
                <w:color w:val="auto"/>
              </w:rPr>
            </w:pPr>
            <w:r>
              <w:rPr>
                <w:rFonts w:ascii="Arial" w:cs="Arial" w:eastAsia="Arial" w:hAnsi="Arial"/>
                <w:sz w:val="14"/>
                <w:szCs w:val="14"/>
                <w:color w:val="auto"/>
                <w:w w:val="93"/>
              </w:rPr>
              <w:t>97,134</w:t>
            </w:r>
          </w:p>
        </w:tc>
        <w:tc>
          <w:tcPr>
            <w:tcW w:w="1620" w:type="dxa"/>
            <w:vAlign w:val="bottom"/>
            <w:gridSpan w:val="2"/>
          </w:tcPr>
          <w:p>
            <w:pPr>
              <w:jc w:val="center"/>
              <w:ind w:left="68"/>
              <w:spacing w:after="0"/>
              <w:rPr>
                <w:sz w:val="20"/>
                <w:szCs w:val="20"/>
                <w:color w:val="auto"/>
              </w:rPr>
            </w:pPr>
            <w:r>
              <w:rPr>
                <w:rFonts w:ascii="Arial" w:cs="Arial" w:eastAsia="Arial" w:hAnsi="Arial"/>
                <w:sz w:val="14"/>
                <w:szCs w:val="14"/>
                <w:color w:val="auto"/>
                <w:w w:val="93"/>
              </w:rPr>
              <w:t>12,637</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1760" w:type="dxa"/>
            <w:vAlign w:val="bottom"/>
            <w:tcBorders>
              <w:top w:val="single" w:sz="8" w:color="auto"/>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330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580" w:type="dxa"/>
            <w:vAlign w:val="bottom"/>
            <w:tcBorders>
              <w:top w:val="single" w:sz="8" w:color="auto"/>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1380" w:type="dxa"/>
            <w:vAlign w:val="bottom"/>
            <w:tcBorders>
              <w:top w:val="single" w:sz="8" w:color="auto"/>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1220" w:type="dxa"/>
            <w:vAlign w:val="bottom"/>
            <w:tcBorders>
              <w:top w:val="single" w:sz="8" w:color="auto"/>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500" w:type="dxa"/>
            <w:vAlign w:val="bottom"/>
            <w:tcBorders>
              <w:top w:val="single" w:sz="8" w:color="auto"/>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17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330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5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13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122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50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 Special Resolution. All resolutions are ordinary resolutions unless otherwise stated.</w:t>
      </w:r>
    </w:p>
    <w:p>
      <w:pPr>
        <w:spacing w:after="0" w:line="207"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5"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93 locations in 37 countries and has approximately 13,650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ICON plc</w:t>
      </w:r>
    </w:p>
    <w:p>
      <w:pPr>
        <w:spacing w:after="0" w:line="230" w:lineRule="auto"/>
        <w:rPr>
          <w:sz w:val="20"/>
          <w:szCs w:val="20"/>
          <w:color w:val="auto"/>
        </w:rPr>
      </w:pPr>
      <w:r>
        <w:rPr>
          <w:rFonts w:ascii="Arial" w:cs="Arial" w:eastAsia="Arial" w:hAnsi="Arial"/>
          <w:sz w:val="22"/>
          <w:szCs w:val="22"/>
          <w:color w:val="auto"/>
        </w:rPr>
        <w:t>Investor Relations</w:t>
      </w:r>
    </w:p>
    <w:p>
      <w:pPr>
        <w:spacing w:after="0" w:line="231" w:lineRule="auto"/>
        <w:rPr>
          <w:sz w:val="20"/>
          <w:szCs w:val="20"/>
          <w:color w:val="auto"/>
        </w:rPr>
      </w:pPr>
      <w:r>
        <w:rPr>
          <w:rFonts w:ascii="Arial" w:cs="Arial" w:eastAsia="Arial" w:hAnsi="Arial"/>
          <w:sz w:val="22"/>
          <w:szCs w:val="22"/>
          <w:color w:val="auto"/>
        </w:rPr>
        <w:t>1 888 381 7923</w:t>
      </w:r>
    </w:p>
    <w:p>
      <w:pPr>
        <w:spacing w:after="0" w:line="231" w:lineRule="auto"/>
        <w:rPr>
          <w:sz w:val="20"/>
          <w:szCs w:val="20"/>
          <w:color w:val="auto"/>
        </w:rPr>
      </w:pPr>
      <w:r>
        <w:rPr>
          <w:rFonts w:ascii="Arial" w:cs="Arial" w:eastAsia="Arial" w:hAnsi="Arial"/>
          <w:sz w:val="22"/>
          <w:szCs w:val="22"/>
          <w:color w:val="auto"/>
        </w:rPr>
        <w:t>or</w:t>
      </w:r>
    </w:p>
    <w:p>
      <w:pPr>
        <w:spacing w:after="0" w:line="230"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line="1" w:lineRule="exact"/>
        <w:rPr>
          <w:sz w:val="20"/>
          <w:szCs w:val="20"/>
          <w:color w:val="auto"/>
        </w:rPr>
      </w:pPr>
    </w:p>
    <w:p>
      <w:pPr>
        <w:jc w:val="both"/>
        <w:ind w:right="9880" w:firstLine="8"/>
        <w:spacing w:after="0" w:line="267" w:lineRule="auto"/>
        <w:tabs>
          <w:tab w:leader="none" w:pos="176" w:val="left"/>
        </w:tabs>
        <w:numPr>
          <w:ilvl w:val="0"/>
          <w:numId w:val="1"/>
        </w:numPr>
        <w:rPr>
          <w:rFonts w:ascii="Arial" w:cs="Arial" w:eastAsia="Arial" w:hAnsi="Arial"/>
          <w:sz w:val="19"/>
          <w:szCs w:val="19"/>
          <w:color w:val="auto"/>
        </w:rPr>
      </w:pPr>
      <w:r>
        <w:rPr>
          <w:rFonts w:ascii="Arial" w:cs="Arial" w:eastAsia="Arial" w:hAnsi="Arial"/>
          <w:sz w:val="19"/>
          <w:szCs w:val="19"/>
          <w:color w:val="auto"/>
        </w:rPr>
        <w:t>353 1 291 2000 Jonathan Curtain</w:t>
      </w:r>
    </w:p>
    <w:p>
      <w:pPr>
        <w:ind w:right="6500"/>
        <w:spacing w:after="0" w:line="237" w:lineRule="auto"/>
        <w:rPr>
          <w:rFonts w:ascii="Arial" w:cs="Arial" w:eastAsia="Arial" w:hAnsi="Arial"/>
          <w:sz w:val="19"/>
          <w:szCs w:val="19"/>
          <w:color w:val="auto"/>
        </w:rPr>
      </w:pPr>
      <w:r>
        <w:rPr>
          <w:rFonts w:ascii="Arial" w:cs="Arial" w:eastAsia="Arial" w:hAnsi="Arial"/>
          <w:sz w:val="22"/>
          <w:szCs w:val="22"/>
          <w:color w:val="auto"/>
        </w:rPr>
        <w:t>Vice President Corporate Finance and Investor Relations +1 215 616 3000</w:t>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2019-12-06T12:17:06Z</dcterms:created>
  <dcterms:modified xsi:type="dcterms:W3CDTF">2019-12-06T12:17:06Z</dcterms:modified>
</cp:coreProperties>
</file>