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2018</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July 25, 2018 - ICON Shareholders Vote in Favour of All Resolutions at its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680"/>
          </w:cols>
          <w:pgMar w:left="240" w:top="364" w:right="9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July 25, 2018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DUBLIN--(BUSINESS WIRE)--July 25, 2018--</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announced that all resolutions at the Annual General Meeting of the Company (AGM) held on July 24, 2018 (which resolutions had all been recommended by the Board) were all duly passed by shareholders. These resolutions were set out in the Notice of the AGM sent to shareholders dated June 12, 2018 and are available on the ICON plc website.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final results of the voting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RESOLUTION</w:t>
            </w:r>
          </w:p>
        </w:tc>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VOTE</w:t>
            </w: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RESOLUTION</w:t>
            </w:r>
          </w:p>
        </w:tc>
        <w:tc>
          <w:tcPr>
            <w:tcW w:w="120" w:type="dxa"/>
            <w:vAlign w:val="bottom"/>
          </w:tcPr>
          <w:p>
            <w:pPr>
              <w:spacing w:after="0"/>
              <w:rPr>
                <w:sz w:val="5"/>
                <w:szCs w:val="5"/>
                <w:color w:val="auto"/>
              </w:rPr>
            </w:pPr>
          </w:p>
        </w:tc>
        <w:tc>
          <w:tcPr>
            <w:tcW w:w="15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5"/>
                <w:szCs w:val="5"/>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VOTE FOR</w:t>
            </w:r>
          </w:p>
        </w:tc>
        <w:tc>
          <w:tcPr>
            <w:tcW w:w="1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AGAINST</w:t>
            </w:r>
          </w:p>
        </w:tc>
        <w:tc>
          <w:tcPr>
            <w:tcW w:w="120" w:type="dxa"/>
            <w:vAlign w:val="bottom"/>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WITHHELD</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VOTES</w:t>
            </w: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3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1.1</w:t>
            </w:r>
          </w:p>
        </w:tc>
        <w:tc>
          <w:tcPr>
            <w:tcW w:w="100" w:type="dxa"/>
            <w:vAlign w:val="bottom"/>
          </w:tcPr>
          <w:p>
            <w:pPr>
              <w:spacing w:after="0"/>
              <w:rPr>
                <w:sz w:val="14"/>
                <w:szCs w:val="14"/>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re-elect Mr. Ciaran Murray</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46,363,577</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43,309,546</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3,049,154</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4,877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1.2</w:t>
            </w:r>
          </w:p>
        </w:tc>
        <w:tc>
          <w:tcPr>
            <w:tcW w:w="100" w:type="dxa"/>
            <w:vAlign w:val="bottom"/>
          </w:tcPr>
          <w:p>
            <w:pPr>
              <w:spacing w:after="0"/>
              <w:rPr>
                <w:sz w:val="14"/>
                <w:szCs w:val="14"/>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re-elect Mr. Declan McKeon</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46,363,577</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45,438,950</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919,871</w:t>
            </w: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4,756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1.3</w:t>
            </w:r>
          </w:p>
        </w:tc>
        <w:tc>
          <w:tcPr>
            <w:tcW w:w="100" w:type="dxa"/>
            <w:vAlign w:val="bottom"/>
          </w:tcPr>
          <w:p>
            <w:pPr>
              <w:spacing w:after="0"/>
              <w:rPr>
                <w:sz w:val="11"/>
                <w:szCs w:val="11"/>
                <w:color w:val="auto"/>
              </w:rPr>
            </w:pPr>
          </w:p>
        </w:tc>
        <w:tc>
          <w:tcPr>
            <w:tcW w:w="3300" w:type="dxa"/>
            <w:vAlign w:val="bottom"/>
          </w:tcPr>
          <w:p>
            <w:pPr>
              <w:jc w:val="center"/>
              <w:spacing w:after="0" w:line="137" w:lineRule="exact"/>
              <w:rPr>
                <w:sz w:val="20"/>
                <w:szCs w:val="20"/>
                <w:color w:val="auto"/>
              </w:rPr>
            </w:pPr>
            <w:r>
              <w:rPr>
                <w:rFonts w:ascii="Arial" w:cs="Arial" w:eastAsia="Arial" w:hAnsi="Arial"/>
                <w:sz w:val="14"/>
                <w:szCs w:val="14"/>
                <w:color w:val="auto"/>
                <w:w w:val="92"/>
              </w:rPr>
              <w:t>To re-elect Mr. Eugene</w:t>
            </w: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93"/>
              </w:rPr>
              <w:t>McCague</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46,363,577</w:t>
            </w:r>
          </w:p>
        </w:tc>
        <w:tc>
          <w:tcPr>
            <w:tcW w:w="14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46,158,700</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200,090</w:t>
            </w:r>
          </w:p>
        </w:tc>
        <w:tc>
          <w:tcPr>
            <w:tcW w:w="162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4,787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1.4</w:t>
            </w:r>
          </w:p>
        </w:tc>
        <w:tc>
          <w:tcPr>
            <w:tcW w:w="100" w:type="dxa"/>
            <w:vAlign w:val="bottom"/>
          </w:tcPr>
          <w:p>
            <w:pPr>
              <w:spacing w:after="0"/>
              <w:rPr>
                <w:sz w:val="14"/>
                <w:szCs w:val="14"/>
                <w:color w:val="auto"/>
              </w:rPr>
            </w:pPr>
          </w:p>
        </w:tc>
        <w:tc>
          <w:tcPr>
            <w:tcW w:w="3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To re-elect Ms. Joan Garahy</w:t>
            </w:r>
          </w:p>
        </w:tc>
        <w:tc>
          <w:tcPr>
            <w:tcW w:w="12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46,363,577</w:t>
            </w:r>
          </w:p>
        </w:tc>
        <w:tc>
          <w:tcPr>
            <w:tcW w:w="10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4"/>
              </w:rPr>
              <w:t>46,160,214</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4"/>
              </w:rPr>
              <w:t>198,360</w:t>
            </w:r>
          </w:p>
        </w:tc>
        <w:tc>
          <w:tcPr>
            <w:tcW w:w="12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5,003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Pr>
          <w:p>
            <w:pPr>
              <w:jc w:val="center"/>
              <w:spacing w:after="0" w:line="137" w:lineRule="exact"/>
              <w:rPr>
                <w:sz w:val="20"/>
                <w:szCs w:val="20"/>
                <w:color w:val="auto"/>
              </w:rPr>
            </w:pPr>
            <w:r>
              <w:rPr>
                <w:rFonts w:ascii="Arial" w:cs="Arial" w:eastAsia="Arial" w:hAnsi="Arial"/>
                <w:sz w:val="14"/>
                <w:szCs w:val="14"/>
                <w:color w:val="auto"/>
                <w:w w:val="92"/>
              </w:rPr>
              <w:t>To review the Company's</w:t>
            </w: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color w:val="auto"/>
                <w:w w:val="92"/>
              </w:rPr>
              <w:t>affairs and consider the</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90"/>
              </w:rPr>
              <w:t>accounts and reports</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46,363,577</w:t>
            </w:r>
          </w:p>
        </w:tc>
        <w:tc>
          <w:tcPr>
            <w:tcW w:w="14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46,233,943</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1,906</w:t>
            </w:r>
          </w:p>
        </w:tc>
        <w:tc>
          <w:tcPr>
            <w:tcW w:w="162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127,728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1"/>
                <w:szCs w:val="11"/>
                <w:color w:val="auto"/>
              </w:rPr>
            </w:pPr>
          </w:p>
        </w:tc>
        <w:tc>
          <w:tcPr>
            <w:tcW w:w="33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5"/>
              </w:rPr>
              <w:t>To authorise the fixing of the</w:t>
            </w:r>
          </w:p>
        </w:tc>
        <w:tc>
          <w:tcPr>
            <w:tcW w:w="1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94"/>
              </w:rPr>
              <w:t>auditors’ remuneration</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46,363,577</w:t>
            </w:r>
          </w:p>
        </w:tc>
        <w:tc>
          <w:tcPr>
            <w:tcW w:w="14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43,981,210</w:t>
            </w:r>
          </w:p>
        </w:tc>
        <w:tc>
          <w:tcPr>
            <w:tcW w:w="132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2,377,642</w:t>
            </w:r>
          </w:p>
        </w:tc>
        <w:tc>
          <w:tcPr>
            <w:tcW w:w="162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4,725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1"/>
                <w:szCs w:val="11"/>
                <w:color w:val="auto"/>
              </w:rPr>
            </w:pPr>
          </w:p>
        </w:tc>
        <w:tc>
          <w:tcPr>
            <w:tcW w:w="33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To authorise the Company to</w:t>
            </w:r>
          </w:p>
        </w:tc>
        <w:tc>
          <w:tcPr>
            <w:tcW w:w="1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92"/>
              </w:rPr>
              <w:t>allot shares</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46,363,577</w:t>
            </w:r>
          </w:p>
        </w:tc>
        <w:tc>
          <w:tcPr>
            <w:tcW w:w="14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45,518,647</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831,568</w:t>
            </w:r>
          </w:p>
        </w:tc>
        <w:tc>
          <w:tcPr>
            <w:tcW w:w="16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13,362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4"/>
                <w:szCs w:val="14"/>
                <w:color w:val="auto"/>
              </w:rPr>
            </w:pPr>
          </w:p>
        </w:tc>
        <w:tc>
          <w:tcPr>
            <w:tcW w:w="3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4"/>
              </w:rPr>
              <w:t>To disapply pre-emption rights</w:t>
            </w:r>
          </w:p>
        </w:tc>
        <w:tc>
          <w:tcPr>
            <w:tcW w:w="12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46,363,577</w:t>
            </w:r>
          </w:p>
        </w:tc>
        <w:tc>
          <w:tcPr>
            <w:tcW w:w="100" w:type="dxa"/>
            <w:vAlign w:val="bottom"/>
          </w:tcPr>
          <w:p>
            <w:pPr>
              <w:spacing w:after="0"/>
              <w:rPr>
                <w:sz w:val="14"/>
                <w:szCs w:val="1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4"/>
              </w:rPr>
              <w:t>46,218,055</w:t>
            </w:r>
          </w:p>
        </w:tc>
        <w:tc>
          <w:tcPr>
            <w:tcW w:w="10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4"/>
              </w:rPr>
              <w:t>126,968</w:t>
            </w:r>
          </w:p>
        </w:tc>
        <w:tc>
          <w:tcPr>
            <w:tcW w:w="12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18,554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1"/>
                <w:szCs w:val="11"/>
                <w:color w:val="auto"/>
              </w:rPr>
            </w:pPr>
          </w:p>
        </w:tc>
        <w:tc>
          <w:tcPr>
            <w:tcW w:w="3300" w:type="dxa"/>
            <w:vAlign w:val="bottom"/>
          </w:tcPr>
          <w:p>
            <w:pPr>
              <w:jc w:val="center"/>
              <w:spacing w:after="0" w:line="137" w:lineRule="exact"/>
              <w:rPr>
                <w:sz w:val="20"/>
                <w:szCs w:val="20"/>
                <w:color w:val="auto"/>
              </w:rPr>
            </w:pPr>
            <w:r>
              <w:rPr>
                <w:rFonts w:ascii="Arial" w:cs="Arial" w:eastAsia="Arial" w:hAnsi="Arial"/>
                <w:sz w:val="14"/>
                <w:szCs w:val="14"/>
                <w:color w:val="auto"/>
                <w:w w:val="94"/>
              </w:rPr>
              <w:t>To disapply pre-emption rights</w:t>
            </w: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color w:val="auto"/>
                <w:w w:val="95"/>
              </w:rPr>
              <w:t>for funding capital investment</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93"/>
              </w:rPr>
              <w:t>or acquisitions</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46,363,577</w:t>
            </w:r>
          </w:p>
        </w:tc>
        <w:tc>
          <w:tcPr>
            <w:tcW w:w="14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46,159,710</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186,608</w:t>
            </w:r>
          </w:p>
        </w:tc>
        <w:tc>
          <w:tcPr>
            <w:tcW w:w="16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17,259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1"/>
                <w:szCs w:val="11"/>
                <w:color w:val="auto"/>
              </w:rPr>
            </w:pPr>
          </w:p>
        </w:tc>
        <w:tc>
          <w:tcPr>
            <w:tcW w:w="33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To authorise the Company to</w:t>
            </w:r>
          </w:p>
        </w:tc>
        <w:tc>
          <w:tcPr>
            <w:tcW w:w="1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color w:val="auto"/>
                <w:w w:val="90"/>
              </w:rPr>
              <w:t>make market purchases of</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46,363,577</w:t>
            </w:r>
          </w:p>
        </w:tc>
        <w:tc>
          <w:tcPr>
            <w:tcW w:w="14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45,717,396</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461,062</w:t>
            </w:r>
          </w:p>
        </w:tc>
        <w:tc>
          <w:tcPr>
            <w:tcW w:w="162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185,119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3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1"/>
              </w:rPr>
              <w:t>To authorise the price range at</w:t>
            </w:r>
          </w:p>
        </w:tc>
        <w:tc>
          <w:tcPr>
            <w:tcW w:w="1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2"/>
                <w:szCs w:val="12"/>
                <w:color w:val="auto"/>
              </w:rPr>
            </w:pPr>
          </w:p>
        </w:tc>
        <w:tc>
          <w:tcPr>
            <w:tcW w:w="3300" w:type="dxa"/>
            <w:vAlign w:val="bottom"/>
          </w:tcPr>
          <w:p>
            <w:pPr>
              <w:jc w:val="center"/>
              <w:spacing w:after="0" w:line="149" w:lineRule="exact"/>
              <w:rPr>
                <w:sz w:val="20"/>
                <w:szCs w:val="20"/>
                <w:color w:val="auto"/>
              </w:rPr>
            </w:pPr>
            <w:r>
              <w:rPr>
                <w:rFonts w:ascii="Arial" w:cs="Arial" w:eastAsia="Arial" w:hAnsi="Arial"/>
                <w:sz w:val="14"/>
                <w:szCs w:val="14"/>
                <w:color w:val="auto"/>
                <w:w w:val="93"/>
              </w:rPr>
              <w:t>which the Company can</w:t>
            </w: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3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9"/>
              </w:rPr>
              <w:t>reissue shares it holds as</w:t>
            </w: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jc w:val="center"/>
              <w:spacing w:after="0"/>
              <w:rPr>
                <w:sz w:val="20"/>
                <w:szCs w:val="20"/>
                <w:color w:val="auto"/>
              </w:rPr>
            </w:pPr>
            <w:r>
              <w:rPr>
                <w:rFonts w:ascii="Arial" w:cs="Arial" w:eastAsia="Arial" w:hAnsi="Arial"/>
                <w:sz w:val="14"/>
                <w:szCs w:val="14"/>
                <w:color w:val="auto"/>
                <w:w w:val="89"/>
              </w:rPr>
              <w:t>treasury shares</w:t>
            </w:r>
          </w:p>
        </w:tc>
        <w:tc>
          <w:tcPr>
            <w:tcW w:w="17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46,363,577</w:t>
            </w:r>
          </w:p>
        </w:tc>
        <w:tc>
          <w:tcPr>
            <w:tcW w:w="14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46,253,806</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97,134</w:t>
            </w:r>
          </w:p>
        </w:tc>
        <w:tc>
          <w:tcPr>
            <w:tcW w:w="16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12,637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76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30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58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380" w:type="dxa"/>
            <w:vAlign w:val="bottom"/>
            <w:tcBorders>
              <w:top w:val="single" w:sz="8" w:color="auto"/>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220" w:type="dxa"/>
            <w:vAlign w:val="bottom"/>
            <w:tcBorders>
              <w:top w:val="single" w:sz="8" w:color="auto"/>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500" w:type="dxa"/>
            <w:vAlign w:val="bottom"/>
            <w:tcBorders>
              <w:top w:val="single" w:sz="8" w:color="auto"/>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7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93 locations in 37 countries and has approximately 13,650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1 888 381 7923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jc w:val="both"/>
        <w:ind w:right="9880" w:firstLine="8"/>
        <w:spacing w:after="0" w:line="267" w:lineRule="auto"/>
        <w:tabs>
          <w:tab w:leader="none" w:pos="176" w:val="left"/>
        </w:tabs>
        <w:numPr>
          <w:ilvl w:val="0"/>
          <w:numId w:val="1"/>
        </w:numPr>
        <w:rPr>
          <w:rFonts w:ascii="Arial" w:cs="Arial" w:eastAsia="Arial" w:hAnsi="Arial"/>
          <w:sz w:val="19"/>
          <w:szCs w:val="19"/>
          <w:color w:val="auto"/>
        </w:rPr>
      </w:pPr>
      <w:r>
        <w:rPr>
          <w:rFonts w:ascii="Arial" w:cs="Arial" w:eastAsia="Arial" w:hAnsi="Arial"/>
          <w:sz w:val="19"/>
          <w:szCs w:val="19"/>
          <w:color w:val="auto"/>
        </w:rPr>
        <w:t>353 1 291 2000 Jonathan Curtain</w:t>
      </w:r>
    </w:p>
    <w:p>
      <w:pPr>
        <w:ind w:right="6500"/>
        <w:spacing w:after="0" w:line="237" w:lineRule="auto"/>
        <w:rPr>
          <w:rFonts w:ascii="Arial" w:cs="Arial" w:eastAsia="Arial" w:hAnsi="Arial"/>
          <w:sz w:val="19"/>
          <w:szCs w:val="19"/>
          <w:color w:val="auto"/>
        </w:rPr>
      </w:pPr>
      <w:r>
        <w:rPr>
          <w:rFonts w:ascii="Arial" w:cs="Arial" w:eastAsia="Arial" w:hAnsi="Arial"/>
          <w:sz w:val="22"/>
          <w:szCs w:val="22"/>
          <w:color w:val="auto"/>
        </w:rPr>
        <w:t>Vice President Corporate Finance and Investor Relations +1 215 616 3000</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2019-12-06T12:17:06Z</dcterms:created>
  <dcterms:modified xsi:type="dcterms:W3CDTF">2019-12-06T12:17:06Z</dcterms:modified>
</cp:coreProperties>
</file>