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18"/>
          <w:szCs w:val="18"/>
          <w:b w:val="1"/>
          <w:bCs w:val="1"/>
          <w:color w:val="auto"/>
        </w:rPr>
        <w:t>FORM 6-K</w:t>
      </w:r>
    </w:p>
    <w:p>
      <w:pPr>
        <w:spacing w:after="0" w:line="252"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SECURITIES AND EXCHANGE COMMISSION</w:t>
      </w:r>
    </w:p>
    <w:p>
      <w:pPr>
        <w:spacing w:after="0" w:line="252" w:lineRule="exact"/>
        <w:rPr>
          <w:sz w:val="24"/>
          <w:szCs w:val="24"/>
          <w:color w:val="auto"/>
        </w:rPr>
      </w:pPr>
    </w:p>
    <w:p>
      <w:pPr>
        <w:jc w:val="center"/>
        <w:ind w:right="-19"/>
        <w:spacing w:after="0"/>
        <w:rPr>
          <w:sz w:val="20"/>
          <w:szCs w:val="20"/>
          <w:color w:val="auto"/>
        </w:rPr>
      </w:pPr>
      <w:r>
        <w:rPr>
          <w:rFonts w:ascii="Arial" w:cs="Arial" w:eastAsia="Arial" w:hAnsi="Arial"/>
          <w:sz w:val="14"/>
          <w:szCs w:val="14"/>
          <w:color w:val="auto"/>
        </w:rPr>
        <w:t>Washington, D.C. 20549</w:t>
      </w:r>
    </w:p>
    <w:p>
      <w:pPr>
        <w:spacing w:after="0" w:line="200" w:lineRule="exact"/>
        <w:rPr>
          <w:sz w:val="24"/>
          <w:szCs w:val="24"/>
          <w:color w:val="auto"/>
        </w:rPr>
      </w:pPr>
    </w:p>
    <w:p>
      <w:pPr>
        <w:spacing w:after="0" w:line="270" w:lineRule="exact"/>
        <w:rPr>
          <w:sz w:val="24"/>
          <w:szCs w:val="24"/>
          <w:color w:val="auto"/>
        </w:rPr>
      </w:pPr>
    </w:p>
    <w:p>
      <w:pPr>
        <w:jc w:val="center"/>
        <w:ind w:right="-19"/>
        <w:spacing w:after="0"/>
        <w:rPr>
          <w:sz w:val="20"/>
          <w:szCs w:val="20"/>
          <w:color w:val="auto"/>
        </w:rPr>
      </w:pPr>
      <w:r>
        <w:rPr>
          <w:rFonts w:ascii="Arial" w:cs="Arial" w:eastAsia="Arial" w:hAnsi="Arial"/>
          <w:sz w:val="14"/>
          <w:szCs w:val="14"/>
          <w:b w:val="1"/>
          <w:bCs w:val="1"/>
          <w:color w:val="auto"/>
        </w:rPr>
        <w:t>Report of Foreign Private Issuer</w:t>
      </w:r>
    </w:p>
    <w:p>
      <w:pPr>
        <w:jc w:val="center"/>
        <w:ind w:right="-19"/>
        <w:spacing w:after="0" w:line="226" w:lineRule="auto"/>
        <w:rPr>
          <w:sz w:val="20"/>
          <w:szCs w:val="20"/>
          <w:color w:val="auto"/>
        </w:rPr>
      </w:pPr>
      <w:r>
        <w:rPr>
          <w:rFonts w:ascii="Arial" w:cs="Arial" w:eastAsia="Arial" w:hAnsi="Arial"/>
          <w:sz w:val="14"/>
          <w:szCs w:val="14"/>
          <w:b w:val="1"/>
          <w:bCs w:val="1"/>
          <w:color w:val="auto"/>
        </w:rPr>
        <w:t>Pursuant to Rule 13a - 16 under</w:t>
      </w:r>
    </w:p>
    <w:p>
      <w:pPr>
        <w:spacing w:after="0" w:line="1" w:lineRule="exact"/>
        <w:rPr>
          <w:sz w:val="24"/>
          <w:szCs w:val="24"/>
          <w:color w:val="auto"/>
        </w:rPr>
      </w:pPr>
    </w:p>
    <w:p>
      <w:pPr>
        <w:jc w:val="center"/>
        <w:ind w:right="-19"/>
        <w:spacing w:after="0"/>
        <w:rPr>
          <w:sz w:val="20"/>
          <w:szCs w:val="20"/>
          <w:color w:val="auto"/>
        </w:rPr>
      </w:pPr>
      <w:r>
        <w:rPr>
          <w:rFonts w:ascii="Arial" w:cs="Arial" w:eastAsia="Arial" w:hAnsi="Arial"/>
          <w:sz w:val="14"/>
          <w:szCs w:val="14"/>
          <w:b w:val="1"/>
          <w:bCs w:val="1"/>
          <w:color w:val="auto"/>
        </w:rPr>
        <w:t>the Securities Exchange Act of 1934</w:t>
      </w:r>
    </w:p>
    <w:p>
      <w:pPr>
        <w:spacing w:after="0" w:line="219" w:lineRule="exact"/>
        <w:rPr>
          <w:sz w:val="24"/>
          <w:szCs w:val="24"/>
          <w:color w:val="auto"/>
        </w:rPr>
      </w:pPr>
    </w:p>
    <w:p>
      <w:pPr>
        <w:jc w:val="center"/>
        <w:ind w:right="-19"/>
        <w:spacing w:after="0"/>
        <w:rPr>
          <w:sz w:val="20"/>
          <w:szCs w:val="20"/>
          <w:color w:val="auto"/>
        </w:rPr>
      </w:pPr>
      <w:r>
        <w:rPr>
          <w:rFonts w:ascii="Arial" w:cs="Arial" w:eastAsia="Arial" w:hAnsi="Arial"/>
          <w:sz w:val="14"/>
          <w:szCs w:val="14"/>
          <w:color w:val="auto"/>
        </w:rPr>
        <w:t>For the month of July, 2008</w:t>
      </w:r>
    </w:p>
    <w:p>
      <w:pPr>
        <w:spacing w:after="0" w:line="217" w:lineRule="exact"/>
        <w:rPr>
          <w:sz w:val="24"/>
          <w:szCs w:val="24"/>
          <w:color w:val="auto"/>
        </w:rPr>
      </w:pPr>
    </w:p>
    <w:p>
      <w:pPr>
        <w:jc w:val="center"/>
        <w:ind w:right="-19"/>
        <w:spacing w:after="0"/>
        <w:rPr>
          <w:sz w:val="20"/>
          <w:szCs w:val="20"/>
          <w:color w:val="auto"/>
        </w:rPr>
      </w:pPr>
      <w:r>
        <w:rPr>
          <w:rFonts w:ascii="Arial" w:cs="Arial" w:eastAsia="Arial" w:hAnsi="Arial"/>
          <w:sz w:val="29"/>
          <w:szCs w:val="29"/>
          <w:b w:val="1"/>
          <w:bCs w:val="1"/>
          <w:color w:val="auto"/>
        </w:rPr>
        <w:t>ICON plc</w:t>
      </w:r>
    </w:p>
    <w:p>
      <w:pPr>
        <w:spacing w:after="0" w:line="29" w:lineRule="exact"/>
        <w:rPr>
          <w:sz w:val="24"/>
          <w:szCs w:val="24"/>
          <w:color w:val="auto"/>
        </w:rPr>
      </w:pPr>
    </w:p>
    <w:p>
      <w:pPr>
        <w:jc w:val="center"/>
        <w:ind w:right="-19"/>
        <w:spacing w:after="0"/>
        <w:rPr>
          <w:sz w:val="20"/>
          <w:szCs w:val="20"/>
          <w:color w:val="auto"/>
        </w:rPr>
      </w:pPr>
      <w:r>
        <w:rPr>
          <w:rFonts w:ascii="Arial" w:cs="Arial" w:eastAsia="Arial" w:hAnsi="Arial"/>
          <w:sz w:val="14"/>
          <w:szCs w:val="14"/>
          <w:color w:val="auto"/>
        </w:rPr>
        <w:t>(Registrant’s name)</w:t>
      </w:r>
    </w:p>
    <w:p>
      <w:pPr>
        <w:spacing w:after="0" w:line="218" w:lineRule="exact"/>
        <w:rPr>
          <w:sz w:val="24"/>
          <w:szCs w:val="24"/>
          <w:color w:val="auto"/>
        </w:rPr>
      </w:pPr>
    </w:p>
    <w:p>
      <w:pPr>
        <w:jc w:val="center"/>
        <w:ind w:right="-19"/>
        <w:spacing w:after="0"/>
        <w:rPr>
          <w:sz w:val="20"/>
          <w:szCs w:val="20"/>
          <w:color w:val="auto"/>
        </w:rPr>
      </w:pPr>
      <w:r>
        <w:rPr>
          <w:rFonts w:ascii="Arial" w:cs="Arial" w:eastAsia="Arial" w:hAnsi="Arial"/>
          <w:sz w:val="14"/>
          <w:szCs w:val="14"/>
          <w:color w:val="auto"/>
        </w:rPr>
        <w:t>0-29714</w:t>
      </w:r>
    </w:p>
    <w:p>
      <w:pPr>
        <w:jc w:val="center"/>
        <w:ind w:right="-19"/>
        <w:spacing w:after="0"/>
        <w:rPr>
          <w:sz w:val="20"/>
          <w:szCs w:val="20"/>
          <w:color w:val="auto"/>
        </w:rPr>
      </w:pPr>
      <w:r>
        <w:rPr>
          <w:rFonts w:ascii="Arial" w:cs="Arial" w:eastAsia="Arial" w:hAnsi="Arial"/>
          <w:sz w:val="14"/>
          <w:szCs w:val="14"/>
          <w:color w:val="auto"/>
        </w:rPr>
        <w:t>(Commission file number)</w:t>
      </w:r>
    </w:p>
    <w:p>
      <w:pPr>
        <w:spacing w:after="0" w:line="218" w:lineRule="exact"/>
        <w:rPr>
          <w:sz w:val="24"/>
          <w:szCs w:val="24"/>
          <w:color w:val="auto"/>
        </w:rPr>
      </w:pPr>
    </w:p>
    <w:p>
      <w:pPr>
        <w:jc w:val="center"/>
        <w:ind w:right="-19"/>
        <w:spacing w:after="0"/>
        <w:rPr>
          <w:sz w:val="20"/>
          <w:szCs w:val="20"/>
          <w:color w:val="auto"/>
        </w:rPr>
      </w:pPr>
      <w:r>
        <w:rPr>
          <w:rFonts w:ascii="Arial" w:cs="Arial" w:eastAsia="Arial" w:hAnsi="Arial"/>
          <w:sz w:val="14"/>
          <w:szCs w:val="14"/>
          <w:color w:val="auto"/>
        </w:rPr>
        <w:t>South County Business Park, Leopardstown, Dublin 18, Ireland.</w:t>
      </w:r>
    </w:p>
    <w:p>
      <w:pPr>
        <w:jc w:val="center"/>
        <w:ind w:right="-19"/>
        <w:spacing w:after="0"/>
        <w:rPr>
          <w:sz w:val="20"/>
          <w:szCs w:val="20"/>
          <w:color w:val="auto"/>
        </w:rPr>
      </w:pPr>
      <w:r>
        <w:rPr>
          <w:rFonts w:ascii="Arial" w:cs="Arial" w:eastAsia="Arial" w:hAnsi="Arial"/>
          <w:sz w:val="14"/>
          <w:szCs w:val="14"/>
          <w:color w:val="auto"/>
        </w:rPr>
        <w:t>(Address of principal executive offices)</w:t>
      </w:r>
    </w:p>
    <w:p>
      <w:pPr>
        <w:spacing w:after="0" w:line="200" w:lineRule="exact"/>
        <w:rPr>
          <w:sz w:val="24"/>
          <w:szCs w:val="24"/>
          <w:color w:val="auto"/>
        </w:rPr>
      </w:pPr>
    </w:p>
    <w:p>
      <w:pPr>
        <w:spacing w:after="0" w:line="262" w:lineRule="exact"/>
        <w:rPr>
          <w:sz w:val="24"/>
          <w:szCs w:val="24"/>
          <w:color w:val="auto"/>
        </w:rPr>
      </w:pPr>
    </w:p>
    <w:p>
      <w:pPr>
        <w:spacing w:after="0"/>
        <w:rPr>
          <w:sz w:val="20"/>
          <w:szCs w:val="20"/>
          <w:color w:val="auto"/>
        </w:rPr>
      </w:pPr>
      <w:r>
        <w:rPr>
          <w:rFonts w:ascii="Arial" w:cs="Arial" w:eastAsia="Arial" w:hAnsi="Arial"/>
          <w:sz w:val="14"/>
          <w:szCs w:val="14"/>
          <w:color w:val="auto"/>
        </w:rPr>
        <w:t>Indicate by check mark whether the registrant files or will file annual reports under cover Form 20-F or Form 40-F.</w:t>
      </w:r>
    </w:p>
    <w:p>
      <w:pPr>
        <w:spacing w:after="0" w:line="227" w:lineRule="exact"/>
        <w:rPr>
          <w:sz w:val="24"/>
          <w:szCs w:val="24"/>
          <w:color w:val="auto"/>
        </w:rPr>
      </w:pPr>
    </w:p>
    <w:p>
      <w:pPr>
        <w:ind w:left="4980"/>
        <w:spacing w:after="0"/>
        <w:rPr>
          <w:sz w:val="20"/>
          <w:szCs w:val="20"/>
          <w:color w:val="auto"/>
        </w:rPr>
      </w:pPr>
      <w:r>
        <w:rPr>
          <w:rFonts w:ascii="Arial" w:cs="Arial" w:eastAsia="Arial" w:hAnsi="Arial"/>
          <w:sz w:val="14"/>
          <w:szCs w:val="14"/>
          <w:color w:val="auto"/>
        </w:rPr>
        <w:t>Yes___</w:t>
      </w:r>
      <w:r>
        <w:rPr>
          <w:rFonts w:ascii="Arial" w:cs="Arial" w:eastAsia="Arial" w:hAnsi="Arial"/>
          <w:sz w:val="14"/>
          <w:szCs w:val="14"/>
          <w:b w:val="1"/>
          <w:bCs w:val="1"/>
          <w:u w:val="single" w:color="auto"/>
          <w:color w:val="auto"/>
        </w:rPr>
        <w:t>X</w:t>
      </w:r>
      <w:r>
        <w:rPr>
          <w:rFonts w:ascii="Arial" w:cs="Arial" w:eastAsia="Arial" w:hAnsi="Arial"/>
          <w:sz w:val="14"/>
          <w:szCs w:val="14"/>
          <w:color w:val="auto"/>
        </w:rPr>
        <w:t>___ No___</w:t>
      </w:r>
      <w:r>
        <w:rPr>
          <w:rFonts w:ascii="Arial" w:cs="Arial" w:eastAsia="Arial" w:hAnsi="Arial"/>
          <w:sz w:val="14"/>
          <w:szCs w:val="14"/>
          <w:b w:val="1"/>
          <w:bCs w:val="1"/>
          <w:color w:val="auto"/>
        </w:rPr>
        <w:t>_</w:t>
      </w:r>
      <w:r>
        <w:rPr>
          <w:rFonts w:ascii="Arial" w:cs="Arial" w:eastAsia="Arial" w:hAnsi="Arial"/>
          <w:sz w:val="14"/>
          <w:szCs w:val="14"/>
          <w:color w:val="auto"/>
        </w:rPr>
        <w:t>___</w:t>
      </w:r>
    </w:p>
    <w:p>
      <w:pPr>
        <w:spacing w:after="0" w:line="235" w:lineRule="exact"/>
        <w:rPr>
          <w:sz w:val="24"/>
          <w:szCs w:val="24"/>
          <w:color w:val="auto"/>
        </w:rPr>
      </w:pPr>
    </w:p>
    <w:p>
      <w:pPr>
        <w:spacing w:after="0"/>
        <w:rPr>
          <w:sz w:val="20"/>
          <w:szCs w:val="20"/>
          <w:color w:val="auto"/>
        </w:rPr>
      </w:pPr>
      <w:r>
        <w:rPr>
          <w:rFonts w:ascii="Arial" w:cs="Arial" w:eastAsia="Arial" w:hAnsi="Arial"/>
          <w:sz w:val="14"/>
          <w:szCs w:val="14"/>
          <w:color w:val="auto"/>
        </w:rPr>
        <w:t>Indicate by check mark whether the registrant is submitting the Form 6-K in paper as permitted by Regulation S-T Rule 101(b)(1):</w:t>
      </w:r>
    </w:p>
    <w:p>
      <w:pPr>
        <w:spacing w:after="0" w:line="227" w:lineRule="exact"/>
        <w:rPr>
          <w:sz w:val="24"/>
          <w:szCs w:val="24"/>
          <w:color w:val="auto"/>
        </w:rPr>
      </w:pPr>
    </w:p>
    <w:p>
      <w:pPr>
        <w:ind w:left="5020"/>
        <w:spacing w:after="0"/>
        <w:rPr>
          <w:sz w:val="20"/>
          <w:szCs w:val="20"/>
          <w:color w:val="auto"/>
        </w:rPr>
      </w:pPr>
      <w:r>
        <w:rPr>
          <w:rFonts w:ascii="Arial" w:cs="Arial" w:eastAsia="Arial" w:hAnsi="Arial"/>
          <w:sz w:val="14"/>
          <w:szCs w:val="14"/>
          <w:color w:val="auto"/>
        </w:rPr>
        <w:t>Yes______ No___</w:t>
      </w:r>
      <w:r>
        <w:rPr>
          <w:rFonts w:ascii="Arial" w:cs="Arial" w:eastAsia="Arial" w:hAnsi="Arial"/>
          <w:sz w:val="14"/>
          <w:szCs w:val="14"/>
          <w:b w:val="1"/>
          <w:bCs w:val="1"/>
          <w:u w:val="single" w:color="auto"/>
          <w:color w:val="auto"/>
        </w:rPr>
        <w:t>X</w:t>
      </w:r>
      <w:r>
        <w:rPr>
          <w:rFonts w:ascii="Arial" w:cs="Arial" w:eastAsia="Arial" w:hAnsi="Arial"/>
          <w:sz w:val="14"/>
          <w:szCs w:val="14"/>
          <w:color w:val="auto"/>
        </w:rPr>
        <w:t>___</w:t>
      </w:r>
    </w:p>
    <w:p>
      <w:pPr>
        <w:spacing w:after="0" w:line="200" w:lineRule="exact"/>
        <w:rPr>
          <w:sz w:val="24"/>
          <w:szCs w:val="24"/>
          <w:color w:val="auto"/>
        </w:rPr>
      </w:pPr>
    </w:p>
    <w:p>
      <w:pPr>
        <w:spacing w:after="0" w:line="278" w:lineRule="exact"/>
        <w:rPr>
          <w:sz w:val="24"/>
          <w:szCs w:val="24"/>
          <w:color w:val="auto"/>
        </w:rPr>
      </w:pPr>
    </w:p>
    <w:p>
      <w:pPr>
        <w:spacing w:after="0"/>
        <w:rPr>
          <w:sz w:val="20"/>
          <w:szCs w:val="20"/>
          <w:color w:val="auto"/>
        </w:rPr>
      </w:pPr>
      <w:r>
        <w:rPr>
          <w:rFonts w:ascii="Arial" w:cs="Arial" w:eastAsia="Arial" w:hAnsi="Arial"/>
          <w:sz w:val="14"/>
          <w:szCs w:val="14"/>
          <w:color w:val="auto"/>
        </w:rPr>
        <w:t>Indicate by check mark whether the registrant is submitting the Form 6-K in paper as permitted by Regulation S-T Rule 101(b)(7):</w:t>
      </w:r>
    </w:p>
    <w:p>
      <w:pPr>
        <w:spacing w:after="0" w:line="227" w:lineRule="exact"/>
        <w:rPr>
          <w:sz w:val="24"/>
          <w:szCs w:val="24"/>
          <w:color w:val="auto"/>
        </w:rPr>
      </w:pPr>
    </w:p>
    <w:p>
      <w:pPr>
        <w:ind w:left="5020"/>
        <w:spacing w:after="0"/>
        <w:rPr>
          <w:sz w:val="20"/>
          <w:szCs w:val="20"/>
          <w:color w:val="auto"/>
        </w:rPr>
      </w:pPr>
      <w:r>
        <w:rPr>
          <w:rFonts w:ascii="Arial" w:cs="Arial" w:eastAsia="Arial" w:hAnsi="Arial"/>
          <w:sz w:val="14"/>
          <w:szCs w:val="14"/>
          <w:color w:val="auto"/>
        </w:rPr>
        <w:t>Yes______ No___</w:t>
      </w:r>
      <w:r>
        <w:rPr>
          <w:rFonts w:ascii="Arial" w:cs="Arial" w:eastAsia="Arial" w:hAnsi="Arial"/>
          <w:sz w:val="14"/>
          <w:szCs w:val="14"/>
          <w:b w:val="1"/>
          <w:bCs w:val="1"/>
          <w:u w:val="single" w:color="auto"/>
          <w:color w:val="auto"/>
        </w:rPr>
        <w:t>X</w:t>
      </w:r>
      <w:r>
        <w:rPr>
          <w:rFonts w:ascii="Arial" w:cs="Arial" w:eastAsia="Arial" w:hAnsi="Arial"/>
          <w:sz w:val="14"/>
          <w:szCs w:val="14"/>
          <w:color w:val="auto"/>
        </w:rPr>
        <w:t>___</w:t>
      </w:r>
    </w:p>
    <w:p>
      <w:pPr>
        <w:spacing w:after="0" w:line="235" w:lineRule="exact"/>
        <w:rPr>
          <w:sz w:val="24"/>
          <w:szCs w:val="24"/>
          <w:color w:val="auto"/>
        </w:rPr>
      </w:pPr>
    </w:p>
    <w:p>
      <w:pPr>
        <w:spacing w:after="0" w:line="253" w:lineRule="auto"/>
        <w:rPr>
          <w:sz w:val="20"/>
          <w:szCs w:val="20"/>
          <w:color w:val="auto"/>
        </w:rPr>
      </w:pPr>
      <w:r>
        <w:rPr>
          <w:rFonts w:ascii="Arial" w:cs="Arial" w:eastAsia="Arial" w:hAnsi="Arial"/>
          <w:sz w:val="14"/>
          <w:szCs w:val="14"/>
          <w:color w:val="auto"/>
        </w:rPr>
        <w:t>Indicate by check mark whether the registrant by furnishing the information contained in this Form is also thereby furnishing the information to the Commission pursuant to Rule 12g3-2(b) under the Securities Exchange Act of 1934.</w:t>
      </w:r>
    </w:p>
    <w:p>
      <w:pPr>
        <w:spacing w:after="0" w:line="197" w:lineRule="exact"/>
        <w:rPr>
          <w:sz w:val="24"/>
          <w:szCs w:val="24"/>
          <w:color w:val="auto"/>
        </w:rPr>
      </w:pPr>
    </w:p>
    <w:p>
      <w:pPr>
        <w:jc w:val="center"/>
        <w:ind w:right="-19"/>
        <w:spacing w:after="0"/>
        <w:rPr>
          <w:sz w:val="20"/>
          <w:szCs w:val="20"/>
          <w:color w:val="auto"/>
        </w:rPr>
      </w:pPr>
      <w:r>
        <w:rPr>
          <w:rFonts w:ascii="Arial" w:cs="Arial" w:eastAsia="Arial" w:hAnsi="Arial"/>
          <w:sz w:val="14"/>
          <w:szCs w:val="14"/>
          <w:color w:val="auto"/>
        </w:rPr>
        <w:t>Yes___</w:t>
      </w:r>
      <w:r>
        <w:rPr>
          <w:rFonts w:ascii="Arial" w:cs="Arial" w:eastAsia="Arial" w:hAnsi="Arial"/>
          <w:sz w:val="14"/>
          <w:szCs w:val="14"/>
          <w:b w:val="1"/>
          <w:bCs w:val="1"/>
          <w:color w:val="auto"/>
        </w:rPr>
        <w:t>_</w:t>
      </w:r>
      <w:r>
        <w:rPr>
          <w:rFonts w:ascii="Arial" w:cs="Arial" w:eastAsia="Arial" w:hAnsi="Arial"/>
          <w:sz w:val="14"/>
          <w:szCs w:val="14"/>
          <w:color w:val="auto"/>
        </w:rPr>
        <w:t>___ No___</w:t>
      </w:r>
      <w:r>
        <w:rPr>
          <w:rFonts w:ascii="Arial" w:cs="Arial" w:eastAsia="Arial" w:hAnsi="Arial"/>
          <w:sz w:val="14"/>
          <w:szCs w:val="14"/>
          <w:b w:val="1"/>
          <w:bCs w:val="1"/>
          <w:u w:val="single" w:color="auto"/>
          <w:color w:val="auto"/>
        </w:rPr>
        <w:t>X</w:t>
      </w:r>
      <w:r>
        <w:rPr>
          <w:rFonts w:ascii="Arial" w:cs="Arial" w:eastAsia="Arial" w:hAnsi="Arial"/>
          <w:sz w:val="14"/>
          <w:szCs w:val="14"/>
          <w:color w:val="auto"/>
        </w:rPr>
        <w:t>___</w:t>
      </w:r>
    </w:p>
    <w:p>
      <w:pPr>
        <w:spacing w:after="0" w:line="231" w:lineRule="exact"/>
        <w:rPr>
          <w:sz w:val="24"/>
          <w:szCs w:val="24"/>
          <w:color w:val="auto"/>
        </w:rPr>
      </w:pPr>
    </w:p>
    <w:p>
      <w:pPr>
        <w:spacing w:after="0"/>
        <w:tabs>
          <w:tab w:leader="none" w:pos="6720" w:val="left"/>
        </w:tabs>
        <w:rPr>
          <w:sz w:val="20"/>
          <w:szCs w:val="20"/>
          <w:color w:val="auto"/>
        </w:rPr>
      </w:pPr>
      <w:r>
        <w:rPr>
          <w:rFonts w:ascii="Arial" w:cs="Arial" w:eastAsia="Arial" w:hAnsi="Arial"/>
          <w:sz w:val="14"/>
          <w:szCs w:val="14"/>
          <w:color w:val="auto"/>
        </w:rPr>
        <w:t>If “Yes” is marked, indicate below the file number assigned to the registrant in connection with Rule 12g3-2(b):82</w:t>
      </w:r>
      <w:r>
        <w:rPr>
          <w:sz w:val="20"/>
          <w:szCs w:val="20"/>
          <w:color w:val="auto"/>
        </w:rPr>
        <w:tab/>
      </w:r>
      <w:r>
        <w:rPr>
          <w:rFonts w:ascii="Arial" w:cs="Arial" w:eastAsia="Arial" w:hAnsi="Arial"/>
          <w:sz w:val="13"/>
          <w:szCs w:val="13"/>
          <w:b w:val="1"/>
          <w:bCs w:val="1"/>
          <w:color w:val="auto"/>
        </w:rPr>
        <w:t>N/A</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3175</wp:posOffset>
            </wp:positionH>
            <wp:positionV relativeFrom="paragraph">
              <wp:posOffset>227330</wp:posOffset>
            </wp:positionV>
            <wp:extent cx="7250430" cy="215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229" w:right="239" w:bottom="1440" w:gutter="0" w:footer="0" w:header="0"/>
        </w:sectPr>
      </w:pPr>
    </w:p>
    <w:bookmarkStart w:id="1" w:name="page2"/>
    <w:bookmarkEnd w:id="1"/>
    <w:p>
      <w:pPr>
        <w:jc w:val="right"/>
        <w:ind w:right="4019"/>
        <w:spacing w:after="0"/>
        <w:rPr>
          <w:sz w:val="20"/>
          <w:szCs w:val="20"/>
          <w:color w:val="auto"/>
        </w:rPr>
      </w:pPr>
      <w:r>
        <w:rPr>
          <w:rFonts w:ascii="Arial" w:cs="Arial" w:eastAsia="Arial" w:hAnsi="Arial"/>
          <w:sz w:val="14"/>
          <w:szCs w:val="14"/>
          <w:b w:val="1"/>
          <w:bCs w:val="1"/>
          <w:u w:val="single" w:color="auto"/>
          <w:color w:val="auto"/>
        </w:rPr>
        <w:t>EXHIBIT LIST</w:t>
      </w:r>
    </w:p>
    <w:p>
      <w:pPr>
        <w:spacing w:after="0" w:line="200" w:lineRule="exact"/>
        <w:rPr>
          <w:sz w:val="20"/>
          <w:szCs w:val="20"/>
          <w:color w:val="auto"/>
        </w:rPr>
      </w:pPr>
    </w:p>
    <w:p>
      <w:pPr>
        <w:spacing w:after="0" w:line="305" w:lineRule="exact"/>
        <w:rPr>
          <w:sz w:val="20"/>
          <w:szCs w:val="20"/>
          <w:color w:val="auto"/>
        </w:rPr>
      </w:pPr>
    </w:p>
    <w:p>
      <w:pPr>
        <w:spacing w:after="0"/>
        <w:tabs>
          <w:tab w:leader="none" w:pos="1480" w:val="left"/>
        </w:tabs>
        <w:rPr>
          <w:sz w:val="20"/>
          <w:szCs w:val="20"/>
          <w:color w:val="auto"/>
        </w:rPr>
      </w:pPr>
      <w:r>
        <w:rPr>
          <w:rFonts w:ascii="Arial" w:cs="Arial" w:eastAsia="Arial" w:hAnsi="Arial"/>
          <w:sz w:val="14"/>
          <w:szCs w:val="14"/>
          <w:u w:val="single" w:color="auto"/>
          <w:color w:val="auto"/>
        </w:rPr>
        <w:t>Exhibit</w:t>
      </w:r>
      <w:r>
        <w:rPr>
          <w:sz w:val="20"/>
          <w:szCs w:val="20"/>
          <w:color w:val="auto"/>
        </w:rPr>
        <w:tab/>
      </w:r>
      <w:r>
        <w:rPr>
          <w:rFonts w:ascii="Arial" w:cs="Arial" w:eastAsia="Arial" w:hAnsi="Arial"/>
          <w:sz w:val="14"/>
          <w:szCs w:val="14"/>
          <w:u w:val="single" w:color="auto"/>
          <w:color w:val="auto"/>
        </w:rPr>
        <w:t>Description</w:t>
      </w:r>
    </w:p>
    <w:p>
      <w:pPr>
        <w:spacing w:after="0" w:line="271" w:lineRule="exact"/>
        <w:rPr>
          <w:sz w:val="20"/>
          <w:szCs w:val="20"/>
          <w:color w:val="auto"/>
        </w:rPr>
      </w:pPr>
    </w:p>
    <w:p>
      <w:pPr>
        <w:spacing w:after="0"/>
        <w:tabs>
          <w:tab w:leader="none" w:pos="1480" w:val="left"/>
        </w:tabs>
        <w:rPr>
          <w:sz w:val="20"/>
          <w:szCs w:val="20"/>
          <w:color w:val="auto"/>
        </w:rPr>
      </w:pPr>
      <w:r>
        <w:rPr>
          <w:rFonts w:ascii="Arial" w:cs="Arial" w:eastAsia="Arial" w:hAnsi="Arial"/>
          <w:sz w:val="14"/>
          <w:szCs w:val="14"/>
          <w:color w:val="auto"/>
        </w:rPr>
        <w:t>99.1</w:t>
      </w:r>
      <w:r>
        <w:rPr>
          <w:sz w:val="20"/>
          <w:szCs w:val="20"/>
          <w:color w:val="auto"/>
        </w:rPr>
        <w:tab/>
      </w:r>
      <w:r>
        <w:rPr>
          <w:rFonts w:ascii="Arial" w:cs="Arial" w:eastAsia="Arial" w:hAnsi="Arial"/>
          <w:sz w:val="13"/>
          <w:szCs w:val="13"/>
          <w:color w:val="auto"/>
        </w:rPr>
        <w:t>Letter to Shareholders of ICON plc.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250825</wp:posOffset>
            </wp:positionV>
            <wp:extent cx="7250430" cy="215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19"/>
          </w:cols>
          <w:pgMar w:left="240" w:top="360" w:right="1440" w:bottom="1440" w:gutter="0" w:footer="0" w:header="0"/>
        </w:sectPr>
      </w:pPr>
    </w:p>
    <w:bookmarkStart w:id="2" w:name="page3"/>
    <w:bookmarkEnd w:id="2"/>
    <w:p>
      <w:pPr>
        <w:ind w:left="5260"/>
        <w:spacing w:after="0"/>
        <w:rPr>
          <w:sz w:val="20"/>
          <w:szCs w:val="20"/>
          <w:color w:val="auto"/>
        </w:rPr>
      </w:pPr>
      <w:r>
        <w:rPr>
          <w:rFonts w:ascii="Arial" w:cs="Arial" w:eastAsia="Arial" w:hAnsi="Arial"/>
          <w:sz w:val="14"/>
          <w:szCs w:val="14"/>
          <w:b w:val="1"/>
          <w:bCs w:val="1"/>
          <w:color w:val="auto"/>
        </w:rPr>
        <w:t>SIGNATURES</w:t>
      </w:r>
    </w:p>
    <w:p>
      <w:pPr>
        <w:spacing w:after="0" w:line="200" w:lineRule="exact"/>
        <w:rPr>
          <w:sz w:val="20"/>
          <w:szCs w:val="20"/>
          <w:color w:val="auto"/>
        </w:rPr>
      </w:pPr>
    </w:p>
    <w:p>
      <w:pPr>
        <w:spacing w:after="0" w:line="278" w:lineRule="exact"/>
        <w:rPr>
          <w:sz w:val="20"/>
          <w:szCs w:val="20"/>
          <w:color w:val="auto"/>
        </w:rPr>
      </w:pPr>
    </w:p>
    <w:p>
      <w:pPr>
        <w:spacing w:after="0"/>
        <w:rPr>
          <w:sz w:val="20"/>
          <w:szCs w:val="20"/>
          <w:color w:val="auto"/>
        </w:rPr>
      </w:pPr>
      <w:r>
        <w:rPr>
          <w:rFonts w:ascii="Arial" w:cs="Arial" w:eastAsia="Arial" w:hAnsi="Arial"/>
          <w:sz w:val="12"/>
          <w:szCs w:val="12"/>
          <w:color w:val="auto"/>
        </w:rPr>
        <w:t>Pursuant to the requirements of the Securities Exchange Act of 1934, the registrant has duly caused this report to be signed on its behalf by the undersigned hereunto duly authorized.</w:t>
      </w:r>
    </w:p>
    <w:p>
      <w:pPr>
        <w:spacing w:after="0" w:line="250"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5720" w:type="dxa"/>
            <w:vAlign w:val="bottom"/>
          </w:tcPr>
          <w:p>
            <w:pPr>
              <w:spacing w:after="0"/>
              <w:rPr>
                <w:sz w:val="16"/>
                <w:szCs w:val="16"/>
                <w:color w:val="auto"/>
              </w:rPr>
            </w:pPr>
          </w:p>
        </w:tc>
        <w:tc>
          <w:tcPr>
            <w:tcW w:w="1340" w:type="dxa"/>
            <w:vAlign w:val="bottom"/>
            <w:gridSpan w:val="2"/>
          </w:tcPr>
          <w:p>
            <w:pPr>
              <w:spacing w:after="0"/>
              <w:rPr>
                <w:sz w:val="20"/>
                <w:szCs w:val="20"/>
                <w:color w:val="auto"/>
              </w:rPr>
            </w:pPr>
            <w:r>
              <w:rPr>
                <w:rFonts w:ascii="Arial" w:cs="Arial" w:eastAsia="Arial" w:hAnsi="Arial"/>
                <w:sz w:val="14"/>
                <w:szCs w:val="14"/>
                <w:b w:val="1"/>
                <w:bCs w:val="1"/>
                <w:color w:val="auto"/>
              </w:rPr>
              <w:t>ICON plc</w:t>
            </w:r>
          </w:p>
        </w:tc>
        <w:tc>
          <w:tcPr>
            <w:tcW w:w="0" w:type="dxa"/>
            <w:vAlign w:val="bottom"/>
          </w:tcPr>
          <w:p>
            <w:pPr>
              <w:spacing w:after="0"/>
              <w:rPr>
                <w:sz w:val="1"/>
                <w:szCs w:val="1"/>
                <w:color w:val="auto"/>
              </w:rPr>
            </w:pPr>
          </w:p>
        </w:tc>
      </w:tr>
      <w:tr>
        <w:trPr>
          <w:trHeight w:val="714"/>
        </w:trPr>
        <w:tc>
          <w:tcPr>
            <w:tcW w:w="5720" w:type="dxa"/>
            <w:vAlign w:val="bottom"/>
            <w:vMerge w:val="restart"/>
          </w:tcPr>
          <w:p>
            <w:pPr>
              <w:spacing w:after="0"/>
              <w:rPr>
                <w:sz w:val="20"/>
                <w:szCs w:val="20"/>
                <w:color w:val="auto"/>
              </w:rPr>
            </w:pPr>
            <w:r>
              <w:rPr>
                <w:rFonts w:ascii="Arial" w:cs="Arial" w:eastAsia="Arial" w:hAnsi="Arial"/>
                <w:sz w:val="14"/>
                <w:szCs w:val="14"/>
                <w:color w:val="auto"/>
              </w:rPr>
              <w:t>Date: July 8, 2008</w:t>
            </w:r>
          </w:p>
        </w:tc>
        <w:tc>
          <w:tcPr>
            <w:tcW w:w="1340" w:type="dxa"/>
            <w:vAlign w:val="bottom"/>
            <w:gridSpan w:val="2"/>
          </w:tcPr>
          <w:p>
            <w:pPr>
              <w:spacing w:after="0"/>
              <w:rPr>
                <w:sz w:val="20"/>
                <w:szCs w:val="20"/>
                <w:color w:val="auto"/>
              </w:rPr>
            </w:pPr>
            <w:r>
              <w:rPr>
                <w:rFonts w:ascii="Arial" w:cs="Arial" w:eastAsia="Arial" w:hAnsi="Arial"/>
                <w:sz w:val="14"/>
                <w:szCs w:val="14"/>
                <w:color w:val="auto"/>
              </w:rPr>
              <w:t>/s/ Ciaran Murray</w:t>
            </w:r>
          </w:p>
        </w:tc>
        <w:tc>
          <w:tcPr>
            <w:tcW w:w="0" w:type="dxa"/>
            <w:vAlign w:val="bottom"/>
          </w:tcPr>
          <w:p>
            <w:pPr>
              <w:spacing w:after="0"/>
              <w:rPr>
                <w:sz w:val="1"/>
                <w:szCs w:val="1"/>
                <w:color w:val="auto"/>
              </w:rPr>
            </w:pPr>
          </w:p>
        </w:tc>
      </w:tr>
      <w:tr>
        <w:trPr>
          <w:trHeight w:val="76"/>
        </w:trPr>
        <w:tc>
          <w:tcPr>
            <w:tcW w:w="5720" w:type="dxa"/>
            <w:vAlign w:val="bottom"/>
            <w:vMerge w:val="continue"/>
          </w:tcPr>
          <w:p>
            <w:pPr>
              <w:spacing w:after="0"/>
              <w:rPr>
                <w:sz w:val="6"/>
                <w:szCs w:val="6"/>
                <w:color w:val="auto"/>
              </w:rPr>
            </w:pPr>
          </w:p>
        </w:tc>
        <w:tc>
          <w:tcPr>
            <w:tcW w:w="1020" w:type="dxa"/>
            <w:vAlign w:val="bottom"/>
            <w:tcBorders>
              <w:top w:val="single" w:sz="8" w:color="auto"/>
            </w:tcBorders>
            <w:vMerge w:val="restart"/>
          </w:tcPr>
          <w:p>
            <w:pPr>
              <w:spacing w:after="0"/>
              <w:rPr>
                <w:sz w:val="20"/>
                <w:szCs w:val="20"/>
                <w:color w:val="auto"/>
              </w:rPr>
            </w:pPr>
            <w:r>
              <w:rPr>
                <w:rFonts w:ascii="Arial" w:cs="Arial" w:eastAsia="Arial" w:hAnsi="Arial"/>
                <w:sz w:val="14"/>
                <w:szCs w:val="14"/>
                <w:color w:val="auto"/>
              </w:rPr>
              <w:t>Ciaran Murray</w:t>
            </w:r>
          </w:p>
        </w:tc>
        <w:tc>
          <w:tcPr>
            <w:tcW w:w="320" w:type="dxa"/>
            <w:vAlign w:val="bottom"/>
            <w:vMerge w:val="restart"/>
          </w:tcPr>
          <w:p>
            <w:pPr>
              <w:spacing w:after="0"/>
              <w:rPr>
                <w:sz w:val="6"/>
                <w:szCs w:val="6"/>
                <w:color w:val="auto"/>
              </w:rPr>
            </w:pPr>
          </w:p>
        </w:tc>
        <w:tc>
          <w:tcPr>
            <w:tcW w:w="0" w:type="dxa"/>
            <w:vAlign w:val="bottom"/>
          </w:tcPr>
          <w:p>
            <w:pPr>
              <w:spacing w:after="0"/>
              <w:rPr>
                <w:sz w:val="1"/>
                <w:szCs w:val="1"/>
                <w:color w:val="auto"/>
              </w:rPr>
            </w:pPr>
          </w:p>
        </w:tc>
      </w:tr>
      <w:tr>
        <w:trPr>
          <w:trHeight w:val="142"/>
        </w:trPr>
        <w:tc>
          <w:tcPr>
            <w:tcW w:w="5720" w:type="dxa"/>
            <w:vAlign w:val="bottom"/>
          </w:tcPr>
          <w:p>
            <w:pPr>
              <w:spacing w:after="0"/>
              <w:rPr>
                <w:sz w:val="12"/>
                <w:szCs w:val="12"/>
                <w:color w:val="auto"/>
              </w:rPr>
            </w:pPr>
          </w:p>
        </w:tc>
        <w:tc>
          <w:tcPr>
            <w:tcW w:w="1020" w:type="dxa"/>
            <w:vAlign w:val="bottom"/>
            <w:vMerge w:val="continue"/>
          </w:tcPr>
          <w:p>
            <w:pPr>
              <w:spacing w:after="0"/>
              <w:rPr>
                <w:sz w:val="12"/>
                <w:szCs w:val="12"/>
                <w:color w:val="auto"/>
              </w:rPr>
            </w:pPr>
          </w:p>
        </w:tc>
        <w:tc>
          <w:tcPr>
            <w:tcW w:w="32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82"/>
        </w:trPr>
        <w:tc>
          <w:tcPr>
            <w:tcW w:w="5720" w:type="dxa"/>
            <w:vAlign w:val="bottom"/>
          </w:tcPr>
          <w:p>
            <w:pPr>
              <w:spacing w:after="0"/>
              <w:rPr>
                <w:sz w:val="15"/>
                <w:szCs w:val="15"/>
                <w:color w:val="auto"/>
              </w:rPr>
            </w:pPr>
          </w:p>
        </w:tc>
        <w:tc>
          <w:tcPr>
            <w:tcW w:w="1340" w:type="dxa"/>
            <w:vAlign w:val="bottom"/>
            <w:gridSpan w:val="2"/>
          </w:tcPr>
          <w:p>
            <w:pPr>
              <w:spacing w:after="0"/>
              <w:rPr>
                <w:sz w:val="20"/>
                <w:szCs w:val="20"/>
                <w:color w:val="auto"/>
              </w:rPr>
            </w:pPr>
            <w:r>
              <w:rPr>
                <w:rFonts w:ascii="Arial" w:cs="Arial" w:eastAsia="Arial" w:hAnsi="Arial"/>
                <w:sz w:val="14"/>
                <w:szCs w:val="14"/>
                <w:color w:val="auto"/>
                <w:w w:val="95"/>
              </w:rPr>
              <w:t>Chief Financial Officer</w:t>
            </w:r>
          </w:p>
        </w:tc>
        <w:tc>
          <w:tcPr>
            <w:tcW w:w="0" w:type="dxa"/>
            <w:vAlign w:val="bottom"/>
          </w:tcPr>
          <w:p>
            <w:pPr>
              <w:spacing w:after="0"/>
              <w:rPr>
                <w:sz w:val="1"/>
                <w:szCs w:val="1"/>
                <w:color w:val="auto"/>
              </w:rPr>
            </w:pPr>
          </w:p>
        </w:tc>
      </w:tr>
    </w:tbl>
    <w:p>
      <w:pPr>
        <w:sectPr>
          <w:pgSz w:w="11900" w:h="16838" w:orient="portrait"/>
          <w:cols w:equalWidth="0" w:num="1">
            <w:col w:w="10480"/>
          </w:cols>
          <w:pgMar w:left="240" w:top="360" w:right="1179" w:bottom="1440" w:gutter="0" w:footer="0" w:header="0"/>
        </w:sectPr>
      </w:pPr>
    </w:p>
    <w:bookmarkStart w:id="3" w:name="page4"/>
    <w:bookmarkEnd w:id="3"/>
    <w:p>
      <w:pPr>
        <w:jc w:val="right"/>
        <w:spacing w:after="0"/>
        <w:rPr>
          <w:sz w:val="20"/>
          <w:szCs w:val="20"/>
          <w:color w:val="auto"/>
        </w:rPr>
      </w:pPr>
      <w:r>
        <w:rPr>
          <w:rFonts w:ascii="Arial" w:cs="Arial" w:eastAsia="Arial" w:hAnsi="Arial"/>
          <w:sz w:val="14"/>
          <w:szCs w:val="14"/>
          <w:b w:val="1"/>
          <w:bCs w:val="1"/>
          <w:color w:val="auto"/>
        </w:rPr>
        <w:t>Exhibit 99.1</w:t>
      </w:r>
    </w:p>
    <w:p>
      <w:pPr>
        <w:spacing w:after="0" w:line="3" w:lineRule="exact"/>
        <w:rPr>
          <w:sz w:val="20"/>
          <w:szCs w:val="20"/>
          <w:color w:val="auto"/>
        </w:rPr>
      </w:pPr>
    </w:p>
    <w:p>
      <w:pPr>
        <w:spacing w:after="0"/>
        <w:rPr>
          <w:sz w:val="20"/>
          <w:szCs w:val="20"/>
          <w:color w:val="auto"/>
        </w:rPr>
      </w:pPr>
      <w:r>
        <w:rPr>
          <w:rFonts w:ascii="Arial" w:cs="Arial" w:eastAsia="Arial" w:hAnsi="Arial"/>
          <w:sz w:val="14"/>
          <w:szCs w:val="14"/>
          <w:color w:val="auto"/>
        </w:rPr>
        <w:t>Letter to Shareholders of ICON plc.</w:t>
      </w:r>
    </w:p>
    <w:p>
      <w:pPr>
        <w:spacing w:after="0" w:line="219" w:lineRule="exact"/>
        <w:rPr>
          <w:sz w:val="20"/>
          <w:szCs w:val="20"/>
          <w:color w:val="auto"/>
        </w:rPr>
      </w:pPr>
    </w:p>
    <w:p>
      <w:pPr>
        <w:spacing w:after="0"/>
        <w:rPr>
          <w:sz w:val="20"/>
          <w:szCs w:val="20"/>
          <w:color w:val="auto"/>
        </w:rPr>
      </w:pPr>
      <w:r>
        <w:rPr>
          <w:rFonts w:ascii="Arial" w:cs="Arial" w:eastAsia="Arial" w:hAnsi="Arial"/>
          <w:sz w:val="14"/>
          <w:szCs w:val="14"/>
          <w:color w:val="auto"/>
        </w:rPr>
        <w:t>Dear All</w:t>
      </w:r>
    </w:p>
    <w:p>
      <w:pPr>
        <w:spacing w:after="0" w:line="231" w:lineRule="exact"/>
        <w:rPr>
          <w:sz w:val="20"/>
          <w:szCs w:val="20"/>
          <w:color w:val="auto"/>
        </w:rPr>
      </w:pPr>
    </w:p>
    <w:p>
      <w:pPr>
        <w:ind w:right="140"/>
        <w:spacing w:after="0" w:line="264" w:lineRule="auto"/>
        <w:rPr>
          <w:sz w:val="20"/>
          <w:szCs w:val="20"/>
          <w:color w:val="auto"/>
        </w:rPr>
      </w:pPr>
      <w:r>
        <w:rPr>
          <w:rFonts w:ascii="Arial" w:cs="Arial" w:eastAsia="Arial" w:hAnsi="Arial"/>
          <w:sz w:val="13"/>
          <w:szCs w:val="13"/>
          <w:color w:val="auto"/>
        </w:rPr>
        <w:t>We are disappointed to note that in its recently published voting recommendations document Institutional Shareholder Services Inc (“ISS”) are recommending a no vote on resolutions 6, 7 and 8 at the Company’s forthcoming AGM on July 21, 2008 in which the Board is looking for the authority to establish a new share option plan to replenish the pool of shares available for awards to our employees and directors. In addition, the Board is seeking to establish a modest restricted share unit plan to provide greater flexibility in the Company’s compensation programs.</w:t>
      </w:r>
    </w:p>
    <w:p>
      <w:pPr>
        <w:spacing w:after="0" w:line="195" w:lineRule="exact"/>
        <w:rPr>
          <w:sz w:val="20"/>
          <w:szCs w:val="20"/>
          <w:color w:val="auto"/>
        </w:rPr>
      </w:pPr>
    </w:p>
    <w:p>
      <w:pPr>
        <w:ind w:right="540"/>
        <w:spacing w:after="0" w:line="264" w:lineRule="auto"/>
        <w:rPr>
          <w:sz w:val="20"/>
          <w:szCs w:val="20"/>
          <w:color w:val="auto"/>
        </w:rPr>
      </w:pPr>
      <w:r>
        <w:rPr>
          <w:rFonts w:ascii="Arial" w:cs="Arial" w:eastAsia="Arial" w:hAnsi="Arial"/>
          <w:sz w:val="13"/>
          <w:szCs w:val="13"/>
          <w:color w:val="auto"/>
        </w:rPr>
        <w:t xml:space="preserve">In its report ISS acknowledges that the Company has developed its share compensation schemes in light of US best practise and that the Company’s incentive structure is appropriate for the US. However, it notes that it is ISS policy to analyse a company against the governance practises of its registered country and not of its primary listing. </w:t>
      </w:r>
      <w:r>
        <w:rPr>
          <w:rFonts w:ascii="Arial" w:cs="Arial" w:eastAsia="Arial" w:hAnsi="Arial"/>
          <w:sz w:val="13"/>
          <w:szCs w:val="13"/>
          <w:b w:val="1"/>
          <w:bCs w:val="1"/>
          <w:color w:val="auto"/>
        </w:rPr>
        <w:t>Therefore ISS has evaluated the</w:t>
      </w:r>
      <w:r>
        <w:rPr>
          <w:rFonts w:ascii="Arial" w:cs="Arial" w:eastAsia="Arial" w:hAnsi="Arial"/>
          <w:sz w:val="13"/>
          <w:szCs w:val="13"/>
          <w:color w:val="auto"/>
        </w:rPr>
        <w:t xml:space="preserve"> </w:t>
      </w:r>
      <w:r>
        <w:rPr>
          <w:rFonts w:ascii="Arial" w:cs="Arial" w:eastAsia="Arial" w:hAnsi="Arial"/>
          <w:sz w:val="13"/>
          <w:szCs w:val="13"/>
          <w:b w:val="1"/>
          <w:bCs w:val="1"/>
          <w:color w:val="auto"/>
        </w:rPr>
        <w:t>Company’s proposed compensation schemes by reference to the Company’s registration in Ireland and not to its primary listing on the US NASDAQ.</w:t>
      </w:r>
    </w:p>
    <w:p>
      <w:pPr>
        <w:spacing w:after="0" w:line="195" w:lineRule="exact"/>
        <w:rPr>
          <w:sz w:val="20"/>
          <w:szCs w:val="20"/>
          <w:color w:val="auto"/>
        </w:rPr>
      </w:pPr>
    </w:p>
    <w:p>
      <w:pPr>
        <w:ind w:right="440"/>
        <w:spacing w:after="0" w:line="253" w:lineRule="auto"/>
        <w:rPr>
          <w:sz w:val="20"/>
          <w:szCs w:val="20"/>
          <w:color w:val="auto"/>
        </w:rPr>
      </w:pPr>
      <w:r>
        <w:rPr>
          <w:rFonts w:ascii="Arial" w:cs="Arial" w:eastAsia="Arial" w:hAnsi="Arial"/>
          <w:sz w:val="14"/>
          <w:szCs w:val="14"/>
          <w:color w:val="auto"/>
        </w:rPr>
        <w:t>In his Chairman’s letter of June 16, 2008, John Climax outlined the reasons why he felt it appropriate and in the best interests of the Company and shareholders to introduce these share award plans. We again would like to take this opportunity to strongly recommend that you vote in favour of resolutions 6, 7 and 8 for the following reasons:</w:t>
      </w:r>
    </w:p>
    <w:p>
      <w:pPr>
        <w:spacing w:after="0" w:line="201" w:lineRule="exact"/>
        <w:rPr>
          <w:sz w:val="20"/>
          <w:szCs w:val="20"/>
          <w:color w:val="auto"/>
        </w:rPr>
      </w:pPr>
    </w:p>
    <w:p>
      <w:pPr>
        <w:ind w:left="660" w:right="160" w:hanging="328"/>
        <w:spacing w:after="0" w:line="225" w:lineRule="auto"/>
        <w:tabs>
          <w:tab w:leader="none" w:pos="660" w:val="left"/>
        </w:tabs>
        <w:numPr>
          <w:ilvl w:val="0"/>
          <w:numId w:val="1"/>
        </w:numPr>
        <w:rPr>
          <w:rFonts w:ascii="Arial" w:cs="Arial" w:eastAsia="Arial" w:hAnsi="Arial"/>
          <w:sz w:val="14"/>
          <w:szCs w:val="14"/>
          <w:color w:val="auto"/>
        </w:rPr>
      </w:pPr>
      <w:r>
        <w:rPr>
          <w:rFonts w:ascii="Arial" w:cs="Arial" w:eastAsia="Arial" w:hAnsi="Arial"/>
          <w:sz w:val="14"/>
          <w:szCs w:val="14"/>
          <w:color w:val="auto"/>
        </w:rPr>
        <w:t>As a professional services, people-based company, the granting of share awards to employees is an important component of the Company’s compensation programs. Each year, for the past 10 years, we have granted approximately 2% of our shares as options to a wide group of staff throughout the Company. During that time we have enjoyed significant growth and a staff turnover rate which we believe is below the average in our industry. We need your approval of these resolutions to ensure we can continue to incentivise our staff and enhance retention through the use of share options and share based compensation;</w:t>
      </w:r>
    </w:p>
    <w:p>
      <w:pPr>
        <w:spacing w:after="0" w:line="2" w:lineRule="exact"/>
        <w:rPr>
          <w:rFonts w:ascii="Arial" w:cs="Arial" w:eastAsia="Arial" w:hAnsi="Arial"/>
          <w:sz w:val="14"/>
          <w:szCs w:val="14"/>
          <w:color w:val="auto"/>
        </w:rPr>
      </w:pPr>
    </w:p>
    <w:p>
      <w:pPr>
        <w:jc w:val="both"/>
        <w:ind w:left="660" w:right="340" w:hanging="328"/>
        <w:spacing w:after="0" w:line="221" w:lineRule="auto"/>
        <w:tabs>
          <w:tab w:leader="none" w:pos="660" w:val="left"/>
        </w:tabs>
        <w:numPr>
          <w:ilvl w:val="0"/>
          <w:numId w:val="1"/>
        </w:numPr>
        <w:rPr>
          <w:rFonts w:ascii="Arial" w:cs="Arial" w:eastAsia="Arial" w:hAnsi="Arial"/>
          <w:sz w:val="14"/>
          <w:szCs w:val="14"/>
          <w:color w:val="auto"/>
        </w:rPr>
      </w:pPr>
      <w:r>
        <w:rPr>
          <w:rFonts w:ascii="Arial" w:cs="Arial" w:eastAsia="Arial" w:hAnsi="Arial"/>
          <w:sz w:val="14"/>
          <w:szCs w:val="14"/>
          <w:color w:val="auto"/>
        </w:rPr>
        <w:t>The Company’s share award plans are open to all employees at manager level and above. Option grants to non-executive directors have only been 53,000 in the period from 2003 to 2007. During those 5 years 3,612,319 options were granted in total, only 209,000 of which were awarded to the Chairman, CEO or CFO. Therefore our plans are clearly directed at giving as wide a group as possible an equity stake in the Company;</w:t>
      </w:r>
    </w:p>
    <w:p>
      <w:pPr>
        <w:ind w:left="660" w:right="180" w:hanging="328"/>
        <w:spacing w:after="0" w:line="226" w:lineRule="auto"/>
        <w:tabs>
          <w:tab w:leader="none" w:pos="660" w:val="left"/>
        </w:tabs>
        <w:numPr>
          <w:ilvl w:val="0"/>
          <w:numId w:val="1"/>
        </w:numPr>
        <w:rPr>
          <w:rFonts w:ascii="Arial" w:cs="Arial" w:eastAsia="Arial" w:hAnsi="Arial"/>
          <w:sz w:val="14"/>
          <w:szCs w:val="14"/>
          <w:color w:val="auto"/>
        </w:rPr>
      </w:pPr>
      <w:r>
        <w:rPr>
          <w:rFonts w:ascii="Arial" w:cs="Arial" w:eastAsia="Arial" w:hAnsi="Arial"/>
          <w:sz w:val="14"/>
          <w:szCs w:val="14"/>
          <w:color w:val="auto"/>
        </w:rPr>
        <w:t>ICON plc is a company registered in Ireland but with its primary listing on the US NASDAQ. Almost all trading in our shares occurs on the NASDAQ exchange. We report in US GAAP and nearly half of our employees and a large proportion of our customers are located in the US. Our shareholder base is predominantly in the US and we have always sought to operate to the highest standards of US corporate governance. All our major competitors are US companies and in similar circumstances ISS do not recommend against their option and stock plans. We have analysed the potential dilution of the proposed plans by reference to share plan cost and utilisation guidelines commonly used by US institutional shareholder advisors. We believe that the cost of the proposed share plans and the historical rate at which the Company has granted options under its previous share option plans are reasonable and acceptable, and are consistent with US market best practices.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213360</wp:posOffset>
            </wp:positionV>
            <wp:extent cx="7250430" cy="215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18" w:right="239" w:bottom="1440" w:gutter="0" w:footer="0" w:header="0"/>
        </w:sectPr>
      </w:pPr>
    </w:p>
    <w:bookmarkStart w:id="4" w:name="page5"/>
    <w:bookmarkEnd w:id="4"/>
    <w:p>
      <w:pPr>
        <w:jc w:val="both"/>
        <w:spacing w:after="0"/>
        <w:rPr>
          <w:sz w:val="20"/>
          <w:szCs w:val="20"/>
          <w:color w:val="auto"/>
        </w:rPr>
      </w:pPr>
      <w:r>
        <w:rPr>
          <w:rFonts w:ascii="Arial" w:cs="Arial" w:eastAsia="Arial" w:hAnsi="Arial"/>
          <w:sz w:val="14"/>
          <w:szCs w:val="14"/>
          <w:color w:val="auto"/>
        </w:rPr>
        <w:t xml:space="preserve">We therefore ask for your vote </w:t>
      </w:r>
      <w:r>
        <w:rPr>
          <w:rFonts w:ascii="Arial" w:cs="Arial" w:eastAsia="Arial" w:hAnsi="Arial"/>
          <w:sz w:val="14"/>
          <w:szCs w:val="14"/>
          <w:b w:val="1"/>
          <w:bCs w:val="1"/>
          <w:u w:val="single" w:color="auto"/>
          <w:color w:val="auto"/>
        </w:rPr>
        <w:t>in favour</w:t>
      </w:r>
      <w:r>
        <w:rPr>
          <w:rFonts w:ascii="Arial" w:cs="Arial" w:eastAsia="Arial" w:hAnsi="Arial"/>
          <w:sz w:val="14"/>
          <w:szCs w:val="14"/>
          <w:color w:val="auto"/>
        </w:rPr>
        <w:t xml:space="preserve"> of these resolutions (6, 7 and 8). While ISS has recommended against, their recommendation is based on the fact of our incorporation in Ireland which causes them to apply Irish and British institutional investor guidelines, and does not recognise our </w:t>
      </w:r>
      <w:r>
        <w:rPr>
          <w:rFonts w:ascii="Arial" w:cs="Arial" w:eastAsia="Arial" w:hAnsi="Arial"/>
          <w:sz w:val="14"/>
          <w:szCs w:val="14"/>
          <w:i w:val="1"/>
          <w:iCs w:val="1"/>
          <w:color w:val="auto"/>
        </w:rPr>
        <w:t>de facto</w:t>
      </w:r>
      <w:r>
        <w:rPr>
          <w:rFonts w:ascii="Arial" w:cs="Arial" w:eastAsia="Arial" w:hAnsi="Arial"/>
          <w:sz w:val="14"/>
          <w:szCs w:val="14"/>
          <w:color w:val="auto"/>
        </w:rPr>
        <w:t xml:space="preserve"> US focus and shareholder base, and the fact that we operate and compete in a truly global industry.</w:t>
      </w:r>
    </w:p>
    <w:p>
      <w:pPr>
        <w:spacing w:after="0" w:line="210" w:lineRule="exact"/>
        <w:rPr>
          <w:sz w:val="20"/>
          <w:szCs w:val="20"/>
          <w:color w:val="auto"/>
        </w:rPr>
      </w:pPr>
    </w:p>
    <w:p>
      <w:pPr>
        <w:jc w:val="both"/>
        <w:ind w:right="20"/>
        <w:spacing w:after="0" w:line="253" w:lineRule="auto"/>
        <w:rPr>
          <w:sz w:val="20"/>
          <w:szCs w:val="20"/>
          <w:color w:val="auto"/>
        </w:rPr>
      </w:pPr>
      <w:r>
        <w:rPr>
          <w:rFonts w:ascii="Arial" w:cs="Arial" w:eastAsia="Arial" w:hAnsi="Arial"/>
          <w:sz w:val="14"/>
          <w:szCs w:val="14"/>
          <w:color w:val="auto"/>
        </w:rPr>
        <w:t>We respectfully request your continued support. Further detail regarding the specifics of these individual share compensation plans may be found in the Chairman’s letter and appendices of June 16 which we have filed with the SEC on EDGAR.</w:t>
      </w:r>
    </w:p>
    <w:p>
      <w:pPr>
        <w:spacing w:after="0" w:line="200" w:lineRule="exact"/>
        <w:rPr>
          <w:sz w:val="20"/>
          <w:szCs w:val="20"/>
          <w:color w:val="auto"/>
        </w:rPr>
      </w:pPr>
    </w:p>
    <w:p>
      <w:pPr>
        <w:spacing w:after="0" w:line="243" w:lineRule="exact"/>
        <w:rPr>
          <w:sz w:val="20"/>
          <w:szCs w:val="20"/>
          <w:color w:val="auto"/>
        </w:rPr>
      </w:pPr>
    </w:p>
    <w:p>
      <w:pPr>
        <w:spacing w:after="0"/>
        <w:rPr>
          <w:sz w:val="20"/>
          <w:szCs w:val="20"/>
          <w:color w:val="auto"/>
        </w:rPr>
      </w:pPr>
      <w:r>
        <w:rPr>
          <w:rFonts w:ascii="Arial" w:cs="Arial" w:eastAsia="Arial" w:hAnsi="Arial"/>
          <w:sz w:val="14"/>
          <w:szCs w:val="14"/>
          <w:color w:val="auto"/>
        </w:rPr>
        <w:t>Regards</w:t>
      </w:r>
    </w:p>
    <w:p>
      <w:pPr>
        <w:spacing w:after="0" w:line="221" w:lineRule="auto"/>
        <w:rPr>
          <w:sz w:val="20"/>
          <w:szCs w:val="20"/>
          <w:color w:val="auto"/>
        </w:rPr>
      </w:pPr>
      <w:r>
        <w:rPr>
          <w:rFonts w:ascii="Arial" w:cs="Arial" w:eastAsia="Arial" w:hAnsi="Arial"/>
          <w:sz w:val="14"/>
          <w:szCs w:val="14"/>
          <w:color w:val="auto"/>
        </w:rPr>
        <w:t>/s/ Peter Gray</w:t>
      </w:r>
    </w:p>
    <w:p>
      <w:pPr>
        <w:spacing w:after="0"/>
        <w:rPr>
          <w:sz w:val="20"/>
          <w:szCs w:val="20"/>
          <w:color w:val="auto"/>
        </w:rPr>
      </w:pPr>
      <w:r>
        <w:rPr>
          <w:rFonts w:ascii="Arial" w:cs="Arial" w:eastAsia="Arial" w:hAnsi="Arial"/>
          <w:sz w:val="14"/>
          <w:szCs w:val="14"/>
          <w:color w:val="auto"/>
        </w:rPr>
        <w:t>CEO ICON plc</w:t>
      </w:r>
    </w:p>
    <w:sectPr>
      <w:pgSz w:w="11900" w:h="16838" w:orient="portrait"/>
      <w:cols w:equalWidth="0" w:num="1">
        <w:col w:w="11420"/>
      </w:cols>
      <w:pgMar w:left="240" w:top="360"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2019-12-14T20:56:32Z</dcterms:created>
  <dcterms:modified xsi:type="dcterms:W3CDTF">2019-12-14T20:56:32Z</dcterms:modified>
</cp:coreProperties>
</file>