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Chief Financial Officer</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February 16, 2017 - ICON Reports Fourth Quarter and Full Year 2016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February 16, 2017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Reports Fourth Quarter and Full Year 2016 Results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06" w:lineRule="exact"/>
        <w:rPr>
          <w:sz w:val="20"/>
          <w:szCs w:val="20"/>
          <w:color w:val="auto"/>
        </w:rPr>
      </w:pPr>
    </w:p>
    <w:p>
      <w:pPr>
        <w:ind w:left="540" w:right="320"/>
        <w:spacing w:after="0" w:line="243" w:lineRule="auto"/>
        <w:rPr>
          <w:sz w:val="20"/>
          <w:szCs w:val="20"/>
          <w:color w:val="auto"/>
        </w:rPr>
      </w:pPr>
      <w:r>
        <w:rPr>
          <w:rFonts w:ascii="Arial" w:cs="Arial" w:eastAsia="Arial" w:hAnsi="Arial"/>
          <w:sz w:val="22"/>
          <w:szCs w:val="22"/>
          <w:b w:val="1"/>
          <w:bCs w:val="1"/>
          <w:color w:val="auto"/>
        </w:rPr>
        <w:t>Quarter 4 gross business wins of $605 million, a gross book to bill of 1.39. Net business wins of $434 million, a net book to bill of 1.0. Full year gross business wins of $2.3 billion, a gross book to bill of 1.39, net business wins of $1.9 billion, a net book to bill of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-422275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76" w:lineRule="exact"/>
        <w:rPr>
          <w:sz w:val="20"/>
          <w:szCs w:val="20"/>
          <w:color w:val="auto"/>
        </w:rPr>
      </w:pPr>
    </w:p>
    <w:p>
      <w:pPr>
        <w:ind w:left="540" w:right="480"/>
        <w:spacing w:after="0" w:line="256" w:lineRule="auto"/>
        <w:rPr>
          <w:sz w:val="20"/>
          <w:szCs w:val="20"/>
          <w:color w:val="auto"/>
        </w:rPr>
      </w:pPr>
      <w:r>
        <w:rPr>
          <w:rFonts w:ascii="Arial" w:cs="Arial" w:eastAsia="Arial" w:hAnsi="Arial"/>
          <w:sz w:val="22"/>
          <w:szCs w:val="22"/>
          <w:b w:val="1"/>
          <w:bCs w:val="1"/>
          <w:color w:val="auto"/>
        </w:rPr>
        <w:t>Quarter 4 net revenue increased 7.9% year on year to $435 million. Full year 2016 net revenue increased 5.8% to $1,666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20"/>
        <w:spacing w:after="0" w:line="256" w:lineRule="auto"/>
        <w:rPr>
          <w:sz w:val="20"/>
          <w:szCs w:val="20"/>
          <w:color w:val="auto"/>
        </w:rPr>
      </w:pPr>
      <w:r>
        <w:rPr>
          <w:rFonts w:ascii="Arial" w:cs="Arial" w:eastAsia="Arial" w:hAnsi="Arial"/>
          <w:sz w:val="22"/>
          <w:szCs w:val="22"/>
          <w:b w:val="1"/>
          <w:bCs w:val="1"/>
          <w:color w:val="auto"/>
        </w:rPr>
        <w:t>Quarter 4 income from operations up 12.3% year on year to $84.6 million or 19.5% of revenue. Full year 2016 income from operations up 13.6% to $319.9 million or 19.2%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right="280"/>
        <w:spacing w:after="0" w:line="256" w:lineRule="auto"/>
        <w:rPr>
          <w:sz w:val="20"/>
          <w:szCs w:val="20"/>
          <w:color w:val="auto"/>
        </w:rPr>
      </w:pPr>
      <w:r>
        <w:rPr>
          <w:rFonts w:ascii="Arial" w:cs="Arial" w:eastAsia="Arial" w:hAnsi="Arial"/>
          <w:sz w:val="22"/>
          <w:szCs w:val="22"/>
          <w:b w:val="1"/>
          <w:bCs w:val="1"/>
          <w:color w:val="auto"/>
        </w:rPr>
        <w:t>Earnings per share for quarter 4 of $1.33, up 19.8% year on year. Earnings per share on a pro forma full year 2016 basis were $4.77, up 19.8% on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-277495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9"/>
          <w:szCs w:val="19"/>
          <w:b w:val="1"/>
          <w:bCs w:val="1"/>
          <w:color w:val="auto"/>
        </w:rPr>
        <w:t>Full year 2017 revenue guidance reaffirmed in the range of $1,700 - $1,750 million, representing growth of 2.0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-73025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auto"/>
        </w:rPr>
        <w:t>Earnings per share guidance in the range of $5.00 - $5.20 representing an increase of 4.8 – 9.0%.</w:t>
      </w:r>
    </w:p>
    <w:p>
      <w:pPr>
        <w:spacing w:after="0" w:line="182" w:lineRule="exact"/>
        <w:rPr>
          <w:sz w:val="20"/>
          <w:szCs w:val="20"/>
          <w:color w:val="auto"/>
        </w:rPr>
      </w:pPr>
    </w:p>
    <w:p>
      <w:pPr>
        <w:ind w:right="280"/>
        <w:spacing w:after="0" w:line="243" w:lineRule="auto"/>
        <w:rPr>
          <w:sz w:val="20"/>
          <w:szCs w:val="20"/>
          <w:color w:val="auto"/>
        </w:rPr>
      </w:pPr>
      <w:r>
        <w:rPr>
          <w:rFonts w:ascii="Arial" w:cs="Arial" w:eastAsia="Arial" w:hAnsi="Arial"/>
          <w:sz w:val="22"/>
          <w:szCs w:val="22"/>
          <w:color w:val="auto"/>
        </w:rPr>
        <w:t>DUBLIN--(BUSINESS WIRE)--February 16, 2017--</w:t>
      </w:r>
      <w:r>
        <w:rPr>
          <w:rFonts w:ascii="Arial" w:cs="Arial" w:eastAsia="Arial" w:hAnsi="Arial"/>
          <w:sz w:val="22"/>
          <w:szCs w:val="22"/>
          <w:b w:val="1"/>
          <w:bCs w:val="1"/>
          <w:color w:val="auto"/>
        </w:rPr>
        <w:t>ICON plc (NASDAQ: ICLR),</w:t>
      </w:r>
      <w:r>
        <w:rPr>
          <w:rFonts w:ascii="Arial" w:cs="Arial" w:eastAsia="Arial" w:hAnsi="Arial"/>
          <w:sz w:val="22"/>
          <w:szCs w:val="22"/>
          <w:color w:val="auto"/>
        </w:rPr>
        <w:t xml:space="preserve"> a global provider of drug development solutions and services to the pharmaceutical, biotechnology and medical device industries, today reported its financial results for the fourth quarter and full year ended December 31, 2016.</w:t>
      </w:r>
    </w:p>
    <w:p>
      <w:pPr>
        <w:spacing w:after="0" w:line="183"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In the fourth quarter net revenue grew 7.9% year on year to $435.1 million from $403.3 million in the same quarter in 2015. This represented 8.4% constant currency growth and 4.2% constant dollar organic growth year on year.</w:t>
      </w:r>
    </w:p>
    <w:p>
      <w:pPr>
        <w:spacing w:after="0" w:line="173"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Income from operations in the quarter increased by 12.3% to $84.6 million, or 19.5% of revenue, compared to $75.3 million or 18.7% for the same quarter in 2015.</w:t>
      </w:r>
    </w:p>
    <w:p>
      <w:pPr>
        <w:spacing w:after="0" w:line="173"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Net income in the quarter increased by 17.1% to $74.3 million, or $1.33 per share, on a diluted basis, compared with $63.4 million or $1.11 per share for the same quarter in 2015. The tax rate during the quarter benefitted from a positive one off item resulting in a 9% effective rate. This impacted EPS positively by circa 7 cent in the quarter.</w:t>
      </w:r>
    </w:p>
    <w:p>
      <w:pPr>
        <w:spacing w:after="0" w:line="18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Full year revenue increased by 5.8% to $1,666 million from $1,575 million in 2015. This represented 6.4% constant currency growth and 3.2% constant dollar organic growth year on year.</w:t>
      </w:r>
    </w:p>
    <w:p>
      <w:pPr>
        <w:spacing w:after="0" w:line="173" w:lineRule="exact"/>
        <w:rPr>
          <w:sz w:val="20"/>
          <w:szCs w:val="20"/>
          <w:color w:val="auto"/>
        </w:rPr>
      </w:pPr>
    </w:p>
    <w:p>
      <w:pPr>
        <w:ind w:right="380"/>
        <w:spacing w:after="0" w:line="251" w:lineRule="auto"/>
        <w:rPr>
          <w:sz w:val="20"/>
          <w:szCs w:val="20"/>
          <w:color w:val="auto"/>
        </w:rPr>
      </w:pPr>
      <w:r>
        <w:rPr>
          <w:rFonts w:ascii="Arial" w:cs="Arial" w:eastAsia="Arial" w:hAnsi="Arial"/>
          <w:sz w:val="22"/>
          <w:szCs w:val="22"/>
          <w:color w:val="auto"/>
        </w:rPr>
        <w:t>Full year income from operations increased by 13.6% to $319.9 million, or 19.2% of revenue, compared with $281.5 million or 17.9% of revenue in the previous year.</w:t>
      </w:r>
    </w:p>
    <w:p>
      <w:pPr>
        <w:spacing w:after="0" w:line="173"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Full year net income increased by 12.4% to $269.3 million, compared with $239.5 million in 2015. Full year earnings per share increased by 19.8% to a pro-forma $4.77 per share on a diluted basis, compared to $3.98 per diluted share in 2015.</w:t>
      </w:r>
    </w:p>
    <w:p>
      <w:pPr>
        <w:spacing w:after="0" w:line="105"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Day’s sales outstanding, comprising accounts receivable and unbilled revenue less payments on account, were 50 days at December 31, 2016, compared with 50 days at the end of September 2016 and 41 days at the end of December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ind w:right="20"/>
        <w:spacing w:after="0" w:line="236" w:lineRule="auto"/>
        <w:rPr>
          <w:sz w:val="20"/>
          <w:szCs w:val="20"/>
          <w:color w:val="auto"/>
        </w:rPr>
      </w:pPr>
      <w:r>
        <w:rPr>
          <w:rFonts w:ascii="Arial" w:cs="Arial" w:eastAsia="Arial" w:hAnsi="Arial"/>
          <w:sz w:val="22"/>
          <w:szCs w:val="22"/>
          <w:color w:val="auto"/>
        </w:rPr>
        <w:t>Cash generated from operating activities for the quarter was $123.5 million and $259.2 million for the full year. Capital expenditure for the quarter was $13.3 million and $42.6 million for the full year. During the quarter ICON spent $110 million on share repurchases. In addition, $54 million was spent on acquisitions in 2016. As a result, at December 31, 2016, the company had net debt of $88 million, compared to net debt of $98 million at September 30, 2016 and net debt of $158 million at end of December 2015.</w:t>
      </w:r>
    </w:p>
    <w:p>
      <w:pPr>
        <w:spacing w:after="0" w:line="188" w:lineRule="exact"/>
        <w:rPr>
          <w:sz w:val="20"/>
          <w:szCs w:val="20"/>
          <w:color w:val="auto"/>
        </w:rPr>
      </w:pPr>
    </w:p>
    <w:p>
      <w:pPr>
        <w:ind w:right="240"/>
        <w:spacing w:after="0" w:line="238" w:lineRule="auto"/>
        <w:rPr>
          <w:sz w:val="20"/>
          <w:szCs w:val="20"/>
          <w:color w:val="auto"/>
        </w:rPr>
      </w:pPr>
      <w:r>
        <w:rPr>
          <w:rFonts w:ascii="Arial" w:cs="Arial" w:eastAsia="Arial" w:hAnsi="Arial"/>
          <w:sz w:val="22"/>
          <w:szCs w:val="22"/>
          <w:color w:val="auto"/>
        </w:rPr>
        <w:t>CEO, Ciaran Murray commented, “</w:t>
      </w:r>
      <w:r>
        <w:rPr>
          <w:rFonts w:ascii="Arial" w:cs="Arial" w:eastAsia="Arial" w:hAnsi="Arial"/>
          <w:sz w:val="22"/>
          <w:szCs w:val="22"/>
          <w:i w:val="1"/>
          <w:iCs w:val="1"/>
          <w:color w:val="auto"/>
        </w:rPr>
        <w:t>2016 was another good year for ICON. We grew our backlog by 8% year on year to $4.2</w:t>
      </w:r>
      <w:r>
        <w:rPr>
          <w:rFonts w:ascii="Arial" w:cs="Arial" w:eastAsia="Arial" w:hAnsi="Arial"/>
          <w:sz w:val="22"/>
          <w:szCs w:val="22"/>
          <w:color w:val="auto"/>
        </w:rPr>
        <w:t xml:space="preserve"> </w:t>
      </w:r>
      <w:r>
        <w:rPr>
          <w:rFonts w:ascii="Arial" w:cs="Arial" w:eastAsia="Arial" w:hAnsi="Arial"/>
          <w:sz w:val="22"/>
          <w:szCs w:val="22"/>
          <w:i w:val="1"/>
          <w:iCs w:val="1"/>
          <w:color w:val="auto"/>
        </w:rPr>
        <w:t>billion, constant currency revenues increased by 6.4% to $1.666 billion and we exited 2016 with an operating margin of 19.5%. This enabled us to grow EPS by 19.8% year on year to $4.77. We expect 2017 to be another year of revenue and earnings growth as we continue to build and diversify our customer base.”</w:t>
      </w:r>
    </w:p>
    <w:p>
      <w:pPr>
        <w:spacing w:after="0" w:line="185" w:lineRule="exact"/>
        <w:rPr>
          <w:sz w:val="20"/>
          <w:szCs w:val="20"/>
          <w:color w:val="auto"/>
        </w:rPr>
      </w:pPr>
    </w:p>
    <w:p>
      <w:pPr>
        <w:jc w:val="both"/>
        <w:ind w:right="360"/>
        <w:spacing w:after="0" w:line="287" w:lineRule="auto"/>
        <w:rPr>
          <w:sz w:val="20"/>
          <w:szCs w:val="20"/>
          <w:color w:val="auto"/>
        </w:rPr>
      </w:pPr>
      <w:r>
        <w:rPr>
          <w:rFonts w:ascii="Arial" w:cs="Arial" w:eastAsia="Arial" w:hAnsi="Arial"/>
          <w:sz w:val="19"/>
          <w:szCs w:val="19"/>
          <w:color w:val="auto"/>
        </w:rPr>
        <w:t>In addition to the financial measures prepared in accordance with generally accepted accounting principles (GAAP), this press release contains certain non-GAAP financial measures, including non-GAAP operating and net income and non-GAAP diluted earnings per share. While non-GAAP financial measures are not superior to or a substitute for the comparable GAAP measures, ICON believes certain non-GAAP information is useful to investors for historical comparison purposes.</w:t>
      </w:r>
    </w:p>
    <w:p>
      <w:pPr>
        <w:spacing w:after="0" w:line="143" w:lineRule="exact"/>
        <w:rPr>
          <w:sz w:val="20"/>
          <w:szCs w:val="20"/>
          <w:color w:val="auto"/>
        </w:rPr>
      </w:pPr>
    </w:p>
    <w:p>
      <w:pPr>
        <w:ind w:right="120"/>
        <w:spacing w:after="0" w:line="252" w:lineRule="auto"/>
        <w:rPr>
          <w:sz w:val="20"/>
          <w:szCs w:val="20"/>
          <w:color w:val="auto"/>
        </w:rPr>
      </w:pPr>
      <w:r>
        <w:rPr>
          <w:rFonts w:ascii="Arial" w:cs="Arial" w:eastAsia="Arial" w:hAnsi="Arial"/>
          <w:sz w:val="21"/>
          <w:szCs w:val="21"/>
          <w:color w:val="auto"/>
        </w:rPr>
        <w:t xml:space="preserve">ICON will hold its fourth quarter conference call today, February 16, 2017 at 9:00 EST [14:00 Ireland &amp; UK]. This call and linked slide presentation can be accessed live from our website at </w:t>
      </w:r>
      <w:r>
        <w:rPr>
          <w:rFonts w:ascii="Arial" w:cs="Arial" w:eastAsia="Arial" w:hAnsi="Arial"/>
          <w:sz w:val="21"/>
          <w:szCs w:val="21"/>
          <w:u w:val="single" w:color="auto"/>
          <w:color w:val="auto"/>
        </w:rPr>
        <w:t>http://investor.iconplc.com</w:t>
      </w:r>
      <w:r>
        <w:rPr>
          <w:rFonts w:ascii="Arial" w:cs="Arial" w:eastAsia="Arial" w:hAnsi="Arial"/>
          <w:sz w:val="21"/>
          <w:szCs w:val="21"/>
          <w:color w:val="auto"/>
        </w:rPr>
        <w:t>.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9"/>
          <w:szCs w:val="19"/>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u w:val="single" w:color="auto"/>
          <w:color w:val="auto"/>
        </w:rPr>
        <w:t>http://www.sec.gov</w:t>
      </w:r>
      <w:r>
        <w:rPr>
          <w:rFonts w:ascii="Arial" w:cs="Arial" w:eastAsia="Arial" w:hAnsi="Arial"/>
          <w:sz w:val="19"/>
          <w:szCs w:val="19"/>
          <w:color w:val="auto"/>
        </w:rPr>
        <w:t>.</w:t>
      </w:r>
    </w:p>
    <w:p>
      <w:pPr>
        <w:spacing w:after="0" w:line="165"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 xml:space="preserve">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87 locations in 38 countries and has approximately 12,500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135890</wp:posOffset>
            </wp:positionV>
            <wp:extent cx="7272020" cy="59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ICON plc</w:t>
      </w:r>
    </w:p>
    <w:p>
      <w:pPr>
        <w:jc w:val="center"/>
        <w:spacing w:after="0" w:line="226" w:lineRule="auto"/>
        <w:rPr>
          <w:sz w:val="20"/>
          <w:szCs w:val="20"/>
          <w:color w:val="auto"/>
        </w:rPr>
      </w:pPr>
      <w:r>
        <w:rPr>
          <w:rFonts w:ascii="Arial" w:cs="Arial" w:eastAsia="Arial" w:hAnsi="Arial"/>
          <w:sz w:val="14"/>
          <w:szCs w:val="14"/>
          <w:b w:val="1"/>
          <w:bCs w:val="1"/>
          <w:color w:val="auto"/>
        </w:rPr>
        <w:t>Consolidated Income Statements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(Before restructuring and other items)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2016 and December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480" w:type="dxa"/>
            <w:vAlign w:val="bottom"/>
            <w:gridSpan w:val="3"/>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gridSpan w:val="3"/>
          </w:tcPr>
          <w:p>
            <w:pPr>
              <w:ind w:left="600"/>
              <w:spacing w:after="0"/>
              <w:rPr>
                <w:sz w:val="20"/>
                <w:szCs w:val="20"/>
                <w:color w:val="auto"/>
              </w:rPr>
            </w:pPr>
            <w:r>
              <w:rPr>
                <w:rFonts w:ascii="Arial" w:cs="Arial" w:eastAsia="Arial" w:hAnsi="Arial"/>
                <w:sz w:val="14"/>
                <w:szCs w:val="14"/>
                <w:b w:val="1"/>
                <w:bCs w:val="1"/>
                <w:color w:val="auto"/>
              </w:rPr>
              <w:t>Twelve Months Ended</w:t>
            </w:r>
          </w:p>
        </w:tc>
      </w:tr>
      <w:tr>
        <w:trPr>
          <w:trHeight w:val="313"/>
        </w:trPr>
        <w:tc>
          <w:tcPr>
            <w:tcW w:w="61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December</w:t>
            </w:r>
          </w:p>
        </w:tc>
        <w:tc>
          <w:tcPr>
            <w:tcW w:w="220" w:type="dxa"/>
            <w:vAlign w:val="bottom"/>
          </w:tcPr>
          <w:p>
            <w:pPr>
              <w:spacing w:after="0"/>
              <w:rPr>
                <w:sz w:val="24"/>
                <w:szCs w:val="2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December</w:t>
            </w:r>
          </w:p>
        </w:tc>
        <w:tc>
          <w:tcPr>
            <w:tcW w:w="2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December</w:t>
            </w:r>
          </w:p>
        </w:tc>
        <w:tc>
          <w:tcPr>
            <w:tcW w:w="220" w:type="dxa"/>
            <w:vAlign w:val="bottom"/>
          </w:tcPr>
          <w:p>
            <w:pPr>
              <w:spacing w:after="0"/>
              <w:rPr>
                <w:sz w:val="24"/>
                <w:szCs w:val="24"/>
                <w:color w:val="auto"/>
              </w:rPr>
            </w:pP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December</w:t>
            </w:r>
          </w:p>
        </w:tc>
      </w:tr>
      <w:tr>
        <w:trPr>
          <w:trHeight w:val="185"/>
        </w:trPr>
        <w:tc>
          <w:tcPr>
            <w:tcW w:w="6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31,</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2"/>
              </w:rPr>
              <w:t>31,</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2"/>
              </w:rPr>
              <w:t>31,</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2"/>
              </w:rPr>
              <w:t>31,</w:t>
            </w:r>
          </w:p>
        </w:tc>
      </w:tr>
      <w:tr>
        <w:trPr>
          <w:trHeight w:val="169"/>
        </w:trPr>
        <w:tc>
          <w:tcPr>
            <w:tcW w:w="61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164"/>
        </w:trPr>
        <w:tc>
          <w:tcPr>
            <w:tcW w:w="6180" w:type="dxa"/>
            <w:vAlign w:val="bottom"/>
          </w:tcPr>
          <w:p>
            <w:pPr>
              <w:spacing w:after="0"/>
              <w:rPr>
                <w:sz w:val="20"/>
                <w:szCs w:val="20"/>
                <w:color w:val="auto"/>
              </w:rPr>
            </w:pPr>
            <w:r>
              <w:rPr>
                <w:rFonts w:ascii="Arial" w:cs="Arial" w:eastAsia="Arial" w:hAnsi="Arial"/>
                <w:sz w:val="14"/>
                <w:szCs w:val="14"/>
                <w:color w:val="auto"/>
              </w:rPr>
              <w:t>Revenue: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6180" w:type="dxa"/>
            <w:vAlign w:val="bottom"/>
          </w:tcPr>
          <w:p>
            <w:pPr>
              <w:spacing w:after="0"/>
              <w:rPr>
                <w:sz w:val="20"/>
                <w:szCs w:val="20"/>
                <w:color w:val="auto"/>
              </w:rPr>
            </w:pPr>
            <w:r>
              <w:rPr>
                <w:rFonts w:ascii="Arial" w:cs="Arial" w:eastAsia="Arial" w:hAnsi="Arial"/>
                <w:sz w:val="14"/>
                <w:szCs w:val="14"/>
                <w:color w:val="auto"/>
              </w:rPr>
              <w:t>Gross revenue</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610,465</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577,059</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89"/>
              </w:rPr>
              <w:t>2,364,956</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3"/>
              </w:rPr>
              <w:t>2,161,618</w:t>
            </w:r>
          </w:p>
        </w:tc>
      </w:tr>
      <w:tr>
        <w:trPr>
          <w:trHeight w:val="181"/>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(175,331)</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3"/>
              </w:rPr>
              <w:t>(173,710)</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3"/>
              </w:rPr>
              <w:t>(698,469)</w:t>
            </w:r>
          </w:p>
        </w:tc>
        <w:tc>
          <w:tcPr>
            <w:tcW w:w="140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3"/>
              </w:rPr>
              <w:t>(586,640)</w:t>
            </w:r>
          </w:p>
        </w:tc>
      </w:tr>
      <w:tr>
        <w:trPr>
          <w:trHeight w:val="346"/>
        </w:trPr>
        <w:tc>
          <w:tcPr>
            <w:tcW w:w="618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435,134</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403,349</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89"/>
              </w:rPr>
              <w:t>1,666,487</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3"/>
              </w:rPr>
              <w:t>1,574,978</w:t>
            </w:r>
          </w:p>
        </w:tc>
      </w:tr>
      <w:tr>
        <w:trPr>
          <w:trHeight w:val="344"/>
        </w:trPr>
        <w:tc>
          <w:tcPr>
            <w:tcW w:w="618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6180" w:type="dxa"/>
            <w:vAlign w:val="bottom"/>
          </w:tcPr>
          <w:p>
            <w:pPr>
              <w:spacing w:after="0"/>
              <w:rPr>
                <w:sz w:val="20"/>
                <w:szCs w:val="20"/>
                <w:color w:val="auto"/>
              </w:rPr>
            </w:pPr>
            <w:r>
              <w:rPr>
                <w:rFonts w:ascii="Arial" w:cs="Arial" w:eastAsia="Arial" w:hAnsi="Arial"/>
                <w:sz w:val="14"/>
                <w:szCs w:val="14"/>
                <w:color w:val="auto"/>
              </w:rPr>
              <w:t>Direct costs</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251,502</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229,386</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4"/>
              </w:rPr>
              <w:t>961,333</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908,979</w:t>
            </w:r>
          </w:p>
        </w:tc>
      </w:tr>
      <w:tr>
        <w:trPr>
          <w:trHeight w:val="176"/>
        </w:trPr>
        <w:tc>
          <w:tcPr>
            <w:tcW w:w="618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83,534</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3"/>
              </w:rPr>
              <w:t>83,476</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4"/>
              </w:rPr>
              <w:t>325,726</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326,786</w:t>
            </w:r>
          </w:p>
        </w:tc>
      </w:tr>
      <w:tr>
        <w:trPr>
          <w:trHeight w:val="181"/>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Depreciation and amortization</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15,455</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3"/>
              </w:rPr>
              <w:t>15,142</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3"/>
              </w:rPr>
              <w:t>59,575</w:t>
            </w:r>
          </w:p>
        </w:tc>
        <w:tc>
          <w:tcPr>
            <w:tcW w:w="140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3"/>
              </w:rPr>
              <w:t>57,677</w:t>
            </w:r>
          </w:p>
        </w:tc>
      </w:tr>
      <w:tr>
        <w:trPr>
          <w:trHeight w:val="34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350,491</w:t>
            </w:r>
          </w:p>
        </w:tc>
        <w:tc>
          <w:tcPr>
            <w:tcW w:w="136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0"/>
              </w:rPr>
              <w:t>328,004</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89"/>
              </w:rPr>
              <w:t>1,346,634</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3"/>
              </w:rPr>
              <w:t>1,293,442</w:t>
            </w:r>
          </w:p>
        </w:tc>
      </w:tr>
      <w:tr>
        <w:trPr>
          <w:trHeight w:val="346"/>
        </w:trPr>
        <w:tc>
          <w:tcPr>
            <w:tcW w:w="61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84,643</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3"/>
              </w:rPr>
              <w:t>75,345</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4"/>
              </w:rPr>
              <w:t>319,853</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281,536</w:t>
            </w:r>
          </w:p>
        </w:tc>
      </w:tr>
      <w:tr>
        <w:trPr>
          <w:trHeight w:val="350"/>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(3,037)</w:t>
            </w:r>
          </w:p>
        </w:tc>
        <w:tc>
          <w:tcPr>
            <w:tcW w:w="136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(2,026)</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(11,522)</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(2,686)</w:t>
            </w:r>
          </w:p>
        </w:tc>
      </w:tr>
      <w:tr>
        <w:trPr>
          <w:trHeight w:val="346"/>
        </w:trPr>
        <w:tc>
          <w:tcPr>
            <w:tcW w:w="618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81,606</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3"/>
              </w:rPr>
              <w:t>73,319</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4"/>
              </w:rPr>
              <w:t>308,331</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278,850</w:t>
            </w:r>
          </w:p>
        </w:tc>
      </w:tr>
      <w:tr>
        <w:trPr>
          <w:trHeight w:val="350"/>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(7,344)</w:t>
            </w:r>
          </w:p>
        </w:tc>
        <w:tc>
          <w:tcPr>
            <w:tcW w:w="136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(9,890)</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(39,013)</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5"/>
              </w:rPr>
              <w:t>(39,311)</w:t>
            </w:r>
          </w:p>
        </w:tc>
      </w:tr>
      <w:tr>
        <w:trPr>
          <w:trHeight w:val="34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74,262</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3"/>
              </w:rPr>
              <w:t>63,429</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4"/>
              </w:rPr>
              <w:t>269,318</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0"/>
              </w:rPr>
              <w:t>239,539</w:t>
            </w:r>
          </w:p>
        </w:tc>
      </w:tr>
      <w:tr>
        <w:trPr>
          <w:trHeight w:val="346"/>
        </w:trPr>
        <w:tc>
          <w:tcPr>
            <w:tcW w:w="6180" w:type="dxa"/>
            <w:vAlign w:val="bottom"/>
          </w:tcPr>
          <w:p>
            <w:pPr>
              <w:spacing w:after="0"/>
              <w:rPr>
                <w:sz w:val="20"/>
                <w:szCs w:val="20"/>
                <w:color w:val="auto"/>
              </w:rPr>
            </w:pPr>
            <w:r>
              <w:rPr>
                <w:rFonts w:ascii="Arial" w:cs="Arial" w:eastAsia="Arial" w:hAnsi="Arial"/>
                <w:sz w:val="14"/>
                <w:szCs w:val="14"/>
                <w:i w:val="1"/>
                <w:iCs w:val="1"/>
                <w:color w:val="auto"/>
              </w:rPr>
              <w:t>Net income per Ordinary Share: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0"/>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$1.35</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$1.14</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$4.87</w:t>
            </w:r>
          </w:p>
        </w:tc>
        <w:tc>
          <w:tcPr>
            <w:tcW w:w="140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1"/>
              </w:rPr>
              <w:t>$4.08</w:t>
            </w:r>
          </w:p>
        </w:tc>
      </w:tr>
      <w:tr>
        <w:trPr>
          <w:trHeight w:val="34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 forma Diluted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$1.33</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$1.11</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$4.77</w:t>
            </w:r>
          </w:p>
        </w:tc>
        <w:tc>
          <w:tcPr>
            <w:tcW w:w="140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1"/>
              </w:rPr>
              <w:t>$3.98</w:t>
            </w:r>
          </w:p>
        </w:tc>
      </w:tr>
      <w:tr>
        <w:trPr>
          <w:trHeight w:val="346"/>
        </w:trPr>
        <w:tc>
          <w:tcPr>
            <w:tcW w:w="6180" w:type="dxa"/>
            <w:vAlign w:val="bottom"/>
          </w:tcPr>
          <w:p>
            <w:pPr>
              <w:spacing w:after="0"/>
              <w:rPr>
                <w:sz w:val="20"/>
                <w:szCs w:val="20"/>
                <w:color w:val="auto"/>
              </w:rPr>
            </w:pPr>
            <w:r>
              <w:rPr>
                <w:rFonts w:ascii="Arial" w:cs="Arial" w:eastAsia="Arial" w:hAnsi="Arial"/>
                <w:sz w:val="14"/>
                <w:szCs w:val="14"/>
                <w:i w:val="1"/>
                <w:iCs w:val="1"/>
                <w:color w:val="auto"/>
              </w:rPr>
              <w:t>Weighted average number of Ordinary Shares outstanding: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0"/>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54,930,541</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55,783,113</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55,248,900</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58,746,935</w:t>
            </w:r>
          </w:p>
        </w:tc>
      </w:tr>
      <w:tr>
        <w:trPr>
          <w:trHeight w:val="34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 forma Diluted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55,685,863</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56,919,553</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56,407,136</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60,185,678</w:t>
            </w:r>
          </w:p>
        </w:tc>
      </w:tr>
      <w:tr>
        <w:trPr>
          <w:trHeight w:val="304"/>
        </w:trPr>
        <w:tc>
          <w:tcPr>
            <w:tcW w:w="6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r>
        <w:trPr>
          <w:trHeight w:val="21"/>
        </w:trPr>
        <w:tc>
          <w:tcPr>
            <w:tcW w:w="61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Consolidated Income Statements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(US GAAP)</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and Twelve Months ended December 31, 2016 and December 31, 2015</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thousands, except share and per share data)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480" w:type="dxa"/>
            <w:vAlign w:val="bottom"/>
            <w:gridSpan w:val="3"/>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560" w:type="dxa"/>
            <w:vAlign w:val="bottom"/>
            <w:gridSpan w:val="3"/>
          </w:tcPr>
          <w:p>
            <w:pPr>
              <w:ind w:left="600"/>
              <w:spacing w:after="0"/>
              <w:rPr>
                <w:sz w:val="20"/>
                <w:szCs w:val="20"/>
                <w:color w:val="auto"/>
              </w:rPr>
            </w:pPr>
            <w:r>
              <w:rPr>
                <w:rFonts w:ascii="Arial" w:cs="Arial" w:eastAsia="Arial" w:hAnsi="Arial"/>
                <w:sz w:val="14"/>
                <w:szCs w:val="14"/>
                <w:b w:val="1"/>
                <w:bCs w:val="1"/>
                <w:color w:val="auto"/>
              </w:rPr>
              <w:t>Twelve Months Ended</w:t>
            </w:r>
          </w:p>
        </w:tc>
      </w:tr>
      <w:tr>
        <w:trPr>
          <w:trHeight w:val="313"/>
        </w:trPr>
        <w:tc>
          <w:tcPr>
            <w:tcW w:w="618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December</w:t>
            </w:r>
          </w:p>
        </w:tc>
        <w:tc>
          <w:tcPr>
            <w:tcW w:w="220" w:type="dxa"/>
            <w:vAlign w:val="bottom"/>
          </w:tcPr>
          <w:p>
            <w:pPr>
              <w:spacing w:after="0"/>
              <w:rPr>
                <w:sz w:val="24"/>
                <w:szCs w:val="24"/>
                <w:color w:val="auto"/>
              </w:rPr>
            </w:pPr>
          </w:p>
        </w:tc>
        <w:tc>
          <w:tcPr>
            <w:tcW w:w="1140" w:type="dxa"/>
            <w:vAlign w:val="bottom"/>
          </w:tcPr>
          <w:p>
            <w:pPr>
              <w:ind w:left="260"/>
              <w:spacing w:after="0"/>
              <w:rPr>
                <w:sz w:val="20"/>
                <w:szCs w:val="20"/>
                <w:color w:val="auto"/>
              </w:rPr>
            </w:pPr>
            <w:r>
              <w:rPr>
                <w:rFonts w:ascii="Arial" w:cs="Arial" w:eastAsia="Arial" w:hAnsi="Arial"/>
                <w:sz w:val="14"/>
                <w:szCs w:val="14"/>
                <w:b w:val="1"/>
                <w:bCs w:val="1"/>
                <w:color w:val="auto"/>
              </w:rPr>
              <w:t>December</w:t>
            </w:r>
          </w:p>
        </w:tc>
        <w:tc>
          <w:tcPr>
            <w:tcW w:w="200" w:type="dxa"/>
            <w:vAlign w:val="bottom"/>
          </w:tcPr>
          <w:p>
            <w:pPr>
              <w:spacing w:after="0"/>
              <w:rPr>
                <w:sz w:val="24"/>
                <w:szCs w:val="24"/>
                <w:color w:val="auto"/>
              </w:rPr>
            </w:pPr>
          </w:p>
        </w:tc>
        <w:tc>
          <w:tcPr>
            <w:tcW w:w="1160" w:type="dxa"/>
            <w:vAlign w:val="bottom"/>
          </w:tcPr>
          <w:p>
            <w:pPr>
              <w:ind w:left="260"/>
              <w:spacing w:after="0"/>
              <w:rPr>
                <w:sz w:val="20"/>
                <w:szCs w:val="20"/>
                <w:color w:val="auto"/>
              </w:rPr>
            </w:pPr>
            <w:r>
              <w:rPr>
                <w:rFonts w:ascii="Arial" w:cs="Arial" w:eastAsia="Arial" w:hAnsi="Arial"/>
                <w:sz w:val="14"/>
                <w:szCs w:val="14"/>
                <w:b w:val="1"/>
                <w:bCs w:val="1"/>
                <w:color w:val="auto"/>
              </w:rPr>
              <w:t>December</w:t>
            </w:r>
          </w:p>
        </w:tc>
        <w:tc>
          <w:tcPr>
            <w:tcW w:w="220" w:type="dxa"/>
            <w:vAlign w:val="bottom"/>
          </w:tcPr>
          <w:p>
            <w:pPr>
              <w:spacing w:after="0"/>
              <w:rPr>
                <w:sz w:val="24"/>
                <w:szCs w:val="24"/>
                <w:color w:val="auto"/>
              </w:rPr>
            </w:pPr>
          </w:p>
        </w:tc>
        <w:tc>
          <w:tcPr>
            <w:tcW w:w="1180" w:type="dxa"/>
            <w:vAlign w:val="bottom"/>
          </w:tcPr>
          <w:p>
            <w:pPr>
              <w:ind w:left="280"/>
              <w:spacing w:after="0"/>
              <w:rPr>
                <w:sz w:val="20"/>
                <w:szCs w:val="20"/>
                <w:color w:val="auto"/>
              </w:rPr>
            </w:pPr>
            <w:r>
              <w:rPr>
                <w:rFonts w:ascii="Arial" w:cs="Arial" w:eastAsia="Arial" w:hAnsi="Arial"/>
                <w:sz w:val="14"/>
                <w:szCs w:val="14"/>
                <w:b w:val="1"/>
                <w:bCs w:val="1"/>
                <w:color w:val="auto"/>
              </w:rPr>
              <w:t>December</w:t>
            </w:r>
          </w:p>
        </w:tc>
      </w:tr>
      <w:tr>
        <w:trPr>
          <w:trHeight w:val="185"/>
        </w:trPr>
        <w:tc>
          <w:tcPr>
            <w:tcW w:w="6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31,</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2"/>
              </w:rPr>
              <w:t>31,</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2"/>
              </w:rPr>
              <w:t>31,</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2"/>
              </w:rPr>
              <w:t>31,</w:t>
            </w:r>
          </w:p>
        </w:tc>
      </w:tr>
      <w:tr>
        <w:trPr>
          <w:trHeight w:val="169"/>
        </w:trPr>
        <w:tc>
          <w:tcPr>
            <w:tcW w:w="6180" w:type="dxa"/>
            <w:vAlign w:val="bottom"/>
          </w:tcPr>
          <w:p>
            <w:pPr>
              <w:spacing w:after="0"/>
              <w:rPr>
                <w:sz w:val="14"/>
                <w:szCs w:val="14"/>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4"/>
                <w:szCs w:val="14"/>
                <w:color w:val="auto"/>
              </w:rPr>
            </w:pPr>
          </w:p>
        </w:tc>
        <w:tc>
          <w:tcPr>
            <w:tcW w:w="11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220" w:type="dxa"/>
            <w:vAlign w:val="bottom"/>
          </w:tcPr>
          <w:p>
            <w:pPr>
              <w:spacing w:after="0"/>
              <w:rPr>
                <w:sz w:val="14"/>
                <w:szCs w:val="14"/>
                <w:color w:val="auto"/>
              </w:rPr>
            </w:pPr>
          </w:p>
        </w:tc>
        <w:tc>
          <w:tcPr>
            <w:tcW w:w="1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164"/>
        </w:trPr>
        <w:tc>
          <w:tcPr>
            <w:tcW w:w="6180" w:type="dxa"/>
            <w:vAlign w:val="bottom"/>
          </w:tcPr>
          <w:p>
            <w:pPr>
              <w:spacing w:after="0"/>
              <w:rPr>
                <w:sz w:val="20"/>
                <w:szCs w:val="20"/>
                <w:color w:val="auto"/>
              </w:rPr>
            </w:pPr>
            <w:r>
              <w:rPr>
                <w:rFonts w:ascii="Arial" w:cs="Arial" w:eastAsia="Arial" w:hAnsi="Arial"/>
                <w:sz w:val="14"/>
                <w:szCs w:val="14"/>
                <w:color w:val="auto"/>
              </w:rPr>
              <w:t>Revenue:</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6"/>
        </w:trPr>
        <w:tc>
          <w:tcPr>
            <w:tcW w:w="6180" w:type="dxa"/>
            <w:vAlign w:val="bottom"/>
          </w:tcPr>
          <w:p>
            <w:pPr>
              <w:spacing w:after="0"/>
              <w:rPr>
                <w:sz w:val="20"/>
                <w:szCs w:val="20"/>
                <w:color w:val="auto"/>
              </w:rPr>
            </w:pPr>
            <w:r>
              <w:rPr>
                <w:rFonts w:ascii="Arial" w:cs="Arial" w:eastAsia="Arial" w:hAnsi="Arial"/>
                <w:sz w:val="14"/>
                <w:szCs w:val="14"/>
                <w:color w:val="auto"/>
              </w:rPr>
              <w:t>Gross revenue</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610,465</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577,059</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89"/>
              </w:rPr>
              <w:t>2,364,956</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3"/>
              </w:rPr>
              <w:t>2,161,618</w:t>
            </w:r>
          </w:p>
        </w:tc>
      </w:tr>
      <w:tr>
        <w:trPr>
          <w:trHeight w:val="181"/>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Reimbursable expenses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(175,331)</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3"/>
              </w:rPr>
              <w:t>(173,710)</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3"/>
              </w:rPr>
              <w:t>(698,469)</w:t>
            </w:r>
          </w:p>
        </w:tc>
        <w:tc>
          <w:tcPr>
            <w:tcW w:w="140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3"/>
              </w:rPr>
              <w:t>(586,640)</w:t>
            </w:r>
          </w:p>
        </w:tc>
      </w:tr>
      <w:tr>
        <w:trPr>
          <w:trHeight w:val="346"/>
        </w:trPr>
        <w:tc>
          <w:tcPr>
            <w:tcW w:w="6180" w:type="dxa"/>
            <w:vAlign w:val="bottom"/>
          </w:tcPr>
          <w:p>
            <w:pPr>
              <w:spacing w:after="0"/>
              <w:rPr>
                <w:sz w:val="20"/>
                <w:szCs w:val="20"/>
                <w:color w:val="auto"/>
              </w:rPr>
            </w:pPr>
            <w:r>
              <w:rPr>
                <w:rFonts w:ascii="Arial" w:cs="Arial" w:eastAsia="Arial" w:hAnsi="Arial"/>
                <w:sz w:val="14"/>
                <w:szCs w:val="14"/>
                <w:b w:val="1"/>
                <w:bCs w:val="1"/>
                <w:color w:val="auto"/>
              </w:rPr>
              <w:t>Net revenue</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435,134</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403,349</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89"/>
              </w:rPr>
              <w:t>1,666,487</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3"/>
              </w:rPr>
              <w:t>1,574,978</w:t>
            </w:r>
          </w:p>
        </w:tc>
      </w:tr>
      <w:tr>
        <w:trPr>
          <w:trHeight w:val="344"/>
        </w:trPr>
        <w:tc>
          <w:tcPr>
            <w:tcW w:w="6180" w:type="dxa"/>
            <w:vAlign w:val="bottom"/>
          </w:tcPr>
          <w:p>
            <w:pPr>
              <w:spacing w:after="0"/>
              <w:rPr>
                <w:sz w:val="20"/>
                <w:szCs w:val="20"/>
                <w:color w:val="auto"/>
              </w:rPr>
            </w:pPr>
            <w:r>
              <w:rPr>
                <w:rFonts w:ascii="Arial" w:cs="Arial" w:eastAsia="Arial" w:hAnsi="Arial"/>
                <w:sz w:val="14"/>
                <w:szCs w:val="14"/>
                <w:b w:val="1"/>
                <w:bCs w:val="1"/>
                <w:color w:val="auto"/>
              </w:rPr>
              <w:t>Costs and expenses: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6"/>
        </w:trPr>
        <w:tc>
          <w:tcPr>
            <w:tcW w:w="6180" w:type="dxa"/>
            <w:vAlign w:val="bottom"/>
          </w:tcPr>
          <w:p>
            <w:pPr>
              <w:spacing w:after="0"/>
              <w:rPr>
                <w:sz w:val="20"/>
                <w:szCs w:val="20"/>
                <w:color w:val="auto"/>
              </w:rPr>
            </w:pPr>
            <w:r>
              <w:rPr>
                <w:rFonts w:ascii="Arial" w:cs="Arial" w:eastAsia="Arial" w:hAnsi="Arial"/>
                <w:sz w:val="14"/>
                <w:szCs w:val="14"/>
                <w:color w:val="auto"/>
              </w:rPr>
              <w:t>Direct costs</w:t>
            </w: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251,502</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229,386</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4"/>
              </w:rPr>
              <w:t>961,333</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908,979</w:t>
            </w:r>
          </w:p>
        </w:tc>
      </w:tr>
      <w:tr>
        <w:trPr>
          <w:trHeight w:val="176"/>
        </w:trPr>
        <w:tc>
          <w:tcPr>
            <w:tcW w:w="6180" w:type="dxa"/>
            <w:vAlign w:val="bottom"/>
          </w:tcPr>
          <w:p>
            <w:pPr>
              <w:spacing w:after="0"/>
              <w:rPr>
                <w:sz w:val="20"/>
                <w:szCs w:val="20"/>
                <w:color w:val="auto"/>
              </w:rPr>
            </w:pPr>
            <w:r>
              <w:rPr>
                <w:rFonts w:ascii="Arial" w:cs="Arial" w:eastAsia="Arial" w:hAnsi="Arial"/>
                <w:sz w:val="14"/>
                <w:szCs w:val="14"/>
                <w:color w:val="auto"/>
              </w:rPr>
              <w:t>Selling, general and administrative expense</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83,534</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3"/>
              </w:rPr>
              <w:t>83,476</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4"/>
              </w:rPr>
              <w:t>325,726</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326,786</w:t>
            </w:r>
          </w:p>
        </w:tc>
      </w:tr>
      <w:tr>
        <w:trPr>
          <w:trHeight w:val="176"/>
        </w:trPr>
        <w:tc>
          <w:tcPr>
            <w:tcW w:w="6180" w:type="dxa"/>
            <w:vAlign w:val="bottom"/>
          </w:tcPr>
          <w:p>
            <w:pPr>
              <w:spacing w:after="0"/>
              <w:rPr>
                <w:sz w:val="20"/>
                <w:szCs w:val="20"/>
                <w:color w:val="auto"/>
              </w:rPr>
            </w:pPr>
            <w:r>
              <w:rPr>
                <w:rFonts w:ascii="Arial" w:cs="Arial" w:eastAsia="Arial" w:hAnsi="Arial"/>
                <w:sz w:val="14"/>
                <w:szCs w:val="14"/>
                <w:color w:val="auto"/>
              </w:rPr>
              <w:t>Depreciation and amortization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15,455</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3"/>
              </w:rPr>
              <w:t>15,142</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3"/>
              </w:rPr>
              <w:t>59,575</w:t>
            </w:r>
          </w:p>
        </w:tc>
        <w:tc>
          <w:tcPr>
            <w:tcW w:w="1400" w:type="dxa"/>
            <w:vAlign w:val="bottom"/>
            <w:gridSpan w:val="2"/>
          </w:tcPr>
          <w:p>
            <w:pPr>
              <w:jc w:val="center"/>
              <w:ind w:left="168"/>
              <w:spacing w:after="0"/>
              <w:rPr>
                <w:sz w:val="20"/>
                <w:szCs w:val="20"/>
                <w:color w:val="auto"/>
              </w:rPr>
            </w:pPr>
            <w:r>
              <w:rPr>
                <w:rFonts w:ascii="Arial" w:cs="Arial" w:eastAsia="Arial" w:hAnsi="Arial"/>
                <w:sz w:val="14"/>
                <w:szCs w:val="14"/>
                <w:color w:val="auto"/>
                <w:w w:val="93"/>
              </w:rPr>
              <w:t>57,677</w:t>
            </w:r>
          </w:p>
        </w:tc>
      </w:tr>
      <w:tr>
        <w:trPr>
          <w:trHeight w:val="181"/>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Restructuring and other items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84"/>
              </w:rPr>
              <w:t>-</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8,159</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rPr>
              <w:t>-</w:t>
            </w:r>
          </w:p>
        </w:tc>
      </w:tr>
      <w:tr>
        <w:trPr>
          <w:trHeight w:val="34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Total costs and expenses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350,491</w:t>
            </w:r>
          </w:p>
        </w:tc>
        <w:tc>
          <w:tcPr>
            <w:tcW w:w="136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0"/>
              </w:rPr>
              <w:t>328,004</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89"/>
              </w:rPr>
              <w:t>1,354,793</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3"/>
              </w:rPr>
              <w:t>1,293,442</w:t>
            </w:r>
          </w:p>
        </w:tc>
      </w:tr>
      <w:tr>
        <w:trPr>
          <w:trHeight w:val="346"/>
        </w:trPr>
        <w:tc>
          <w:tcPr>
            <w:tcW w:w="6180" w:type="dxa"/>
            <w:vAlign w:val="bottom"/>
          </w:tcPr>
          <w:p>
            <w:pPr>
              <w:spacing w:after="0"/>
              <w:rPr>
                <w:sz w:val="20"/>
                <w:szCs w:val="20"/>
                <w:color w:val="auto"/>
              </w:rPr>
            </w:pPr>
            <w:r>
              <w:rPr>
                <w:rFonts w:ascii="Arial" w:cs="Arial" w:eastAsia="Arial" w:hAnsi="Arial"/>
                <w:sz w:val="14"/>
                <w:szCs w:val="14"/>
                <w:b w:val="1"/>
                <w:bCs w:val="1"/>
                <w:color w:val="auto"/>
              </w:rPr>
              <w:t>Income from operations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84,643</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3"/>
              </w:rPr>
              <w:t>75,345</w:t>
            </w:r>
          </w:p>
        </w:tc>
        <w:tc>
          <w:tcPr>
            <w:tcW w:w="136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311,694</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281,536</w:t>
            </w:r>
          </w:p>
        </w:tc>
      </w:tr>
      <w:tr>
        <w:trPr>
          <w:trHeight w:val="350"/>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Net interest expense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(3,037)</w:t>
            </w:r>
          </w:p>
        </w:tc>
        <w:tc>
          <w:tcPr>
            <w:tcW w:w="136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(2,026)</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(11,522)</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(2,686)</w:t>
            </w:r>
          </w:p>
        </w:tc>
      </w:tr>
      <w:tr>
        <w:trPr>
          <w:trHeight w:val="346"/>
        </w:trPr>
        <w:tc>
          <w:tcPr>
            <w:tcW w:w="6180" w:type="dxa"/>
            <w:vAlign w:val="bottom"/>
          </w:tcPr>
          <w:p>
            <w:pPr>
              <w:spacing w:after="0"/>
              <w:rPr>
                <w:sz w:val="20"/>
                <w:szCs w:val="20"/>
                <w:color w:val="auto"/>
              </w:rPr>
            </w:pPr>
            <w:r>
              <w:rPr>
                <w:rFonts w:ascii="Arial" w:cs="Arial" w:eastAsia="Arial" w:hAnsi="Arial"/>
                <w:sz w:val="14"/>
                <w:szCs w:val="14"/>
                <w:b w:val="1"/>
                <w:bCs w:val="1"/>
                <w:color w:val="auto"/>
              </w:rPr>
              <w:t>Income before provision for income taxes</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81,606</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3"/>
              </w:rPr>
              <w:t>73,319</w:t>
            </w:r>
          </w:p>
        </w:tc>
        <w:tc>
          <w:tcPr>
            <w:tcW w:w="1360" w:type="dxa"/>
            <w:vAlign w:val="bottom"/>
            <w:gridSpan w:val="2"/>
          </w:tcPr>
          <w:p>
            <w:pPr>
              <w:jc w:val="center"/>
              <w:ind w:left="128"/>
              <w:spacing w:after="0"/>
              <w:rPr>
                <w:sz w:val="20"/>
                <w:szCs w:val="20"/>
                <w:color w:val="auto"/>
              </w:rPr>
            </w:pPr>
            <w:r>
              <w:rPr>
                <w:rFonts w:ascii="Arial" w:cs="Arial" w:eastAsia="Arial" w:hAnsi="Arial"/>
                <w:sz w:val="14"/>
                <w:szCs w:val="14"/>
                <w:color w:val="auto"/>
                <w:w w:val="94"/>
              </w:rPr>
              <w:t>300,172</w:t>
            </w:r>
          </w:p>
        </w:tc>
        <w:tc>
          <w:tcPr>
            <w:tcW w:w="1400" w:type="dxa"/>
            <w:vAlign w:val="bottom"/>
            <w:gridSpan w:val="2"/>
          </w:tcPr>
          <w:p>
            <w:pPr>
              <w:jc w:val="center"/>
              <w:ind w:left="148"/>
              <w:spacing w:after="0"/>
              <w:rPr>
                <w:sz w:val="20"/>
                <w:szCs w:val="20"/>
                <w:color w:val="auto"/>
              </w:rPr>
            </w:pPr>
            <w:r>
              <w:rPr>
                <w:rFonts w:ascii="Arial" w:cs="Arial" w:eastAsia="Arial" w:hAnsi="Arial"/>
                <w:sz w:val="14"/>
                <w:szCs w:val="14"/>
                <w:color w:val="auto"/>
                <w:w w:val="90"/>
              </w:rPr>
              <w:t>278,850</w:t>
            </w:r>
          </w:p>
        </w:tc>
      </w:tr>
      <w:tr>
        <w:trPr>
          <w:trHeight w:val="350"/>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Provision for income taxes</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(7,344)</w:t>
            </w:r>
          </w:p>
        </w:tc>
        <w:tc>
          <w:tcPr>
            <w:tcW w:w="136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(9,890)</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(37,993)</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5"/>
              </w:rPr>
              <w:t>(39,311)</w:t>
            </w:r>
          </w:p>
        </w:tc>
      </w:tr>
      <w:tr>
        <w:trPr>
          <w:trHeight w:val="34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Net income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74,262</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3"/>
              </w:rPr>
              <w:t>63,429</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4"/>
              </w:rPr>
              <w:t>262,179</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0"/>
              </w:rPr>
              <w:t>239,539</w:t>
            </w:r>
          </w:p>
        </w:tc>
      </w:tr>
      <w:tr>
        <w:trPr>
          <w:trHeight w:val="346"/>
        </w:trPr>
        <w:tc>
          <w:tcPr>
            <w:tcW w:w="6180" w:type="dxa"/>
            <w:vAlign w:val="bottom"/>
          </w:tcPr>
          <w:p>
            <w:pPr>
              <w:spacing w:after="0"/>
              <w:rPr>
                <w:sz w:val="20"/>
                <w:szCs w:val="20"/>
                <w:color w:val="auto"/>
              </w:rPr>
            </w:pPr>
            <w:r>
              <w:rPr>
                <w:rFonts w:ascii="Arial" w:cs="Arial" w:eastAsia="Arial" w:hAnsi="Arial"/>
                <w:sz w:val="14"/>
                <w:szCs w:val="14"/>
                <w:i w:val="1"/>
                <w:iCs w:val="1"/>
                <w:color w:val="auto"/>
              </w:rPr>
              <w:t>Net income per Ordinary Share: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0"/>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$1.35</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$1.14</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$4.75</w:t>
            </w:r>
          </w:p>
        </w:tc>
        <w:tc>
          <w:tcPr>
            <w:tcW w:w="140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1"/>
              </w:rPr>
              <w:t>$4.08</w:t>
            </w:r>
          </w:p>
        </w:tc>
      </w:tr>
      <w:tr>
        <w:trPr>
          <w:trHeight w:val="34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$1.33</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$1.11</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$4.65</w:t>
            </w:r>
          </w:p>
        </w:tc>
        <w:tc>
          <w:tcPr>
            <w:tcW w:w="1400" w:type="dxa"/>
            <w:vAlign w:val="bottom"/>
            <w:tcBorders>
              <w:bottom w:val="single" w:sz="8" w:color="auto"/>
            </w:tcBorders>
            <w:gridSpan w:val="2"/>
          </w:tcPr>
          <w:p>
            <w:pPr>
              <w:jc w:val="center"/>
              <w:ind w:left="168"/>
              <w:spacing w:after="0"/>
              <w:rPr>
                <w:sz w:val="20"/>
                <w:szCs w:val="20"/>
                <w:color w:val="auto"/>
              </w:rPr>
            </w:pPr>
            <w:r>
              <w:rPr>
                <w:rFonts w:ascii="Arial" w:cs="Arial" w:eastAsia="Arial" w:hAnsi="Arial"/>
                <w:sz w:val="14"/>
                <w:szCs w:val="14"/>
                <w:color w:val="auto"/>
                <w:w w:val="91"/>
              </w:rPr>
              <w:t>$3.97</w:t>
            </w:r>
          </w:p>
        </w:tc>
      </w:tr>
      <w:tr>
        <w:trPr>
          <w:trHeight w:val="346"/>
        </w:trPr>
        <w:tc>
          <w:tcPr>
            <w:tcW w:w="6180" w:type="dxa"/>
            <w:vAlign w:val="bottom"/>
          </w:tcPr>
          <w:p>
            <w:pPr>
              <w:spacing w:after="0"/>
              <w:rPr>
                <w:sz w:val="20"/>
                <w:szCs w:val="20"/>
                <w:color w:val="auto"/>
              </w:rPr>
            </w:pPr>
            <w:r>
              <w:rPr>
                <w:rFonts w:ascii="Arial" w:cs="Arial" w:eastAsia="Arial" w:hAnsi="Arial"/>
                <w:sz w:val="14"/>
                <w:szCs w:val="14"/>
                <w:i w:val="1"/>
                <w:iCs w:val="1"/>
                <w:color w:val="auto"/>
              </w:rPr>
              <w:t>Weighted average number of Ordinary Shares outstanding: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50"/>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Basic</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54,930,541</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55,783,113</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55,248,900</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58,746,935</w:t>
            </w:r>
          </w:p>
        </w:tc>
      </w:tr>
      <w:tr>
        <w:trPr>
          <w:trHeight w:val="34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Diluted</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55,685,863</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56,919,553</w:t>
            </w:r>
          </w:p>
        </w:tc>
        <w:tc>
          <w:tcPr>
            <w:tcW w:w="1360" w:type="dxa"/>
            <w:vAlign w:val="bottom"/>
            <w:tcBorders>
              <w:bottom w:val="single" w:sz="8" w:color="auto"/>
            </w:tcBorders>
            <w:gridSpan w:val="2"/>
          </w:tcPr>
          <w:p>
            <w:pPr>
              <w:jc w:val="center"/>
              <w:ind w:left="128"/>
              <w:spacing w:after="0"/>
              <w:rPr>
                <w:sz w:val="20"/>
                <w:szCs w:val="20"/>
                <w:color w:val="auto"/>
              </w:rPr>
            </w:pPr>
            <w:r>
              <w:rPr>
                <w:rFonts w:ascii="Arial" w:cs="Arial" w:eastAsia="Arial" w:hAnsi="Arial"/>
                <w:sz w:val="14"/>
                <w:szCs w:val="14"/>
                <w:color w:val="auto"/>
                <w:w w:val="91"/>
              </w:rPr>
              <w:t>56,407,136</w:t>
            </w:r>
          </w:p>
        </w:tc>
        <w:tc>
          <w:tcPr>
            <w:tcW w:w="140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4"/>
                <w:szCs w:val="14"/>
                <w:color w:val="auto"/>
                <w:w w:val="94"/>
              </w:rPr>
              <w:t>60,290,033</w:t>
            </w:r>
          </w:p>
        </w:tc>
      </w:tr>
      <w:tr>
        <w:trPr>
          <w:trHeight w:val="304"/>
        </w:trPr>
        <w:tc>
          <w:tcPr>
            <w:tcW w:w="6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r>
        <w:trPr>
          <w:trHeight w:val="21"/>
        </w:trPr>
        <w:tc>
          <w:tcPr>
            <w:tcW w:w="618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7" w:name="page8"/>
    <w:bookmarkEnd w:id="7"/>
    <w:p>
      <w:pPr>
        <w:jc w:val="center"/>
        <w:ind w:right="-839"/>
        <w:spacing w:after="0"/>
        <w:rPr>
          <w:sz w:val="20"/>
          <w:szCs w:val="20"/>
          <w:color w:val="auto"/>
        </w:rPr>
      </w:pPr>
      <w:r>
        <w:rPr>
          <w:rFonts w:ascii="Arial" w:cs="Arial" w:eastAsia="Arial" w:hAnsi="Arial"/>
          <w:sz w:val="14"/>
          <w:szCs w:val="14"/>
          <w:b w:val="1"/>
          <w:bCs w:val="1"/>
          <w:color w:val="auto"/>
        </w:rPr>
        <w:t>ICON plc</w:t>
      </w:r>
    </w:p>
    <w:p>
      <w:pPr>
        <w:jc w:val="center"/>
        <w:ind w:right="-839"/>
        <w:spacing w:after="0" w:line="226" w:lineRule="auto"/>
        <w:rPr>
          <w:sz w:val="20"/>
          <w:szCs w:val="20"/>
          <w:color w:val="auto"/>
        </w:rPr>
      </w:pPr>
      <w:r>
        <w:rPr>
          <w:rFonts w:ascii="Arial" w:cs="Arial" w:eastAsia="Arial" w:hAnsi="Arial"/>
          <w:sz w:val="14"/>
          <w:szCs w:val="14"/>
          <w:b w:val="1"/>
          <w:bCs w:val="1"/>
          <w:color w:val="auto"/>
        </w:rPr>
        <w:t>Summary Balance Sheet Data</w:t>
      </w:r>
    </w:p>
    <w:p>
      <w:pPr>
        <w:jc w:val="center"/>
        <w:ind w:right="-839"/>
        <w:spacing w:after="0" w:line="222" w:lineRule="auto"/>
        <w:rPr>
          <w:sz w:val="20"/>
          <w:szCs w:val="20"/>
          <w:color w:val="auto"/>
        </w:rPr>
      </w:pPr>
      <w:r>
        <w:rPr>
          <w:rFonts w:ascii="Arial" w:cs="Arial" w:eastAsia="Arial" w:hAnsi="Arial"/>
          <w:sz w:val="14"/>
          <w:szCs w:val="14"/>
          <w:b w:val="1"/>
          <w:bCs w:val="1"/>
          <w:color w:val="auto"/>
        </w:rPr>
        <w:t>December 31, 2016 and December 31, 2015</w:t>
      </w:r>
    </w:p>
    <w:p>
      <w:pPr>
        <w:jc w:val="center"/>
        <w:ind w:right="-839"/>
        <w:spacing w:after="0"/>
        <w:rPr>
          <w:sz w:val="20"/>
          <w:szCs w:val="20"/>
          <w:color w:val="auto"/>
        </w:rPr>
      </w:pPr>
      <w:r>
        <w:rPr>
          <w:rFonts w:ascii="Arial" w:cs="Arial" w:eastAsia="Arial" w:hAnsi="Arial"/>
          <w:sz w:val="14"/>
          <w:szCs w:val="14"/>
          <w:b w:val="1"/>
          <w:bCs w:val="1"/>
          <w:color w:val="auto"/>
        </w:rPr>
        <w:t>(Dollars,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4340" w:type="dxa"/>
            <w:vAlign w:val="bottom"/>
          </w:tcPr>
          <w:p>
            <w:pPr>
              <w:jc w:val="center"/>
              <w:ind w:left="1348"/>
              <w:spacing w:after="0"/>
              <w:rPr>
                <w:sz w:val="20"/>
                <w:szCs w:val="20"/>
                <w:color w:val="auto"/>
              </w:rPr>
            </w:pPr>
            <w:r>
              <w:rPr>
                <w:rFonts w:ascii="Arial" w:cs="Arial" w:eastAsia="Arial" w:hAnsi="Arial"/>
                <w:sz w:val="14"/>
                <w:szCs w:val="14"/>
                <w:b w:val="1"/>
                <w:bCs w:val="1"/>
                <w:color w:val="auto"/>
                <w:w w:val="92"/>
              </w:rPr>
              <w:t>December 31,</w:t>
            </w:r>
          </w:p>
        </w:tc>
        <w:tc>
          <w:tcPr>
            <w:tcW w:w="1880" w:type="dxa"/>
            <w:vAlign w:val="bottom"/>
          </w:tcPr>
          <w:p>
            <w:pPr>
              <w:jc w:val="center"/>
              <w:ind w:left="968"/>
              <w:spacing w:after="0"/>
              <w:rPr>
                <w:sz w:val="20"/>
                <w:szCs w:val="20"/>
                <w:color w:val="auto"/>
              </w:rPr>
            </w:pPr>
            <w:r>
              <w:rPr>
                <w:rFonts w:ascii="Arial" w:cs="Arial" w:eastAsia="Arial" w:hAnsi="Arial"/>
                <w:sz w:val="14"/>
                <w:szCs w:val="14"/>
                <w:b w:val="1"/>
                <w:bCs w:val="1"/>
                <w:color w:val="auto"/>
                <w:w w:val="92"/>
              </w:rPr>
              <w:t>December 31,</w:t>
            </w:r>
          </w:p>
        </w:tc>
      </w:tr>
      <w:tr>
        <w:trPr>
          <w:trHeight w:val="176"/>
        </w:trPr>
        <w:tc>
          <w:tcPr>
            <w:tcW w:w="4360" w:type="dxa"/>
            <w:vAlign w:val="bottom"/>
          </w:tcPr>
          <w:p>
            <w:pPr>
              <w:spacing w:after="0"/>
              <w:rPr>
                <w:sz w:val="15"/>
                <w:szCs w:val="15"/>
                <w:color w:val="auto"/>
              </w:rPr>
            </w:pPr>
          </w:p>
        </w:tc>
        <w:tc>
          <w:tcPr>
            <w:tcW w:w="4340" w:type="dxa"/>
            <w:vAlign w:val="bottom"/>
          </w:tcPr>
          <w:p>
            <w:pPr>
              <w:jc w:val="center"/>
              <w:ind w:left="1368"/>
              <w:spacing w:after="0"/>
              <w:rPr>
                <w:sz w:val="20"/>
                <w:szCs w:val="20"/>
                <w:color w:val="auto"/>
              </w:rPr>
            </w:pPr>
            <w:r>
              <w:rPr>
                <w:rFonts w:ascii="Arial" w:cs="Arial" w:eastAsia="Arial" w:hAnsi="Arial"/>
                <w:sz w:val="14"/>
                <w:szCs w:val="14"/>
                <w:b w:val="1"/>
                <w:bCs w:val="1"/>
                <w:color w:val="auto"/>
                <w:w w:val="96"/>
              </w:rPr>
              <w:t>2016</w:t>
            </w:r>
          </w:p>
        </w:tc>
        <w:tc>
          <w:tcPr>
            <w:tcW w:w="1880" w:type="dxa"/>
            <w:vAlign w:val="bottom"/>
          </w:tcPr>
          <w:p>
            <w:pPr>
              <w:jc w:val="center"/>
              <w:ind w:left="948"/>
              <w:spacing w:after="0"/>
              <w:rPr>
                <w:sz w:val="20"/>
                <w:szCs w:val="20"/>
                <w:color w:val="auto"/>
              </w:rPr>
            </w:pPr>
            <w:r>
              <w:rPr>
                <w:rFonts w:ascii="Arial" w:cs="Arial" w:eastAsia="Arial" w:hAnsi="Arial"/>
                <w:sz w:val="14"/>
                <w:szCs w:val="14"/>
                <w:b w:val="1"/>
                <w:bCs w:val="1"/>
                <w:color w:val="auto"/>
                <w:w w:val="96"/>
              </w:rPr>
              <w:t>2015</w:t>
            </w:r>
          </w:p>
        </w:tc>
      </w:tr>
      <w:tr>
        <w:trPr>
          <w:trHeight w:val="186"/>
        </w:trPr>
        <w:tc>
          <w:tcPr>
            <w:tcW w:w="4360" w:type="dxa"/>
            <w:vAlign w:val="bottom"/>
          </w:tcPr>
          <w:p>
            <w:pPr>
              <w:spacing w:after="0"/>
              <w:rPr>
                <w:sz w:val="16"/>
                <w:szCs w:val="16"/>
                <w:color w:val="auto"/>
              </w:rPr>
            </w:pPr>
          </w:p>
        </w:tc>
        <w:tc>
          <w:tcPr>
            <w:tcW w:w="4340" w:type="dxa"/>
            <w:vAlign w:val="bottom"/>
          </w:tcPr>
          <w:p>
            <w:pPr>
              <w:jc w:val="center"/>
              <w:ind w:left="1368"/>
              <w:spacing w:after="0"/>
              <w:rPr>
                <w:sz w:val="20"/>
                <w:szCs w:val="20"/>
                <w:color w:val="auto"/>
              </w:rPr>
            </w:pPr>
            <w:r>
              <w:rPr>
                <w:rFonts w:ascii="Arial" w:cs="Arial" w:eastAsia="Arial" w:hAnsi="Arial"/>
                <w:sz w:val="14"/>
                <w:szCs w:val="14"/>
                <w:b w:val="1"/>
                <w:bCs w:val="1"/>
                <w:color w:val="auto"/>
                <w:w w:val="95"/>
              </w:rPr>
              <w:t>(Unaudited)</w:t>
            </w:r>
          </w:p>
        </w:tc>
        <w:tc>
          <w:tcPr>
            <w:tcW w:w="1880" w:type="dxa"/>
            <w:vAlign w:val="bottom"/>
          </w:tcPr>
          <w:p>
            <w:pPr>
              <w:jc w:val="center"/>
              <w:ind w:left="948"/>
              <w:spacing w:after="0"/>
              <w:rPr>
                <w:sz w:val="20"/>
                <w:szCs w:val="20"/>
                <w:color w:val="auto"/>
              </w:rPr>
            </w:pPr>
            <w:r>
              <w:rPr>
                <w:rFonts w:ascii="Arial" w:cs="Arial" w:eastAsia="Arial" w:hAnsi="Arial"/>
                <w:sz w:val="14"/>
                <w:szCs w:val="14"/>
                <w:b w:val="1"/>
                <w:bCs w:val="1"/>
                <w:color w:val="auto"/>
                <w:w w:val="94"/>
              </w:rPr>
              <w:t>(Audited)</w:t>
            </w:r>
          </w:p>
        </w:tc>
      </w:tr>
      <w:tr>
        <w:trPr>
          <w:trHeight w:val="520"/>
        </w:trPr>
        <w:tc>
          <w:tcPr>
            <w:tcW w:w="4360" w:type="dxa"/>
            <w:vAlign w:val="bottom"/>
          </w:tcPr>
          <w:p>
            <w:pPr>
              <w:spacing w:after="0"/>
              <w:rPr>
                <w:sz w:val="20"/>
                <w:szCs w:val="20"/>
                <w:color w:val="auto"/>
              </w:rPr>
            </w:pPr>
            <w:r>
              <w:rPr>
                <w:rFonts w:ascii="Arial" w:cs="Arial" w:eastAsia="Arial" w:hAnsi="Arial"/>
                <w:sz w:val="14"/>
                <w:szCs w:val="14"/>
                <w:color w:val="auto"/>
              </w:rPr>
              <w:t>Cash and short-term investments</w:t>
            </w:r>
          </w:p>
        </w:tc>
        <w:tc>
          <w:tcPr>
            <w:tcW w:w="4340" w:type="dxa"/>
            <w:vAlign w:val="bottom"/>
          </w:tcPr>
          <w:p>
            <w:pPr>
              <w:jc w:val="center"/>
              <w:ind w:left="1368"/>
              <w:spacing w:after="0"/>
              <w:rPr>
                <w:sz w:val="20"/>
                <w:szCs w:val="20"/>
                <w:color w:val="auto"/>
              </w:rPr>
            </w:pPr>
            <w:r>
              <w:rPr>
                <w:rFonts w:ascii="Arial" w:cs="Arial" w:eastAsia="Arial" w:hAnsi="Arial"/>
                <w:sz w:val="14"/>
                <w:szCs w:val="14"/>
                <w:color w:val="auto"/>
                <w:w w:val="90"/>
              </w:rPr>
              <w:t>260,587</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0"/>
              </w:rPr>
              <w:t>189,901</w:t>
            </w:r>
          </w:p>
        </w:tc>
      </w:tr>
      <w:tr>
        <w:trPr>
          <w:trHeight w:val="176"/>
        </w:trPr>
        <w:tc>
          <w:tcPr>
            <w:tcW w:w="4360" w:type="dxa"/>
            <w:vAlign w:val="bottom"/>
          </w:tcPr>
          <w:p>
            <w:pPr>
              <w:spacing w:after="0"/>
              <w:rPr>
                <w:sz w:val="20"/>
                <w:szCs w:val="20"/>
                <w:color w:val="auto"/>
              </w:rPr>
            </w:pPr>
            <w:r>
              <w:rPr>
                <w:rFonts w:ascii="Arial" w:cs="Arial" w:eastAsia="Arial" w:hAnsi="Arial"/>
                <w:sz w:val="14"/>
                <w:szCs w:val="14"/>
                <w:color w:val="auto"/>
              </w:rPr>
              <w:t>Debt</w:t>
            </w:r>
          </w:p>
        </w:tc>
        <w:tc>
          <w:tcPr>
            <w:tcW w:w="4340" w:type="dxa"/>
            <w:vAlign w:val="bottom"/>
          </w:tcPr>
          <w:p>
            <w:pPr>
              <w:jc w:val="center"/>
              <w:ind w:left="1348"/>
              <w:spacing w:after="0"/>
              <w:rPr>
                <w:sz w:val="20"/>
                <w:szCs w:val="20"/>
                <w:color w:val="auto"/>
              </w:rPr>
            </w:pPr>
            <w:r>
              <w:rPr>
                <w:rFonts w:ascii="Arial" w:cs="Arial" w:eastAsia="Arial" w:hAnsi="Arial"/>
                <w:sz w:val="14"/>
                <w:szCs w:val="14"/>
                <w:color w:val="auto"/>
                <w:w w:val="93"/>
              </w:rPr>
              <w:t>(348,511)</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6"/>
              </w:rPr>
              <w:t>(348,306)</w:t>
            </w:r>
          </w:p>
        </w:tc>
      </w:tr>
      <w:tr>
        <w:trPr>
          <w:trHeight w:val="182"/>
        </w:trPr>
        <w:tc>
          <w:tcPr>
            <w:tcW w:w="4360" w:type="dxa"/>
            <w:vAlign w:val="bottom"/>
          </w:tcPr>
          <w:p>
            <w:pPr>
              <w:spacing w:after="0"/>
              <w:rPr>
                <w:sz w:val="20"/>
                <w:szCs w:val="20"/>
                <w:color w:val="auto"/>
              </w:rPr>
            </w:pPr>
            <w:r>
              <w:rPr>
                <w:rFonts w:ascii="Arial" w:cs="Arial" w:eastAsia="Arial" w:hAnsi="Arial"/>
                <w:sz w:val="14"/>
                <w:szCs w:val="14"/>
                <w:color w:val="auto"/>
              </w:rPr>
              <w:t>Net (debt)/cash</w:t>
            </w:r>
          </w:p>
        </w:tc>
        <w:tc>
          <w:tcPr>
            <w:tcW w:w="4340" w:type="dxa"/>
            <w:vAlign w:val="bottom"/>
          </w:tcPr>
          <w:p>
            <w:pPr>
              <w:jc w:val="center"/>
              <w:ind w:left="1368"/>
              <w:spacing w:after="0"/>
              <w:rPr>
                <w:sz w:val="20"/>
                <w:szCs w:val="20"/>
                <w:color w:val="auto"/>
              </w:rPr>
            </w:pPr>
            <w:r>
              <w:rPr>
                <w:rFonts w:ascii="Arial" w:cs="Arial" w:eastAsia="Arial" w:hAnsi="Arial"/>
                <w:sz w:val="14"/>
                <w:szCs w:val="14"/>
                <w:color w:val="auto"/>
                <w:w w:val="95"/>
              </w:rPr>
              <w:t>(87,924)</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6"/>
              </w:rPr>
              <w:t>(158,405)</w:t>
            </w:r>
          </w:p>
        </w:tc>
      </w:tr>
      <w:tr>
        <w:trPr>
          <w:trHeight w:val="344"/>
        </w:trPr>
        <w:tc>
          <w:tcPr>
            <w:tcW w:w="4360" w:type="dxa"/>
            <w:vAlign w:val="bottom"/>
          </w:tcPr>
          <w:p>
            <w:pPr>
              <w:spacing w:after="0"/>
              <w:rPr>
                <w:sz w:val="20"/>
                <w:szCs w:val="20"/>
                <w:color w:val="auto"/>
              </w:rPr>
            </w:pPr>
            <w:r>
              <w:rPr>
                <w:rFonts w:ascii="Arial" w:cs="Arial" w:eastAsia="Arial" w:hAnsi="Arial"/>
                <w:sz w:val="14"/>
                <w:szCs w:val="14"/>
                <w:color w:val="auto"/>
              </w:rPr>
              <w:t>Accounts receivable</w:t>
            </w:r>
          </w:p>
        </w:tc>
        <w:tc>
          <w:tcPr>
            <w:tcW w:w="4340" w:type="dxa"/>
            <w:vAlign w:val="bottom"/>
          </w:tcPr>
          <w:p>
            <w:pPr>
              <w:jc w:val="center"/>
              <w:ind w:left="1368"/>
              <w:spacing w:after="0"/>
              <w:rPr>
                <w:sz w:val="20"/>
                <w:szCs w:val="20"/>
                <w:color w:val="auto"/>
              </w:rPr>
            </w:pPr>
            <w:r>
              <w:rPr>
                <w:rFonts w:ascii="Arial" w:cs="Arial" w:eastAsia="Arial" w:hAnsi="Arial"/>
                <w:sz w:val="14"/>
                <w:szCs w:val="14"/>
                <w:color w:val="auto"/>
                <w:w w:val="90"/>
              </w:rPr>
              <w:t>416,229</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0"/>
              </w:rPr>
              <w:t>409,165</w:t>
            </w:r>
          </w:p>
        </w:tc>
      </w:tr>
      <w:tr>
        <w:trPr>
          <w:trHeight w:val="176"/>
        </w:trPr>
        <w:tc>
          <w:tcPr>
            <w:tcW w:w="4360" w:type="dxa"/>
            <w:vAlign w:val="bottom"/>
          </w:tcPr>
          <w:p>
            <w:pPr>
              <w:spacing w:after="0"/>
              <w:rPr>
                <w:sz w:val="20"/>
                <w:szCs w:val="20"/>
                <w:color w:val="auto"/>
              </w:rPr>
            </w:pPr>
            <w:r>
              <w:rPr>
                <w:rFonts w:ascii="Arial" w:cs="Arial" w:eastAsia="Arial" w:hAnsi="Arial"/>
                <w:sz w:val="14"/>
                <w:szCs w:val="14"/>
                <w:color w:val="auto"/>
              </w:rPr>
              <w:t>Unbilled revenue</w:t>
            </w:r>
          </w:p>
        </w:tc>
        <w:tc>
          <w:tcPr>
            <w:tcW w:w="4340" w:type="dxa"/>
            <w:vAlign w:val="bottom"/>
          </w:tcPr>
          <w:p>
            <w:pPr>
              <w:jc w:val="center"/>
              <w:ind w:left="1368"/>
              <w:spacing w:after="0"/>
              <w:rPr>
                <w:sz w:val="20"/>
                <w:szCs w:val="20"/>
                <w:color w:val="auto"/>
              </w:rPr>
            </w:pPr>
            <w:r>
              <w:rPr>
                <w:rFonts w:ascii="Arial" w:cs="Arial" w:eastAsia="Arial" w:hAnsi="Arial"/>
                <w:sz w:val="14"/>
                <w:szCs w:val="14"/>
                <w:color w:val="auto"/>
                <w:w w:val="90"/>
              </w:rPr>
              <w:t>192,687</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0"/>
              </w:rPr>
              <w:t>173,649</w:t>
            </w:r>
          </w:p>
        </w:tc>
      </w:tr>
      <w:tr>
        <w:trPr>
          <w:trHeight w:val="176"/>
        </w:trPr>
        <w:tc>
          <w:tcPr>
            <w:tcW w:w="4360" w:type="dxa"/>
            <w:vAlign w:val="bottom"/>
          </w:tcPr>
          <w:p>
            <w:pPr>
              <w:spacing w:after="0"/>
              <w:rPr>
                <w:sz w:val="20"/>
                <w:szCs w:val="20"/>
                <w:color w:val="auto"/>
              </w:rPr>
            </w:pPr>
            <w:r>
              <w:rPr>
                <w:rFonts w:ascii="Arial" w:cs="Arial" w:eastAsia="Arial" w:hAnsi="Arial"/>
                <w:sz w:val="14"/>
                <w:szCs w:val="14"/>
                <w:color w:val="auto"/>
              </w:rPr>
              <w:t>Payments on account</w:t>
            </w:r>
          </w:p>
        </w:tc>
        <w:tc>
          <w:tcPr>
            <w:tcW w:w="4340" w:type="dxa"/>
            <w:vAlign w:val="bottom"/>
          </w:tcPr>
          <w:p>
            <w:pPr>
              <w:jc w:val="center"/>
              <w:ind w:left="1348"/>
              <w:spacing w:after="0"/>
              <w:rPr>
                <w:sz w:val="20"/>
                <w:szCs w:val="20"/>
                <w:color w:val="auto"/>
              </w:rPr>
            </w:pPr>
            <w:r>
              <w:rPr>
                <w:rFonts w:ascii="Arial" w:cs="Arial" w:eastAsia="Arial" w:hAnsi="Arial"/>
                <w:sz w:val="14"/>
                <w:szCs w:val="14"/>
                <w:color w:val="auto"/>
                <w:w w:val="93"/>
              </w:rPr>
              <w:t>(272,757)</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6"/>
              </w:rPr>
              <w:t>(318,697)</w:t>
            </w:r>
          </w:p>
        </w:tc>
      </w:tr>
      <w:tr>
        <w:trPr>
          <w:trHeight w:val="182"/>
        </w:trPr>
        <w:tc>
          <w:tcPr>
            <w:tcW w:w="4360" w:type="dxa"/>
            <w:vAlign w:val="bottom"/>
          </w:tcPr>
          <w:p>
            <w:pPr>
              <w:spacing w:after="0"/>
              <w:rPr>
                <w:sz w:val="20"/>
                <w:szCs w:val="20"/>
                <w:color w:val="auto"/>
              </w:rPr>
            </w:pPr>
            <w:r>
              <w:rPr>
                <w:rFonts w:ascii="Arial" w:cs="Arial" w:eastAsia="Arial" w:hAnsi="Arial"/>
                <w:sz w:val="14"/>
                <w:szCs w:val="14"/>
                <w:color w:val="auto"/>
              </w:rPr>
              <w:t>Total</w:t>
            </w:r>
          </w:p>
        </w:tc>
        <w:tc>
          <w:tcPr>
            <w:tcW w:w="4340" w:type="dxa"/>
            <w:vAlign w:val="bottom"/>
          </w:tcPr>
          <w:p>
            <w:pPr>
              <w:jc w:val="center"/>
              <w:ind w:left="1368"/>
              <w:spacing w:after="0"/>
              <w:rPr>
                <w:sz w:val="20"/>
                <w:szCs w:val="20"/>
                <w:color w:val="auto"/>
              </w:rPr>
            </w:pPr>
            <w:r>
              <w:rPr>
                <w:rFonts w:ascii="Arial" w:cs="Arial" w:eastAsia="Arial" w:hAnsi="Arial"/>
                <w:sz w:val="14"/>
                <w:szCs w:val="14"/>
                <w:color w:val="auto"/>
                <w:w w:val="90"/>
              </w:rPr>
              <w:t>336,159</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0"/>
              </w:rPr>
              <w:t>264,117</w:t>
            </w:r>
          </w:p>
        </w:tc>
      </w:tr>
      <w:tr>
        <w:trPr>
          <w:trHeight w:val="351"/>
        </w:trPr>
        <w:tc>
          <w:tcPr>
            <w:tcW w:w="4360" w:type="dxa"/>
            <w:vAlign w:val="bottom"/>
          </w:tcPr>
          <w:p>
            <w:pPr>
              <w:spacing w:after="0"/>
              <w:rPr>
                <w:sz w:val="20"/>
                <w:szCs w:val="20"/>
                <w:color w:val="auto"/>
              </w:rPr>
            </w:pPr>
            <w:r>
              <w:rPr>
                <w:rFonts w:ascii="Arial" w:cs="Arial" w:eastAsia="Arial" w:hAnsi="Arial"/>
                <w:sz w:val="14"/>
                <w:szCs w:val="14"/>
                <w:color w:val="auto"/>
              </w:rPr>
              <w:t>Working Capital</w:t>
            </w:r>
          </w:p>
        </w:tc>
        <w:tc>
          <w:tcPr>
            <w:tcW w:w="4340" w:type="dxa"/>
            <w:vAlign w:val="bottom"/>
          </w:tcPr>
          <w:p>
            <w:pPr>
              <w:jc w:val="center"/>
              <w:ind w:left="1368"/>
              <w:spacing w:after="0"/>
              <w:rPr>
                <w:sz w:val="20"/>
                <w:szCs w:val="20"/>
                <w:color w:val="auto"/>
              </w:rPr>
            </w:pPr>
            <w:r>
              <w:rPr>
                <w:rFonts w:ascii="Arial" w:cs="Arial" w:eastAsia="Arial" w:hAnsi="Arial"/>
                <w:sz w:val="14"/>
                <w:szCs w:val="14"/>
                <w:color w:val="auto"/>
                <w:w w:val="90"/>
              </w:rPr>
              <w:t>463,552</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0"/>
              </w:rPr>
              <w:t>290,939</w:t>
            </w:r>
          </w:p>
        </w:tc>
      </w:tr>
      <w:tr>
        <w:trPr>
          <w:trHeight w:val="351"/>
        </w:trPr>
        <w:tc>
          <w:tcPr>
            <w:tcW w:w="4360" w:type="dxa"/>
            <w:vAlign w:val="bottom"/>
          </w:tcPr>
          <w:p>
            <w:pPr>
              <w:spacing w:after="0"/>
              <w:rPr>
                <w:sz w:val="20"/>
                <w:szCs w:val="20"/>
                <w:color w:val="auto"/>
              </w:rPr>
            </w:pPr>
            <w:r>
              <w:rPr>
                <w:rFonts w:ascii="Arial" w:cs="Arial" w:eastAsia="Arial" w:hAnsi="Arial"/>
                <w:sz w:val="14"/>
                <w:szCs w:val="14"/>
                <w:color w:val="auto"/>
              </w:rPr>
              <w:t>Total Assets</w:t>
            </w:r>
          </w:p>
        </w:tc>
        <w:tc>
          <w:tcPr>
            <w:tcW w:w="4340" w:type="dxa"/>
            <w:vAlign w:val="bottom"/>
          </w:tcPr>
          <w:p>
            <w:pPr>
              <w:jc w:val="center"/>
              <w:ind w:left="1368"/>
              <w:spacing w:after="0"/>
              <w:rPr>
                <w:sz w:val="20"/>
                <w:szCs w:val="20"/>
                <w:color w:val="auto"/>
              </w:rPr>
            </w:pPr>
            <w:r>
              <w:rPr>
                <w:rFonts w:ascii="Arial" w:cs="Arial" w:eastAsia="Arial" w:hAnsi="Arial"/>
                <w:sz w:val="14"/>
                <w:szCs w:val="14"/>
                <w:color w:val="auto"/>
                <w:w w:val="93"/>
              </w:rPr>
              <w:t>1,825,843</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3"/>
              </w:rPr>
              <w:t>1,717,209</w:t>
            </w:r>
          </w:p>
        </w:tc>
      </w:tr>
      <w:tr>
        <w:trPr>
          <w:trHeight w:val="351"/>
        </w:trPr>
        <w:tc>
          <w:tcPr>
            <w:tcW w:w="4360" w:type="dxa"/>
            <w:vAlign w:val="bottom"/>
          </w:tcPr>
          <w:p>
            <w:pPr>
              <w:spacing w:after="0"/>
              <w:rPr>
                <w:sz w:val="20"/>
                <w:szCs w:val="20"/>
                <w:color w:val="auto"/>
              </w:rPr>
            </w:pPr>
            <w:r>
              <w:rPr>
                <w:rFonts w:ascii="Arial" w:cs="Arial" w:eastAsia="Arial" w:hAnsi="Arial"/>
                <w:sz w:val="14"/>
                <w:szCs w:val="14"/>
                <w:color w:val="auto"/>
              </w:rPr>
              <w:t>Shareholder's Equity</w:t>
            </w:r>
          </w:p>
        </w:tc>
        <w:tc>
          <w:tcPr>
            <w:tcW w:w="4340" w:type="dxa"/>
            <w:vAlign w:val="bottom"/>
          </w:tcPr>
          <w:p>
            <w:pPr>
              <w:jc w:val="center"/>
              <w:ind w:left="1368"/>
              <w:spacing w:after="0"/>
              <w:rPr>
                <w:sz w:val="20"/>
                <w:szCs w:val="20"/>
                <w:color w:val="auto"/>
              </w:rPr>
            </w:pPr>
            <w:r>
              <w:rPr>
                <w:rFonts w:ascii="Arial" w:cs="Arial" w:eastAsia="Arial" w:hAnsi="Arial"/>
                <w:sz w:val="14"/>
                <w:szCs w:val="14"/>
                <w:color w:val="auto"/>
                <w:w w:val="90"/>
              </w:rPr>
              <w:t>945,174</w:t>
            </w:r>
          </w:p>
        </w:tc>
        <w:tc>
          <w:tcPr>
            <w:tcW w:w="1880" w:type="dxa"/>
            <w:vAlign w:val="bottom"/>
          </w:tcPr>
          <w:p>
            <w:pPr>
              <w:jc w:val="center"/>
              <w:ind w:left="948"/>
              <w:spacing w:after="0"/>
              <w:rPr>
                <w:sz w:val="20"/>
                <w:szCs w:val="20"/>
                <w:color w:val="auto"/>
              </w:rPr>
            </w:pPr>
            <w:r>
              <w:rPr>
                <w:rFonts w:ascii="Arial" w:cs="Arial" w:eastAsia="Arial" w:hAnsi="Arial"/>
                <w:sz w:val="14"/>
                <w:szCs w:val="14"/>
                <w:color w:val="auto"/>
                <w:w w:val="90"/>
              </w:rPr>
              <w:t>763,096</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 plc</w:t>
      </w:r>
    </w:p>
    <w:p>
      <w:pPr>
        <w:spacing w:after="0" w:line="230" w:lineRule="auto"/>
        <w:rPr>
          <w:sz w:val="20"/>
          <w:szCs w:val="20"/>
          <w:color w:val="auto"/>
        </w:rPr>
      </w:pPr>
      <w:r>
        <w:rPr>
          <w:rFonts w:ascii="Arial" w:cs="Arial" w:eastAsia="Arial" w:hAnsi="Arial"/>
          <w:sz w:val="22"/>
          <w:szCs w:val="22"/>
          <w:color w:val="auto"/>
        </w:rPr>
        <w:t>Investor Relations, 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+ 353–1-291-2000</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Simon Holmes, + 353–1-291-2000</w:t>
      </w:r>
    </w:p>
    <w:p>
      <w:pPr>
        <w:spacing w:after="0" w:line="230" w:lineRule="auto"/>
        <w:rPr>
          <w:sz w:val="20"/>
          <w:szCs w:val="20"/>
          <w:color w:val="auto"/>
        </w:rPr>
      </w:pPr>
      <w:r>
        <w:rPr>
          <w:rFonts w:ascii="Arial" w:cs="Arial" w:eastAsia="Arial" w:hAnsi="Arial"/>
          <w:sz w:val="22"/>
          <w:szCs w:val="22"/>
          <w:color w:val="auto"/>
        </w:rPr>
        <w:t>EVP Investor Relations and Corporate Development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http://www.iconplc.com</w:t>
      </w:r>
    </w:p>
    <w:sectPr>
      <w:pgSz w:w="11900" w:h="16838" w:orient="portrait"/>
      <w:cols w:equalWidth="0" w:num="1">
        <w:col w:w="10580"/>
      </w:cols>
      <w:pgMar w:left="240" w:top="306" w:right="10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2019-12-06T09:27:23Z</dcterms:created>
  <dcterms:modified xsi:type="dcterms:W3CDTF">2019-12-06T09:27:23Z</dcterms:modified>
</cp:coreProperties>
</file>