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D.C.20549</w:t>
      </w:r>
    </w:p>
    <w:p>
      <w:pPr>
        <w:spacing w:after="0" w:line="1" w:lineRule="exact"/>
        <w:rPr>
          <w:sz w:val="24"/>
          <w:szCs w:val="24"/>
          <w:color w:val="auto"/>
        </w:rPr>
      </w:pPr>
    </w:p>
    <w:p>
      <w:pPr>
        <w:ind w:left="2820"/>
        <w:spacing w:after="0"/>
        <w:rPr>
          <w:sz w:val="20"/>
          <w:szCs w:val="20"/>
          <w:color w:val="auto"/>
        </w:rPr>
      </w:pPr>
      <w:r>
        <w:rPr>
          <w:rFonts w:ascii="Arial" w:cs="Arial" w:eastAsia="Arial" w:hAnsi="Arial"/>
          <w:sz w:val="14"/>
          <w:szCs w:val="14"/>
          <w:u w:val="single" w:color="auto"/>
          <w:color w:val="auto"/>
        </w:rPr>
        <w:t>______________________________________________________________________</w:t>
      </w:r>
    </w:p>
    <w:p>
      <w:pPr>
        <w:spacing w:after="0" w:line="1"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20-F</w:t>
      </w:r>
    </w:p>
    <w:p>
      <w:pPr>
        <w:ind w:left="5240"/>
        <w:spacing w:after="0" w:line="233" w:lineRule="auto"/>
        <w:rPr>
          <w:sz w:val="20"/>
          <w:szCs w:val="20"/>
          <w:color w:val="auto"/>
        </w:rPr>
      </w:pPr>
      <w:r>
        <w:rPr>
          <w:rFonts w:ascii="Arial" w:cs="Arial" w:eastAsia="Arial" w:hAnsi="Arial"/>
          <w:sz w:val="14"/>
          <w:szCs w:val="14"/>
          <w:b w:val="1"/>
          <w:bCs w:val="1"/>
          <w:color w:val="auto"/>
        </w:rPr>
        <w:t>(Mark One)</w:t>
      </w:r>
    </w:p>
    <w:p>
      <w:pPr>
        <w:spacing w:after="0" w:line="2" w:lineRule="exact"/>
        <w:rPr>
          <w:sz w:val="24"/>
          <w:szCs w:val="24"/>
          <w:color w:val="auto"/>
        </w:rPr>
      </w:pPr>
    </w:p>
    <w:p>
      <w:pPr>
        <w:ind w:left="2500" w:hanging="184"/>
        <w:spacing w:after="0"/>
        <w:tabs>
          <w:tab w:leader="none" w:pos="25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800" w:hanging="184"/>
        <w:spacing w:after="0"/>
        <w:tabs>
          <w:tab w:leader="none" w:pos="2800" w:val="left"/>
        </w:tabs>
        <w:numPr>
          <w:ilvl w:val="1"/>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 (d) of the Securities Exchange Act of 1934</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 December 31, 2021</w:t>
      </w:r>
    </w:p>
    <w:p>
      <w:pPr>
        <w:jc w:val="center"/>
        <w:ind w:right="-99"/>
        <w:spacing w:after="0" w:line="233" w:lineRule="auto"/>
        <w:rPr>
          <w:sz w:val="20"/>
          <w:szCs w:val="20"/>
          <w:color w:val="auto"/>
        </w:rPr>
      </w:pPr>
      <w:r>
        <w:rPr>
          <w:rFonts w:ascii="Arial" w:cs="Arial" w:eastAsia="Arial" w:hAnsi="Arial"/>
          <w:sz w:val="14"/>
          <w:szCs w:val="14"/>
          <w:b w:val="1"/>
          <w:bCs w:val="1"/>
          <w:color w:val="auto"/>
        </w:rPr>
        <w:t>OR</w:t>
      </w:r>
    </w:p>
    <w:p>
      <w:pPr>
        <w:spacing w:after="0" w:line="2" w:lineRule="exact"/>
        <w:rPr>
          <w:sz w:val="24"/>
          <w:szCs w:val="24"/>
          <w:color w:val="auto"/>
        </w:rPr>
      </w:pPr>
    </w:p>
    <w:p>
      <w:pPr>
        <w:ind w:left="2720" w:hanging="184"/>
        <w:spacing w:after="0"/>
        <w:tabs>
          <w:tab w:leader="none" w:pos="2720" w:val="left"/>
        </w:tabs>
        <w:numPr>
          <w:ilvl w:val="1"/>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540" w:hanging="180"/>
        <w:spacing w:after="0"/>
        <w:tabs>
          <w:tab w:leader="none" w:pos="254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1"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Arial" w:cs="Arial" w:eastAsia="Arial" w:hAnsi="Arial"/>
          <w:sz w:val="14"/>
          <w:szCs w:val="14"/>
          <w:b w:val="1"/>
          <w:bCs w:val="1"/>
          <w:u w:val="single" w:color="auto"/>
          <w:color w:val="auto"/>
        </w:rPr>
        <w:t>_____________________________________</w:t>
      </w:r>
    </w:p>
    <w:p>
      <w:pPr>
        <w:spacing w:after="0" w:line="23"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333-08704</w:t>
      </w:r>
    </w:p>
    <w:p>
      <w:pPr>
        <w:spacing w:after="0" w:line="29" w:lineRule="exact"/>
        <w:rPr>
          <w:rFonts w:ascii="MS PGothic" w:cs="MS PGothic" w:eastAsia="MS PGothic" w:hAnsi="MS PGothic"/>
          <w:sz w:val="16"/>
          <w:szCs w:val="16"/>
          <w:color w:val="auto"/>
        </w:rPr>
      </w:pPr>
    </w:p>
    <w:p>
      <w:pPr>
        <w:ind w:left="44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111125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2"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(Translation of Registrant’s name into English)</w:t>
      </w:r>
    </w:p>
    <w:p>
      <w:pPr>
        <w:spacing w:after="0" w:line="64" w:lineRule="exact"/>
        <w:rPr>
          <w:sz w:val="24"/>
          <w:szCs w:val="24"/>
          <w:color w:val="auto"/>
        </w:rPr>
      </w:pPr>
    </w:p>
    <w:p>
      <w:pPr>
        <w:ind w:left="538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17780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3"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(Jurisdiction of Incorporation or Organization)</w:t>
      </w:r>
    </w:p>
    <w:p>
      <w:pPr>
        <w:spacing w:after="0" w:line="64"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South County Business Park,</w:t>
      </w:r>
    </w:p>
    <w:p>
      <w:pPr>
        <w:spacing w:after="0" w:line="29" w:lineRule="exact"/>
        <w:rPr>
          <w:sz w:val="24"/>
          <w:szCs w:val="24"/>
          <w:color w:val="auto"/>
        </w:rPr>
      </w:pPr>
    </w:p>
    <w:p>
      <w:pPr>
        <w:jc w:val="right"/>
        <w:ind w:right="5040"/>
        <w:spacing w:after="0"/>
        <w:rPr>
          <w:sz w:val="20"/>
          <w:szCs w:val="20"/>
          <w:color w:val="auto"/>
        </w:rPr>
      </w:pPr>
      <w:r>
        <w:rPr>
          <w:rFonts w:ascii="Arial" w:cs="Arial" w:eastAsia="Arial" w:hAnsi="Arial"/>
          <w:sz w:val="14"/>
          <w:szCs w:val="14"/>
          <w:b w:val="1"/>
          <w:bCs w:val="1"/>
          <w:color w:val="auto"/>
        </w:rPr>
        <w:t>Leopardstown,</w:t>
      </w:r>
    </w:p>
    <w:p>
      <w:pPr>
        <w:spacing w:after="0" w:line="28" w:lineRule="exact"/>
        <w:rPr>
          <w:sz w:val="24"/>
          <w:szCs w:val="24"/>
          <w:color w:val="auto"/>
        </w:rPr>
      </w:pPr>
    </w:p>
    <w:p>
      <w:pPr>
        <w:jc w:val="right"/>
        <w:ind w:right="5060"/>
        <w:spacing w:after="0"/>
        <w:rPr>
          <w:sz w:val="20"/>
          <w:szCs w:val="20"/>
          <w:color w:val="auto"/>
        </w:rPr>
      </w:pPr>
      <w:r>
        <w:rPr>
          <w:rFonts w:ascii="Arial" w:cs="Arial" w:eastAsia="Arial" w:hAnsi="Arial"/>
          <w:sz w:val="14"/>
          <w:szCs w:val="14"/>
          <w:b w:val="1"/>
          <w:bCs w:val="1"/>
          <w:color w:val="auto"/>
        </w:rPr>
        <w:t>Dublin 18, D18 X5R3,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42545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92"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(Address of principal executive offices)</w:t>
      </w:r>
    </w:p>
    <w:p>
      <w:pPr>
        <w:spacing w:after="0" w:line="78"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Brendan Brennan, Chief Financial Officer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County Business Park, Leopardstown, Dublin 18, D18 X5R3, Ireland.</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Brendan.Brennan@iconplc.com</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+353-1-291-2000</w:t>
      </w:r>
    </w:p>
    <w:p>
      <w:pPr>
        <w:ind w:left="4140"/>
        <w:spacing w:after="0" w:line="215" w:lineRule="auto"/>
        <w:rPr>
          <w:sz w:val="20"/>
          <w:szCs w:val="20"/>
          <w:color w:val="auto"/>
        </w:rPr>
      </w:pPr>
      <w:r>
        <w:rPr>
          <w:rFonts w:ascii="Arial" w:cs="Arial" w:eastAsia="Arial" w:hAnsi="Arial"/>
          <w:sz w:val="14"/>
          <w:szCs w:val="14"/>
          <w:b w:val="1"/>
          <w:bCs w:val="1"/>
          <w:color w:val="auto"/>
        </w:rPr>
        <w:t>_____________________________________</w:t>
      </w:r>
    </w:p>
    <w:p>
      <w:pPr>
        <w:spacing w:after="0" w:line="21" w:lineRule="exact"/>
        <w:rPr>
          <w:sz w:val="24"/>
          <w:szCs w:val="24"/>
          <w:color w:val="auto"/>
        </w:rPr>
      </w:pPr>
    </w:p>
    <w:tbl>
      <w:tblPr>
        <w:tblLayout w:type="fixed"/>
        <w:tblInd w:w="560" w:type="dxa"/>
        <w:tblCellMar>
          <w:top w:w="0" w:type="dxa"/>
          <w:left w:w="0" w:type="dxa"/>
          <w:bottom w:w="0" w:type="dxa"/>
          <w:right w:w="0" w:type="dxa"/>
        </w:tblCellMar>
      </w:tblPr>
      <w:tr>
        <w:trPr>
          <w:trHeight w:val="20"/>
        </w:trPr>
        <w:tc>
          <w:tcPr>
            <w:tcW w:w="3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0"/>
        </w:trPr>
        <w:tc>
          <w:tcPr>
            <w:tcW w:w="8240" w:type="dxa"/>
            <w:vAlign w:val="bottom"/>
            <w:gridSpan w:val="4"/>
          </w:tcPr>
          <w:p>
            <w:pPr>
              <w:jc w:val="right"/>
              <w:spacing w:after="0" w:line="141" w:lineRule="exact"/>
              <w:rPr>
                <w:sz w:val="20"/>
                <w:szCs w:val="20"/>
                <w:color w:val="auto"/>
              </w:rPr>
            </w:pPr>
            <w:r>
              <w:rPr>
                <w:rFonts w:ascii="Arial" w:cs="Arial" w:eastAsia="Arial" w:hAnsi="Arial"/>
                <w:sz w:val="14"/>
                <w:szCs w:val="14"/>
                <w:color w:val="auto"/>
              </w:rPr>
              <w:t>(Name, telephone number, email and/or facsimile number and address of Company contact person)</w:t>
            </w:r>
          </w:p>
        </w:tc>
      </w:tr>
      <w:tr>
        <w:trPr>
          <w:trHeight w:val="172"/>
        </w:trPr>
        <w:tc>
          <w:tcPr>
            <w:tcW w:w="8240" w:type="dxa"/>
            <w:vAlign w:val="bottom"/>
            <w:gridSpan w:val="4"/>
          </w:tcPr>
          <w:p>
            <w:pPr>
              <w:jc w:val="right"/>
              <w:ind w:right="740"/>
              <w:spacing w:after="0"/>
              <w:rPr>
                <w:sz w:val="20"/>
                <w:szCs w:val="20"/>
                <w:color w:val="auto"/>
              </w:rPr>
            </w:pPr>
            <w:r>
              <w:rPr>
                <w:rFonts w:ascii="Arial" w:cs="Arial" w:eastAsia="Arial" w:hAnsi="Arial"/>
                <w:sz w:val="14"/>
                <w:szCs w:val="14"/>
                <w:color w:val="auto"/>
              </w:rPr>
              <w:t>Securities registered or to be registered pursuant to Section 12(b) of the Act:</w:t>
            </w:r>
          </w:p>
        </w:tc>
      </w:tr>
      <w:tr>
        <w:trPr>
          <w:trHeight w:val="309"/>
        </w:trPr>
        <w:tc>
          <w:tcPr>
            <w:tcW w:w="3600" w:type="dxa"/>
            <w:vAlign w:val="bottom"/>
          </w:tcPr>
          <w:p>
            <w:pPr>
              <w:jc w:val="center"/>
              <w:ind w:right="388"/>
              <w:spacing w:after="0"/>
              <w:rPr>
                <w:sz w:val="20"/>
                <w:szCs w:val="20"/>
                <w:color w:val="auto"/>
              </w:rPr>
            </w:pPr>
            <w:r>
              <w:rPr>
                <w:rFonts w:ascii="Arial" w:cs="Arial" w:eastAsia="Arial" w:hAnsi="Arial"/>
                <w:sz w:val="14"/>
                <w:szCs w:val="14"/>
                <w:i w:val="1"/>
                <w:iCs w:val="1"/>
                <w:color w:val="auto"/>
              </w:rPr>
              <w:t>Title of each class</w:t>
            </w:r>
          </w:p>
        </w:tc>
        <w:tc>
          <w:tcPr>
            <w:tcW w:w="1460" w:type="dxa"/>
            <w:vAlign w:val="bottom"/>
          </w:tcPr>
          <w:p>
            <w:pPr>
              <w:spacing w:after="0"/>
              <w:rPr>
                <w:sz w:val="24"/>
                <w:szCs w:val="24"/>
                <w:color w:val="auto"/>
              </w:rPr>
            </w:pPr>
          </w:p>
        </w:tc>
        <w:tc>
          <w:tcPr>
            <w:tcW w:w="318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Name of exchange on which registered</w:t>
            </w:r>
          </w:p>
        </w:tc>
      </w:tr>
      <w:tr>
        <w:trPr>
          <w:trHeight w:val="190"/>
        </w:trPr>
        <w:tc>
          <w:tcPr>
            <w:tcW w:w="3600" w:type="dxa"/>
            <w:vAlign w:val="bottom"/>
          </w:tcPr>
          <w:p>
            <w:pPr>
              <w:jc w:val="center"/>
              <w:ind w:right="388"/>
              <w:spacing w:after="0"/>
              <w:rPr>
                <w:sz w:val="20"/>
                <w:szCs w:val="20"/>
                <w:color w:val="auto"/>
              </w:rPr>
            </w:pPr>
            <w:r>
              <w:rPr>
                <w:rFonts w:ascii="Arial" w:cs="Arial" w:eastAsia="Arial" w:hAnsi="Arial"/>
                <w:sz w:val="14"/>
                <w:szCs w:val="14"/>
                <w:b w:val="1"/>
                <w:bCs w:val="1"/>
                <w:color w:val="auto"/>
              </w:rPr>
              <w:t>ORDINARY SHARES, PAR VALUE €0.06 EACH</w:t>
            </w:r>
          </w:p>
        </w:tc>
        <w:tc>
          <w:tcPr>
            <w:tcW w:w="1460" w:type="dxa"/>
            <w:vAlign w:val="bottom"/>
          </w:tcPr>
          <w:p>
            <w:pPr>
              <w:ind w:left="780"/>
              <w:spacing w:after="0"/>
              <w:rPr>
                <w:sz w:val="20"/>
                <w:szCs w:val="20"/>
                <w:color w:val="auto"/>
              </w:rPr>
            </w:pPr>
            <w:r>
              <w:rPr>
                <w:rFonts w:ascii="Arial" w:cs="Arial" w:eastAsia="Arial" w:hAnsi="Arial"/>
                <w:sz w:val="14"/>
                <w:szCs w:val="14"/>
                <w:color w:val="auto"/>
              </w:rPr>
              <w:t>ICLR</w:t>
            </w:r>
          </w:p>
        </w:tc>
        <w:tc>
          <w:tcPr>
            <w:tcW w:w="3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7"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14"/>
          <w:szCs w:val="14"/>
          <w:i w:val="1"/>
          <w:iCs w:val="1"/>
          <w:color w:val="auto"/>
        </w:rPr>
        <w:t>Title of each class</w:t>
      </w:r>
    </w:p>
    <w:p>
      <w:pPr>
        <w:spacing w:after="0" w:line="42" w:lineRule="exact"/>
        <w:rPr>
          <w:sz w:val="24"/>
          <w:szCs w:val="24"/>
          <w:color w:val="auto"/>
        </w:rPr>
      </w:pPr>
    </w:p>
    <w:p>
      <w:pPr>
        <w:ind w:left="5400"/>
        <w:spacing w:after="0"/>
        <w:rPr>
          <w:sz w:val="20"/>
          <w:szCs w:val="20"/>
          <w:color w:val="auto"/>
        </w:rPr>
      </w:pPr>
      <w:r>
        <w:rPr>
          <w:rFonts w:ascii="Arial" w:cs="Arial" w:eastAsia="Arial" w:hAnsi="Arial"/>
          <w:sz w:val="14"/>
          <w:szCs w:val="14"/>
          <w:color w:val="auto"/>
        </w:rPr>
        <w:t>NONE</w:t>
      </w:r>
    </w:p>
    <w:p>
      <w:pPr>
        <w:spacing w:after="0" w:line="28"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NONE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(Title of class)</w:t>
      </w:r>
    </w:p>
    <w:p>
      <w:pPr>
        <w:spacing w:after="0" w:line="124" w:lineRule="exact"/>
        <w:rPr>
          <w:sz w:val="24"/>
          <w:szCs w:val="24"/>
          <w:color w:val="auto"/>
        </w:rPr>
      </w:pPr>
    </w:p>
    <w:p>
      <w:pPr>
        <w:ind w:right="420"/>
        <w:spacing w:after="0" w:line="239"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81,554,683 Ordinary Shares.</w:t>
      </w:r>
    </w:p>
    <w:p>
      <w:pPr>
        <w:spacing w:after="0" w:line="161" w:lineRule="exact"/>
        <w:tabs>
          <w:tab w:leader="none" w:pos="820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w:t>
      </w:r>
    </w:p>
    <w:p>
      <w:pPr>
        <w:sectPr>
          <w:pgSz w:w="11900" w:h="16838" w:orient="portrait"/>
          <w:cols w:equalWidth="0" w:num="1">
            <w:col w:w="11160"/>
          </w:cols>
          <w:pgMar w:left="320" w:top="801" w:right="419" w:bottom="1440" w:gutter="0" w:footer="0" w:header="0"/>
        </w:sectPr>
      </w:pPr>
    </w:p>
    <w:p>
      <w:pPr>
        <w:spacing w:after="0" w:line="155" w:lineRule="exact"/>
        <w:tabs>
          <w:tab w:leader="none" w:pos="5640" w:val="left"/>
        </w:tabs>
        <w:rPr>
          <w:sz w:val="20"/>
          <w:szCs w:val="20"/>
          <w:color w:val="auto"/>
        </w:rPr>
      </w:pPr>
      <w:r>
        <w:rPr>
          <w:rFonts w:ascii="Arial" w:cs="Arial" w:eastAsia="Arial" w:hAnsi="Arial"/>
          <w:sz w:val="14"/>
          <w:szCs w:val="14"/>
          <w:color w:val="auto"/>
        </w:rPr>
        <w:t xml:space="preserve">posted pursuant to Rule 405 of Regulation S-T during the preceding 12 months: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 accelerated filer.</w:t>
      </w:r>
    </w:p>
    <w:p>
      <w:pPr>
        <w:spacing w:after="0" w:line="1" w:lineRule="exact"/>
        <w:rPr>
          <w:sz w:val="24"/>
          <w:szCs w:val="24"/>
          <w:color w:val="auto"/>
        </w:rPr>
      </w:pPr>
    </w:p>
    <w:p>
      <w:pPr>
        <w:spacing w:after="0" w:line="161" w:lineRule="exact"/>
        <w:tabs>
          <w:tab w:leader="none" w:pos="37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23" w:lineRule="exact"/>
        <w:rPr>
          <w:sz w:val="24"/>
          <w:szCs w:val="24"/>
          <w:color w:val="auto"/>
        </w:rPr>
      </w:pPr>
    </w:p>
    <w:p>
      <w:pPr>
        <w:sectPr>
          <w:pgSz w:w="11900" w:h="16838" w:orient="portrait"/>
          <w:cols w:equalWidth="0" w:num="2">
            <w:col w:w="7520" w:space="180"/>
            <w:col w:w="3460"/>
          </w:cols>
          <w:pgMar w:left="320" w:top="801" w:right="419" w:bottom="1440" w:gutter="0" w:footer="0" w:header="0"/>
          <w:type w:val="continuous"/>
        </w:sectPr>
      </w:pPr>
    </w:p>
    <w:p>
      <w:pPr>
        <w:ind w:right="80"/>
        <w:spacing w:after="0" w:line="223"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ind w:right="480"/>
        <w:spacing w:after="0" w:line="16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which basis of accounting the registrant has used to prepare the financial statements included in this filing:</w:t>
      </w:r>
    </w:p>
    <w:p>
      <w:pPr>
        <w:spacing w:after="0" w:line="2" w:lineRule="exact"/>
        <w:rPr>
          <w:sz w:val="24"/>
          <w:szCs w:val="24"/>
          <w:color w:val="auto"/>
        </w:rPr>
      </w:pPr>
    </w:p>
    <w:p>
      <w:pPr>
        <w:ind w:left="2960" w:right="2480" w:hanging="2955"/>
        <w:spacing w:after="0" w:line="162" w:lineRule="exact"/>
        <w:tabs>
          <w:tab w:leader="none" w:pos="294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0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gridSpan w:val="5"/>
          </w:tcPr>
          <w:p>
            <w:pPr>
              <w:jc w:val="center"/>
              <w:ind w:right="4040"/>
              <w:spacing w:after="0"/>
              <w:rPr>
                <w:sz w:val="20"/>
                <w:szCs w:val="20"/>
                <w:color w:val="auto"/>
              </w:rPr>
            </w:pPr>
            <w:r>
              <w:rPr>
                <w:rFonts w:ascii="Arial" w:cs="Arial" w:eastAsia="Arial" w:hAnsi="Arial"/>
                <w:sz w:val="16"/>
                <w:szCs w:val="16"/>
                <w:b w:val="1"/>
                <w:bCs w:val="1"/>
                <w:color w:val="auto"/>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6"/>
                <w:szCs w:val="16"/>
                <w:b w:val="1"/>
                <w:bCs w:val="1"/>
                <w:color w:val="auto"/>
              </w:rPr>
              <w:t>Page</w:t>
            </w:r>
          </w:p>
        </w:tc>
      </w:tr>
      <w:tr>
        <w:trPr>
          <w:trHeight w:val="412"/>
        </w:trPr>
        <w:tc>
          <w:tcPr>
            <w:tcW w:w="20" w:type="dxa"/>
            <w:vAlign w:val="bottom"/>
          </w:tcPr>
          <w:p>
            <w:pPr>
              <w:spacing w:after="0"/>
              <w:rPr>
                <w:sz w:val="24"/>
                <w:szCs w:val="24"/>
                <w:color w:val="auto"/>
              </w:rPr>
            </w:pPr>
          </w:p>
        </w:tc>
        <w:tc>
          <w:tcPr>
            <w:tcW w:w="10780" w:type="dxa"/>
            <w:vAlign w:val="bottom"/>
            <w:gridSpan w:val="26"/>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General Information</w:t>
              </w:r>
            </w:hyperlink>
          </w:p>
        </w:tc>
        <w:tc>
          <w:tcPr>
            <w:tcW w:w="400" w:type="dxa"/>
            <w:vAlign w:val="bottom"/>
            <w:tcBorders>
              <w:top w:val="single" w:sz="8" w:color="auto"/>
            </w:tcBorders>
            <w:gridSpan w:val="4"/>
          </w:tcPr>
          <w:p>
            <w:pPr>
              <w:jc w:val="right"/>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1</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780" w:type="dxa"/>
            <w:vAlign w:val="bottom"/>
            <w:gridSpan w:val="26"/>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Cautionary Statement</w:t>
              </w:r>
            </w:hyperlink>
          </w:p>
        </w:tc>
        <w:tc>
          <w:tcPr>
            <w:tcW w:w="400" w:type="dxa"/>
            <w:vAlign w:val="bottom"/>
            <w:gridSpan w:val="4"/>
          </w:tcPr>
          <w:p>
            <w:pPr>
              <w:jc w:val="right"/>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1</w:t>
              </w:r>
            </w:hyperlink>
          </w:p>
        </w:tc>
        <w:tc>
          <w:tcPr>
            <w:tcW w:w="40" w:type="dxa"/>
            <w:vAlign w:val="bottom"/>
          </w:tcPr>
          <w:p>
            <w:pPr>
              <w:spacing w:after="0"/>
              <w:rPr>
                <w:sz w:val="24"/>
                <w:szCs w:val="24"/>
                <w:color w:val="auto"/>
              </w:rPr>
            </w:pPr>
          </w:p>
        </w:tc>
      </w:tr>
      <w:tr>
        <w:trPr>
          <w:trHeight w:val="676"/>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3"/>
          </w:tcPr>
          <w:p>
            <w:pPr>
              <w:jc w:val="center"/>
              <w:ind w:right="4680"/>
              <w:spacing w:after="0"/>
              <w:rPr>
                <w:sz w:val="20"/>
                <w:szCs w:val="20"/>
                <w:color w:val="auto"/>
              </w:rPr>
            </w:pPr>
            <w:r>
              <w:rPr>
                <w:rFonts w:ascii="Arial" w:cs="Arial" w:eastAsia="Arial" w:hAnsi="Arial"/>
                <w:sz w:val="16"/>
                <w:szCs w:val="16"/>
                <w:b w:val="1"/>
                <w:bCs w:val="1"/>
                <w:color w:val="auto"/>
                <w:w w:val="99"/>
              </w:rPr>
              <w:t>PART 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78"/>
        </w:trPr>
        <w:tc>
          <w:tcPr>
            <w:tcW w:w="20" w:type="dxa"/>
            <w:vAlign w:val="bottom"/>
          </w:tcPr>
          <w:p>
            <w:pPr>
              <w:spacing w:after="0"/>
              <w:rPr>
                <w:sz w:val="24"/>
                <w:szCs w:val="24"/>
                <w:color w:val="auto"/>
              </w:rPr>
            </w:pPr>
          </w:p>
        </w:tc>
        <w:tc>
          <w:tcPr>
            <w:tcW w:w="4480" w:type="dxa"/>
            <w:vAlign w:val="bottom"/>
            <w:tcBorders>
              <w:bottom w:val="single" w:sz="8" w:color="0000FF"/>
            </w:tcBorders>
            <w:gridSpan w:val="21"/>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 Identity of Directors, Senior Management and Advisors</w:t>
              </w:r>
            </w:hyperlink>
          </w:p>
        </w:tc>
        <w:tc>
          <w:tcPr>
            <w:tcW w:w="6300" w:type="dxa"/>
            <w:vAlign w:val="bottom"/>
            <w:gridSpan w:val="5"/>
          </w:tcPr>
          <w:p>
            <w:pPr>
              <w:spacing w:after="0"/>
              <w:rPr>
                <w:sz w:val="24"/>
                <w:szCs w:val="24"/>
                <w:color w:val="auto"/>
              </w:rPr>
            </w:pPr>
          </w:p>
        </w:tc>
        <w:tc>
          <w:tcPr>
            <w:tcW w:w="30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2. Offer Statistics and Expected Timetable</w:t>
              </w:r>
            </w:hyperlink>
          </w:p>
        </w:tc>
        <w:tc>
          <w:tcPr>
            <w:tcW w:w="400" w:type="dxa"/>
            <w:vAlign w:val="bottom"/>
            <w:gridSpan w:val="4"/>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2</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0000FF"/>
            </w:tcBorders>
            <w:gridSpan w:val="1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3. Key Information</w:t>
              </w:r>
            </w:hyperlink>
          </w:p>
        </w:tc>
        <w:tc>
          <w:tcPr>
            <w:tcW w:w="7400" w:type="dxa"/>
            <w:vAlign w:val="bottom"/>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100" w:type="dxa"/>
            <w:vAlign w:val="bottom"/>
            <w:tcBorders>
              <w:top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11"/>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Item 4. Information on the Company</w:t>
              </w:r>
            </w:hyperlink>
          </w:p>
        </w:tc>
        <w:tc>
          <w:tcPr>
            <w:tcW w:w="8180" w:type="dxa"/>
            <w:vAlign w:val="bottom"/>
            <w:gridSpan w:val="15"/>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12"/>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Item 4A. Unresolved Staff Comments</w:t>
              </w:r>
            </w:hyperlink>
          </w:p>
        </w:tc>
        <w:tc>
          <w:tcPr>
            <w:tcW w:w="8100" w:type="dxa"/>
            <w:vAlign w:val="bottom"/>
            <w:gridSpan w:val="14"/>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58">
              <w:r>
                <w:rPr>
                  <w:rFonts w:ascii="Arial" w:cs="Arial" w:eastAsia="Arial" w:hAnsi="Arial"/>
                  <w:sz w:val="16"/>
                  <w:szCs w:val="16"/>
                  <w:color w:val="0000FF"/>
                </w:rPr>
                <w:t>56</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Item 5. Operating and Financial Review and Prospects</w:t>
              </w:r>
            </w:hyperlink>
          </w:p>
        </w:tc>
        <w:tc>
          <w:tcPr>
            <w:tcW w:w="400" w:type="dxa"/>
            <w:vAlign w:val="bottom"/>
            <w:gridSpan w:val="4"/>
          </w:tcPr>
          <w:p>
            <w:pPr>
              <w:jc w:val="right"/>
              <w:spacing w:after="0"/>
              <w:rPr>
                <w:rFonts w:ascii="Arial" w:cs="Arial" w:eastAsia="Arial" w:hAnsi="Arial"/>
                <w:sz w:val="16"/>
                <w:szCs w:val="16"/>
                <w:color w:val="0000FF"/>
              </w:rPr>
            </w:pPr>
            <w:hyperlink w:anchor="page58">
              <w:r>
                <w:rPr>
                  <w:rFonts w:ascii="Arial" w:cs="Arial" w:eastAsia="Arial" w:hAnsi="Arial"/>
                  <w:sz w:val="16"/>
                  <w:szCs w:val="16"/>
                  <w:color w:val="0000FF"/>
                </w:rPr>
                <w:t>57</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16"/>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Item 6. Directors, Senior Management and Employees</w:t>
              </w:r>
            </w:hyperlink>
          </w:p>
        </w:tc>
        <w:tc>
          <w:tcPr>
            <w:tcW w:w="6880" w:type="dxa"/>
            <w:vAlign w:val="bottom"/>
            <w:gridSpan w:val="10"/>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70">
              <w:r>
                <w:rPr>
                  <w:rFonts w:ascii="Arial" w:cs="Arial" w:eastAsia="Arial" w:hAnsi="Arial"/>
                  <w:sz w:val="16"/>
                  <w:szCs w:val="16"/>
                  <w:color w:val="0000FF"/>
                </w:rPr>
                <w:t>69</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Item 7. Major Shareholders and Related Party Transactions</w:t>
              </w:r>
            </w:hyperlink>
          </w:p>
        </w:tc>
        <w:tc>
          <w:tcPr>
            <w:tcW w:w="400" w:type="dxa"/>
            <w:vAlign w:val="bottom"/>
            <w:gridSpan w:val="4"/>
          </w:tcPr>
          <w:p>
            <w:pPr>
              <w:jc w:val="right"/>
              <w:spacing w:after="0"/>
              <w:rPr>
                <w:rFonts w:ascii="Arial" w:cs="Arial" w:eastAsia="Arial" w:hAnsi="Arial"/>
                <w:sz w:val="16"/>
                <w:szCs w:val="16"/>
                <w:color w:val="0000FF"/>
              </w:rPr>
            </w:pPr>
            <w:hyperlink w:anchor="page87">
              <w:r>
                <w:rPr>
                  <w:rFonts w:ascii="Arial" w:cs="Arial" w:eastAsia="Arial" w:hAnsi="Arial"/>
                  <w:sz w:val="16"/>
                  <w:szCs w:val="16"/>
                  <w:color w:val="0000FF"/>
                </w:rPr>
                <w:t>85</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19"/>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Item 8. Financial Information</w:t>
              </w:r>
            </w:hyperlink>
          </w:p>
        </w:tc>
        <w:tc>
          <w:tcPr>
            <w:tcW w:w="6520" w:type="dxa"/>
            <w:vAlign w:val="bottom"/>
            <w:gridSpan w:val="7"/>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88">
              <w:r>
                <w:rPr>
                  <w:rFonts w:ascii="Arial" w:cs="Arial" w:eastAsia="Arial" w:hAnsi="Arial"/>
                  <w:sz w:val="16"/>
                  <w:szCs w:val="16"/>
                  <w:color w:val="0000FF"/>
                </w:rPr>
                <w:t>86</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gridSpan w:val="7"/>
          </w:tcPr>
          <w:p>
            <w:pPr>
              <w:spacing w:after="0"/>
              <w:rPr>
                <w:rFonts w:ascii="Arial" w:cs="Arial" w:eastAsia="Arial" w:hAnsi="Arial"/>
                <w:sz w:val="16"/>
                <w:szCs w:val="16"/>
                <w:color w:val="0000FF"/>
                <w:w w:val="98"/>
              </w:rPr>
            </w:pPr>
            <w:hyperlink w:anchor="page89">
              <w:r>
                <w:rPr>
                  <w:rFonts w:ascii="Arial" w:cs="Arial" w:eastAsia="Arial" w:hAnsi="Arial"/>
                  <w:sz w:val="16"/>
                  <w:szCs w:val="16"/>
                  <w:color w:val="0000FF"/>
                  <w:w w:val="98"/>
                </w:rPr>
                <w:t>Item 9. The Offer and Listing</w:t>
              </w:r>
            </w:hyperlink>
          </w:p>
        </w:tc>
        <w:tc>
          <w:tcPr>
            <w:tcW w:w="8740" w:type="dxa"/>
            <w:vAlign w:val="bottom"/>
            <w:gridSpan w:val="19"/>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Item 10. Additional Information</w:t>
              </w:r>
            </w:hyperlink>
          </w:p>
        </w:tc>
        <w:tc>
          <w:tcPr>
            <w:tcW w:w="400" w:type="dxa"/>
            <w:vAlign w:val="bottom"/>
            <w:gridSpan w:val="4"/>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2"/>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Item 11. Quantitative and Qualitative Disclosures about Market Risk</w:t>
              </w:r>
            </w:hyperlink>
          </w:p>
        </w:tc>
        <w:tc>
          <w:tcPr>
            <w:tcW w:w="5920" w:type="dxa"/>
            <w:vAlign w:val="bottom"/>
            <w:gridSpan w:val="4"/>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98">
              <w:r>
                <w:rPr>
                  <w:rFonts w:ascii="Arial" w:cs="Arial" w:eastAsia="Arial" w:hAnsi="Arial"/>
                  <w:sz w:val="16"/>
                  <w:szCs w:val="16"/>
                  <w:color w:val="0000FF"/>
                </w:rPr>
                <w:t>96</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2"/>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Item 12. Description of Securities Other than Equity Securities</w:t>
              </w:r>
            </w:hyperlink>
          </w:p>
        </w:tc>
        <w:tc>
          <w:tcPr>
            <w:tcW w:w="5920" w:type="dxa"/>
            <w:vAlign w:val="bottom"/>
            <w:gridSpan w:val="4"/>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99">
              <w:r>
                <w:rPr>
                  <w:rFonts w:ascii="Arial" w:cs="Arial" w:eastAsia="Arial" w:hAnsi="Arial"/>
                  <w:sz w:val="16"/>
                  <w:szCs w:val="16"/>
                  <w:color w:val="0000FF"/>
                </w:rPr>
                <w:t>97</w:t>
              </w:r>
            </w:hyperlink>
          </w:p>
        </w:tc>
        <w:tc>
          <w:tcPr>
            <w:tcW w:w="40" w:type="dxa"/>
            <w:vAlign w:val="bottom"/>
          </w:tcPr>
          <w:p>
            <w:pPr>
              <w:spacing w:after="0"/>
              <w:rPr>
                <w:sz w:val="17"/>
                <w:szCs w:val="17"/>
                <w:color w:val="auto"/>
              </w:rPr>
            </w:pPr>
          </w:p>
        </w:tc>
      </w:tr>
      <w:tr>
        <w:trPr>
          <w:trHeight w:val="501"/>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Arial" w:cs="Arial" w:eastAsia="Arial" w:hAnsi="Arial"/>
                <w:sz w:val="16"/>
                <w:szCs w:val="16"/>
                <w:b w:val="1"/>
                <w:bCs w:val="1"/>
                <w:color w:val="auto"/>
              </w:rPr>
              <w:t>PART 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4180" w:type="dxa"/>
            <w:vAlign w:val="bottom"/>
            <w:gridSpan w:val="18"/>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Item 13. Defaults, Dividend Arrearages and Delinquencies</w:t>
              </w:r>
            </w:hyperlink>
          </w:p>
        </w:tc>
        <w:tc>
          <w:tcPr>
            <w:tcW w:w="6600" w:type="dxa"/>
            <w:vAlign w:val="bottom"/>
            <w:gridSpan w:val="8"/>
          </w:tcPr>
          <w:p>
            <w:pPr>
              <w:spacing w:after="0"/>
              <w:rPr>
                <w:sz w:val="24"/>
                <w:szCs w:val="24"/>
                <w:color w:val="auto"/>
              </w:rPr>
            </w:pPr>
          </w:p>
        </w:tc>
        <w:tc>
          <w:tcPr>
            <w:tcW w:w="400" w:type="dxa"/>
            <w:vAlign w:val="bottom"/>
            <w:gridSpan w:val="4"/>
          </w:tcPr>
          <w:p>
            <w:pPr>
              <w:jc w:val="right"/>
              <w:spacing w:after="0"/>
              <w:rPr>
                <w:rFonts w:ascii="Arial" w:cs="Arial" w:eastAsia="Arial" w:hAnsi="Arial"/>
                <w:sz w:val="16"/>
                <w:szCs w:val="16"/>
                <w:color w:val="0000FF"/>
              </w:rPr>
            </w:pPr>
            <w:hyperlink w:anchor="page99">
              <w:r>
                <w:rPr>
                  <w:rFonts w:ascii="Arial" w:cs="Arial" w:eastAsia="Arial" w:hAnsi="Arial"/>
                  <w:sz w:val="16"/>
                  <w:szCs w:val="16"/>
                  <w:color w:val="0000FF"/>
                </w:rPr>
                <w:t>97</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Item 14. Material Modifications to the Rights of Security Holders and Use of Proceeds</w:t>
              </w:r>
            </w:hyperlink>
          </w:p>
        </w:tc>
        <w:tc>
          <w:tcPr>
            <w:tcW w:w="400" w:type="dxa"/>
            <w:vAlign w:val="bottom"/>
            <w:gridSpan w:val="4"/>
          </w:tcPr>
          <w:p>
            <w:pPr>
              <w:jc w:val="right"/>
              <w:spacing w:after="0"/>
              <w:rPr>
                <w:rFonts w:ascii="Arial" w:cs="Arial" w:eastAsia="Arial" w:hAnsi="Arial"/>
                <w:sz w:val="16"/>
                <w:szCs w:val="16"/>
                <w:color w:val="0000FF"/>
              </w:rPr>
            </w:pPr>
            <w:hyperlink w:anchor="page99">
              <w:r>
                <w:rPr>
                  <w:rFonts w:ascii="Arial" w:cs="Arial" w:eastAsia="Arial" w:hAnsi="Arial"/>
                  <w:sz w:val="16"/>
                  <w:szCs w:val="16"/>
                  <w:color w:val="0000FF"/>
                </w:rPr>
                <w:t>97</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gridSpan w:val="25"/>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Item 15. Controls and Procedures</w:t>
              </w:r>
            </w:hyperlink>
          </w:p>
        </w:tc>
        <w:tc>
          <w:tcPr>
            <w:tcW w:w="4660" w:type="dxa"/>
            <w:vAlign w:val="bottom"/>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99">
              <w:r>
                <w:rPr>
                  <w:rFonts w:ascii="Arial" w:cs="Arial" w:eastAsia="Arial" w:hAnsi="Arial"/>
                  <w:sz w:val="16"/>
                  <w:szCs w:val="16"/>
                  <w:color w:val="0000FF"/>
                </w:rPr>
                <w:t>98</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9"/>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Item 16. Reserved</w:t>
              </w:r>
            </w:hyperlink>
          </w:p>
        </w:tc>
        <w:tc>
          <w:tcPr>
            <w:tcW w:w="8380" w:type="dxa"/>
            <w:vAlign w:val="bottom"/>
            <w:gridSpan w:val="17"/>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100">
              <w:r>
                <w:rPr>
                  <w:rFonts w:ascii="Arial" w:cs="Arial" w:eastAsia="Arial" w:hAnsi="Arial"/>
                  <w:sz w:val="16"/>
                  <w:szCs w:val="16"/>
                  <w:color w:val="0000FF"/>
                </w:rPr>
                <w:t>98</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Item 16A. Audit Committee Financial Expert</w:t>
              </w:r>
            </w:hyperlink>
          </w:p>
        </w:tc>
        <w:tc>
          <w:tcPr>
            <w:tcW w:w="400" w:type="dxa"/>
            <w:vAlign w:val="bottom"/>
            <w:gridSpan w:val="4"/>
          </w:tcPr>
          <w:p>
            <w:pPr>
              <w:jc w:val="right"/>
              <w:spacing w:after="0"/>
              <w:rPr>
                <w:rFonts w:ascii="Arial" w:cs="Arial" w:eastAsia="Arial" w:hAnsi="Arial"/>
                <w:sz w:val="16"/>
                <w:szCs w:val="16"/>
                <w:color w:val="0000FF"/>
              </w:rPr>
            </w:pPr>
            <w:hyperlink w:anchor="page100">
              <w:r>
                <w:rPr>
                  <w:rFonts w:ascii="Arial" w:cs="Arial" w:eastAsia="Arial" w:hAnsi="Arial"/>
                  <w:sz w:val="16"/>
                  <w:szCs w:val="16"/>
                  <w:color w:val="0000FF"/>
                </w:rPr>
                <w:t>98</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gridSpan w:val="10"/>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Item 16B. Code of Ethical Conduct</w:t>
              </w:r>
            </w:hyperlink>
          </w:p>
        </w:tc>
        <w:tc>
          <w:tcPr>
            <w:tcW w:w="640" w:type="dxa"/>
            <w:vAlign w:val="bottom"/>
            <w:gridSpan w:val="3"/>
          </w:tcPr>
          <w:p>
            <w:pPr>
              <w:spacing w:after="0"/>
              <w:rPr>
                <w:sz w:val="17"/>
                <w:szCs w:val="17"/>
                <w:color w:val="auto"/>
              </w:rPr>
            </w:pPr>
          </w:p>
        </w:tc>
        <w:tc>
          <w:tcPr>
            <w:tcW w:w="7640" w:type="dxa"/>
            <w:vAlign w:val="bottom"/>
            <w:gridSpan w:val="13"/>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100">
              <w:r>
                <w:rPr>
                  <w:rFonts w:ascii="Arial" w:cs="Arial" w:eastAsia="Arial" w:hAnsi="Arial"/>
                  <w:sz w:val="16"/>
                  <w:szCs w:val="16"/>
                  <w:color w:val="0000FF"/>
                </w:rPr>
                <w:t>98</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gridSpan w:val="15"/>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Item 16C. Principal Accountant Fees and Services</w:t>
              </w:r>
            </w:hyperlink>
          </w:p>
        </w:tc>
        <w:tc>
          <w:tcPr>
            <w:tcW w:w="7160" w:type="dxa"/>
            <w:vAlign w:val="bottom"/>
            <w:gridSpan w:val="11"/>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100">
              <w:r>
                <w:rPr>
                  <w:rFonts w:ascii="Arial" w:cs="Arial" w:eastAsia="Arial" w:hAnsi="Arial"/>
                  <w:sz w:val="16"/>
                  <w:szCs w:val="16"/>
                  <w:color w:val="0000FF"/>
                </w:rPr>
                <w:t>98</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3"/>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Item 16D. Exemptions from the Listing Standards for Audit Committees</w:t>
              </w:r>
            </w:hyperlink>
          </w:p>
        </w:tc>
        <w:tc>
          <w:tcPr>
            <w:tcW w:w="5680" w:type="dxa"/>
            <w:vAlign w:val="bottom"/>
            <w:gridSpan w:val="3"/>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101">
              <w:r>
                <w:rPr>
                  <w:rFonts w:ascii="Arial" w:cs="Arial" w:eastAsia="Arial" w:hAnsi="Arial"/>
                  <w:sz w:val="16"/>
                  <w:szCs w:val="16"/>
                  <w:color w:val="0000FF"/>
                </w:rPr>
                <w:t>99</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4"/>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Item 16E. Purchases of Equity Securities by the Issuer and Affiliated Purchasers</w:t>
              </w:r>
            </w:hyperlink>
          </w:p>
        </w:tc>
        <w:tc>
          <w:tcPr>
            <w:tcW w:w="5020" w:type="dxa"/>
            <w:vAlign w:val="bottom"/>
            <w:gridSpan w:val="2"/>
          </w:tcPr>
          <w:p>
            <w:pPr>
              <w:spacing w:after="0"/>
              <w:rPr>
                <w:sz w:val="17"/>
                <w:szCs w:val="17"/>
                <w:color w:val="auto"/>
              </w:rPr>
            </w:pPr>
          </w:p>
        </w:tc>
        <w:tc>
          <w:tcPr>
            <w:tcW w:w="400" w:type="dxa"/>
            <w:vAlign w:val="bottom"/>
            <w:gridSpan w:val="4"/>
          </w:tcPr>
          <w:p>
            <w:pPr>
              <w:jc w:val="right"/>
              <w:spacing w:after="0"/>
              <w:rPr>
                <w:rFonts w:ascii="Arial" w:cs="Arial" w:eastAsia="Arial" w:hAnsi="Arial"/>
                <w:sz w:val="16"/>
                <w:szCs w:val="16"/>
                <w:color w:val="0000FF"/>
              </w:rPr>
            </w:pPr>
            <w:hyperlink w:anchor="page101">
              <w:r>
                <w:rPr>
                  <w:rFonts w:ascii="Arial" w:cs="Arial" w:eastAsia="Arial" w:hAnsi="Arial"/>
                  <w:sz w:val="16"/>
                  <w:szCs w:val="16"/>
                  <w:color w:val="0000FF"/>
                </w:rPr>
                <w:t>99</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8"/>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0000FF"/>
            </w:tcBorders>
            <w:gridSpan w:val="17"/>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16F. Changes in Registrant’s Certifying Accountant</w:t>
              </w:r>
            </w:hyperlink>
          </w:p>
        </w:tc>
        <w:tc>
          <w:tcPr>
            <w:tcW w:w="1740" w:type="dxa"/>
            <w:vAlign w:val="bottom"/>
            <w:gridSpan w:val="7"/>
          </w:tcPr>
          <w:p>
            <w:pPr>
              <w:spacing w:after="0"/>
              <w:rPr>
                <w:sz w:val="17"/>
                <w:szCs w:val="17"/>
                <w:color w:val="auto"/>
              </w:rPr>
            </w:pPr>
          </w:p>
        </w:tc>
        <w:tc>
          <w:tcPr>
            <w:tcW w:w="50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FF"/>
            </w:tcBorders>
            <w:gridSpan w:val="3"/>
          </w:tcPr>
          <w:p>
            <w:pPr>
              <w:jc w:val="right"/>
              <w:spacing w:after="0"/>
              <w:rPr>
                <w:rFonts w:ascii="Arial" w:cs="Arial" w:eastAsia="Arial" w:hAnsi="Arial"/>
                <w:sz w:val="16"/>
                <w:szCs w:val="16"/>
                <w:color w:val="0000FF"/>
                <w:w w:val="97"/>
              </w:rPr>
            </w:pPr>
            <w:hyperlink w:anchor="page102">
              <w:r>
                <w:rPr>
                  <w:rFonts w:ascii="Arial" w:cs="Arial" w:eastAsia="Arial" w:hAnsi="Arial"/>
                  <w:sz w:val="16"/>
                  <w:szCs w:val="16"/>
                  <w:color w:val="0000FF"/>
                  <w:w w:val="97"/>
                </w:rPr>
                <w:t>100</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16G. Corporate Governance</w:t>
              </w:r>
            </w:hyperlink>
          </w:p>
        </w:tc>
        <w:tc>
          <w:tcPr>
            <w:tcW w:w="40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100</w:t>
              </w:r>
            </w:hyperlink>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16H. Mine Safety Disclosure</w:t>
              </w:r>
            </w:hyperlink>
          </w:p>
        </w:tc>
        <w:tc>
          <w:tcPr>
            <w:tcW w:w="40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100</w:t>
              </w:r>
            </w:hyperlink>
          </w:p>
        </w:tc>
        <w:tc>
          <w:tcPr>
            <w:tcW w:w="40" w:type="dxa"/>
            <w:vAlign w:val="bottom"/>
          </w:tcPr>
          <w:p>
            <w:pPr>
              <w:spacing w:after="0"/>
              <w:rPr>
                <w:sz w:val="17"/>
                <w:szCs w:val="17"/>
                <w:color w:val="auto"/>
              </w:rPr>
            </w:pPr>
          </w:p>
        </w:tc>
      </w:tr>
      <w:tr>
        <w:trPr>
          <w:trHeight w:val="500"/>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3"/>
          </w:tcPr>
          <w:p>
            <w:pPr>
              <w:jc w:val="center"/>
              <w:ind w:right="4680"/>
              <w:spacing w:after="0"/>
              <w:rPr>
                <w:sz w:val="20"/>
                <w:szCs w:val="20"/>
                <w:color w:val="auto"/>
              </w:rPr>
            </w:pPr>
            <w:r>
              <w:rPr>
                <w:rFonts w:ascii="Arial" w:cs="Arial" w:eastAsia="Arial" w:hAnsi="Arial"/>
                <w:sz w:val="16"/>
                <w:szCs w:val="16"/>
                <w:b w:val="1"/>
                <w:bCs w:val="1"/>
                <w:color w:val="auto"/>
                <w:w w:val="97"/>
              </w:rPr>
              <w:t>PART III</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78"/>
        </w:trPr>
        <w:tc>
          <w:tcPr>
            <w:tcW w:w="20" w:type="dxa"/>
            <w:vAlign w:val="bottom"/>
          </w:tcPr>
          <w:p>
            <w:pPr>
              <w:spacing w:after="0"/>
              <w:rPr>
                <w:sz w:val="24"/>
                <w:szCs w:val="24"/>
                <w:color w:val="auto"/>
              </w:rPr>
            </w:pPr>
          </w:p>
        </w:tc>
        <w:tc>
          <w:tcPr>
            <w:tcW w:w="10780" w:type="dxa"/>
            <w:vAlign w:val="bottom"/>
            <w:gridSpan w:val="26"/>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17. Financial Statements</w:t>
              </w:r>
            </w:hyperlink>
          </w:p>
        </w:tc>
        <w:tc>
          <w:tcPr>
            <w:tcW w:w="40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100</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18. Financial Statements</w:t>
              </w:r>
            </w:hyperlink>
          </w:p>
        </w:tc>
        <w:tc>
          <w:tcPr>
            <w:tcW w:w="40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100</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Item 19. Exhibits</w:t>
              </w:r>
            </w:hyperlink>
          </w:p>
        </w:tc>
        <w:tc>
          <w:tcPr>
            <w:tcW w:w="920" w:type="dxa"/>
            <w:vAlign w:val="bottom"/>
            <w:tcBorders>
              <w:top w:val="single" w:sz="8" w:color="0000FF"/>
            </w:tcBorders>
            <w:gridSpan w:val="5"/>
          </w:tcPr>
          <w:p>
            <w:pPr>
              <w:spacing w:after="0"/>
              <w:rPr>
                <w:sz w:val="17"/>
                <w:szCs w:val="17"/>
                <w:color w:val="auto"/>
              </w:rPr>
            </w:pPr>
          </w:p>
        </w:tc>
        <w:tc>
          <w:tcPr>
            <w:tcW w:w="864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6"/>
                <w:szCs w:val="16"/>
                <w:color w:val="0000FF"/>
                <w:w w:val="97"/>
              </w:rPr>
            </w:pPr>
            <w:hyperlink w:anchor="page102">
              <w:r>
                <w:rPr>
                  <w:rFonts w:ascii="Arial" w:cs="Arial" w:eastAsia="Arial" w:hAnsi="Arial"/>
                  <w:sz w:val="16"/>
                  <w:szCs w:val="16"/>
                  <w:color w:val="0000FF"/>
                  <w:w w:val="97"/>
                </w:rPr>
                <w:t>100</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rPr>
                <w:rFonts w:ascii="Arial" w:cs="Arial" w:eastAsia="Arial" w:hAnsi="Arial"/>
                <w:sz w:val="16"/>
                <w:szCs w:val="16"/>
                <w:color w:val="0000FF"/>
              </w:rPr>
            </w:pPr>
            <w:hyperlink w:anchor="page158">
              <w:r>
                <w:rPr>
                  <w:rFonts w:ascii="Arial" w:cs="Arial" w:eastAsia="Arial" w:hAnsi="Arial"/>
                  <w:sz w:val="16"/>
                  <w:szCs w:val="16"/>
                  <w:color w:val="0000FF"/>
                </w:rPr>
                <w:t>Index to Exhibits</w:t>
              </w:r>
            </w:hyperlink>
          </w:p>
        </w:tc>
        <w:tc>
          <w:tcPr>
            <w:tcW w:w="958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FF"/>
            </w:tcBorders>
            <w:gridSpan w:val="3"/>
          </w:tcPr>
          <w:p>
            <w:pPr>
              <w:jc w:val="right"/>
              <w:spacing w:after="0"/>
              <w:rPr>
                <w:rFonts w:ascii="Arial" w:cs="Arial" w:eastAsia="Arial" w:hAnsi="Arial"/>
                <w:sz w:val="16"/>
                <w:szCs w:val="16"/>
                <w:color w:val="0000FF"/>
                <w:w w:val="97"/>
              </w:rPr>
            </w:pPr>
            <w:hyperlink w:anchor="page158">
              <w:r>
                <w:rPr>
                  <w:rFonts w:ascii="Arial" w:cs="Arial" w:eastAsia="Arial" w:hAnsi="Arial"/>
                  <w:sz w:val="16"/>
                  <w:szCs w:val="16"/>
                  <w:color w:val="0000FF"/>
                  <w:w w:val="97"/>
                </w:rPr>
                <w:t>157</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780" w:type="dxa"/>
            <w:vAlign w:val="bottom"/>
            <w:gridSpan w:val="26"/>
          </w:tcPr>
          <w:p>
            <w:pPr>
              <w:spacing w:after="0"/>
              <w:rPr>
                <w:rFonts w:ascii="Arial" w:cs="Arial" w:eastAsia="Arial" w:hAnsi="Arial"/>
                <w:sz w:val="16"/>
                <w:szCs w:val="16"/>
                <w:color w:val="0000FF"/>
              </w:rPr>
            </w:pPr>
            <w:hyperlink w:anchor="page159">
              <w:r>
                <w:rPr>
                  <w:rFonts w:ascii="Arial" w:cs="Arial" w:eastAsia="Arial" w:hAnsi="Arial"/>
                  <w:sz w:val="16"/>
                  <w:szCs w:val="16"/>
                  <w:color w:val="0000FF"/>
                </w:rPr>
                <w:t>Signatures</w:t>
              </w:r>
            </w:hyperlink>
          </w:p>
        </w:tc>
        <w:tc>
          <w:tcPr>
            <w:tcW w:w="400" w:type="dxa"/>
            <w:vAlign w:val="bottom"/>
            <w:gridSpan w:val="4"/>
          </w:tcPr>
          <w:p>
            <w:pPr>
              <w:jc w:val="right"/>
              <w:spacing w:after="0"/>
              <w:rPr>
                <w:rFonts w:ascii="Arial" w:cs="Arial" w:eastAsia="Arial" w:hAnsi="Arial"/>
                <w:sz w:val="16"/>
                <w:szCs w:val="16"/>
                <w:color w:val="0000FF"/>
              </w:rPr>
            </w:pPr>
            <w:hyperlink w:anchor="page159">
              <w:r>
                <w:rPr>
                  <w:rFonts w:ascii="Arial" w:cs="Arial" w:eastAsia="Arial" w:hAnsi="Arial"/>
                  <w:sz w:val="16"/>
                  <w:szCs w:val="16"/>
                  <w:color w:val="0000FF"/>
                </w:rPr>
                <w:t>158</w:t>
              </w:r>
            </w:hyperlink>
          </w:p>
        </w:tc>
        <w:tc>
          <w:tcPr>
            <w:tcW w:w="40" w:type="dxa"/>
            <w:vAlign w:val="bottom"/>
          </w:tcPr>
          <w:p>
            <w:pPr>
              <w:spacing w:after="0"/>
              <w:rPr>
                <w:sz w:val="17"/>
                <w:szCs w:val="17"/>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 Information</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used herein, “ICON plc”, “ICON”, "ICON Group" the “Company” and “we”, "our" or “us” refer to ICON public limited company and its consolidated subsidiaries, unless the context requires otherwise.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this Form 20-F, references to "U.S. dollars", "U.S.$" or "$" are to the lawful currency of the United States, references to “euro” or “€” are to the European single currency adopted by nineteen members of the European Union, references to "pound sterling", "sterling", "£", "pence" or "p" are to the lawful currency of the United Kingdom. ICON publishes its consolidated financial statements in U.S. dollars.</w:t>
      </w:r>
    </w:p>
    <w:p>
      <w:pPr>
        <w:spacing w:after="0" w:line="21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Group ("the Acquisition" and "the Merger"). Upon completion of the Acquisition, PRA and its subsidiaries became wholly owned subsidiaries within the ICON Group. The financial statements presented in this Form 20-F reflect the results of the combined Company for the six month period since the Merger completion on July 1, 2021. The results of PRA in the period prior to July 1, 2021 are not reflected in this Form 20-F, other than where clearly stated and required by GAAP.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our expectations concerning the ongoing impact of the novel coronavirus identified as 'COVID-19' on our operational results, the challenges associated with the integration of the PRA,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5 through 23. The Company has no obligation under the PSLRA to update any forward looking statements and does not intend to do so.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Part 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Identity of Directors, Senior Management and Advisors.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Offer Statistics and Expected Timetable.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r>
        <w:rPr>
          <w:rFonts w:ascii="Arial" w:cs="Arial" w:eastAsia="Arial" w:hAnsi="Arial"/>
          <w:sz w:val="16"/>
          <w:szCs w:val="16"/>
          <w:b w:val="1"/>
          <w:bCs w:val="1"/>
          <w:i w:val="1"/>
          <w:iCs w:val="1"/>
          <w:color w:val="auto"/>
        </w:rPr>
        <w:t>. Key Information.</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Company updates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July 1, 2021, ICON completed the Acquisition of PRA by means of a merger whereby Indigo Merger Sub, Inc., a Delaware corporation and subsidiary of ICON, merged with and into PRA, the parent of the PRA Health Sciences Group ("the Acquisition" and "the Merger"). The combined Group retained the name ICON and brought together approximately 38,000 employees (as at the Merger date) across the globe, creating one of the world’s most advanced healthcare intelligence and clinical research organizations.</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Under the terms of the Merger, PRA shareholders received per share $80 in cash and 0.4125 shares of ICON stock. The trading of PRA common stock on NASDAQ was suspended prior to market open on July 1, 2021.</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total value of the Merger consideration is $12.0 billion and has resulted in the recognition of goodwill of $8.1 billion, intangible assets of $4.9 billion and an associated deferred tax liability of $1.1 billion. The accounting for the Merger remains provisional for the year ended December 31, 2021 and the Company expects to finalize the accounting by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w:t>
      </w:r>
    </w:p>
    <w:p>
      <w:pPr>
        <w:spacing w:after="0" w:line="1" w:lineRule="exact"/>
        <w:rPr>
          <w:sz w:val="20"/>
          <w:szCs w:val="20"/>
          <w:color w:val="auto"/>
        </w:rPr>
      </w:pPr>
    </w:p>
    <w:p>
      <w:pPr>
        <w:ind w:firstLine="8"/>
        <w:spacing w:after="0" w:line="260"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private placement notes outstanding and fund, in part, the Merger. The senior secured term loan facility will mature in July 2028 and the revolving loan facility will mature in July 2026.</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 On November 10, 2021, the Company achieved a net leverage ratio of less than 4 times and the margin applicable to the senior secured term loan was reduced by 0.25% with the overall rate reducing from 3.0% to 2.75%. On December 29, 2021, the Company repaid $500.0 million of the senior secured term loan facility and made a quarterly interest payment of $40.8 million.</w:t>
      </w:r>
    </w:p>
    <w:p>
      <w:pPr>
        <w:spacing w:after="0" w:line="21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At December 31, 2021, no amounts have been drawn under the revolving loan facility with the exception of $4.1 million letters of credit given to landlords to guarantee lease arrangements.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i w:val="1"/>
          <w:iCs w:val="1"/>
          <w:color w:val="auto"/>
        </w:rPr>
        <w:t>Senior Secured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$500.0 million in aggregate principal amount of 2.875% senior secured notes due July 2026 (the “Senior Secured Notes”) in a private offering (the “Offering”). The Senior Secured Notes will mature on July 15,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Senior Secured Notes are guaranteed on a senior secured basis by ICON and its direct and indirect subsidiaries that guarantee the Senior Secured Credit Facilities.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Repayment of the 2020 Senior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was fixed at 2.41%.</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Merger with PRA, the Company was required to repay the 2020 Senior Notes prior to entering into the Senior Secured Credit Facilities and the Senior Secured Notes. The 2020 Senior Notes were repaid on July 1, 2021 inclusive of early repayment charges. The total repayment on July 1, 2021 was $364.0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Appointments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 Merger, Mr. Colin Shannon and Dr. Linda Grais, who both served on the PRA Board, joined ICON’s Board of Directors with effect from July 1, 2021. Their biographies are set out on page 72.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184"/>
        <w:spacing w:after="0" w:line="249" w:lineRule="auto"/>
        <w:rPr>
          <w:sz w:val="20"/>
          <w:szCs w:val="20"/>
          <w:color w:val="auto"/>
        </w:rPr>
      </w:pPr>
      <w:r>
        <w:rPr>
          <w:rFonts w:ascii="Arial" w:cs="Arial" w:eastAsia="Arial" w:hAnsi="Arial"/>
          <w:sz w:val="16"/>
          <w:szCs w:val="16"/>
          <w:color w:val="auto"/>
        </w:rPr>
        <w:t>In the period since December 31, 2020, the Company has continued to experience a return to positive growth in revenue and net income as a result of the ongoing recovery from the global COVID-19 pandemic. At this point in time, there still remains some degree of uncertainty relating to the long-term effect of COVID-19 on the Company and when it will be possible for business activity to return to normal operating levels. Although the impact of the global COVID-19 pandemic on the business is reducing, the emergence of COVID-19 variants of concern continue to create restrictions on the ability to ensure laboratory samples are collected and analyzed on time, the ability to monitor clinical trials, the ability of patients or service providers to travel, and our ability to travel, as a result of the outbreak.</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has continued to successfully mobilize its vaccine resources to address the COVID-19 global threat, including its ability to conduct home-based trials to minimize infection. In addition, the Company is currently providing clinical monitoring and safety oversight on numerous COVID-19 trials for both the private and government sectors.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1,235,218 ordinary shares were redeemed by the Company for a total consideration of $175.0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no ordinary shares were redeemed by the Company under this buyback program.</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5"/>
        </w:trPr>
        <w:tc>
          <w:tcPr>
            <w:tcW w:w="8220" w:type="dxa"/>
            <w:vAlign w:val="bottom"/>
          </w:tcPr>
          <w:p>
            <w:pPr>
              <w:ind w:left="340"/>
              <w:spacing w:after="0"/>
              <w:rPr>
                <w:sz w:val="20"/>
                <w:szCs w:val="20"/>
                <w:color w:val="auto"/>
              </w:rPr>
            </w:pPr>
            <w:r>
              <w:rPr>
                <w:rFonts w:ascii="Arial" w:cs="Arial" w:eastAsia="Arial" w:hAnsi="Arial"/>
                <w:sz w:val="16"/>
                <w:szCs w:val="16"/>
                <w:b w:val="1"/>
                <w:bCs w:val="1"/>
                <w:color w:val="auto"/>
              </w:rPr>
              <w:t>B. Capitalization and indebtedness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78"/>
        </w:trPr>
        <w:tc>
          <w:tcPr>
            <w:tcW w:w="8220" w:type="dxa"/>
            <w:vAlign w:val="bottom"/>
          </w:tcPr>
          <w:p>
            <w:pPr>
              <w:ind w:left="660"/>
              <w:spacing w:after="0"/>
              <w:rPr>
                <w:sz w:val="20"/>
                <w:szCs w:val="20"/>
                <w:color w:val="auto"/>
              </w:rPr>
            </w:pPr>
            <w:r>
              <w:rPr>
                <w:rFonts w:ascii="Arial" w:cs="Arial" w:eastAsia="Arial" w:hAnsi="Arial"/>
                <w:sz w:val="16"/>
                <w:szCs w:val="16"/>
                <w:color w:val="auto"/>
              </w:rPr>
              <w:t>The following table presents our capitalization as at December 31, 2021 and December 31, 2020: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2"/>
        </w:trPr>
        <w:tc>
          <w:tcPr>
            <w:tcW w:w="8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09"/>
        </w:trPr>
        <w:tc>
          <w:tcPr>
            <w:tcW w:w="8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r>
      <w:tr>
        <w:trPr>
          <w:trHeight w:val="237"/>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5,436,312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348,477</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6,733,910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617,104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undenominated capital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(35,477)</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1,262,895</w:t>
            </w:r>
          </w:p>
        </w:tc>
      </w:tr>
      <w:tr>
        <w:trPr>
          <w:trHeight w:val="212"/>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8,066,827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1,850,236</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0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Capitalization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13,503,139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2,198,713</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2021, the Company completed the Acquisition of PRA. In accordance with the terms of the Merger Agreement, the Company issued 27,372,427 shares of the Company’s ordinary share capital at par value in exchange for all outstanding PRA shares of common stock. The Company also drew down debt of $6,015 million in order to finance the cash portion of the Merger consideration, of which, $514 million has been repaid by December 31, 2021 from cash generated by the Company in the period since the completion of the Merger.</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Risk Factors</w:t>
      </w:r>
    </w:p>
    <w:p>
      <w:pPr>
        <w:spacing w:after="0" w:line="268" w:lineRule="exact"/>
        <w:rPr>
          <w:sz w:val="20"/>
          <w:szCs w:val="20"/>
          <w:color w:val="auto"/>
        </w:rPr>
      </w:pPr>
    </w:p>
    <w:p>
      <w:pPr>
        <w:jc w:val="both"/>
        <w:ind w:right="20" w:firstLine="282"/>
        <w:spacing w:after="0" w:line="260" w:lineRule="auto"/>
        <w:rPr>
          <w:sz w:val="20"/>
          <w:szCs w:val="20"/>
          <w:color w:val="auto"/>
        </w:rPr>
      </w:pPr>
      <w:r>
        <w:rPr>
          <w:rFonts w:ascii="Arial" w:cs="Arial" w:eastAsia="Arial" w:hAnsi="Arial"/>
          <w:sz w:val="16"/>
          <w:szCs w:val="16"/>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Summary of Risk Factors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some of the principal risks that could adversely affect our business, operations and financial results: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5" w:lineRule="exact"/>
        <w:rPr>
          <w:sz w:val="20"/>
          <w:szCs w:val="20"/>
          <w:color w:val="auto"/>
        </w:rPr>
      </w:pP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depend on a limited number of customers and a loss of, or significant decrease in, business from one or more of them could affect our business.</w:t>
      </w:r>
    </w:p>
    <w:p>
      <w:pPr>
        <w:spacing w:after="0" w:line="189"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financial results may be adversely impacted if we under price our contracts, overrun our cost estimates or fail to receive approval for, or experience delays in, documenting change orders.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potential loss or delay of our large contracts, or of multiple contracts, could adversely affect our results.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ind w:left="660" w:right="2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successfully develop and market new services or enter new markets, our growth, results of operations or financial condition could be adversely affected.</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attract or retain key personnel, our performance may suffer.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the ability to recruit suitable willing patients.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our ability to recruit suitable willing investigators.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combined Company may be unable to retain employees through the integration period which could disrupt the integration plan, cause disruption to day-to-day activities and result in additional costs to the business.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Climate change, extreme weather events, earthquakes and other natural disasters could adversely affect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disease outbreak, epidemic or pandemic such as COVID-19, could adversely affect our business performance.</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Upgrading the information systems that support our operating processes and evolving the technology platform for our services pose risks to our business.</w:t>
      </w: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meet productivity objectives under our business improvement objectives could adversely impact our competitiveness and therefore our operating results.</w:t>
      </w: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our interactive response technologies to provide accurate information regarding the randomization of patients and the dosage required for patients enrolled in the trials.</w:t>
      </w: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failure to identify and successfully close and integrate strategic acquisition targets could adversely impact our ongoing business and financial results.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ICON may be unable to realize anticipated cost and tax synergies and expects to incur substantial expenses related to the Merger.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Improper performance of our services could adversely impact our reputation and our financial results.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only a limited ability to protect our intellectual property rights and these rights are important to our success.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biopharmaceutical industry has a history of patent and other intellectual property litigation and we might be involved in costly intellectual property lawsuits.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act as authorized representative or legal representative for some clients pursuant to certain EU legislation.</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5" w:lineRule="exact"/>
        <w:rPr>
          <w:sz w:val="20"/>
          <w:szCs w:val="20"/>
          <w:color w:val="auto"/>
        </w:rPr>
      </w:pP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Outsourcing trends in the pharmaceutical, biotechnology and medical device industries and changes in spending on research and development could adversely affect our operating results and growth rates.</w:t>
      </w: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Large pharmaceutical companies are increasingly consolidating their vendor base and entering strategic partnership arrangements with a limited number of outsource providers.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collaboration amongst pharmaceutical companies in research and development activities may lead to fewer research opportunities.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operate in a highly competitive and dynamic market.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adversely affected by industry, customer or therapeutic concentration.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5" w:lineRule="exact"/>
        <w:rPr>
          <w:sz w:val="20"/>
          <w:szCs w:val="20"/>
          <w:color w:val="auto"/>
        </w:rPr>
      </w:pPr>
    </w:p>
    <w:p>
      <w:pPr>
        <w:ind w:left="660" w:right="20" w:hanging="328"/>
        <w:spacing w:after="0" w:line="24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exposure to exchange rate fluctuations could adversely affect 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effective tax rate may fluctuate from quarter-to-quarter, which may adversely affect 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unsatisfied performance obligation may not convert to revenue and the rate of conversion may slow.</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is exposed to various risks in relation to our cash and cash equivalents and short term investments.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accounting standards may adversely affect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lose business opportunities as a result of health care reform and the expansion of managed care organizations.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Healthcare reform legislation, other changes in the healthcare industry and in healthcare spending could adversely affect our business model, financial condition or results of operations.</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unrest in Eastern Europe could adversely affect 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lose business as a result of changes in the regulatory environment.</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comply with the regulations and requirements of the U.S. Food and Drug Administration and other regulatory authorities could result in substantial penalties and/or loss of business.</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political, regulatory, operational and legal risks associated with our international operations.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Current and proposed laws and regulations regarding the protection of personal data could result in increased risks of liability or increased costs to us or could limit our service offerings.</w:t>
      </w:r>
    </w:p>
    <w:p>
      <w:pPr>
        <w:ind w:left="66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including noncompliance with regulatory standards and requirements, which could have a material adverse effect on our business.</w:t>
      </w:r>
    </w:p>
    <w:p>
      <w:pPr>
        <w:ind w:left="660" w:right="2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Liability claims brought against us could result in payment of substantial damages, costs and liabilities and decrease our profitability.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Environmental, social and governance matters may impact our business and reputation.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5" w:lineRule="exact"/>
        <w:rPr>
          <w:sz w:val="20"/>
          <w:szCs w:val="20"/>
          <w:color w:val="auto"/>
        </w:rPr>
      </w:pPr>
    </w:p>
    <w:p>
      <w:pPr>
        <w:ind w:left="660" w:right="2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substantial additional indebtedness in connection with the Merger , which could impair our flexibility and access to capital and could adversely affect the combined Company’s business, financial condition or results of operations.</w:t>
      </w:r>
    </w:p>
    <w:p>
      <w:pPr>
        <w:ind w:left="66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jc w:val="both"/>
        <w:ind w:left="66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rate fluctuations may materially adversely affect our results of operations and financial conditions due to the variable interest rate on our senior secured term loan facility, in the event that the Company draws down on the revolving credit facility or in respect of any future issuances of debt.</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phasing out of LIBOR may affect our interest expense with respect to borrowings under the Senior Secured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Volatility in the market price of our common stock could lead to losses by investors.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securities analysts or industry analysts do not publish reports about our business or if they downgrade our stock or our sector, our stock price and trading volumes could decline.</w:t>
      </w: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investor's return may be reduced if we lose our foreign private issuer status.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expect to pay any cash dividends for the foreseeable future.</w:t>
      </w:r>
    </w:p>
    <w:p>
      <w:pPr>
        <w:spacing w:after="0" w:line="5"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 future transfer of ICON ordinary shares, other than one effected by means of the transfer of book entry interests in the Depositary Trust Company ("DTC"), may be subject to Irish stamp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During the year ended December 31, 2021, 31.6% of our revenues were derived from our top five customers, with no one customer individually contributing more than 10% of our revenues during the period. Our largest customer represented a strategic partnership with a large global pharmaceutical company and contributed 8.0% of revenue for the year. During the year ended December 31, 2020, 39.1% of our revenues were derived from our top five customers, with one customer contributing more than 10% of our revenues during the period (12.1%). No other customer contributed more than 10% of our revenues during this period. During the year ended December 31, 2019, 37.6% of our revenues were derived from our top five customers, with two customer contributing more than 10% of our revenues during the period (the largest contributing 12.5% and the second largest contributing 10.2%). No other customer contributed more than 10% of our revenues during this period (see </w:t>
      </w:r>
      <w:r>
        <w:rPr>
          <w:rFonts w:ascii="Arial" w:cs="Arial" w:eastAsia="Arial" w:hAnsi="Arial"/>
          <w:sz w:val="16"/>
          <w:szCs w:val="16"/>
          <w:i w:val="1"/>
          <w:iCs w:val="1"/>
          <w:color w:val="auto"/>
        </w:rPr>
        <w:t>note 17 - Disaggregation of revenue</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potential loss or delay of our large contracts, or of multiple contracts, could adversely affect our results.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7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enrollment or investigator recruitment; and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successfully develop and market new services or enter new markets, our growth, results of operations or financial condition could be adversely affected.</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or retain key personnel, our performance may suffer.</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is focused on continuing to develop its expertise in patient recruitment with the establishment in 2020 of Accellacare, a global clinical research network, offering patients easier and faster access to innovative treatments and offering customers the option to deploy decentralized trails.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Improved site selection is achieved through:</w:t>
      </w:r>
    </w:p>
    <w:p>
      <w:pPr>
        <w:spacing w:after="0" w:line="24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leading technology to identify where the patients are that match the protocol;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assessment of the qualification of sites based on real data;</w:t>
      </w:r>
    </w:p>
    <w:p>
      <w:pPr>
        <w:spacing w:after="0" w:line="5"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partnerships with leading technology vendors and developing the capability to enable EMR interrogation into clinical insights such as sub-populations and larger pre-screened pool where the technology and regulations are enabled.</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burden on the site, in ensuring patient enrollment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we entered into an agreement to jointly establish a new company, Oncacare Limited ("Oncacare"), with a third party. Oncacare operates as a specialized oncology site network in the US and EMEA regions. The new site network is focused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 We also use digital solutions to drive site performance, including pre-screening, eConsent, learning management, document tracking and management with key applications.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combined Company may face challenges retaining employees through the integration period which could delay the integration plan, cause disruption to day-to-day activities and result in additional costs to the business.</w:t>
      </w:r>
    </w:p>
    <w:p>
      <w:pPr>
        <w:spacing w:after="0" w:line="18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attraction, development and retention of our talent is critical to the success of the combined Company, and we are working to strengthen processes around these areas to minimize retention risk and support a successful integration. The Company, led by the Chief Human Resource Officer, is taking meaningful action to retain employees. Through our annual Talent Review process we have identified opportunities for improvement as it relates to employee retention. Our 2022 People Plans have set specific goals for each functional area in terms of three critical areas: talent attraction, development and retention. However, we can provide no assurances that our efforts in this respect will be successful.</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extreme weather events, earthquakes and other natural disasters could adversely affect our business.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disease outbreak, epidemic or pandemic such as COVID-19, could adversely affect our business performance.</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 disease outbreak, such as influenza, coronavirus, or other biological attack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COVID-19 has, and may continue to, affect our business performance, and could adversely affect the economies and financial markets worldwide, resulting in an economic downturn that could impact our business, financial condition and results of operations. The Company has experienced volatility on our operations as a result of the global spread of COVID-19, including restrictions on our ability to ensure laboratory samples are collected and analyzed on time, our ability to monitor our clinical trials, the ability of patients or other service providers to travel, and our ability to travel. We have also experienced costs associated with impact prevention.</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COVID-19 outbreak continues to evolve. While our site network and office facilities have predominantly re-opened, the extent to which the outbreak and emergence of new variants of concern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 We may also be required or choose to take temporary measures intended to help minimize the risk of infection from the virus for our employees, including temporarily requiring all employees to work remotely, suspending all non-essential travel worldwide and discouraging attendance at industry events, industry and other conferences, and in-person work-related meetings, which could negatively affect our business and cannot presently be predicted with confidence.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30" w:lineRule="exact"/>
        <w:rPr>
          <w:sz w:val="20"/>
          <w:szCs w:val="20"/>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disruption or failure of data centers, telecommunications facilities or other key infrastructure platforms;</w:t>
      </w:r>
    </w:p>
    <w:p>
      <w:pPr>
        <w:spacing w:after="0" w:line="5" w:lineRule="exact"/>
        <w:rPr>
          <w:rFonts w:ascii="Arial" w:cs="Arial" w:eastAsia="Arial" w:hAnsi="Arial"/>
          <w:sz w:val="16"/>
          <w:szCs w:val="16"/>
          <w:color w:val="auto"/>
        </w:rPr>
      </w:pPr>
    </w:p>
    <w:p>
      <w:pPr>
        <w:ind w:left="980" w:hanging="324"/>
        <w:spacing w:after="0" w:line="246"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security breaches, cyber-attacks or other failures or malfunctions in our application or information systems or their associated hardware or other systems that we have access to, or that we rely upon, or that have access to our systems;</w:t>
      </w: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security breaches, cyber-attacks or malfunctions with key suppliers or partners who we rely on to provide services to customers; and</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3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Additionally, ICON completed the Merger with PRA on July 1, 2021 and, as a result, the IT landscape and physical footprint of the Company has increased significantly. As the organization invests in the consolidation of offices, data centers, IT systems and business services a significant amount of due diligence has been completed to understand the IT landscape and increased attack surface. While the organization continues with substantial integration efforts a failure to effectively manage these activities in a timely and cost-effective manner may result in disruption to our business and negatively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b w:val="1"/>
          <w:bCs w:val="1"/>
          <w:i w:val="1"/>
          <w:iCs w:val="1"/>
          <w:color w:val="auto"/>
        </w:rPr>
        <w:t>Upgrading the information systems that support our operating processes and evolving the technology platform for our services pose risks to our business.</w:t>
      </w:r>
    </w:p>
    <w:p>
      <w:pPr>
        <w:spacing w:after="0" w:line="2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21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If we do not keep pace with rapid technological changes in the CRO industry, our products and services may become less competitive or even obsolete. This applies in particular to our ICONIK, Firecrest, ADDPLAN, Integrated Dataverse (IDV®) and One Search services. Also, increased requirements for investment in information technology may negatively impact our financial condition, including profitability.</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meet productivity objectives under our business improvement objectives could adversely impact our competitiveness and therefore our operating results.</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A failure to identify and successfully close and integrate strategic acquisition targets could adversely impact our ongoing business and financial results.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7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minimize the diversion of management's attention from other business concerns.</w:t>
      </w:r>
    </w:p>
    <w:p>
      <w:pPr>
        <w:spacing w:after="0" w:line="24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ICON may be unable to realize anticipated cost and tax synergies and expects to incur substantial expenses related to the Merger.</w:t>
      </w: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ICON expects to generate run rate cost synergies of approximately $150 million and tax savings from the combined target effective tax rate; both to be realized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 ICON’s ability to realize tax synergies is subject to uncertainties. Failure to achieve the expected cost and tax synergies could significantly reduce the expected benefits associated with the Merger. In addition, ICON has incurred and will incur substantial expenses in connection with completion of the Merger.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performance of our services could adversely impact our reputation and our financial results.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b w:val="1"/>
          <w:bCs w:val="1"/>
          <w:i w:val="1"/>
          <w:iCs w:val="1"/>
          <w:color w:val="auto"/>
        </w:rPr>
        <w:t>The biopharmaceutical industry has a history of patent and other intellectual property litigation and we might be involved in costly intellectual property lawsuits.</w:t>
      </w:r>
    </w:p>
    <w:p>
      <w:pPr>
        <w:spacing w:after="0" w:line="20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act as authorized representative or legal representative for some clients pursuant to certain EU legislation.</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act as authorized representative pursuant to Medical Devices Directive 93/42/EEC (“MDD”) and Active Implantable Medical Devices Directive 90/385/EEC (“AIMD”) for certain clients who are located outside of the European Union. Medical Devices Regulation 2017/745 (“MDR”) replaced MDD on May 26, 2020 and provides for increased responsibility, and accordingly increased risk, for authorized representatives. As authorized representative, we act on behalf of medical device manufacturers in relation to specified tasks with regard to their obligations under MDR.</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30" w:lineRule="exact"/>
        <w:rPr>
          <w:sz w:val="20"/>
          <w:szCs w:val="20"/>
          <w:color w:val="auto"/>
        </w:rPr>
      </w:pPr>
    </w:p>
    <w:p>
      <w:pPr>
        <w:ind w:left="900" w:hanging="406"/>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utilize our services;</w:t>
      </w:r>
    </w:p>
    <w:p>
      <w:pPr>
        <w:ind w:left="900" w:right="20" w:hanging="406"/>
        <w:spacing w:after="0" w:line="246" w:lineRule="auto"/>
        <w:tabs>
          <w:tab w:leader="none" w:pos="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880" w:hanging="386"/>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unfavorable economic conditions or disruptions in the credit and capital markets negatively impacted our clients.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industry, customer or therapeutic concentration.</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results of operations.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quarter-to-quarter, which may adversely affect our results of operations.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As a result of the Merger and associated transaction and integration costs, the effective tax rate may fluctuate, which may have a significant impact on our financial results.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consolidated financial results.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unsatisfied performance obligation may not convert to revenue and the rate of conversion may slow.</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221" w:lineRule="exact"/>
        <w:rPr>
          <w:sz w:val="20"/>
          <w:szCs w:val="20"/>
          <w:color w:val="auto"/>
        </w:rPr>
      </w:pPr>
    </w:p>
    <w:p>
      <w:pPr>
        <w:jc w:val="both"/>
        <w:ind w:firstLine="269"/>
        <w:spacing w:after="0" w:line="253" w:lineRule="auto"/>
        <w:rPr>
          <w:sz w:val="20"/>
          <w:szCs w:val="20"/>
          <w:color w:val="auto"/>
        </w:rPr>
      </w:pPr>
      <w:r>
        <w:rPr>
          <w:rFonts w:ascii="Arial" w:cs="Arial" w:eastAsia="Arial" w:hAnsi="Arial"/>
          <w:sz w:val="16"/>
          <w:szCs w:val="16"/>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ind w:firstLine="648"/>
        <w:spacing w:after="0" w:line="260" w:lineRule="auto"/>
        <w:rPr>
          <w:sz w:val="20"/>
          <w:szCs w:val="20"/>
          <w:color w:val="auto"/>
        </w:rPr>
      </w:pPr>
      <w:r>
        <w:rPr>
          <w:rFonts w:ascii="Arial" w:cs="Arial" w:eastAsia="Arial" w:hAnsi="Arial"/>
          <w:sz w:val="16"/>
          <w:szCs w:val="16"/>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may adversely affect our financial statements.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healthcare reform and the expansion of managed care organizations.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to healthcare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unrest in Eastern Europe could adversely affect our results of operations.</w:t>
      </w:r>
    </w:p>
    <w:p>
      <w:pPr>
        <w:spacing w:after="0" w:line="2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current unrest in Eastern Europe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r>
        <w:rPr>
          <w:rFonts w:ascii="Arial" w:cs="Arial" w:eastAsia="Arial" w:hAnsi="Arial"/>
          <w:sz w:val="16"/>
          <w:szCs w:val="16"/>
          <w:color w:val="auto"/>
        </w:rPr>
        <w:t>.</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8" w:name="page19"/>
    <w:bookmarkEnd w:id="18"/>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6"/>
          <w:szCs w:val="16"/>
          <w:b w:val="1"/>
          <w:bCs w:val="1"/>
          <w:color w:val="auto"/>
        </w:rPr>
        <w:t>.</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28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penalties;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enforcement actions including debarment from government contracts;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5" w:lineRule="exact"/>
        <w:rPr>
          <w:rFonts w:ascii="Arial" w:cs="Arial" w:eastAsia="Arial" w:hAnsi="Arial"/>
          <w:sz w:val="16"/>
          <w:szCs w:val="16"/>
          <w:color w:val="auto"/>
        </w:rPr>
      </w:pPr>
    </w:p>
    <w:p>
      <w:pPr>
        <w:ind w:left="1300" w:hanging="644"/>
        <w:spacing w:after="0" w:line="260"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materialize, our results of operations and financial condition could be materially adversely affected.</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FCPA, UK Bribery Act of 2010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2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Her Majesty’s Treasury and other relevant sanctions authorities.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jc w:val="both"/>
        <w:ind w:firstLine="648"/>
        <w:spacing w:after="0" w:line="247" w:lineRule="auto"/>
        <w:rPr>
          <w:sz w:val="20"/>
          <w:szCs w:val="20"/>
          <w:color w:val="auto"/>
        </w:rPr>
      </w:pPr>
      <w:r>
        <w:rPr>
          <w:rFonts w:ascii="Arial" w:cs="Arial" w:eastAsia="Arial" w:hAnsi="Arial"/>
          <w:sz w:val="16"/>
          <w:szCs w:val="16"/>
          <w:color w:val="auto"/>
        </w:rPr>
        <w:t>Our internal policies mandate compliance with these anti-corruption and economic sanctions laws.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economic sanctions laws committed by employees or other third parties associated with us and our continued expansion, including in developing countries, could increase such risk in the future. Violations of anti-corruption and economic sanctions laws, or even allegations of such violations, could disrupt our business and result in a material adverse effect on our financial condition, results of operations, cash flows and reputation. For example, violations of anti-corruption and economic sanctions laws can result in restatements of, or irregularities in, our financial statements, disgorgement of profits, related stockholder lawsuits as well as severe criminal or civil sanctions. In some cases, companies that violate anti-corruption and economic sanctions laws might be debarred by the U.S. government and/or lose their U.S. export privileges. In addition, the U.S. government or other governments may seek to hold us liable for successor liability of anti-corruption and economic sanctions laws committed by companies that we acquire or in which we invest. Changes in anti-corruption and economic sanctions laws or enforcement priorities could also result in increased compliance requirements and related costs which could materially adversely affect our business, financial condition, results of operations and cash flows.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HIPAA specifies standards for de-identifications and for limited data sets. We are both directly and indirectly affected by the privacy provisions surrounding individual authorizations because many investigators and organizations with whom we are involved in clinical trials and in our services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to the covered entity for mishandling protected health information and, under HIPAA’s enforcement scheme, we can be subject to up to $1.5 million per year in civil penalties for each HIPAA violation.</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European data protection framework was significantly revised in 2018 with the coming into force of the General Data Protection Regulation ('GDPR') containing new provisions specifically directed at the processing of health information, including sanctions of up to 4% of worldwide gross revenue and extra-territoriality measures intended to bring non-EU companies under the proposed regulation. After GDPR implementation, we are receiving increased volumes and breadth of data protection/privacy queries from both sponsors and strategic alliance partners and anticipate that this will continue.</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have proposed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We may face legal claims involving stockholders, consumers, clinical trial subjects, competitors, regulators and other parties. As described in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in Part A, Item 8 of this Form 20-F, we are engaged in legal proceedings. Litigation and other legal proceedings are inherently uncertain, and</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rulings could occur, including monetary damages, or an injunction stopping us from engaging in business practices, or requiring other remedies, including, but not limited to, compulsory licensing of patents. In addition, the combined Company may be exposed to increased litigation from stockholders, customers, suppliers, consumers and other third parties due to the combination of ICON’s business and PRA’s business following the Merger.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Customer Claims</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relating to Investigators</w:t>
      </w:r>
    </w:p>
    <w:p>
      <w:pPr>
        <w:spacing w:after="0" w:line="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Indemnification from Customers</w:t>
      </w:r>
    </w:p>
    <w:p>
      <w:pPr>
        <w:spacing w:after="0" w:line="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left="180"/>
        <w:spacing w:after="0"/>
        <w:rPr>
          <w:sz w:val="20"/>
          <w:szCs w:val="20"/>
          <w:color w:val="auto"/>
        </w:rPr>
      </w:pPr>
      <w:r>
        <w:rPr>
          <w:rFonts w:ascii="Arial" w:cs="Arial" w:eastAsia="Arial" w:hAnsi="Arial"/>
          <w:sz w:val="16"/>
          <w:szCs w:val="16"/>
          <w:i w:val="1"/>
          <w:iCs w:val="1"/>
          <w:color w:val="auto"/>
        </w:rPr>
        <w:t>Insurance</w:t>
      </w:r>
    </w:p>
    <w:p>
      <w:pPr>
        <w:spacing w:after="0" w:line="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to Date</w:t>
      </w:r>
    </w:p>
    <w:p>
      <w:pPr>
        <w:spacing w:after="0" w:line="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Customer's may have specific ESG related requirements or targets and if we fail to meet these targets we may lose business.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Following completion of the Merger and the other transactions contemplated by the Merger Agreement, the Company has a substantial amount of debt. ICON borrowed approximately $6,015 million in order to pay PRA stockholders the cash consideration due to them as merger consideration under the Merger Agreement, pay related fees and transaction costs in connection with the transactions, and refinance existing indebtedness. This increased level of borrowings could adversely affect the Company in a number of ways, including, but not limited to, by placing us at a competitive disadvantage compared to our competitors that have less debt,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Company in the future. No assurances can be made that ICON will be able to refinance any indebtedness incurred in connection with the Merger on terms acceptable to it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203" w:lineRule="exact"/>
        <w:rPr>
          <w:sz w:val="20"/>
          <w:szCs w:val="20"/>
          <w:color w:val="auto"/>
        </w:rPr>
      </w:pPr>
    </w:p>
    <w:p>
      <w:pPr>
        <w:ind w:right="20" w:firstLine="648"/>
        <w:spacing w:after="0" w:line="242" w:lineRule="auto"/>
        <w:rPr>
          <w:sz w:val="20"/>
          <w:szCs w:val="20"/>
          <w:color w:val="auto"/>
        </w:rPr>
      </w:pPr>
      <w:r>
        <w:rPr>
          <w:rFonts w:ascii="Arial" w:cs="Arial" w:eastAsia="Arial" w:hAnsi="Arial"/>
          <w:sz w:val="16"/>
          <w:szCs w:val="16"/>
          <w:color w:val="auto"/>
        </w:rPr>
        <w:t>The Senior Secured Credit Facilities and the indenture include certain customary covenants that limit our ability to, amongst other things, subject to certain exceptions:</w:t>
      </w:r>
    </w:p>
    <w:p>
      <w:pPr>
        <w:ind w:left="640" w:hanging="308"/>
        <w:spacing w:after="0" w:line="238"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make dividends, investments and other restricted payments;</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sale and leaseback transactions;</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incur or assume liens or additional debt;</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dispose of assets;</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engage in mergers or reorganizations; or</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certain types of transactions with affiliates.</w:t>
      </w:r>
    </w:p>
    <w:p>
      <w:pPr>
        <w:spacing w:after="0" w:line="25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conditions due to the variable interest rate on our senior secured term loan facility, in the event that the Company draws down on the revolving credit facility or in respect of any future issuances of debt.</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 On November 10, 2021, the Company achieved a net leverage ratio of less than 4 times and the margin applicable to the senior secured term loan was reduced by 0.25% with the overall rate reducing from 3.0% to 2.75%.</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of under the revolving loan facility are entitled to commitment fees as a percentage of the applicable margin at the time of drawing and utilization fees dependent on the proportion of the facility drawn. At December 31, 2021, no amounts have been drawn under the revolving loan facility with the exception of $4.1 million letters of credit given to landlords to guarantee lease arrangements.</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continue to monitor the phasing out of LIBOR. We have engaged with our lenders on the implications of the change and will continue to discuss with them as replacement rates for LIBOR become more prevalent in the syndicated lending market. The Company is therefore subject to interest rate volatility in respect of the senior secured term loan facility, any future draw down on the Revolving Credit Facility or in respect of any future issuances of debt.</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phasing out of LIBOR may affect our interest expense with respect to borrowings under the Senior Secured Facilities.</w:t>
      </w: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July 27, 2017, the U.K. Financial Conduct Authority (the “FCA”) announced that it intends to end the use of LIBOR effective after December 31, 2021 as the benchmark rate that many banks and issuers use to set interest rates for loans, securities, derivative contracts and other financial instruments. Recognizing the need to replace LIBOR, authorities in the United States convened the Alternative Reference Rates Committee (“ARRC”) in 2014 to identify a replacement for LIBOR with respect to indebtedness denominated in U.S. Dollars. In 2017, the ARRC identified the Secured Overnight Financing Rate (“SOFR”), and in April 2018, the Federal Reserve Bank of New York began publishing SOFR. SOFR is a measure of the cost of borrowing cash overnight, collateralized by U.S. Treasury securities, and is based on directly observable U.S. Treasury-backed repurchase transactions. Although the U.S. Treasury-backed overnight repo market is highly liquid, there is currently no robust market for determining forward-looking, SOFR term rates. Because SOFR is an overnight risk-free rate, whereas LIBOR has various terms and an embedded credit charge, the transition from LIBOR to SOFR will require adjustments, which may continue to vary for certain forms of indebtedness and financial instruments as the relevant markets adapt to SOFR’s implementation. Similar alternative benchmark replacements will be required to be implemented in respect of indebtedness and other financial instruments that are currently based on LIBOR quotes for currencies other than the U.S. Dollar.</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credit agreement governing the Senior Secured Credit Facilities provides that borrowings denominated in U.S. Dollars will bear interest based on LIBOR or the base rate (as elected by the borrower), plus an applicable margin. The credit agreement also provides that LIBOR may be replaced by a SOFR-based rate for borrowings in U.S. Dollars upon (i) the FCA ceasing to provide LIBOR for U.S. Dollars or announcing that LIBOR is no longer representative or (ii) an early election by the Company and the administrative agent under our credit agreement to transition from LIBOR. We will continue to work with the administrative agent and other lenders to determine whether, and when, we expect to transition to a SOFR-based rate prior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6"/>
          <w:szCs w:val="16"/>
          <w:color w:val="auto"/>
        </w:rPr>
        <w:t>LIBOR being formally phased out for the applicable tenors. This transition may impact our interest expense with respect to borrowings under the Senior Secured Credit Facilities. In addition, the phase-out of LIBOR may impact the financial markets as a whole. As such, the consequences of the phase-out of LIBOR cannot be entirely predicted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222"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market and economic conditions;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declines in the market prices of stocks generally;</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5"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new products, acquisitions, joint marketing relationships, joint ventures,</w:t>
      </w:r>
    </w:p>
    <w:p>
      <w:pPr>
        <w:ind w:left="1300"/>
        <w:spacing w:after="0" w:line="235" w:lineRule="auto"/>
        <w:rPr>
          <w:sz w:val="20"/>
          <w:szCs w:val="20"/>
          <w:color w:val="auto"/>
        </w:rPr>
      </w:pPr>
      <w:r>
        <w:rPr>
          <w:rFonts w:ascii="Arial" w:cs="Arial" w:eastAsia="Arial" w:hAnsi="Arial"/>
          <w:sz w:val="16"/>
          <w:szCs w:val="16"/>
          <w:color w:val="auto"/>
        </w:rPr>
        <w:t>other strategic relationships or capital commitments;</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public's reaction to press releases, other public announcements by us or third parties, including our filings with the SEC;</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credit rating of our debt;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 or anticipated sale, of large blocks of our stock;</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changing economic conditions;</w:t>
      </w:r>
    </w:p>
    <w:p>
      <w:pPr>
        <w:spacing w:after="0" w:line="5" w:lineRule="exact"/>
        <w:rPr>
          <w:rFonts w:ascii="Arial" w:cs="Arial" w:eastAsia="Arial" w:hAnsi="Arial"/>
          <w:sz w:val="16"/>
          <w:szCs w:val="16"/>
          <w:color w:val="auto"/>
        </w:rPr>
      </w:pPr>
    </w:p>
    <w:p>
      <w:pPr>
        <w:ind w:left="1300" w:hanging="320"/>
        <w:spacing w:after="0" w:line="228"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exchange rate fluctuations;</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natural disasters, war, acts of terrorism or responses to those events.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If securities analysts or industry analysts do not publish reports about our business or if they downgrade our stock or our sector, our stock price and trading volumes could decline.</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trading market for common stock depends in part on the research and reports that industry or financial analysts publish about us, our business or industry. We do not control these analysts. If one or more of the analysts who do cover us downgrade our stock or our industry or the stock of any of our competitors, or publish inaccurate or unfavorable research about our business or industry,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returns may be reduced if we lose our foreign private issuer status.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We do not expect to pay any cash dividends for the foreseeable future.</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200" w:lineRule="exact"/>
        <w:rPr>
          <w:sz w:val="20"/>
          <w:szCs w:val="20"/>
          <w:color w:val="auto"/>
        </w:rPr>
      </w:pP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20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Transfers of ICON ordinary shares effected by means of the transfer of book entry interests in the Depositary Trust Company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3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Information on the Company.</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History and development</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public limited company (“ICON plc”) is a clinical research organization (“CRO”), founded in Dublin, Ireland in 1990. Over thirty years we have grown significantly to become a leading global provider of outsourced development and commercialization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 On July 1, 2021, the Company completed the Acquisition of PRA which has transformed the scale and capabilities of the Company. The combined Company leverages its enhanced operations to transform clinical trials and accelerate biopharma customers’ commercial success through the development of much needed medicines and medical devices. The combined Company retained the name ICON and brought together approximately 38,000 (as at the Merger date) employees across the globe, creating one of the world’s most advanced healthcare intelligence and clinical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577215</wp:posOffset>
            </wp:positionV>
            <wp:extent cx="5426075" cy="2254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42607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Recent investments, which continue to strengthen our service offerings to meet the needs of our customers include:</w:t>
      </w:r>
    </w:p>
    <w:p>
      <w:pPr>
        <w:spacing w:after="0" w:line="248" w:lineRule="exact"/>
        <w:rPr>
          <w:sz w:val="20"/>
          <w:szCs w:val="20"/>
          <w:color w:val="auto"/>
        </w:rPr>
      </w:pPr>
    </w:p>
    <w:p>
      <w:pPr>
        <w:jc w:val="both"/>
        <w:ind w:left="324" w:hanging="324"/>
        <w:spacing w:after="0" w:line="248" w:lineRule="auto"/>
        <w:tabs>
          <w:tab w:leader="none" w:pos="3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1, 2021, the Company completed the Acquisition of PRA by means of a merger whereby Indigo Merger Sub, Inc., a Delaware corporation and subsidiary of ICON, merged with and into PRA Health Sciences, Inc., the parent of the PRA Health Sciences Group ("the Acquisition" and "the Merger"). Upon completion of the Acquisition, PRA became a wholly owned subsidiary within the ICON Group. ICON’s Acquisition of PRA has brought together two high-quality, innovative, growing organizations with similar cultures and values to create one of the world’s leading healthcare intelligence and clinical contract research organizations. The total value of the Merger consideration is $12.0 billion and has resulted in the recognition of goodwill of $8.1 billion, intangible assets of $4.9 billion and an associated deferred tax liability of $1.1 billion.</w:t>
      </w:r>
    </w:p>
    <w:p>
      <w:pPr>
        <w:spacing w:after="0" w:line="235" w:lineRule="exact"/>
        <w:rPr>
          <w:rFonts w:ascii="Arial" w:cs="Arial" w:eastAsia="Arial" w:hAnsi="Arial"/>
          <w:sz w:val="16"/>
          <w:szCs w:val="16"/>
          <w:color w:val="auto"/>
        </w:rPr>
      </w:pPr>
    </w:p>
    <w:p>
      <w:pPr>
        <w:jc w:val="both"/>
        <w:ind w:left="324"/>
        <w:spacing w:after="0" w:line="251" w:lineRule="auto"/>
        <w:rPr>
          <w:rFonts w:ascii="Arial" w:cs="Arial" w:eastAsia="Arial" w:hAnsi="Arial"/>
          <w:sz w:val="16"/>
          <w:szCs w:val="16"/>
          <w:color w:val="auto"/>
        </w:rPr>
      </w:pPr>
      <w:r>
        <w:rPr>
          <w:rFonts w:ascii="Arial" w:cs="Arial" w:eastAsia="Arial" w:hAnsi="Arial"/>
          <w:sz w:val="16"/>
          <w:szCs w:val="16"/>
          <w:color w:val="auto"/>
        </w:rPr>
        <w:t>With approximately 38,330 employees across the globe, the new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209" w:lineRule="exact"/>
        <w:rPr>
          <w:sz w:val="20"/>
          <w:szCs w:val="20"/>
          <w:color w:val="auto"/>
        </w:rPr>
      </w:pPr>
    </w:p>
    <w:p>
      <w:pPr>
        <w:jc w:val="both"/>
        <w:ind w:left="644"/>
        <w:spacing w:after="0" w:line="266" w:lineRule="auto"/>
        <w:rPr>
          <w:sz w:val="20"/>
          <w:szCs w:val="20"/>
          <w:color w:val="auto"/>
        </w:rPr>
      </w:pPr>
      <w:r>
        <w:rPr>
          <w:rFonts w:ascii="Arial" w:cs="Arial" w:eastAsia="Arial" w:hAnsi="Arial"/>
          <w:sz w:val="16"/>
          <w:szCs w:val="16"/>
          <w:b w:val="1"/>
          <w:bCs w:val="1"/>
          <w:color w:val="auto"/>
        </w:rPr>
        <w:t xml:space="preserve">Scale: </w:t>
      </w:r>
      <w:r>
        <w:rPr>
          <w:rFonts w:ascii="Arial" w:cs="Arial" w:eastAsia="Arial" w:hAnsi="Arial"/>
          <w:sz w:val="16"/>
          <w:szCs w:val="16"/>
          <w:color w:val="auto"/>
        </w:rPr>
        <w:t>With a deeper clinical, commercialization and consulting services portfolio, a broader geographic footprint, depth in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and data-driven healthcare technology, the Company can deliver enhanced globally scaled expertise &amp; solutions for all customers and patients.</w:t>
      </w:r>
    </w:p>
    <w:p>
      <w:pPr>
        <w:spacing w:after="0" w:line="198"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b w:val="1"/>
          <w:bCs w:val="1"/>
          <w:color w:val="auto"/>
        </w:rPr>
        <w:t xml:space="preserve">Focus: </w:t>
      </w:r>
      <w:r>
        <w:rPr>
          <w:rFonts w:ascii="Arial" w:cs="Arial" w:eastAsia="Arial" w:hAnsi="Arial"/>
          <w:sz w:val="16"/>
          <w:szCs w:val="16"/>
          <w:color w:val="auto"/>
        </w:rPr>
        <w:t>The Company will have a singular focus on clinical research and commercialization, leveraging transformational technology and</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innovation to execute clinical trials from Phase 1 to post-approval studies with the highest quality, expertise and speed.</w:t>
      </w:r>
    </w:p>
    <w:p>
      <w:pPr>
        <w:spacing w:after="0" w:line="183" w:lineRule="exact"/>
        <w:rPr>
          <w:sz w:val="20"/>
          <w:szCs w:val="20"/>
          <w:color w:val="auto"/>
        </w:rPr>
      </w:pPr>
    </w:p>
    <w:p>
      <w:pPr>
        <w:jc w:val="both"/>
        <w:ind w:left="644"/>
        <w:spacing w:after="0" w:line="266" w:lineRule="auto"/>
        <w:rPr>
          <w:sz w:val="20"/>
          <w:szCs w:val="20"/>
          <w:color w:val="auto"/>
        </w:rPr>
      </w:pPr>
      <w:r>
        <w:rPr>
          <w:rFonts w:ascii="Arial" w:cs="Arial" w:eastAsia="Arial" w:hAnsi="Arial"/>
          <w:sz w:val="16"/>
          <w:szCs w:val="16"/>
          <w:b w:val="1"/>
          <w:bCs w:val="1"/>
          <w:color w:val="auto"/>
        </w:rPr>
        <w:t>Speed to market</w:t>
      </w:r>
      <w:r>
        <w:rPr>
          <w:rFonts w:ascii="Arial" w:cs="Arial" w:eastAsia="Arial" w:hAnsi="Arial"/>
          <w:sz w:val="16"/>
          <w:szCs w:val="16"/>
          <w:color w:val="auto"/>
        </w:rPr>
        <w:t>: Our extensive services portfolio, digital and data technology capabilities, and enhanced access to more diverse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populations, have been combined with flexible delivery approaches and partnership models – all with the aim of reducing development time and costs.</w:t>
      </w:r>
    </w:p>
    <w:p>
      <w:pPr>
        <w:spacing w:after="0" w:line="198"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b w:val="1"/>
          <w:bCs w:val="1"/>
          <w:color w:val="auto"/>
        </w:rPr>
        <w:t xml:space="preserve">Flexible partnership models: </w:t>
      </w:r>
      <w:r>
        <w:rPr>
          <w:rFonts w:ascii="Arial" w:cs="Arial" w:eastAsia="Arial" w:hAnsi="Arial"/>
          <w:sz w:val="16"/>
          <w:szCs w:val="16"/>
          <w:color w:val="auto"/>
        </w:rPr>
        <w:t>ICON has partnerships with a majority of world’s top biopharma and biotech companies worldwide. ICON is</w:t>
      </w:r>
      <w:r>
        <w:rPr>
          <w:rFonts w:ascii="Arial" w:cs="Arial" w:eastAsia="Arial" w:hAnsi="Arial"/>
          <w:sz w:val="16"/>
          <w:szCs w:val="16"/>
          <w:b w:val="1"/>
          <w:bCs w:val="1"/>
          <w:color w:val="auto"/>
        </w:rPr>
        <w:t xml:space="preserve"> </w:t>
      </w:r>
      <w:r>
        <w:rPr>
          <w:rFonts w:ascii="Arial" w:cs="Arial" w:eastAsia="Arial" w:hAnsi="Arial"/>
          <w:sz w:val="16"/>
          <w:szCs w:val="16"/>
          <w:color w:val="auto"/>
        </w:rPr>
        <w:t>a global leader in Functional Service Provision and a top global provider of full service clinical research.</w:t>
      </w:r>
    </w:p>
    <w:p>
      <w:pPr>
        <w:spacing w:after="0" w:line="183" w:lineRule="exact"/>
        <w:rPr>
          <w:sz w:val="20"/>
          <w:szCs w:val="20"/>
          <w:color w:val="auto"/>
        </w:rPr>
      </w:pPr>
    </w:p>
    <w:p>
      <w:pPr>
        <w:jc w:val="both"/>
        <w:ind w:left="644"/>
        <w:spacing w:after="0" w:line="255" w:lineRule="auto"/>
        <w:rPr>
          <w:sz w:val="20"/>
          <w:szCs w:val="20"/>
          <w:color w:val="auto"/>
        </w:rPr>
      </w:pPr>
      <w:r>
        <w:rPr>
          <w:rFonts w:ascii="Arial" w:cs="Arial" w:eastAsia="Arial" w:hAnsi="Arial"/>
          <w:sz w:val="16"/>
          <w:szCs w:val="16"/>
          <w:b w:val="1"/>
          <w:bCs w:val="1"/>
          <w:color w:val="auto"/>
        </w:rPr>
        <w:t xml:space="preserve">Differentiated DCT platform, healthcare intelligence &amp; technology: </w:t>
      </w:r>
      <w:r>
        <w:rPr>
          <w:rFonts w:ascii="Arial" w:cs="Arial" w:eastAsia="Arial" w:hAnsi="Arial"/>
          <w:sz w:val="16"/>
          <w:szCs w:val="16"/>
          <w:color w:val="auto"/>
        </w:rPr>
        <w:t>The new ICON can deliver differentiated decentralized and hybrid</w:t>
      </w:r>
      <w:r>
        <w:rPr>
          <w:rFonts w:ascii="Arial" w:cs="Arial" w:eastAsia="Arial" w:hAnsi="Arial"/>
          <w:sz w:val="16"/>
          <w:szCs w:val="16"/>
          <w:b w:val="1"/>
          <w:bCs w:val="1"/>
          <w:color w:val="auto"/>
        </w:rPr>
        <w:t xml:space="preserve"> </w:t>
      </w:r>
      <w:r>
        <w:rPr>
          <w:rFonts w:ascii="Arial" w:cs="Arial" w:eastAsia="Arial" w:hAnsi="Arial"/>
          <w:sz w:val="16"/>
          <w:szCs w:val="16"/>
          <w:color w:val="auto"/>
        </w:rPr>
        <w:t>trial solutions through a suite of capabilities, including mobile health, commercial connected health platforms, real world data and information solutions, a global site network, home health services and wearables expertise.</w:t>
      </w:r>
    </w:p>
    <w:p>
      <w:pPr>
        <w:spacing w:after="0" w:line="1" w:lineRule="exact"/>
        <w:rPr>
          <w:sz w:val="20"/>
          <w:szCs w:val="20"/>
          <w:color w:val="auto"/>
        </w:rPr>
      </w:pPr>
    </w:p>
    <w:p>
      <w:pPr>
        <w:jc w:val="both"/>
        <w:ind w:left="644" w:right="140"/>
        <w:spacing w:after="0" w:line="253" w:lineRule="auto"/>
        <w:rPr>
          <w:sz w:val="20"/>
          <w:szCs w:val="20"/>
          <w:color w:val="auto"/>
        </w:rPr>
      </w:pPr>
      <w:r>
        <w:rPr>
          <w:rFonts w:ascii="Arial" w:cs="Arial" w:eastAsia="Arial" w:hAnsi="Arial"/>
          <w:sz w:val="16"/>
          <w:szCs w:val="16"/>
          <w:b w:val="1"/>
          <w:bCs w:val="1"/>
          <w:color w:val="auto"/>
        </w:rPr>
        <w:t xml:space="preserve">Access to patients: </w:t>
      </w:r>
      <w:r>
        <w:rPr>
          <w:rFonts w:ascii="Arial" w:cs="Arial" w:eastAsia="Arial" w:hAnsi="Arial"/>
          <w:sz w:val="16"/>
          <w:szCs w:val="16"/>
          <w:color w:val="auto"/>
        </w:rPr>
        <w:t>The new ICON offers customers enhanced access to a larger global pool of more diverse patients through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site network (Accellacare), specialized oncology network (Oncacare), a pediatric site network, in-home clinical services and a network of six Phase I clinical research units across the United States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26" w:name="page27"/>
    <w:bookmarkEnd w:id="26"/>
    <w:p>
      <w:pPr>
        <w:jc w:val="both"/>
        <w:ind w:left="980" w:hanging="324"/>
        <w:spacing w:after="0" w:line="253" w:lineRule="auto"/>
        <w:tabs>
          <w:tab w:leader="none" w:pos="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September 3, 2020, as part of an internal initiative, ICON announced that it was launching Accellacare, a global clinical research network offering patients easier and faster access to innovative treatments and offering customers the option to deploy decentralized trials. The site network includes previously acquired PMG Research in the US and MeDiNova Research in EMEA;</w:t>
      </w:r>
    </w:p>
    <w:p>
      <w:pPr>
        <w:spacing w:after="0" w:line="228" w:lineRule="exact"/>
        <w:rPr>
          <w:rFonts w:ascii="Arial" w:cs="Arial" w:eastAsia="Arial" w:hAnsi="Arial"/>
          <w:sz w:val="16"/>
          <w:szCs w:val="16"/>
          <w:color w:val="auto"/>
        </w:rPr>
      </w:pPr>
    </w:p>
    <w:p>
      <w:pPr>
        <w:jc w:val="both"/>
        <w:ind w:left="980" w:hanging="324"/>
        <w:spacing w:after="0" w:line="248" w:lineRule="auto"/>
        <w:tabs>
          <w:tab w:leader="none" w:pos="969"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 xml:space="preserve">On July 24, 2020 a subsidiary of the Company, ICON Clinical Research Limited, entered into an agreement to jointly establish a new company, Oncacare Limited ("Oncacare"), with a third party. Oncacare operates a specialized oncology site network in the US and EMEA regions. The new site network focuses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 The Company has invested $4.9 million to obtain a 49% interest in the voting share capital of Oncacare. The third party to the joint venture has the right to sell the 51% majority voting share capital exclusively to the Company in a two and half year period, commencing January 1, 2023 and ICON also has the right to acquire the 51% majority voting share capital from August 1, 2025 (see </w:t>
      </w:r>
      <w:r>
        <w:rPr>
          <w:rFonts w:ascii="Arial" w:cs="Arial" w:eastAsia="Arial" w:hAnsi="Arial"/>
          <w:sz w:val="16"/>
          <w:szCs w:val="16"/>
          <w:i w:val="1"/>
          <w:iCs w:val="1"/>
          <w:color w:val="auto"/>
        </w:rPr>
        <w:t>note 3 - Investments</w:t>
      </w:r>
      <w:r>
        <w:rPr>
          <w:rFonts w:ascii="Arial" w:cs="Arial" w:eastAsia="Arial" w:hAnsi="Arial"/>
          <w:sz w:val="16"/>
          <w:szCs w:val="16"/>
          <w:color w:val="auto"/>
        </w:rPr>
        <w:t xml:space="preserve"> in the consolidated financial statements);</w:t>
      </w:r>
    </w:p>
    <w:p>
      <w:pPr>
        <w:spacing w:after="0" w:line="234" w:lineRule="exact"/>
        <w:rPr>
          <w:rFonts w:ascii="Arial" w:cs="Arial" w:eastAsia="Arial" w:hAnsi="Arial"/>
          <w:sz w:val="16"/>
          <w:szCs w:val="16"/>
          <w:b w:val="1"/>
          <w:bCs w:val="1"/>
          <w:color w:val="auto"/>
        </w:rPr>
      </w:pPr>
    </w:p>
    <w:p>
      <w:pPr>
        <w:jc w:val="both"/>
        <w:ind w:left="980" w:hanging="324"/>
        <w:spacing w:after="0" w:line="249" w:lineRule="auto"/>
        <w:tabs>
          <w:tab w:leader="none" w:pos="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January 22, 2020 a subsidiary of the Company, ICON Investments Limited, acquired 100% of the equity share capital of MedPass International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was $47.6 million;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jc w:val="both"/>
        <w:ind w:left="980" w:hanging="324"/>
        <w:spacing w:after="0" w:line="248" w:lineRule="auto"/>
        <w:tabs>
          <w:tab w:leader="none" w:pos="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September 24, 2019 a subsidiary of the Company, ICON Clinical Research LLC, acquired a 100% interest in Clinical Research Networks ("CRN"). Founded in 2003 and operating from its headquarters in Illinois, USA and Gdansk, Poland, CRN is a leading provider of at-home trial services and site support services from study start-up to closeout for Phase I-IV global studies. CRN will grow ICON's patient recruitment capabilities globally and complements ICON's site network (now called Accellacare) in the USA, PMG Research and the recently acquired site network in EMEA, MeDiNova. The consideration to acquire the 100% interest was cash of $35.3 million and contingent consideration which was initially estimated at a fair value of $2.5 million. During 2020, the contingent consideration was settled at fair value in the amount of $0.5 million. The change in fair value has been recorded in the selling, general and administrative expense line of the Consolidated Statement of Operations;</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jc w:val="both"/>
        <w:ind w:left="980" w:hanging="324"/>
        <w:spacing w:after="0" w:line="248" w:lineRule="auto"/>
        <w:tabs>
          <w:tab w:leader="none" w:pos="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The consideration to acquire the majority shareholding was cash of $54.1 million (excluding a working capital adjustment of $0.5 million). The contingent consideration was paid in October 2019. The acquisition further enhances ICON's patient recruitment capabilities in EMEA and complements ICON's existing site network in the USA, PMG Research. ICON had the right to acquire the remaining shares in the company and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w:t>
      </w:r>
    </w:p>
    <w:p>
      <w:pPr>
        <w:spacing w:after="0" w:line="234" w:lineRule="exact"/>
        <w:rPr>
          <w:rFonts w:ascii="Arial" w:cs="Arial" w:eastAsia="Arial" w:hAnsi="Arial"/>
          <w:sz w:val="16"/>
          <w:szCs w:val="16"/>
          <w:color w:val="auto"/>
        </w:rPr>
      </w:pPr>
    </w:p>
    <w:p>
      <w:pPr>
        <w:jc w:val="both"/>
        <w:ind w:left="980" w:hanging="324"/>
        <w:spacing w:after="0" w:line="249" w:lineRule="auto"/>
        <w:tabs>
          <w:tab w:leader="none" w:pos="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January 25, 2019 a subsidiary of the Company, ICON Laboratory Services, Inc., acquired 100% of the share capital of MolecularMD Corp. ("MMD"). The consideration was $42.2 million. MMD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21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26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ICON is a leading global provider of outsourced development and commercialization services to pharmaceutical, biotechnology, medical device,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government and public health organizations.</w:t>
      </w:r>
    </w:p>
    <w:p>
      <w:pPr>
        <w:spacing w:after="0" w:line="24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offer a full range of clinical, consulting and commercial services that range from clinical development strategy, planning and trial design, to full study execution, and post-market commercialization.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ICON provides its services across a range of clinical outsourcing operating models including strategic partnerships, preferred provider, full-service delivery to functional service provision and stand-alone services.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7" w:name="page28"/>
    <w:bookmarkEnd w:id="27"/>
    <w:p>
      <w:pPr>
        <w:jc w:val="both"/>
        <w:ind w:firstLine="648"/>
        <w:spacing w:after="0" w:line="250" w:lineRule="auto"/>
        <w:rPr>
          <w:sz w:val="20"/>
          <w:szCs w:val="20"/>
          <w:color w:val="auto"/>
        </w:rPr>
      </w:pPr>
      <w:r>
        <w:rPr>
          <w:rFonts w:ascii="Arial" w:cs="Arial" w:eastAsia="Arial" w:hAnsi="Arial"/>
          <w:sz w:val="16"/>
          <w:szCs w:val="16"/>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 Since the completion of the Merger, the Company also now offers a standalone data solutions service via it's Symphony Health Solutions ("Symphony" or "Symphony Health")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863590" cy="2914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Following the completion of the Merger with PRA on July,1 2021, ICON is now a substantially larger company at December 31, 2021 compared to previous years. At December 31, 2021, we employed approximately 38,330 employees in 142 locations in 53 countries. During the year ended December 31, 2021, we derived approximately 47.1%, 46.4% and 6.5% of our revenue in the United States, Europe and Rest of World, respectively (see </w:t>
      </w:r>
      <w:r>
        <w:rPr>
          <w:rFonts w:ascii="Arial" w:cs="Arial" w:eastAsia="Arial" w:hAnsi="Arial"/>
          <w:sz w:val="16"/>
          <w:szCs w:val="16"/>
          <w:i w:val="1"/>
          <w:iCs w:val="1"/>
          <w:color w:val="auto"/>
        </w:rPr>
        <w:t xml:space="preserve">note 20 - Business Segment and Geographical Information </w:t>
      </w:r>
      <w:r>
        <w:rPr>
          <w:rFonts w:ascii="Arial" w:cs="Arial" w:eastAsia="Arial" w:hAnsi="Arial"/>
          <w:sz w:val="16"/>
          <w:szCs w:val="16"/>
          <w:color w:val="auto"/>
        </w:rPr>
        <w:t>in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ICON Strategy</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28" w:name="page29"/>
    <w:bookmarkEnd w:id="28"/>
    <w:p>
      <w:pPr>
        <w:jc w:val="both"/>
        <w:spacing w:after="0" w:line="260" w:lineRule="auto"/>
        <w:rPr>
          <w:sz w:val="20"/>
          <w:szCs w:val="20"/>
          <w:color w:val="auto"/>
        </w:rPr>
      </w:pPr>
      <w:r>
        <w:rPr>
          <w:rFonts w:ascii="Arial" w:cs="Arial" w:eastAsia="Arial" w:hAnsi="Arial"/>
          <w:sz w:val="16"/>
          <w:szCs w:val="16"/>
          <w:color w:val="auto"/>
        </w:rPr>
        <w:t>advances in molecular biology and genetics will drive further growth in innovation in the long term which in turn should create further growth opportunities for both biopharma companies and their outsource development partners.</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863590" cy="2854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 Access &amp; Engagement</w:t>
      </w:r>
    </w:p>
    <w:p>
      <w:pPr>
        <w:spacing w:after="0" w:line="26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has a focused patient, site and data strategy, which is helping us to improve site identification, study placement and patient recruitment and retention.</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Accellacare is ICON's global clinical research network offering customers a wide range of stand-alone and integrated solutions at the site or in patients' homes as part of decentralized trials. Our patient centric approach accelerates study start-up and increases patient recruitment and retention for pharmaceutical, biotechnology and medical device industries.</w:t>
      </w:r>
    </w:p>
    <w:p>
      <w:pPr>
        <w:spacing w:after="0" w:line="2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Accellacare Site Network encompasses more than 150 sites across 8 countries and incorporates PMG Research in the US and MeDiNova Research in EMEA. Accellacare offers a quality focused clinical research infrastructure delivering value and benefits to sponsors. Accellacare supports customers with faster start-up - site selected to site initiation visit is on average 30% faster and it achieves an average of 40% more patients per site when compared to other sites.</w:t>
      </w:r>
    </w:p>
    <w:p>
      <w:pPr>
        <w:spacing w:after="0" w:line="22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29" w:name="page30"/>
    <w:bookmarkEnd w:id="29"/>
    <w:p>
      <w:pPr>
        <w:jc w:val="both"/>
        <w:spacing w:after="0" w:line="237" w:lineRule="auto"/>
        <w:rPr>
          <w:sz w:val="20"/>
          <w:szCs w:val="20"/>
          <w:color w:val="auto"/>
        </w:rPr>
      </w:pPr>
      <w:r>
        <w:rPr>
          <w:rFonts w:ascii="Arial" w:cs="Arial" w:eastAsia="Arial" w:hAnsi="Arial"/>
          <w:sz w:val="16"/>
          <w:szCs w:val="16"/>
          <w:color w:val="auto"/>
        </w:rPr>
        <w:t>site and data strategy, helping us to improve patient recruitment and retention. Through Accellacare we are committed to delivering on the promise of patient centricity in clinical research. It is also providing investigators with innovative treatments for their patients with a quality-focused clinical research infrastructure supported by experienced professionals globally.</w:t>
      </w:r>
    </w:p>
    <w:p>
      <w:pPr>
        <w:spacing w:after="0" w:line="2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In 2021, Accellacare entered new partnerships with six research sites across four countries, expanding its global footprint and capabilities. Agreements with Asclepes Research and Olympian Clinical Research in the U.S., Curiositas ad Sanum and Intermed in Germany, Quironsalud in Spain, and KO-MED in Poland. Through these new partnerships, Accellacare is also enhancing its capability in the central nervous system (CNS) and immune-inflammation therapeutic areas.</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expansion of the Accellacare Site Network increases access and engagement with investigative sites and its patients, with the goal of faster recruitment and reducing the overall time and cost associated with drug development for customers. Accellacare now has access to more than 9 million patients.</w:t>
      </w:r>
    </w:p>
    <w:p>
      <w:pPr>
        <w:spacing w:after="0" w:line="22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Accellacare and Oncacare site network alliances enhances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Career Development &amp; Employer of choice</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Enduring Customer Partnerships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focus on expanding and deepening our partnerships with existing customers, while also developing new customer relationships.</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To meet the evolving needs of both our existing and new clients we continue to enhance our capabilities through both organic service development and targeted acquisitions.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0" w:name="page31"/>
    <w:bookmarkEnd w:id="30"/>
    <w:p>
      <w:pPr>
        <w:jc w:val="both"/>
        <w:ind w:firstLine="648"/>
        <w:spacing w:after="0" w:line="251" w:lineRule="auto"/>
        <w:rPr>
          <w:sz w:val="20"/>
          <w:szCs w:val="20"/>
          <w:color w:val="auto"/>
        </w:rPr>
      </w:pPr>
      <w:r>
        <w:rPr>
          <w:rFonts w:ascii="Arial" w:cs="Arial" w:eastAsia="Arial" w:hAnsi="Arial"/>
          <w:sz w:val="16"/>
          <w:szCs w:val="16"/>
          <w:color w:val="auto"/>
        </w:rPr>
        <w:t>During the year, we continued to enhance our scientific and therapeutic expertise to support our customers in specific areas including oncology, orphan and rare diseases, CNS, dermatology, infectious disease and women's health. During 2021 and 2020, ICON mobilized its vaccine resources to address the COVID-19 global threat, including its ability to conduct home-based trials to minimize infection. In addition, the Company is currently providing clinical monitoring and safety oversight on numerous COVID-19 trials for both the private and government sectors.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mobilized a large global team of therapeutic and operational specialists to partner on the implementation of Pfizer‘s and BioNTech’s strategic plan and framework for the monitoring of the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worked with 153 sites in the US, Europe, South Africa and Latin America to ensure the recruitment of more than 44,000 trial participants over a four month period in late 2020.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companies’ project teams.</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the Group acquired MedPass which has further enhanced our value offering in this area.</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also invested significantly in our site and patient network (Accellacare), and consider our expertise and offering in this area as one of our strategic pillars effective from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Healthcare Intelligence &amp; Applied Innovation</w:t>
      </w:r>
    </w:p>
    <w:p>
      <w:pPr>
        <w:spacing w:after="0" w:line="2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Firecrest is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new Site Question Management Tool.</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ICON has also developed a patient engagement platform to support improved patient experience &amp; enrollment in clinical trials. The web 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1" w:name="page32"/>
    <w:bookmarkEnd w:id="31"/>
    <w:p>
      <w:pPr>
        <w:jc w:val="both"/>
        <w:ind w:right="20" w:firstLine="648"/>
        <w:spacing w:after="0" w:line="260" w:lineRule="auto"/>
        <w:rPr>
          <w:sz w:val="20"/>
          <w:szCs w:val="20"/>
          <w:color w:val="auto"/>
        </w:rPr>
      </w:pPr>
      <w:r>
        <w:rPr>
          <w:rFonts w:ascii="Arial" w:cs="Arial" w:eastAsia="Arial" w:hAnsi="Arial"/>
          <w:sz w:val="16"/>
          <w:szCs w:val="16"/>
          <w:color w:val="auto"/>
        </w:rPr>
        <w:t>The completion of the Merger has significantly expanded ICON's data driven strategy with the addition of Symphony Health. Symphony Health is a trusted partner and leading enabler of integrated health data liquidity and analytics, delivered as a cloud-based solution.</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positively impact patients’ lives by understanding their journeys and how they can benefit from drugs currently in development and on the market. We do this by developing a holistic, global data environment across pharmaceutical/ biotech companies (development to commercial) that gives insights into patients, and how best to serve them.</w:t>
      </w: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Alongside the application of these technology solutions we are also focused on innovation through the redesign and where appropriate the automation of current clinical trial processes.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Operational Excellence, Quality and Delivery</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and Service Offerings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is a global provider of outsourced drug and device development and commercialization services to pharmaceutical, biotechnology, medical device, government, and public, consumer health organizations. These solutions span the Clinical Development lifecycle from compound selection to Phase I-IV clinical studies and post approval outcome research and market access consulting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863590" cy="1645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359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32" w:name="page33"/>
    <w:bookmarkEnd w:id="32"/>
    <w:p>
      <w:pPr>
        <w:jc w:val="both"/>
        <w:ind w:firstLine="648"/>
        <w:spacing w:after="0" w:line="253" w:lineRule="auto"/>
        <w:rPr>
          <w:sz w:val="20"/>
          <w:szCs w:val="20"/>
          <w:color w:val="auto"/>
        </w:rPr>
      </w:pPr>
      <w:r>
        <w:rPr>
          <w:rFonts w:ascii="Arial" w:cs="Arial" w:eastAsia="Arial" w:hAnsi="Arial"/>
          <w:sz w:val="16"/>
          <w:szCs w:val="16"/>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863590" cy="7020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7020560"/>
                    </a:xfrm>
                    <a:prstGeom prst="rect">
                      <a:avLst/>
                    </a:prstGeom>
                    <a:noFill/>
                  </pic:spPr>
                </pic:pic>
              </a:graphicData>
            </a:graphic>
          </wp:anchor>
        </w:drawing>
      </w:r>
    </w:p>
    <w:p>
      <w:pPr>
        <w:sectPr>
          <w:pgSz w:w="11900" w:h="16838" w:orient="portrait"/>
          <w:cols w:equalWidth="0" w:num="1">
            <w:col w:w="10800"/>
          </w:cols>
          <w:pgMar w:left="320" w:top="91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11" w:right="7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Industry Overview</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 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3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Drug Development Overview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Ethical Pharmaceuticals and Biologics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Preclinical Research </w:t>
      </w:r>
      <w:r>
        <w:rPr>
          <w:rFonts w:ascii="Arial" w:cs="Arial" w:eastAsia="Arial" w:hAnsi="Arial"/>
          <w:sz w:val="16"/>
          <w:szCs w:val="16"/>
          <w:color w:val="auto"/>
        </w:rPr>
        <w:t>“In vitro” (test tube) and animal studies must be conducted in accordance with applicable regulations to establish the relative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toxicity 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 Preclinical research is not commonly provided by ICON as a service to its customers.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(approximately 3.5 to 7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Exploratory Development</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u w:val="single" w:color="auto"/>
          <w:color w:val="auto"/>
        </w:rPr>
        <w:t>Phase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6 months to 1 year)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basic safety and tolerability testing in small numbers of human subjects, initially in healthy</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u w:val="single" w:color="auto"/>
          <w:color w:val="auto"/>
        </w:rPr>
        <w:t>Phase 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2 to 3 years</w:t>
      </w:r>
      <w:r>
        <w:rPr>
          <w:rFonts w:ascii="Arial" w:cs="Arial" w:eastAsia="Arial" w:hAnsi="Arial"/>
          <w:sz w:val="16"/>
          <w:szCs w:val="16"/>
          <w:color w:val="auto"/>
        </w:rPr>
        <w:t>) includes basic efficacy and dose-range testing in a limited patient population (usually) 100 to 200 patients to</w:t>
      </w:r>
      <w:r>
        <w:rPr>
          <w:rFonts w:ascii="Arial" w:cs="Arial" w:eastAsia="Arial" w:hAnsi="Arial"/>
          <w:sz w:val="16"/>
          <w:szCs w:val="16"/>
          <w:b w:val="1"/>
          <w:bCs w:val="1"/>
          <w:color w:val="auto"/>
        </w:rPr>
        <w:t xml:space="preserve"> </w:t>
      </w:r>
      <w:r>
        <w:rPr>
          <w:rFonts w:ascii="Arial" w:cs="Arial" w:eastAsia="Arial" w:hAnsi="Arial"/>
          <w:sz w:val="16"/>
          <w:szCs w:val="16"/>
          <w:color w:val="auto"/>
        </w:rPr>
        <w:t>help provide preliminary safety and evidence that the drug is likely to be effective in the target disease. If the Phase II results are satisfactory the sponsor may decide to proceed to Phase III studies.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Confirmatory Development</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u w:val="single" w:color="auto"/>
          <w:color w:val="auto"/>
        </w:rPr>
        <w:t>Phase III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 years or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efficacy and safety studies in several hundred to a few thousand patients at multiple investigational sites</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(hospitals and clinics), often in multiple geographies.</w:t>
      </w:r>
    </w:p>
    <w:p>
      <w:pPr>
        <w:spacing w:after="0" w:line="20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FDA approval, through submission of an IND, is necessary for all clinical trials, regardless of the phase of development. In addition, parallel independent committee approval is also required.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NDA or BLA Preparation and Submission. </w:t>
      </w:r>
      <w:r>
        <w:rPr>
          <w:rFonts w:ascii="Arial" w:cs="Arial" w:eastAsia="Arial" w:hAnsi="Arial"/>
          <w:sz w:val="16"/>
          <w:szCs w:val="16"/>
          <w:color w:val="auto"/>
        </w:rPr>
        <w:t>Upon completion of Phase III trials, the sponsor assembles the statistically analyzed data from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phases of 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Expanded Access Programs (EAPs). </w:t>
      </w:r>
      <w:r>
        <w:rPr>
          <w:rFonts w:ascii="Arial" w:cs="Arial" w:eastAsia="Arial" w:hAnsi="Arial"/>
          <w:sz w:val="16"/>
          <w:szCs w:val="16"/>
          <w:color w:val="auto"/>
        </w:rPr>
        <w:t>Sometimes a study drug may continue to be provided to subjects after completion of a clinical trial,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called 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is scrutinized to confirm that the applicant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commitments.</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Post-Market Surveillance, Phase IV Studies and Health Outcomes. </w:t>
      </w:r>
      <w:r>
        <w:rPr>
          <w:rFonts w:ascii="Arial" w:cs="Arial" w:eastAsia="Arial" w:hAnsi="Arial"/>
          <w:sz w:val="16"/>
          <w:szCs w:val="16"/>
          <w:color w:val="auto"/>
        </w:rPr>
        <w:t>Once approved by the FDA, the FDA requires the drug or biologic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to collect and periodically report to the FDA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the FDA and other regulatory agencies are requiring license holders of drugs or biologics to prepare risk management plans which are aimed at assessing areas of product risk and actively managing such risks throughout the product lifecycle.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the CRO Industry</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CROs derive substantially all of their revenue from the research and development expenditures of pharmaceutical, biotechnology and medical device companies. We believe that the following trends create further growth opportunities for global CROs, although there is no assurance that growth will materialize.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Continued Innovation and Development of Enabling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Innovation Driving New Drug Development Activity</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rare/orphan diseases that currently have no effective treatments.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developments should lead to increased activity in both Preclinical and Phase I development and in turn lead to more treatments in Phase II-</w:t>
      </w:r>
    </w:p>
    <w:p>
      <w:pPr>
        <w:spacing w:after="0" w:line="5" w:lineRule="exact"/>
        <w:rPr>
          <w:sz w:val="20"/>
          <w:szCs w:val="20"/>
          <w:color w:val="auto"/>
        </w:rPr>
      </w:pPr>
    </w:p>
    <w:p>
      <w:pPr>
        <w:jc w:val="both"/>
        <w:ind w:firstLine="8"/>
        <w:spacing w:after="0" w:line="253" w:lineRule="auto"/>
        <w:tabs>
          <w:tab w:leader="none" w:pos="1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Decentralized and hybrid trials</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Decentralized and hybrid trials have existed for quite some time but the coronavirus pandemic accelerated the demand when pharma was challenged to move to remote models to protect patient safety and ensure data integrity for COVID-19 vaccine trials and other ongoing trials. The pandemic has provided an opportunity to move many technologies and remote patient care solutions from pilot phase to supporting patients and research.</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5" w:name="page36"/>
    <w:bookmarkEnd w:id="35"/>
    <w:p>
      <w:pPr>
        <w:jc w:val="both"/>
        <w:ind w:right="20" w:firstLine="648"/>
        <w:spacing w:after="0" w:line="246" w:lineRule="auto"/>
        <w:rPr>
          <w:sz w:val="20"/>
          <w:szCs w:val="20"/>
          <w:color w:val="auto"/>
        </w:rPr>
      </w:pPr>
      <w:r>
        <w:rPr>
          <w:rFonts w:ascii="Arial" w:cs="Arial" w:eastAsia="Arial" w:hAnsi="Arial"/>
          <w:sz w:val="16"/>
          <w:szCs w:val="16"/>
          <w:color w:val="auto"/>
        </w:rPr>
        <w:t>As an industry, we have an opportunity to make decentralized and hybrid the standard moving forward. The ways the industry have been conducting clinical research in a traditional site-based approach need to flex so we can implement these tools, techniques and processes in everyday research to bring about a more patient-centric approach. Each new element needs to be evaluated to assess the impact for the individual patients and study sites. Recent experiences in the industry have shown:</w:t>
      </w:r>
    </w:p>
    <w:p>
      <w:pPr>
        <w:spacing w:after="0" w:line="2" w:lineRule="exact"/>
        <w:rPr>
          <w:sz w:val="20"/>
          <w:szCs w:val="20"/>
          <w:color w:val="auto"/>
        </w:rPr>
      </w:pPr>
    </w:p>
    <w:p>
      <w:pPr>
        <w:ind w:left="980" w:hanging="324"/>
        <w:spacing w:after="0" w:line="246"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Using fewer countries and fewer sites can reduce costs, decrease timelines for start-up and minimize the risk of disruption during and post pandemic.</w:t>
      </w:r>
    </w:p>
    <w:p>
      <w:pPr>
        <w:ind w:left="980" w:hanging="324"/>
        <w:spacing w:after="0" w:line="246"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Hybrid studies, utilizing digital health, in-home health, and telehealth, can reduce the number and frequency of onsite patient visits and therefore reduce patient burden.</w:t>
      </w:r>
    </w:p>
    <w:p>
      <w:pPr>
        <w:ind w:left="980" w:hanging="324"/>
        <w:spacing w:after="0" w:line="246"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Home-based patient visits and direct-to-patient contacts can increase patient satisfaction, compliance and retention, providing greater trial resilience.</w:t>
      </w:r>
    </w:p>
    <w:p>
      <w:pPr>
        <w:ind w:left="980" w:hanging="324"/>
        <w:spacing w:after="0" w:line="260"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Harmonizing data from disparate data sources will provide real-time access and consistent data visibility, helping to improve safety monitoring and enabling the visualization of data trends.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Regulatory easement has resulted in a number of positive changes to clinical trial procedures, enabling studies to continue and in some case progress at a faster pace, and improvements to the process of CTA and IND approvals despite the restrictions imposed by the current COVID-19 pandemic. However, the regulatory authorities have been clear that regulatory easement will be discontinued once the pandemic recedes so it remains to be seen how many of these improvements will endure and become standard practice in the longer term. It is hoped that we can hold on to some of the improvements for the benefit of the patient and healthcare advancement.</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At the end of the day, we are trying to increase the speed at which drugs can meet approval guidelines and help treatable populations. By using decentralized tools, technologies and processes, we will reduce the burden on patients, increase satisfaction and provide them with the same standard of care during a virtual or home visit that they would receive in a clinic and fulfilling the promise of clinical research as a care option. While reduced costs may not be seen in the early phase of adoption (in fact investment may be required initially) choosing the right solution for the specific study characteristics has the potential to increase patient recruitment and retention which can result in reduced overall research costs and quicker time to market. To find the best clinical trial design to suit their needs, sponsors will need to take patient centricity into consideration from the outset and at every step along the way. Because what benefits the patient will ultimately benefit the sponsor in outcomes.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Technology Enabling More Efficient Development</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Technology innovation is playing an increasingly important role in helping to support more efficient drug development. Leveraging differentiated technology solutions and data collaborations drives better execution in clinical trials.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and operation. See further details on our new technologies and innovations in the section on information systems on page 46.</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emergence of modern healthcare technologies ("mHealth")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“virtual trials” based on remote monitoring of patients in their home environment which may drive further efficiencies in the trial process.</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Social media is also becoming an important platform for life sciences companies to strengthen patient engagement programs and collaborate with other stakeholders in the healthcare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the influence of technology on drug development grows, it broadens the potential number of partners that CROs will work with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Expanded Use of New Patient Data Sources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Pharmaceutical companies are looking to access a variety of new healthcare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Improving Productivity and Operating Efficiencies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Focus on Productivity within Research and Development Programs</w:t>
      </w:r>
    </w:p>
    <w:p>
      <w:pPr>
        <w:spacing w:after="0" w:line="26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risk based clinical trial monitoring, decentralized and hybrid trials are enhancing development, allowing effective treatments to get to patients quicker at reduced development costs.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Containment Pressures</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Global trends influencing the CRO industry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Pressure to Accelerate Time to Markets and Globalization of the Marketplace</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within the Biotechnology Sector</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areas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Number of Large Long-Term Studies and an Increasing Requirement to Show the Economic Value of New Treatments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firstLine="648"/>
        <w:spacing w:after="0" w:line="251" w:lineRule="auto"/>
        <w:rPr>
          <w:sz w:val="20"/>
          <w:szCs w:val="20"/>
          <w:color w:val="auto"/>
        </w:rPr>
      </w:pPr>
      <w:r>
        <w:rPr>
          <w:rFonts w:ascii="Arial" w:cs="Arial" w:eastAsia="Arial" w:hAnsi="Arial"/>
          <w:sz w:val="16"/>
          <w:szCs w:val="16"/>
          <w:color w:val="auto"/>
        </w:rPr>
        <w:t>The rising costs of healthcare in most developed countries also means there is an increasing pressure to show that new medical treatments are more cost effective and deliver better patient outcomes than existing treatment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Focus on Long-term Product Safety</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Regulatory Demands</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Regulatory agencies are requiring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mission is to improve the lives of patients by accelerating the development of our customers’ drugs and devices through innovative solutions. We help our customers deliver life-changing medicines by being innovative in our solutions, collaborative in how we work as teams, accountable for the results we achieve and committed to doing the right thing for our customers and the patients they serve. We are advancing clinical research while offering customers broader and deeper experience, scale, and focus, complemented by continuity of delivery and speed to market. Our business model is described in the sections preceding this. The completion of our Acquisition of PRA Health Sciences in July 2021 marked the birth of the new ICON and the start of work to unify two global leaders in healthcare intelligence and clinical research. The new ICON remains committed to responsible and sustainable business practices. We believe that business should not only operate in compliance with applicable laws, rules, and regulations, but that our behaviors should also address underlying societal concerns.</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core values underpin our mission and drive a culture and mind-set of ownership at ICON. "Own It @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ICON is redefining the company values to take the best of both ICON and PRA values. The Board approved the new values in December 2021 with a roll out plan during 2022.</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ICON values during 2021 were:</w:t>
      </w:r>
    </w:p>
    <w:p>
      <w:pPr>
        <w:spacing w:after="0" w:line="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Accountability &amp; delivery: </w:t>
      </w:r>
      <w:r>
        <w:rPr>
          <w:rFonts w:ascii="Arial" w:cs="Arial" w:eastAsia="Arial" w:hAnsi="Arial"/>
          <w:sz w:val="16"/>
          <w:szCs w:val="16"/>
          <w:color w:val="auto"/>
        </w:rPr>
        <w:t>We take pride in what we do.</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Collaboration: </w:t>
      </w:r>
      <w:r>
        <w:rPr>
          <w:rFonts w:ascii="Arial" w:cs="Arial" w:eastAsia="Arial" w:hAnsi="Arial"/>
          <w:sz w:val="16"/>
          <w:szCs w:val="16"/>
          <w:color w:val="auto"/>
        </w:rPr>
        <w:t>We are one team.</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t>
      </w:r>
      <w:r>
        <w:rPr>
          <w:rFonts w:ascii="Arial" w:cs="Arial" w:eastAsia="Arial" w:hAnsi="Arial"/>
          <w:sz w:val="16"/>
          <w:szCs w:val="16"/>
          <w:color w:val="auto"/>
        </w:rPr>
        <w:t>We partner with our customers.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Integrity: </w:t>
      </w:r>
      <w:r>
        <w:rPr>
          <w:rFonts w:ascii="Arial" w:cs="Arial" w:eastAsia="Arial" w:hAnsi="Arial"/>
          <w:sz w:val="16"/>
          <w:szCs w:val="16"/>
          <w:color w:val="auto"/>
        </w:rPr>
        <w:t>We do the right thing.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refined ICON values being rolled out in 2022 are:</w:t>
      </w:r>
    </w:p>
    <w:p>
      <w:pPr>
        <w:spacing w:after="0" w:line="5"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Integrity: </w:t>
      </w:r>
      <w:r>
        <w:rPr>
          <w:rFonts w:ascii="Arial" w:cs="Arial" w:eastAsia="Arial" w:hAnsi="Arial"/>
          <w:sz w:val="16"/>
          <w:szCs w:val="16"/>
          <w:color w:val="auto"/>
        </w:rPr>
        <w:t>We always do the right thing.</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Collaboration: </w:t>
      </w:r>
      <w:r>
        <w:rPr>
          <w:rFonts w:ascii="Arial" w:cs="Arial" w:eastAsia="Arial" w:hAnsi="Arial"/>
          <w:sz w:val="16"/>
          <w:szCs w:val="16"/>
          <w:color w:val="auto"/>
        </w:rPr>
        <w:t>We are better together working as one team.</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Agility: </w:t>
      </w:r>
      <w:r>
        <w:rPr>
          <w:rFonts w:ascii="Arial" w:cs="Arial" w:eastAsia="Arial" w:hAnsi="Arial"/>
          <w:sz w:val="16"/>
          <w:szCs w:val="16"/>
          <w:color w:val="auto"/>
        </w:rPr>
        <w:t>We are passionate about providing innovative solutions for customers.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Inclusion: </w:t>
      </w:r>
      <w:r>
        <w:rPr>
          <w:rFonts w:ascii="Arial" w:cs="Arial" w:eastAsia="Arial" w:hAnsi="Arial"/>
          <w:sz w:val="16"/>
          <w:szCs w:val="16"/>
          <w:color w:val="auto"/>
        </w:rPr>
        <w:t>We value diversity and care about the success of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1450975</wp:posOffset>
            </wp:positionH>
            <wp:positionV relativeFrom="page">
              <wp:posOffset>577850</wp:posOffset>
            </wp:positionV>
            <wp:extent cx="4646295" cy="3265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64629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officers, directors, employees, consultants and agents globally. All employees and temporary workers are mandated to complete global ethics training.</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ICON established an Environmental, Social, and Governance Committee ('ESG Committee') in 2019, which brought together all of our existing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and Board on ESG matters. In February 2022, the Board delegated oversight responsibilities of the Company's strategies, activities and risks in respect to ESG matters to the Nominating and Governance Committee. Accordingly, the CAO will report to the Nominating and Governance Committee on ESG matters going forward whilst also providing periodic updates to the executive leadership team.</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corporate communications, finance, legal, investor relations, procurement, enterprise risk and resilience, commercial, marketing and human resources departments. The composition of the ESG Committee was revised following the Acquisition of PRA to include representatives that have joined from PRA. The Committee assists and supports executive management and the Board of the Company in:</w:t>
      </w:r>
    </w:p>
    <w:p>
      <w:pPr>
        <w:spacing w:after="0" w:line="232"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determining and setting the strategy relating to ESG matters;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implementing and monitoring initiatives and policies based on that strategy;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communicating our strategies and initiatives and their results.</w:t>
      </w:r>
    </w:p>
    <w:p>
      <w:pPr>
        <w:spacing w:after="0" w:line="23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We are committed to building and developing our ESG strategies and reporting. In 2020 we published our first annual ESG Report covering 2019 and in 2021 we published our ESG Report covering 2020, which provided an overview of both ICON and PRA's actions and results during 2020. It also summarizes our current policies, priorities and commitments in respect to ESG matters. We also launched our ESG page in 2020 on the ICON website and have an internal ESG page on our MyICON portal to engage with our employees and provide information and updates relating to ESG matters and our commitment to sustainability. The ESG page is available at https://www.iconplc.com/about/esg/.</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global landscape in respect to regulatory and legislative requirements relating to ESG reporting and disclosure requirements is rapidly evolving and we are monitoring potential requirements so that we are in a position to adhere to any additional requirements in due course.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jc w:val="both"/>
        <w:ind w:right="20" w:firstLine="648"/>
        <w:spacing w:after="0" w:line="237" w:lineRule="auto"/>
        <w:rPr>
          <w:sz w:val="20"/>
          <w:szCs w:val="20"/>
          <w:color w:val="auto"/>
        </w:rPr>
      </w:pPr>
      <w:r>
        <w:rPr>
          <w:rFonts w:ascii="Arial" w:cs="Arial" w:eastAsia="Arial" w:hAnsi="Arial"/>
          <w:sz w:val="16"/>
          <w:szCs w:val="16"/>
          <w:color w:val="auto"/>
        </w:rPr>
        <w:t>In 2021, as a testament to our commitment to managing ICON responsibly and sustainably, we became a participant in the United Nations Global Compact (UNGC), a set of Ten Principles covering the areas of human rights, labor, environment,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anti-corruption.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Building a sustainable future – our commitment to the United Nations Sustainable Development Goals</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research, our work with customers and patients and our on-the-ground efforts to meet the diverse needs across our communities align with the SDGs. These efforts, however, focus on a subset of themes where we have the greatest opportunity to effect change and further details are set out in our ESG Report.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Management</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21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ICON Green is our program for managing environmental sustainability initiatives, in accordance with our Global Environmental Management Policy and Environmental Management Plan. The implementation of the ICON Green program is led by our facilities team, reporting to our Chief Administrative Officer and General Counsel (CAO). The CAO is responsible for reporting on the program to the ICON executive leadership team and Nominating and Governance Committee and the Board.</w:t>
      </w:r>
    </w:p>
    <w:p>
      <w:pPr>
        <w:spacing w:after="0" w:line="22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ICON set environmental goals around the use of renewable energy and carbon emissions in 2019 and we are working towards achieving these goals which are as follows:</w:t>
      </w:r>
    </w:p>
    <w:p>
      <w:pPr>
        <w:ind w:left="1300" w:hanging="320"/>
        <w:spacing w:after="0" w:line="230"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 renewable electricity by 2025</w:t>
      </w:r>
    </w:p>
    <w:p>
      <w:pPr>
        <w:ind w:left="1300" w:hanging="320"/>
        <w:spacing w:after="0" w:line="228"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20% reduction in kilowatt hours (kWh) of electricity by 2030</w:t>
      </w: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zero carbon emissions on Scope 1 &amp; 2 by 2030</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programs in place to manage and minimize climate impacts of business activities. To continue to improve processes and reduce our environmental impact, we track, calculate, and report our GHG footprint. We follow the GHG Protocol Corporate Standard, which is the global corporate accounting and reporting standard for calculating carbon emissions. We work with Carbon Trust to verify emissions data.</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line with carbon reduction targets, ICON’s Scope 1 and 2 GHG emissions, relative to revenue and the number of employees, have fallen year on year since 2016. Since 2020, following the pandemic-related closure of many of our facilities and a reduction in business travel, GHG emissions across our operations declined significantly. As the recovery continues, and as we resume more normal operations we will reflect on opportunities to continue to reduce our carbon emissions across our combined organization to develop and improve our environmental program.</w:t>
      </w:r>
    </w:p>
    <w:p>
      <w:pPr>
        <w:spacing w:after="0" w:line="216"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16"/>
          <w:szCs w:val="16"/>
          <w:color w:val="auto"/>
        </w:rPr>
        <w:t>CDP (formerly the Carbon Disclosure Project) provides a globally recognized system that enables companies to measure and manage their environmental impacts. ICON continues to be committed to improving its current scoring of a C. Legacy PRA’s CDP improved from a D score to a C from 2019.</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focused on reducing energy use across our global operations. For example, reducing energy use and shifting to renewable energy are components of our specific environmental goals. Waste reduction is embedded into our environmental policies and practices and is one of the objectives of ICON’s Environmental Management Policy. As we continue to combine the ICON and legacy PRA organizations, we will seek new opportunities to reduce waste by increasing recycling volumes, reducing consumption of primary materials, and decreasing use of disposable products in our offices and facilities.</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majority of our sites are leased and we work closely with our landlords and leasing agents to implement measures to ensure we operate in an environmentally sustainable manner. The Acquisition of PRA has expanded our global real estate footprint and our real estate group is working with other business leaders to understand the sustainability implications and opportunities of this new footprint, and find ways to continue to advance our collective sustainability goals. During 2021, we initiated a project to integrate offices and reduce our footprint. When selecting new locations for offices and planning building modifications, experts from our real estate team factor in environmental considerations. In addition, we have implemented a series of measures globally to reduce the local footprint of our offices, such as installing energy-efficient LED lighting, using motion detectors to reduce energy use, purchasing recycled office supplies, and reducing paper consumption by promoting paperless office processes, or where printing is necessary, enabling double-sided output.</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40" w:name="page41"/>
    <w:bookmarkEnd w:id="40"/>
    <w:p>
      <w:pPr>
        <w:ind w:firstLine="648"/>
        <w:spacing w:after="0" w:line="246" w:lineRule="auto"/>
        <w:rPr>
          <w:sz w:val="20"/>
          <w:szCs w:val="20"/>
          <w:color w:val="auto"/>
        </w:rPr>
      </w:pPr>
      <w:r>
        <w:rPr>
          <w:rFonts w:ascii="Arial" w:cs="Arial" w:eastAsia="Arial" w:hAnsi="Arial"/>
          <w:sz w:val="16"/>
          <w:szCs w:val="16"/>
          <w:color w:val="auto"/>
        </w:rPr>
        <w:t>Our office design has efficiency in mind, utilizing space to provide the maximum number of desks and functional provisions while still providing comfortable, safe spaces for our employees. Our strategies include:</w:t>
      </w:r>
    </w:p>
    <w:p>
      <w:pPr>
        <w:spacing w:after="0" w:line="1"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Perimeter glazing of meeting rooms, offices, and other spaces which allow in natural light.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Recycling areas built into business centers and kitchen/ canteens which reduce waste sent to landfills.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Planted green spaces which contribute to internal air quality, temperature, and humidity.</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Building materials and vendors which we select for low environmental impact.</w:t>
      </w:r>
    </w:p>
    <w:p>
      <w:pPr>
        <w:spacing w:after="0" w:line="24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 Engagement</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are committed to making a positive impact on the communities in which we work and live and we have aligned our community efforts to a broader vision for social impact, including by aligning priorities with our organizational goals of diversity, inclusion, and belonging.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community engagement activities are focused on two core areas:</w:t>
      </w:r>
    </w:p>
    <w:p>
      <w:pPr>
        <w:spacing w:after="0" w:line="194"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supporting education &amp; building closer ties between industry &amp; academia;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improving the welfare of people in the communities in which we live.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Supporting education and building closer ties between industry and academia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core area of community support includes building ties between industry and academia to inspire the next generation of leaders in business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science.</w:t>
      </w:r>
    </w:p>
    <w:p>
      <w:pPr>
        <w:spacing w:after="0" w:line="147" w:lineRule="exact"/>
        <w:rPr>
          <w:sz w:val="20"/>
          <w:szCs w:val="20"/>
          <w:color w:val="auto"/>
        </w:rPr>
      </w:pPr>
    </w:p>
    <w:p>
      <w:pPr>
        <w:ind w:left="660" w:hanging="328"/>
        <w:spacing w:after="0" w:line="241"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Benefactor through the Centuries of Trinity College Dublin. </w:t>
      </w:r>
      <w:r>
        <w:rPr>
          <w:rFonts w:ascii="Arial" w:cs="Arial" w:eastAsia="Arial" w:hAnsi="Arial"/>
          <w:sz w:val="16"/>
          <w:szCs w:val="16"/>
          <w:color w:val="auto"/>
        </w:rPr>
        <w:t>ICON has been honored by Trinity College Dublin as a Benefactor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Centuries. This award recognizes our enduring support for Trinity, including:</w:t>
      </w:r>
    </w:p>
    <w:p>
      <w:pPr>
        <w:spacing w:after="0" w:line="1" w:lineRule="exact"/>
        <w:rPr>
          <w:rFonts w:ascii="Arial" w:cs="Arial" w:eastAsia="Arial" w:hAnsi="Arial"/>
          <w:sz w:val="16"/>
          <w:szCs w:val="16"/>
          <w:color w:val="auto"/>
        </w:rPr>
      </w:pPr>
    </w:p>
    <w:p>
      <w:pPr>
        <w:jc w:val="both"/>
        <w:ind w:left="1300" w:hanging="320"/>
        <w:spacing w:after="0" w:line="228"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creation of the ICON-McKeon Research Fellowship in Motor Neuron Disease ('MND') in honor of Mr. Declan McKeon, former Board member, acting Chairman, Lead Independent Director and Chair of the ICON Audit committee. The ICON-McKeon Research Fellow in MND will carry out research in the areas of machine-learning and artificial intelligence to derive insights from multimodal clinical, imaging neuro-electric signaling, in the context of the neurodegenerative disease of ALS.</w:t>
      </w:r>
    </w:p>
    <w:p>
      <w:pPr>
        <w:spacing w:after="0" w:line="2" w:lineRule="exact"/>
        <w:rPr>
          <w:rFonts w:ascii="Arial" w:cs="Arial" w:eastAsia="Arial" w:hAnsi="Arial"/>
          <w:sz w:val="16"/>
          <w:szCs w:val="16"/>
          <w:color w:val="auto"/>
        </w:rPr>
      </w:pPr>
    </w:p>
    <w:p>
      <w:pPr>
        <w:jc w:val="both"/>
        <w:ind w:left="1300" w:hanging="320"/>
        <w:spacing w:after="0" w:line="233"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Partnership with Trinity Centre for People with Intellectual Disabilities ('TCPID') - In 2019, we entered into a partnership with the TCPID. The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w:t>
      </w:r>
    </w:p>
    <w:p>
      <w:pPr>
        <w:spacing w:after="0" w:line="220" w:lineRule="exact"/>
        <w:rPr>
          <w:rFonts w:ascii="Arial" w:cs="Arial" w:eastAsia="Arial" w:hAnsi="Arial"/>
          <w:sz w:val="16"/>
          <w:szCs w:val="16"/>
          <w:color w:val="auto"/>
        </w:rPr>
      </w:pPr>
    </w:p>
    <w:p>
      <w:pPr>
        <w:jc w:val="both"/>
        <w:ind w:left="660" w:right="20" w:hanging="328"/>
        <w:spacing w:after="0" w:line="25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with Junior Achievement to inspire schoolchildren. </w:t>
      </w:r>
      <w:r>
        <w:rPr>
          <w:rFonts w:ascii="Arial" w:cs="Arial" w:eastAsia="Arial" w:hAnsi="Arial"/>
          <w:sz w:val="16"/>
          <w:szCs w:val="16"/>
          <w:color w:val="auto"/>
        </w:rPr>
        <w:t>ICON supports our people who take time out of their working day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Junior Achievement educational programs.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204"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The PRA Veteran Leadership Training Program (VLTP), </w:t>
      </w:r>
      <w:r>
        <w:rPr>
          <w:rFonts w:ascii="Arial" w:cs="Arial" w:eastAsia="Arial" w:hAnsi="Arial"/>
          <w:sz w:val="16"/>
          <w:szCs w:val="16"/>
          <w:color w:val="auto"/>
        </w:rPr>
        <w:t>The VLTP has been recruiting United States military veterans from all branches to join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an operational capacity since 2016. Veterans are placed in roles across the organization to help translate leadership skills learned during military service and apply them in civilian life and as members of the PRA team. Members of the VLTP also have hands-on learning and mentoring opportunities that will help ease the transition to corporate life and that connect them with team-based support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Improving the welfare of people in the communities in which we live</w:t>
      </w:r>
    </w:p>
    <w:p>
      <w:pPr>
        <w:spacing w:after="0" w:line="2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Through volunteering, donations and other charitable initiatives, our employees across the world are making a positive difference to their communities. We support causes that are important to our employees and have a number of programs that support the welfare of people in our local communities.</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July 2021, ICON contributed $0.2 million to support the purchase of 38,000 COVID-19 vaccines through the UNICEF COVID-19 vaccination program, one to represent each employee in the new ICON - and became a founding member of UNICEF’s Corporate Vaccine Alliance in Ireland. The alliance supported UNICEF’s ambitious goal to deliver over two billion COVID-19 vaccines by the end of 2021.</w:t>
      </w:r>
    </w:p>
    <w:p>
      <w:pPr>
        <w:spacing w:after="0" w:line="21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6"/>
          <w:szCs w:val="16"/>
          <w:color w:val="auto"/>
        </w:rPr>
        <w:t>Since 2012, ICON’s annual employee-nominated charity donation program has supported over 70 charities. These organizations focus on a range of critical issues, from relieving poverty and homelessness, to improving child welfare through education, to enhancing the lives of patients who are living with a variety of diseases, including cancer, blindness, Alzheimer’s disease, autism, and neuromuscular diseases. Usually, ICON donates $10,000 to each of 10 charities around the world, selected from a list of staff nominations. In 2021, in lieu of formal holiday events, we expanded our program and donated $10,000 each to 20 organizations around the world, instead of our normal practice of supporting 10 charities. The organizations were chosen to align with our ESG goals.</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Under the PRA Cares initiative, PRA employees from around the world have supported community charity programs. For more than five years, from donation drives to programming community events, PRA people have donated time, money, and support to inspire kindness and empower action.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Talent and People</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the core of our strategy is our people.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the core of our strategy is our people</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 We call it: the potential of together.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training and development of our staff is a key focus for us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People Leader development program focuses on providing our People Leaders with the relevant skills to effectively manage themselves, their team and their business, including psychometrics to raise their awareness of their behavioral preferences and the preference of others. ICON also invested in Harvard Manage Mentor, an online learning platform, providing People Leaders with access to learning that can be accessed at any time with topics ranging from Change Management, Diversity &amp; Inclusion, Retaining Employees and Developing Employees.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provide our people with a personalized and flexible learning experience, delivered through a combination of in-person and technology-driven programs that suit their learning styles and can flex to suit their schedules. Through our industry leading CareerHub,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University College Dublin to deliver customized leadership development programs for global employees.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2" w:name="page43"/>
    <w:bookmarkEnd w:id="42"/>
    <w:p>
      <w:pPr>
        <w:jc w:val="both"/>
        <w:ind w:firstLine="648"/>
        <w:spacing w:after="0" w:line="249" w:lineRule="auto"/>
        <w:rPr>
          <w:sz w:val="20"/>
          <w:szCs w:val="20"/>
          <w:color w:val="auto"/>
        </w:rPr>
      </w:pPr>
      <w:r>
        <w:rPr>
          <w:rFonts w:ascii="Arial" w:cs="Arial" w:eastAsia="Arial" w:hAnsi="Arial"/>
          <w:sz w:val="16"/>
          <w:szCs w:val="16"/>
          <w:color w:val="auto"/>
        </w:rPr>
        <w:t>During 2021, the PRA Academy was maintained for legacy PRA employees, which served as an umbrella for various training programs, including the Clinical Research Associate (CRA) Bridge Program, Specialty Bridge, Oncology University, and the CRA Internship Program. Additionally, in 2020, two development programs — PD STRIDES, which focused on Project Managers in Product Delivery, and Leadership Essentials and Development (LEAD), a comprehensive training program for all PRA Functional Managers — moved from the pilot phase to full implementation. In addition to formal training, PRA also launched LinkedIn Learning globally, which provided unlimited access to more than 16,000 expert-led courses and video tutorials covering professional skills, business software and tools, project management, information technology, creative topics, and much more.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an organization we are keen to hear directly from our employees</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recognize that, to attract and retain the best talent, it is essential that we listen to and respond to our people’s needs and we actively seek to understand our employees’ perspectives and amplify their voices. This begins with a focus on diversity, inclusion and belonging, and extends to every aspect of our work, from recruitment and onboarding, to training, engagement, enablement, and reward.</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pursue best-in-class approaches to building employee engagement and these include, among others:</w:t>
      </w:r>
    </w:p>
    <w:p>
      <w:pPr>
        <w:spacing w:after="0" w:line="59" w:lineRule="exact"/>
        <w:rPr>
          <w:sz w:val="20"/>
          <w:szCs w:val="20"/>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Pulse check surveys, which are smaller-scale studies designed to measure employee sentiment on specific topics and initiatives.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Stay interviews to help managers understand why staff stay and to uncover what might put them at risk to depart.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Skip-level meetings to develop trust and rapport between senior leaders and employees.</w:t>
      </w:r>
    </w:p>
    <w:p>
      <w:pPr>
        <w:spacing w:after="0" w:line="30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Our listening strategy also informs our efforts to reduce turnover, which we monitor closely through analytics. Qualitative information is collected through formal exit interviews and, where we believe they’ll make an impact, we intervene via retention plans and related efforts.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well-being</w:t>
      </w:r>
    </w:p>
    <w:p>
      <w:pPr>
        <w:spacing w:after="0" w:line="26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At the heart of our well -being ethos is a commitment to support our employees’ ability to lead happy, healthy lives. We aim to ensure that all employees worldwide have equal and direct access to locally relevant information and resources to support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them and their families across a broad range of needs. These include, but aren’t limited to, the physical, social, psychological, and environmental dimensions of well-being. Our Global Employee Assistance Program ensures that all employees, and their families, have access to a range of different resources and experts to help them better manage their working life and personal life.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safety</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welfare and safety of our employees, customers, and clinical trial patients remains our highest priority. We take guidance from global and regional health authorities and governments to protect the safety and welfare of employees, as well as abide by government directives. Our priority objectives are the safety of our staff, clinical trial patients, protecting the environment, maintaining business continuity, and ensuring ongoing protection of our data.</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committed to providing a safe working environment for our people. We achieve this goal by working in ways that protect the safety, health, and welfare of all our employees, clinical trial patients, and visitors. We work to identify, mitigate, and monitor existing and emerging health or environmental risks that may be associated with our business activities.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response to the pandemic, both PRA and ICON deployed a range of measures to protect employee safety, to ensure the continuity of customers’ research programs, and to protect patient welfare. These were, and remain, our top priorities for all decisions we make relating to COVID-19. With pandemic conditions changing around the world during 2020 and 2021, the Company's COVID Pandemic Task Force worked through the Business Continuity (BC) office, Site Head network, and with other critical stakeholders to communicate and reopen offices as conditions permitted in accordance with recommendations from the CDC, WHO, and local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Fostering diversity, inclusion and belonging</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Diversity, inclusion and belonging are fundamental to our culture and values. Our rich diversity makes us more innovative and more creative, which helps us better serve our patients, our customers and our communities. We recognize the critical importance of diversity in clinical trials and also affirm that diversity of thought in an inclusive workplace is vital to innovative ideas, spur more fruitful collaboration and nurture a vibrant culture. We are committed to being a workplace where all employees feel included with a deep sense of belonging. To achieve this, we acknowledge and celebrate our differences in gender, ethnicity, culture and abilities. As a values-driven organization, respect for diverse points is foundational to how we interact with each other, as well as with customers, patients, and suppliers.</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established a Diversity, Inclusion &amp; Belonging Steering Committee in 2019 which was updated in 2021, following the Acquisition, to comprise of leaders from both the legacy ICON and PRA organizations to guide us in our journey to become a more inclusive workplace where all employees feel they can be themselves and deliver their best work. We believe in a workplace culture that embraces diverse perspectives and empowers our team members to grow — at work, at home and in their communities. The key areas of focus for our diversity, inclusion, and belonging agenda include talent management, country-level inclusion policies, rewards, training, and communications.</w:t>
      </w: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new ICON brings together two diverse organizations, made great by the talented and ambitious people whose varied skills, perspectives, and backgrounds will continue to be vital to our success. As a global operation, we deliberately structure teams to be international, so that we can support the delivery of our customers’ clinical development programs across multiple geographies.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has Diversity, Inclusion &amp; Belonging advocates from the global employee population to better understand local needs, build local presence and awareness, and to give a voice to every corner of the world. These Diversity, Inclusion &amp; Belonging Advocates play a key role in supporting the Diversity, Inclusion &amp; Belonging Steering Committee, aligning activities across the organization which led to the creation of community groups which are broadly aligned with groups that were already in place in PRA:</w:t>
      </w:r>
    </w:p>
    <w:p>
      <w:pPr>
        <w:spacing w:after="0" w:line="20" w:lineRule="exact"/>
        <w:rPr>
          <w:sz w:val="20"/>
          <w:szCs w:val="20"/>
          <w:color w:val="auto"/>
        </w:rPr>
      </w:pPr>
    </w:p>
    <w:p>
      <w:pPr>
        <w:ind w:left="660" w:hanging="328"/>
        <w:spacing w:after="0" w:line="281"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NOW@ICON</w:t>
      </w:r>
      <w:r>
        <w:rPr>
          <w:rFonts w:ascii="Arial" w:cs="Arial" w:eastAsia="Arial" w:hAnsi="Arial"/>
          <w:sz w:val="16"/>
          <w:szCs w:val="16"/>
          <w:color w:val="auto"/>
        </w:rPr>
        <w:t>: Networking Organization for Women at ICON is committed to inspiring and connecting current and potential leaders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inclusive environment of targeted initiatives and supportive mentorship.</w:t>
      </w:r>
    </w:p>
    <w:p>
      <w:pPr>
        <w:spacing w:after="0" w:line="1"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SPACE</w:t>
      </w:r>
      <w:r>
        <w:rPr>
          <w:rFonts w:ascii="Arial" w:cs="Arial" w:eastAsia="Arial" w:hAnsi="Arial"/>
          <w:sz w:val="16"/>
          <w:szCs w:val="16"/>
          <w:color w:val="auto"/>
        </w:rPr>
        <w:t>: Supporting Parents and Carers Everywhere to create a workplace where stepping out of careers due to personal commitments for a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is wholly accepted and not career limiting, and where stepping back into their career is an organic and positive process.</w:t>
      </w:r>
    </w:p>
    <w:p>
      <w:pPr>
        <w:spacing w:after="0" w:line="1"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PRIDE</w:t>
      </w:r>
      <w:r>
        <w:rPr>
          <w:rFonts w:ascii="Arial" w:cs="Arial" w:eastAsia="Arial" w:hAnsi="Arial"/>
          <w:sz w:val="16"/>
          <w:szCs w:val="16"/>
          <w:color w:val="auto"/>
        </w:rPr>
        <w:t>: Supporting LGBTQ+ colleagues and allies, ensuring that no matter where employees are in the world, our offices are a safe space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welcomed, respected, and valued.</w:t>
      </w:r>
    </w:p>
    <w:p>
      <w:pPr>
        <w:spacing w:after="0" w:line="1"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DAWN</w:t>
      </w:r>
      <w:r>
        <w:rPr>
          <w:rFonts w:ascii="Arial" w:cs="Arial" w:eastAsia="Arial" w:hAnsi="Arial"/>
          <w:sz w:val="16"/>
          <w:szCs w:val="16"/>
          <w:color w:val="auto"/>
        </w:rPr>
        <w:t>: The Disability Awareness Network is a community group striving to develop and foster a mindset towards creating an inclusive workplace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working environment where everyone is treated equally with respect and dignity, irrespective of any visible or hidden disabilities.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EmbRACE</w:t>
      </w:r>
      <w:r>
        <w:rPr>
          <w:rFonts w:ascii="Arial" w:cs="Arial" w:eastAsia="Arial" w:hAnsi="Arial"/>
          <w:sz w:val="16"/>
          <w:szCs w:val="16"/>
          <w:color w:val="auto"/>
        </w:rPr>
        <w:t>: Supporting all race and ethnic backgrounds in creating an inclusive workplace culture.</w:t>
      </w:r>
    </w:p>
    <w:p>
      <w:pPr>
        <w:spacing w:after="0" w:line="3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ICON is focused on building an inclusive culture where employees feel supported by a fair system supporting pay equity. We have a long track record of developing talent and filling vacancies through internal hires. Using best-in-class analysis, we conduct regular reviews of salary ranges to ensure fair pay, irrespective of gender, race, or ethnicity.</w:t>
      </w:r>
    </w:p>
    <w:p>
      <w:pPr>
        <w:spacing w:after="0" w:line="2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monitor and seek to maintain pay equity for our employees and, as such, strive to structure our pay principles to ensure that individual differences are not a factor in how we deliver rewards. We have made significant investments in organization design structures, tools, and communications which underpin our pay principles. This information is hosted through core technology, giving managers direct access to resources to support and inform pay-related decisions.</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As we are integrating the ICON and PRA legacy organizations, we are performing reviews to identify and close any pay equity gaps and we will continue to expand pay equity analytics and provide actionable guidance to leaders and managers. To support enterprise planning, we will continue to track company-wide metrics and report on progress to the Board.</w:t>
      </w:r>
    </w:p>
    <w:p>
      <w:pPr>
        <w:spacing w:after="0" w:line="2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also committed to ensuring fair employment practices. For every jurisdiction in which we operate, we act in compliance with relevant laws relating to labor rights and labor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i w:val="1"/>
          <w:iCs w:val="1"/>
          <w:color w:val="auto"/>
        </w:rPr>
        <w:t>Human rights</w:t>
      </w:r>
    </w:p>
    <w:p>
      <w:pPr>
        <w:spacing w:after="0" w:line="3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is committed to human rights and the adoption and pursuit of compliance with the United Nations Guiding Principles on Human Rights and we maintain policies and practices to uphold human rights globally and within our communities around the world. Our business model and our policies, including our Global Code of Ethical Conduct and Global Supplier Code of Conduct, are intended to fully comply with applicable human rights legislation in the countries where we operate. Indeed, our zero-tolerance policy on forced labor, slavery, and human trafficking is defined clearly in these policies, which are available to employees, suppliers, customers, and the public.</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completely opposed to forced labor, slavery, and human trafficking. We will not knowingly support or conduct business with any organization involved in such activities. We do not employ anyone below the minimum employment age in the jurisdictions in which we operate.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Global Supplier Code of Conduct incorporates the Pharmaceutical Supply Chain Initiative (PSCI) principles for Responsible Supply Chain Management, including for labor. Before doing business with any supplier, we require suppliers to certify that they will comply with the ICON Global Supplier Code of Conduct or to their own materially equivalent internal code, which includes human rights. We perform pre-engagement due diligence on all of our suppliers, including in relation to labor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Ethics and Compliance</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ICON's core values (as detailed on page 36) are infused in everything we do. Meeting these values requires us all to work to the highest ethical standards and demonstrate a commitment to honesty, transparency and quality. Our focus on acting ethically is reflected in our policies and codes of conduct, including our Global Code of Ethical Conduct. This Code addresses the core values expected of our people in our internal interactions with each other as well as in external dealings with patients, customers, healthcare professionals, regulators, investors, vendors and other third parties.</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Ethics and Compliance Program is foundational to our culture and will continue to define expectations and guide behavior across ICON. The Legal Compliance and Ethics Team has oversight of day-to-day management of the program. The team is independent of the business and reports to the Chief Administrative Officer and General Counsel (CAO). The CAO is responsible to report on the program to our executive leadership team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has incorporated a third-party system for employees and third parties to report ethics and compliance questions, as well as concerns, and to track reports through follow-up and resolution. These tools also provide visibility into our risks while highlighting opportunities to address them. ICON’s combined compliance and ethics programs will continue to grow and evolve in response to changes in our business and in the global business climate.</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All employees are required to complete mandatory training in key areas which support our values and our ways of working. The training incorporates the key principles of our policies and codes and includes interactive scenarios where applicable.</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2021 we introduced the Speak Up Policy, ICON’s open door policy which replaces the former Ethics Line Charter. The Speak Up Policy promotes a culture that encourages compliance, openness, and accountability without retaliation. The Speak Up Policy aims to support our culture and values and seeks to encourage the prompt reporting or surfacing of concerns or violations. Reported ethics concerns and other ethics and compliance-related data are reported to the Board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Anti-bribery and Corruption</w:t>
      </w:r>
    </w:p>
    <w:p>
      <w:pPr>
        <w:spacing w:after="0" w:line="2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ICON is guided by the foundational principle that we do not tolerate bribery or any other form of corruption or fraud. Our anti-bribery/ anti-corruption (ABAC) program is a key element of our Ethics and Compliance Program.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ICON has the ISO 37001:2016 certification for its Anti-Bribery Management System having established, implemented, maintained, reviewed and improved an Anti-Bribery Management System that can prevent, detect and mitigate the risk of bribery. Our program is designed to ensure our compliance with anti-corruption laws, including due diligence, training, policies, procedures, and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648"/>
        <w:spacing w:after="0" w:line="249" w:lineRule="auto"/>
        <w:rPr>
          <w:sz w:val="20"/>
          <w:szCs w:val="20"/>
          <w:color w:val="auto"/>
        </w:rPr>
      </w:pPr>
      <w:r>
        <w:rPr>
          <w:rFonts w:ascii="Arial" w:cs="Arial" w:eastAsia="Arial" w:hAnsi="Arial"/>
          <w:sz w:val="16"/>
          <w:szCs w:val="16"/>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ICON's internal audit teams conduct ABAC Program audits. Internal Audit focuses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Security and Privacy</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understand that data privacy and information security are fundamental to business and key to retaining customers, building investor trust, protecting patients, and complying with global and regional regulations. We recognize and respect that our customers, employees, patients, and all those who do business with us expect that we will protect their personal information in accordance with our legal obligations and the promises we make. Our cybersecurity strategy and program protect our systems and data against changing threats. The cybersecurity program has the support of executive leadership and the Board, and we have invested heavily in cybersecurity technologies to protect our environment. Our cybersecurity program is independently assessed on a regular basis. We have embedded security in our processes to maintain the security of our data and our customers’ data. We understand that cyber threats move at machine speed and accordingly we have invested in cybersecurity automation to detect and respond to vulnerabilities and threats rapidly.</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processes and range of information security policies are certified to ISO27001 and are independently audited twice annually. We also have the Cyber Essentials certification. During an acquisition process, we conduct security and privacy due diligence and risk assessments, implement policies, deliver employee training, and securely integrate IT systems.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Global Data Protection Policy regulates the processing of personal data in accordance with the applicable data protection laws of the countries where we operate, including Europe’s General Data Protection Regulation (GDPR) framework. COVID-19 raised new privacy and data issues, for example, verifying remotely sourced data became a new priority that will likely endure beyond the pandemic.</w:t>
      </w:r>
    </w:p>
    <w:p>
      <w:pPr>
        <w:spacing w:after="0" w:line="22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Sustainable procurement</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maintains policies and practices to support responsible, sustainable and ethical business practices and is committed to working with only those suppliers who embrace high standards of behavior. We manage our suppliers through our Global Procurement department. The onboarding of new suppliers is completed through a centrally managed due diligence process</w:t>
      </w:r>
      <w:r>
        <w:rPr>
          <w:rFonts w:ascii="Arial" w:cs="Arial" w:eastAsia="Arial" w:hAnsi="Arial"/>
          <w:sz w:val="16"/>
          <w:szCs w:val="16"/>
          <w:i w:val="1"/>
          <w:iCs w:val="1"/>
          <w:color w:val="auto"/>
        </w:rPr>
        <w:t>.</w:t>
      </w:r>
      <w:r>
        <w:rPr>
          <w:rFonts w:ascii="Arial" w:cs="Arial" w:eastAsia="Arial" w:hAnsi="Arial"/>
          <w:sz w:val="16"/>
          <w:szCs w:val="16"/>
          <w:color w:val="auto"/>
        </w:rPr>
        <w:t xml:space="preserve"> Environmental sustainability, bribery, and corruption risks are a focus of our collective third-party diligence and management process. We require our suppliers to abide by our Global Supplier Code of Conduct.</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ICON performs pre-engagement due diligence on all of our suppliers, this includes screening of sanctions lists, debarment, and adverse media. Suppliers are periodically re-screened to ensure any potential new findings are captured and addressed. As part of this process, suppliers are subject to a risk assessment, with suppliers deemed higher risk subject to enhanced due diligence which may include periodic training, auditing, and assessments. We hold our suppliers accountable for meeting their contractual obligations, including commitments relating to our Global Supplier Code of Conduct and regulatory compliance. Contract noncompliance can result in termination of the business relationship and exclusion from future business our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Sales and Marketing</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in order to gain repeat business and enable us new opportunities to penetrate into other therapeutic indications and adjacent service lines.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Pharmaceutical Product Development ('PPD'), the Covance Drug Development business of LabCorp and Syneos Health. In some specific markets, for example biotech and mid-tier pharma, ICON may also compete against mid-tier CROs. Competition also exists for acquisition candidates in addition to competition for customers.</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 xml:space="preserve">During the year ended December 31, 2021, revenue was earned from a wide range of clients. During the year ended December 31, 2021, 31.6% of our revenues were derived from our top five customers, with no one customer individually contributing more than 10% of our revenues during the period. Our largest customer represented a strategic partnership with a large global pharmaceutical company and contributed 8.0% of revenue for the year (see </w:t>
      </w:r>
      <w:r>
        <w:rPr>
          <w:rFonts w:ascii="Arial" w:cs="Arial" w:eastAsia="Arial" w:hAnsi="Arial"/>
          <w:sz w:val="16"/>
          <w:szCs w:val="16"/>
          <w:i w:val="1"/>
          <w:iCs w:val="1"/>
          <w:color w:val="auto"/>
        </w:rPr>
        <w:t>note 17</w:t>
      </w:r>
    </w:p>
    <w:p>
      <w:pPr>
        <w:spacing w:after="0" w:line="1" w:lineRule="exact"/>
        <w:rPr>
          <w:sz w:val="20"/>
          <w:szCs w:val="20"/>
          <w:color w:val="auto"/>
        </w:rPr>
      </w:pPr>
    </w:p>
    <w:p>
      <w:pPr>
        <w:ind w:left="100" w:hanging="92"/>
        <w:spacing w:after="0"/>
        <w:tabs>
          <w:tab w:leader="none" w:pos="10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Disaggregation of revenue </w:t>
      </w:r>
      <w:r>
        <w:rPr>
          <w:rFonts w:ascii="Arial" w:cs="Arial" w:eastAsia="Arial" w:hAnsi="Arial"/>
          <w:sz w:val="16"/>
          <w:szCs w:val="16"/>
          <w:color w:val="auto"/>
        </w:rPr>
        <w:t>in the consolidated financial statements).</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2020, 39.1% of our revenues were derived from our top five customers, with one customers individually contributing more than 10% of our revenues during the period (12.1%). No other customer contributed more than 10% of our revenues during this period.</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2019, 37.6% of our revenues were derived from our top five customers, with two customer individually contributing more than 10% of our revenues during the period (The largest contributing 12.5% and the second largest contributing 10.2%). No other customer contributed more than 10% of our revenues during this period.</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loss of, or a significant decrease in business from one or more of these key customers could have a material adverse impact on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Unsatisfied Performance Obligation</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Our unsatisfied performance obligation consists of contracted revenue yet to be earned from projects awarded by clients. At December 31, 2021 we had contracted unsatisfied performance obligations of $13.3 billion (see </w:t>
      </w:r>
      <w:r>
        <w:rPr>
          <w:rFonts w:ascii="Arial" w:cs="Arial" w:eastAsia="Arial" w:hAnsi="Arial"/>
          <w:sz w:val="16"/>
          <w:szCs w:val="16"/>
          <w:i w:val="1"/>
          <w:iCs w:val="1"/>
          <w:color w:val="auto"/>
        </w:rPr>
        <w:t>note 18 -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in the consolidated financial statements). We believe that our unsatisfied performance obligation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Information Systems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ICON utilizes an extensive range of both on premise and cloud based applications that support its services including clinical trial design and planning, site and patient identification and recruitment, site start-up, patient consent, site payments, content management, clinical data analysis and real world evidence generation, customer relationship management (CRM), performance management, compliance and safety reporting and master data management. These solutions are to allow healthcare companies to manage, optimize and execute their clinical and commercial strategies in an orchestrated manner while addressing their regulatory obligations.</w:t>
      </w:r>
    </w:p>
    <w:p>
      <w:pPr>
        <w:spacing w:after="0" w:line="2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has developed an informatics strategy built around key platforms including ICONIK and Health Cloud, web-based information platforms that enable the management, reporting, analysis and visualization of all data relating to drug development. ICONIK and Health Cloud collects, manage and standardize study data from multiple sources, including Electronic Data Capture (EDC), patient engagement, EMR/EHR, mobile health, Telehealth, Wearables, central laboratories, Symphony Health and Imaging platforms to provide a single view of study information.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to managing clinical data, ICONIK and Health Cloud collect operational data, such as project management, clinical trials management system (CTMS) and metrics information to drive trial efficiency and transparency. Investigator data, such as payments, site details and performance, can also be incorporated. ICONIK and Health Cloud – PredictivvTM can be accessed via a portal that allows clients access to study-related information via a secure web-based environment. Data analysis from ICONIK and Health Cloud Informatics Hubs and CDRP allows us to enhance the design and delivery of our projects, through stronger engagement with investigators and patients. Data management and collection is a key business process for Symphony Health through its Integrated Dataverse (IDV®) platform. Integrated Dataverse (IDV®) is a comprehensive and longitudinal source of healthcare data in the industry, bringing together our vast claims resources – medical, hospital, and prescription – with our rich point-of-sale prescription data, non-retail invoice data, and demographic data.</w:t>
      </w:r>
    </w:p>
    <w:p>
      <w:pPr>
        <w:spacing w:after="0" w:line="2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Veeva, Dassault, Salesforce and BOX. IT expenditure is authorized by strict IT governance policies requiring senior level approval of all strategic IT expenditure based on defined business strategy and measurable business benefits.</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both leading clinical data management solutions including EDC and Clinical Data Warehouse solutions from external vendors as well as our proprietary EDC capability NEXTrials Prism eClinical. This allows us to guarantee the integrity of client data and provide consolidated information across client studies.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Within Clinical Operations ICON also provides its Connected Health Services enabling the delivery of Decentralised and Hybrid Clinical Trial services, maximizing patient recruitment and retention and at the same time expanding access to diverse and remote patient populations. We develop strategic, flexible approaches that leverage clinical informatics, state-of-the-art technologies, and our global reach to maximize safety and efficiency and make data-driven decisions for every study.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our clinical trials management area Firecrest Clinical provides a comprehensive site performance management system that improves compliance, consistency and efficient execution of activities at investigative sites. The web-based solution enables accurate study information, including protocol information, training manuals and case report forms, to be rolled out quickly and simultaneously to sites. Site behavior can then be tracked to ensure training is understood, procedures are being followed, timelines are met and study parameters are maintained. As well as meeting day to day operational requirements, these systems are feeder systems into the ICONIK and Health Cloud platforms.</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provide interactive response technology (IXR) to enable centralized patient randomization, drug inventory management, patient diary collection, providing our clients with a fully flexible multi-channel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 Our Laboratory also utilizes IMRA, a web based laboratory review application that allows global access to the latest laboratory data on a study - it facilitates detailed analysis of any trends, signals, alerts or patient-specific data on a real-time basis. ICON provides imaging services through the use of its internally developed MIRA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platform and also utilizes Medidata’s Rave Commercial Imaging for collecting, managing and processing data to support its imaging capabilities.</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provides its Pharmacovigilance Services using Oracle’s ARGUS safety database, the system is FDA regulation 21 CFR Part 11 compliant and generates all the standard regulatory required reports as well the periodic reports required to support operations.</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supports Population Pharmacokinetics and Pharmacokinetic Pharmacodynamic modeling through the use of its proprietary software NONMEM®. NONMEM® is a nonlinear mixed effects modeling tool that can be used to fit models to many different types of data. Statistical analysis with NONMEM® using the appropriate model helps pharmaceutical companies determine appropriate dosing strategies for their products, and increase their understanding of drug mechanisms and interactions. NONMEM® can also be accompanied with PDx-Pop proprietary software. PDx-Pop software is a graphical interface for NONMEM® which has its own automation methodology which expedites the iterative process of population pharmacokinetic modeling and analysis. ICON also utilizes PREDPP - a powerful package of subroutines handling population PK data as well as general linear and nonlinear models, which can free the user from coding standard kinetic-type equations while simultaneously allowing complicated patient-type data to be easily analyzed and NM-TRAN - a preprocessor allowing control and other needed inputs to be specified in a user-friendly manner.</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ICON's configurable Real World Data “Evidence” platform is a fit-for-purpose solution to support and enhance observational research. The platform gathers disparate real world data assets into a common data model, provides analytics to support multiple audiences across the product lifecycle, and serves as a central repository and analytic platform for all Real World Data assets.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ICON’s Integrated Dataverse (IDV®), one of the largest integrated repositories of healthcare data consisting of 280 million patient lives, 1.8 million Prescribers and 16 thousand health plans provides powerful data, applications, analytics, and consulting to help companies gain deep insight into the pharmaceutical market. We transform data into decisions and give deeper insight into the relationships that sponsor brands have with the market by allowing a holistic view of the impacts of payer, prescriber, and patient behavior. Our proprietary Tokenisation technology Synoma® simplifies the anonymization, exchange and connection of industry data sources to provide an integrated view of a patient’s data.</w:t>
      </w: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global finance operations utilize Oracle’s eBusiness suite, with the integrated Excel4Apps reporting tool, to serve the organization’s financial and project accounting requirements. Lawson ERP software and OneStream reporting software is also used by finance operations. Workday and Infor® Global Human Resources ("GHR") is used to fulfill our HR people management requirements.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strategy of using technology to enhance our global processes is evident from our deployment of platforms like ICONIK and Health Cloud, Metrics Stream and Veeva EDMS/QMS, our global SOP Document Management system, our Web-based training delivery solution, iLearn and Cornerstone, workflow and automation platforms such as ServiceNow, Sailpoint for identity management and governance and Pega and ARGUS for pharmacovigilance. The Electronic Trial Master File is delivered via ICON’s proprietary software ICOMaster or the Wingspan and PhlexGlobal software platforms. Our business development and contracting teams use Salesforce CRM.</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IT systems are operated from two data center hubs in Europe - Dublin, Ireland, Groningen, Netherlands; four in North America - Philadelphia, Pennsylvania, Lenexa, Kansas, Charlottesville, Virginia, Dallas, Texas and one in Asia located in Singapore. These hubs reside within purpose-built data center facility locations. Other offices are linked to these hubs through a network managed by Verizon, a tier one global telecommunications provider. This network provides global connectivity for our applications and allows collaboration and communication using tools like Microsoft Teams, Cisco Jabber, WebEx,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biannually as part of maintaining ICON’s ISO27001:2013 certification.</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enables its patient site and data strategy through the services delivered via Accellacare, and through our partnerships with Oncacare and Veradigm Allscripts, where we work with biopharmaceutical companies and other life science providers (e.g. medical devices companies) to develop and deploy bespoke stakeholder engagement solutions. ICON’s patient engagement services enable site staff to engage directly with patients to help improve their disease and medication understanding through interventional and non-interventional support.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provides its Phase I clinical development services in state of the art facilities in the Netherlands and North America as well as an Innovative Patient Pharmacology model in Central and Eastern Europe.</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is the leading provider of Functional Service Provision (FSP) globally. Our team of operational, functional and therapeutic specialists offer a range of FSP models. We offer FSP solutions across all major functions from clinical monitoring and project management through data management, statistical programming and beyond. Our teams leverage either Sponsor 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ICON’s IT Infrastructure and extensive experience managing the migration of systems can support system upgrades as part of the ramp-up phase.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 provides molecular diagnostic laboratory capabilities that enables the development and commercialization of precision medicines in oncology.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key innovations and new technologies include;</w:t>
      </w:r>
    </w:p>
    <w:p>
      <w:pPr>
        <w:spacing w:after="0" w:line="248" w:lineRule="exact"/>
        <w:rPr>
          <w:sz w:val="20"/>
          <w:szCs w:val="20"/>
          <w:color w:val="auto"/>
        </w:rPr>
      </w:pP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FLEX ADVANTAGE, our interactive response technology platform (accessible through the web and web-enabled mobile devices) for managing patient randomization, investigator sites and clinical suppliers.</w:t>
      </w: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PubsHub brings speed and efficiency to medical teams by delivering easy-to-use, web-based solutions that bridge process gaps for system harmonization across companies. ICON utilizes PubsHub to automate medical and scientific communications and publications management.</w:t>
      </w: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ICON Patient Engagement Platform features an easy to navigate, user friendly website enabling patients to explore new and ongoing studies available, opt-in and connect with their nearest clinical research site.</w:t>
      </w:r>
    </w:p>
    <w:p>
      <w:pPr>
        <w:jc w:val="both"/>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One Search, an intuitive, integrated workflow and interrogation tool from ICON,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ADDPLAN for simulation and design of exploratory/pilot and confirmatory/pivotal adaptive clinical trials (ADDPLAN® DF (Dose Finder), ADDPLAN® Base, ADDPLAN® MC (Multiple Comparison) and ADDPLAN® PE (Population Enrichment)).</w:t>
      </w:r>
    </w:p>
    <w:p>
      <w:pPr>
        <w:jc w:val="both"/>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AptivAdvantage which is an integrated 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Sample Inventory Management System (SIMS) is an interactive reporting module in ICOLabs for use by sponsors and study teams. It offers near real time, high level traceability of all patient samples in a clinical trial as they move from accessioning through disposition. SIMS provides detailed sample inventory reports and summaries of sample status and location with drill down capabilities. It helps locate samples more rapidly, particularly at critical study junctures.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Unified Platform - Virtual/Hybrid Trials. Utilizing a combination of ICON developed capabilities in conjunction with commercially available software, ICON brings trials directly to patients, thus allowing diverse and difficult to recruit patient populations to be accessed.</w:t>
      </w:r>
    </w:p>
    <w:p>
      <w:pPr>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APECS - for Investigator Payments ensures timely and accurate payments to sites for the work performed in the care and management of patients as they participate within clinical trials.</w:t>
      </w:r>
    </w:p>
    <w:p>
      <w:pPr>
        <w:jc w:val="both"/>
        <w:ind w:left="660" w:hanging="328"/>
        <w:spacing w:after="0" w:line="24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PredictivvTM platform is a fully integrated solution for designing, planning, managing and optimizing the execution of global clinical studies. Designed around a unified Sales Force platform that harmonizes data, processes, and people across every aspect of a clinical study, PredictivvTM enables unprecedented adaptive intelligence and decision support for the ever-increasing complexities of the clinical development process.</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EXACT™ allows users quickly to construct re-usable programs for data extraction, data transformation, statistical reporting and electronic publishing, in a visual environment with limited code writing. The EXACT™ system is used to simplify and automate the production of multiple Clinical Data Interchange Standards Consortium (CDISC) guidelines as well as tables, figures and listings in trial reports.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Arrangements</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dates or delivery of the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0" w:name="page51"/>
    <w:bookmarkEnd w:id="50"/>
    <w:p>
      <w:pPr>
        <w:jc w:val="both"/>
        <w:ind w:firstLine="648"/>
        <w:spacing w:after="0" w:line="251" w:lineRule="auto"/>
        <w:rPr>
          <w:sz w:val="20"/>
          <w:szCs w:val="20"/>
          <w:color w:val="auto"/>
        </w:rPr>
      </w:pPr>
      <w:r>
        <w:rPr>
          <w:rFonts w:ascii="Arial" w:cs="Arial" w:eastAsia="Arial" w:hAnsi="Arial"/>
          <w:sz w:val="16"/>
          <w:szCs w:val="16"/>
          <w:color w:val="auto"/>
        </w:rPr>
        <w:t>The progress towards completion for clinical service contracts is measured based on total project costs (direct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direct costs. Reimbursable expenses are included within the contract and are invoiced on a monthly basis based on actual expenses incurred. Expenses incurred are determined by reference to activity.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Chief Executive Officer and other members of the executive management team are responsible for day-to-day risk management of the Company and our Board oversees management's activities through both the full Board and its committees. Our Chief Executive Officer and other members of the executive management team are members of ICON’s Quality and Risk Forum, which reviews risk. Our executive management team regularly report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and our Compensation and Organization Committee oversees risk management with respect to our compensation plans, policies and procedures and our Nominating and Governance Committee oversees risks relating to ESG matters. Internal audit reports functionally and administratively to our Chief Financial Officer and directly to the Audit Committee. With respect to non-financial risk management, including cybersecurity, legal compliance, privacy and enterprise risk, the Board and its Committees receive updates from the appropriate executives on the primary risks facing the Company and the measures the Company is taking to mitigate such risks.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 addition, our activities in Europe are affected by the European Medicines Agency.</w:t>
      </w:r>
    </w:p>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Potential Liability and Insurance</w:t>
      </w:r>
    </w:p>
    <w:p>
      <w:pPr>
        <w:spacing w:after="0" w:line="26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nature of our business exposes us to potential liability including, but not limited to, potential liability for (i) breach of contract or negligence claims by our customers; and, (ii) third party (such as patients) claims in respect of our performance of services.</w:t>
      </w:r>
    </w:p>
    <w:p>
      <w:pPr>
        <w:spacing w:after="0" w:line="16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try to reduce this potential liability by:</w:t>
      </w:r>
    </w:p>
    <w:p>
      <w:pPr>
        <w:spacing w:after="0" w:line="248" w:lineRule="exact"/>
        <w:rPr>
          <w:sz w:val="20"/>
          <w:szCs w:val="20"/>
          <w:color w:val="auto"/>
        </w:rPr>
      </w:pPr>
    </w:p>
    <w:p>
      <w:pPr>
        <w:jc w:val="both"/>
        <w:ind w:left="820" w:hanging="164"/>
        <w:spacing w:after="0" w:line="246"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spacing w:after="0" w:line="2" w:lineRule="exact"/>
        <w:rPr>
          <w:rFonts w:ascii="Arial" w:cs="Arial" w:eastAsia="Arial" w:hAnsi="Arial"/>
          <w:sz w:val="16"/>
          <w:szCs w:val="16"/>
          <w:color w:val="auto"/>
        </w:rPr>
      </w:pPr>
    </w:p>
    <w:p>
      <w:pPr>
        <w:ind w:left="820" w:hanging="164"/>
        <w:spacing w:after="0" w:line="253"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worldwide professional liability insurance. While we maintain the types and amounts of insurance we view as customary in the industries and countries in which we operate, there is no guarantee that we will continue to be able to maintain such insurance coverage on terms acceptable to us, if at all, or that the relevant policy will respond and provide cover when we want it to.</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the level of our insurance coverage or the relevant circumstances are not covered by our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Organizational Structure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Details of the Company’s significant subsidiaries or entities under the Company's control at December 31, 2021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7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b w:val="1"/>
                <w:bCs w:val="1"/>
                <w:i w:val="1"/>
                <w:iCs w:val="1"/>
                <w:color w:val="auto"/>
              </w:rPr>
              <w:t>Country</w:t>
            </w:r>
          </w:p>
        </w:tc>
        <w:tc>
          <w:tcPr>
            <w:tcW w:w="25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S.A.</w:t>
            </w:r>
          </w:p>
        </w:tc>
        <w:tc>
          <w:tcPr>
            <w:tcW w:w="3700" w:type="dxa"/>
            <w:vAlign w:val="bottom"/>
          </w:tcPr>
          <w:p>
            <w:pPr>
              <w:ind w:left="1420"/>
              <w:spacing w:after="0"/>
              <w:rPr>
                <w:sz w:val="20"/>
                <w:szCs w:val="20"/>
                <w:color w:val="auto"/>
              </w:rPr>
            </w:pPr>
            <w:r>
              <w:rPr>
                <w:rFonts w:ascii="Arial" w:cs="Arial" w:eastAsia="Arial" w:hAnsi="Arial"/>
                <w:sz w:val="16"/>
                <w:szCs w:val="16"/>
                <w:color w:val="auto"/>
              </w:rPr>
              <w:t>Argentina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S.A.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Argentina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PTY Limited</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Medpass International Pty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Pty Limited</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Austria GmbH</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Austria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Research Austria GmbH</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IMP-Logistics Bel, FLLC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Belarus</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DOCS International Belgium N.V.</w:t>
            </w:r>
          </w:p>
        </w:tc>
        <w:tc>
          <w:tcPr>
            <w:tcW w:w="3700" w:type="dxa"/>
            <w:vAlign w:val="bottom"/>
          </w:tcPr>
          <w:p>
            <w:pPr>
              <w:ind w:left="1420"/>
              <w:spacing w:after="0"/>
              <w:rPr>
                <w:sz w:val="20"/>
                <w:szCs w:val="20"/>
                <w:color w:val="auto"/>
              </w:rPr>
            </w:pPr>
            <w:r>
              <w:rPr>
                <w:rFonts w:ascii="Arial" w:cs="Arial" w:eastAsia="Arial" w:hAnsi="Arial"/>
                <w:sz w:val="16"/>
                <w:szCs w:val="16"/>
                <w:color w:val="auto"/>
              </w:rPr>
              <w:t>Belgium</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Belgium B.V.</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Belgium</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Bermuda, Ltd.</w:t>
            </w:r>
          </w:p>
        </w:tc>
        <w:tc>
          <w:tcPr>
            <w:tcW w:w="3700" w:type="dxa"/>
            <w:vAlign w:val="bottom"/>
          </w:tcPr>
          <w:p>
            <w:pPr>
              <w:ind w:left="1420"/>
              <w:spacing w:after="0"/>
              <w:rPr>
                <w:sz w:val="20"/>
                <w:szCs w:val="20"/>
                <w:color w:val="auto"/>
              </w:rPr>
            </w:pPr>
            <w:r>
              <w:rPr>
                <w:rFonts w:ascii="Arial" w:cs="Arial" w:eastAsia="Arial" w:hAnsi="Arial"/>
                <w:sz w:val="16"/>
                <w:szCs w:val="16"/>
                <w:color w:val="auto"/>
              </w:rPr>
              <w:t>Bermuda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33"/>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Pesquisas Clínicas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0"/>
                <w:szCs w:val="20"/>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Ltda.</w:t>
            </w:r>
          </w:p>
        </w:tc>
        <w:tc>
          <w:tcPr>
            <w:tcW w:w="3700" w:type="dxa"/>
            <w:vAlign w:val="bottom"/>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do Brasil Serviços de Pesquisas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China Inc.</w:t>
            </w:r>
          </w:p>
        </w:tc>
        <w:tc>
          <w:tcPr>
            <w:tcW w:w="3700" w:type="dxa"/>
            <w:vAlign w:val="bottom"/>
          </w:tcPr>
          <w:p>
            <w:pPr>
              <w:ind w:left="1420"/>
              <w:spacing w:after="0"/>
              <w:rPr>
                <w:sz w:val="20"/>
                <w:szCs w:val="20"/>
                <w:color w:val="auto"/>
              </w:rPr>
            </w:pPr>
            <w:r>
              <w:rPr>
                <w:rFonts w:ascii="Arial" w:cs="Arial" w:eastAsia="Arial" w:hAnsi="Arial"/>
                <w:sz w:val="16"/>
                <w:szCs w:val="16"/>
                <w:color w:val="auto"/>
              </w:rPr>
              <w:t>British Virgin Islands</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EOOD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Bulgaria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Bulgaria EOOD</w:t>
            </w:r>
          </w:p>
        </w:tc>
        <w:tc>
          <w:tcPr>
            <w:tcW w:w="3700" w:type="dxa"/>
            <w:vAlign w:val="bottom"/>
          </w:tcPr>
          <w:p>
            <w:pPr>
              <w:ind w:left="1420"/>
              <w:spacing w:after="0"/>
              <w:rPr>
                <w:sz w:val="20"/>
                <w:szCs w:val="20"/>
                <w:color w:val="auto"/>
              </w:rPr>
            </w:pPr>
            <w:r>
              <w:rPr>
                <w:rFonts w:ascii="Arial" w:cs="Arial" w:eastAsia="Arial" w:hAnsi="Arial"/>
                <w:sz w:val="16"/>
                <w:szCs w:val="16"/>
                <w:color w:val="auto"/>
              </w:rPr>
              <w:t>Bulgaria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(Canada) Inc.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3065613 Nova Scotia Company</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ULC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Services de Recherche Pharmaceutique Srl</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Oxford Outcomes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Life Sciences Canada Inc.</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Chile Limitada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Chile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PRA Health Sciences Chile SpA</w:t>
            </w:r>
          </w:p>
        </w:tc>
        <w:tc>
          <w:tcPr>
            <w:tcW w:w="3700" w:type="dxa"/>
            <w:vAlign w:val="bottom"/>
          </w:tcPr>
          <w:p>
            <w:pPr>
              <w:ind w:left="1420"/>
              <w:spacing w:after="0"/>
              <w:rPr>
                <w:sz w:val="20"/>
                <w:szCs w:val="20"/>
                <w:color w:val="auto"/>
              </w:rPr>
            </w:pPr>
            <w:r>
              <w:rPr>
                <w:rFonts w:ascii="Arial" w:cs="Arial" w:eastAsia="Arial" w:hAnsi="Arial"/>
                <w:sz w:val="16"/>
                <w:szCs w:val="16"/>
                <w:color w:val="auto"/>
              </w:rPr>
              <w:t>Chile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CRS (Beijing) Clinical Research Co., Limited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(Beijing No.2) Co., Ltd</w:t>
            </w:r>
          </w:p>
        </w:tc>
        <w:tc>
          <w:tcPr>
            <w:tcW w:w="3700" w:type="dxa"/>
            <w:vAlign w:val="bottom"/>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(Beijing) Co.,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PRA Health Sciences China, Inc.</w:t>
            </w:r>
          </w:p>
        </w:tc>
        <w:tc>
          <w:tcPr>
            <w:tcW w:w="3700" w:type="dxa"/>
            <w:vAlign w:val="bottom"/>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Colombia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Colombia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Research Pharmaceutical Services Costa Rica, LTDA.</w:t>
            </w:r>
          </w:p>
        </w:tc>
        <w:tc>
          <w:tcPr>
            <w:tcW w:w="3700" w:type="dxa"/>
            <w:vAlign w:val="bottom"/>
          </w:tcPr>
          <w:p>
            <w:pPr>
              <w:ind w:left="1420"/>
              <w:spacing w:after="0"/>
              <w:rPr>
                <w:sz w:val="20"/>
                <w:szCs w:val="20"/>
                <w:color w:val="auto"/>
              </w:rPr>
            </w:pPr>
            <w:r>
              <w:rPr>
                <w:rFonts w:ascii="Arial" w:cs="Arial" w:eastAsia="Arial" w:hAnsi="Arial"/>
                <w:sz w:val="16"/>
                <w:szCs w:val="16"/>
                <w:color w:val="auto"/>
              </w:rPr>
              <w:t>Costa Rica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180"/>
        </w:trPr>
        <w:tc>
          <w:tcPr>
            <w:tcW w:w="49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Ispitivanja ICON d.o.o</w:t>
            </w:r>
          </w:p>
        </w:tc>
        <w:tc>
          <w:tcPr>
            <w:tcW w:w="37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Research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Croatia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 Research Associates d.o.o. za klinicka ispitivanja</w:t>
            </w:r>
          </w:p>
        </w:tc>
        <w:tc>
          <w:tcPr>
            <w:tcW w:w="3700" w:type="dxa"/>
            <w:vAlign w:val="bottom"/>
          </w:tcPr>
          <w:p>
            <w:pPr>
              <w:ind w:left="1420"/>
              <w:spacing w:after="0"/>
              <w:rPr>
                <w:sz w:val="20"/>
                <w:szCs w:val="20"/>
                <w:color w:val="auto"/>
              </w:rPr>
            </w:pPr>
            <w:r>
              <w:rPr>
                <w:rFonts w:ascii="Arial" w:cs="Arial" w:eastAsia="Arial" w:hAnsi="Arial"/>
                <w:sz w:val="16"/>
                <w:szCs w:val="16"/>
                <w:color w:val="auto"/>
              </w:rPr>
              <w:t>Croatia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s.r.o.</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Czech Republic</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CZ, s.r.o.</w:t>
            </w:r>
          </w:p>
        </w:tc>
        <w:tc>
          <w:tcPr>
            <w:tcW w:w="3700" w:type="dxa"/>
            <w:vAlign w:val="bottom"/>
          </w:tcPr>
          <w:p>
            <w:pPr>
              <w:ind w:left="1420"/>
              <w:spacing w:after="0"/>
              <w:rPr>
                <w:sz w:val="20"/>
                <w:szCs w:val="20"/>
                <w:color w:val="auto"/>
              </w:rPr>
            </w:pPr>
            <w:r>
              <w:rPr>
                <w:rFonts w:ascii="Arial" w:cs="Arial" w:eastAsia="Arial" w:hAnsi="Arial"/>
                <w:sz w:val="16"/>
                <w:szCs w:val="16"/>
                <w:color w:val="auto"/>
              </w:rPr>
              <w:t>Czech Republic</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Nordic Countries A/S</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Denmark</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Denmark ApS</w:t>
            </w:r>
          </w:p>
        </w:tc>
        <w:tc>
          <w:tcPr>
            <w:tcW w:w="3700" w:type="dxa"/>
            <w:vAlign w:val="bottom"/>
          </w:tcPr>
          <w:p>
            <w:pPr>
              <w:ind w:left="1420"/>
              <w:spacing w:after="0"/>
              <w:rPr>
                <w:sz w:val="20"/>
                <w:szCs w:val="20"/>
                <w:color w:val="auto"/>
              </w:rPr>
            </w:pPr>
            <w:r>
              <w:rPr>
                <w:rFonts w:ascii="Arial" w:cs="Arial" w:eastAsia="Arial" w:hAnsi="Arial"/>
                <w:sz w:val="16"/>
                <w:szCs w:val="16"/>
                <w:color w:val="auto"/>
              </w:rPr>
              <w:t>Denmark</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Egypt (Limited Liability Company)</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Egypt</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Estonia OÜ</w:t>
            </w:r>
          </w:p>
        </w:tc>
        <w:tc>
          <w:tcPr>
            <w:tcW w:w="3700" w:type="dxa"/>
            <w:vAlign w:val="bottom"/>
          </w:tcPr>
          <w:p>
            <w:pPr>
              <w:ind w:left="1420"/>
              <w:spacing w:after="0"/>
              <w:rPr>
                <w:sz w:val="20"/>
                <w:szCs w:val="20"/>
                <w:color w:val="auto"/>
              </w:rPr>
            </w:pPr>
            <w:r>
              <w:rPr>
                <w:rFonts w:ascii="Arial" w:cs="Arial" w:eastAsia="Arial" w:hAnsi="Arial"/>
                <w:sz w:val="16"/>
                <w:szCs w:val="16"/>
                <w:color w:val="auto"/>
              </w:rPr>
              <w:t>Estonia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Finland Oy</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Finland</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Finland Oy</w:t>
            </w:r>
          </w:p>
        </w:tc>
        <w:tc>
          <w:tcPr>
            <w:tcW w:w="3700" w:type="dxa"/>
            <w:vAlign w:val="bottom"/>
          </w:tcPr>
          <w:p>
            <w:pPr>
              <w:ind w:left="1420"/>
              <w:spacing w:after="0"/>
              <w:rPr>
                <w:sz w:val="20"/>
                <w:szCs w:val="20"/>
                <w:color w:val="auto"/>
              </w:rPr>
            </w:pPr>
            <w:r>
              <w:rPr>
                <w:rFonts w:ascii="Arial" w:cs="Arial" w:eastAsia="Arial" w:hAnsi="Arial"/>
                <w:sz w:val="16"/>
                <w:szCs w:val="16"/>
                <w:color w:val="auto"/>
              </w:rPr>
              <w:t>Finland</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France S.A.S.</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S.A.R.L.</w:t>
            </w:r>
          </w:p>
        </w:tc>
        <w:tc>
          <w:tcPr>
            <w:tcW w:w="3700" w:type="dxa"/>
            <w:vAlign w:val="bottom"/>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Research Trust *</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858"/>
        </w:trPr>
        <w:tc>
          <w:tcPr>
            <w:tcW w:w="4960" w:type="dxa"/>
            <w:vAlign w:val="bottom"/>
          </w:tcPr>
          <w:p>
            <w:pPr>
              <w:spacing w:after="0"/>
              <w:rPr>
                <w:sz w:val="24"/>
                <w:szCs w:val="24"/>
                <w:color w:val="auto"/>
              </w:rPr>
            </w:pPr>
          </w:p>
        </w:tc>
        <w:tc>
          <w:tcPr>
            <w:tcW w:w="3700" w:type="dxa"/>
            <w:vAlign w:val="bottom"/>
          </w:tcPr>
          <w:p>
            <w:pPr>
              <w:ind w:left="580"/>
              <w:spacing w:after="0"/>
              <w:rPr>
                <w:sz w:val="20"/>
                <w:szCs w:val="20"/>
                <w:color w:val="auto"/>
              </w:rPr>
            </w:pPr>
            <w:r>
              <w:rPr>
                <w:rFonts w:ascii="Arial" w:cs="Arial" w:eastAsia="Arial" w:hAnsi="Arial"/>
                <w:sz w:val="16"/>
                <w:szCs w:val="16"/>
                <w:color w:val="auto"/>
              </w:rPr>
              <w:t>51</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i w:val="1"/>
                <w:iCs w:val="1"/>
                <w:color w:val="auto"/>
              </w:rPr>
              <w:t>Country</w:t>
            </w:r>
          </w:p>
        </w:tc>
        <w:tc>
          <w:tcPr>
            <w:tcW w:w="2900" w:type="dxa"/>
            <w:vAlign w:val="bottom"/>
            <w:tcBorders>
              <w:bottom w:val="single" w:sz="8" w:color="auto"/>
            </w:tcBorders>
            <w:shd w:val="clear" w:color="auto" w:fill="CCEEFF"/>
          </w:tcPr>
          <w:p>
            <w:pPr>
              <w:jc w:val="center"/>
              <w:ind w:left="63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Mapi SAS</w:t>
            </w:r>
          </w:p>
        </w:tc>
        <w:tc>
          <w:tcPr>
            <w:tcW w:w="2180" w:type="dxa"/>
            <w:vAlign w:val="bottom"/>
          </w:tcPr>
          <w:p>
            <w:pPr>
              <w:ind w:left="240"/>
              <w:spacing w:after="0"/>
              <w:rPr>
                <w:sz w:val="20"/>
                <w:szCs w:val="20"/>
                <w:color w:val="auto"/>
              </w:rPr>
            </w:pPr>
            <w:r>
              <w:rPr>
                <w:rFonts w:ascii="Arial" w:cs="Arial" w:eastAsia="Arial" w:hAnsi="Arial"/>
                <w:sz w:val="16"/>
                <w:szCs w:val="16"/>
                <w:color w:val="auto"/>
              </w:rPr>
              <w:t>France</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Sarl</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ReSearch Pharmaceutical Services France S.A.S.</w:t>
            </w:r>
          </w:p>
        </w:tc>
        <w:tc>
          <w:tcPr>
            <w:tcW w:w="2180" w:type="dxa"/>
            <w:vAlign w:val="bottom"/>
          </w:tcPr>
          <w:p>
            <w:pPr>
              <w:ind w:left="240"/>
              <w:spacing w:after="0"/>
              <w:rPr>
                <w:sz w:val="20"/>
                <w:szCs w:val="20"/>
                <w:color w:val="auto"/>
              </w:rPr>
            </w:pPr>
            <w:r>
              <w:rPr>
                <w:rFonts w:ascii="Arial" w:cs="Arial" w:eastAsia="Arial" w:hAnsi="Arial"/>
                <w:sz w:val="16"/>
                <w:szCs w:val="16"/>
                <w:color w:val="auto"/>
              </w:rPr>
              <w:t>France</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 Logistics Georgia LLC</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Georgia</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Pharmaceutical Research Associates Georgia LLC</w:t>
            </w:r>
          </w:p>
        </w:tc>
        <w:tc>
          <w:tcPr>
            <w:tcW w:w="2180" w:type="dxa"/>
            <w:vAlign w:val="bottom"/>
          </w:tcPr>
          <w:p>
            <w:pPr>
              <w:ind w:left="240"/>
              <w:spacing w:after="0"/>
              <w:rPr>
                <w:sz w:val="20"/>
                <w:szCs w:val="20"/>
                <w:color w:val="auto"/>
              </w:rPr>
            </w:pPr>
            <w:r>
              <w:rPr>
                <w:rFonts w:ascii="Arial" w:cs="Arial" w:eastAsia="Arial" w:hAnsi="Arial"/>
                <w:sz w:val="16"/>
                <w:szCs w:val="16"/>
                <w:color w:val="auto"/>
              </w:rPr>
              <w:t>Georgia</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Averion Europe GmbH</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Germany</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DOCS International Germany GmbH</w:t>
            </w:r>
          </w:p>
        </w:tc>
        <w:tc>
          <w:tcPr>
            <w:tcW w:w="2180" w:type="dxa"/>
            <w:vAlign w:val="bottom"/>
          </w:tcPr>
          <w:p>
            <w:pPr>
              <w:ind w:left="240"/>
              <w:spacing w:after="0"/>
              <w:rPr>
                <w:sz w:val="20"/>
                <w:szCs w:val="20"/>
                <w:color w:val="auto"/>
              </w:rPr>
            </w:pPr>
            <w:r>
              <w:rPr>
                <w:rFonts w:ascii="Arial" w:cs="Arial" w:eastAsia="Arial" w:hAnsi="Arial"/>
                <w:sz w:val="16"/>
                <w:szCs w:val="16"/>
                <w:color w:val="auto"/>
              </w:rPr>
              <w:t>Germany</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GmbH</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Germany</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Pharmaceutical Research Associates GmbH</w:t>
            </w:r>
          </w:p>
        </w:tc>
        <w:tc>
          <w:tcPr>
            <w:tcW w:w="2180" w:type="dxa"/>
            <w:vAlign w:val="bottom"/>
          </w:tcPr>
          <w:p>
            <w:pPr>
              <w:ind w:left="240"/>
              <w:spacing w:after="0"/>
              <w:rPr>
                <w:sz w:val="20"/>
                <w:szCs w:val="20"/>
                <w:color w:val="auto"/>
              </w:rPr>
            </w:pPr>
            <w:r>
              <w:rPr>
                <w:rFonts w:ascii="Arial" w:cs="Arial" w:eastAsia="Arial" w:hAnsi="Arial"/>
                <w:sz w:val="16"/>
                <w:szCs w:val="16"/>
                <w:color w:val="auto"/>
              </w:rPr>
              <w:t>Germany</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Greece A.E.</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Greece</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RPS Guatemala, S.A.</w:t>
            </w:r>
          </w:p>
        </w:tc>
        <w:tc>
          <w:tcPr>
            <w:tcW w:w="2180" w:type="dxa"/>
            <w:vAlign w:val="bottom"/>
          </w:tcPr>
          <w:p>
            <w:pPr>
              <w:ind w:left="240"/>
              <w:spacing w:after="0"/>
              <w:rPr>
                <w:sz w:val="20"/>
                <w:szCs w:val="20"/>
                <w:color w:val="auto"/>
              </w:rPr>
            </w:pPr>
            <w:r>
              <w:rPr>
                <w:rFonts w:ascii="Arial" w:cs="Arial" w:eastAsia="Arial" w:hAnsi="Arial"/>
                <w:sz w:val="16"/>
                <w:szCs w:val="16"/>
                <w:color w:val="auto"/>
              </w:rPr>
              <w:t>Guatemala</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Hong Kong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Hong Kong</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PRA Health Sciences (Hong Kong)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Hong Kong</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180"/>
        </w:trPr>
        <w:tc>
          <w:tcPr>
            <w:tcW w:w="614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ICON Klinikai Kutató Korlátolt Felelősségű Társaság (ICON Clinical Research</w:t>
            </w:r>
          </w:p>
        </w:tc>
        <w:tc>
          <w:tcPr>
            <w:tcW w:w="21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Limited Liability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Hungary</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177"/>
        </w:trPr>
        <w:tc>
          <w:tcPr>
            <w:tcW w:w="6140" w:type="dxa"/>
            <w:vAlign w:val="bottom"/>
          </w:tcPr>
          <w:p>
            <w:pPr>
              <w:ind w:left="360"/>
              <w:spacing w:after="0" w:line="178" w:lineRule="exact"/>
              <w:rPr>
                <w:sz w:val="20"/>
                <w:szCs w:val="20"/>
                <w:color w:val="auto"/>
              </w:rPr>
            </w:pPr>
            <w:r>
              <w:rPr>
                <w:rFonts w:ascii="Arial" w:cs="Arial" w:eastAsia="Arial" w:hAnsi="Arial"/>
                <w:sz w:val="16"/>
                <w:szCs w:val="16"/>
                <w:color w:val="auto"/>
              </w:rPr>
              <w:t>Pharmaceutical Research Associates Magyarország Kutatás-Fejlesztési</w:t>
            </w:r>
          </w:p>
        </w:tc>
        <w:tc>
          <w:tcPr>
            <w:tcW w:w="2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6140" w:type="dxa"/>
            <w:vAlign w:val="bottom"/>
          </w:tcPr>
          <w:p>
            <w:pPr>
              <w:ind w:left="360"/>
              <w:spacing w:after="0"/>
              <w:rPr>
                <w:sz w:val="20"/>
                <w:szCs w:val="20"/>
                <w:color w:val="auto"/>
              </w:rPr>
            </w:pPr>
            <w:r>
              <w:rPr>
                <w:rFonts w:ascii="Arial" w:cs="Arial" w:eastAsia="Arial" w:hAnsi="Arial"/>
                <w:sz w:val="16"/>
                <w:szCs w:val="16"/>
                <w:color w:val="auto"/>
              </w:rPr>
              <w:t>Korlátolt Felelősségű Társaság</w:t>
            </w:r>
          </w:p>
        </w:tc>
        <w:tc>
          <w:tcPr>
            <w:tcW w:w="2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1"/>
        </w:trPr>
        <w:tc>
          <w:tcPr>
            <w:tcW w:w="6140" w:type="dxa"/>
            <w:vAlign w:val="bottom"/>
          </w:tcPr>
          <w:p>
            <w:pPr>
              <w:ind w:left="360"/>
              <w:spacing w:after="0"/>
              <w:rPr>
                <w:sz w:val="20"/>
                <w:szCs w:val="20"/>
                <w:color w:val="auto"/>
              </w:rPr>
            </w:pPr>
            <w:r>
              <w:rPr>
                <w:rFonts w:ascii="Arial" w:cs="Arial" w:eastAsia="Arial" w:hAnsi="Arial"/>
                <w:sz w:val="16"/>
                <w:szCs w:val="16"/>
                <w:color w:val="auto"/>
              </w:rPr>
              <w:t>(Pharmaceutical Research Associates Hungary Research and Development</w:t>
            </w:r>
          </w:p>
        </w:tc>
        <w:tc>
          <w:tcPr>
            <w:tcW w:w="2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6140" w:type="dxa"/>
            <w:vAlign w:val="bottom"/>
          </w:tcPr>
          <w:p>
            <w:pPr>
              <w:ind w:left="360"/>
              <w:spacing w:after="0"/>
              <w:rPr>
                <w:sz w:val="20"/>
                <w:szCs w:val="20"/>
                <w:color w:val="auto"/>
              </w:rPr>
            </w:pPr>
            <w:r>
              <w:rPr>
                <w:rFonts w:ascii="Arial" w:cs="Arial" w:eastAsia="Arial" w:hAnsi="Arial"/>
                <w:sz w:val="16"/>
                <w:szCs w:val="16"/>
                <w:color w:val="auto"/>
              </w:rPr>
              <w:t>Ltd.)</w:t>
            </w:r>
          </w:p>
        </w:tc>
        <w:tc>
          <w:tcPr>
            <w:tcW w:w="2180" w:type="dxa"/>
            <w:vAlign w:val="bottom"/>
          </w:tcPr>
          <w:p>
            <w:pPr>
              <w:ind w:left="240"/>
              <w:spacing w:after="0"/>
              <w:rPr>
                <w:sz w:val="20"/>
                <w:szCs w:val="20"/>
                <w:color w:val="auto"/>
              </w:rPr>
            </w:pPr>
            <w:r>
              <w:rPr>
                <w:rFonts w:ascii="Arial" w:cs="Arial" w:eastAsia="Arial" w:hAnsi="Arial"/>
                <w:sz w:val="16"/>
                <w:szCs w:val="16"/>
                <w:color w:val="auto"/>
              </w:rPr>
              <w:t>Hungary</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Iceland ehf.</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Iceland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Clinical Research India Private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India</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India Private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India</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Accellacare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Resourcing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(LR)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Global Holdings Unlimited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Clinical International Unlimited Company</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Clinical Research Property Development (Ireland)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Property Holdings (Ireland)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Holdings Clinical Research International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Holdings Unlimited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Investments Five Unlimited Company</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Four Unlimited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Operational Financing Unlimited Company</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Operational Holdings Unlimited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Research Pharmaceutical Services (Outsourcing Ireland)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Global Treasury Unlimited Company</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PRA Clinical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Ireland</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Israel LTD.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Israel</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Pharmaceutical Research Associates Israel Ltd.</w:t>
            </w:r>
          </w:p>
        </w:tc>
        <w:tc>
          <w:tcPr>
            <w:tcW w:w="2180" w:type="dxa"/>
            <w:vAlign w:val="bottom"/>
          </w:tcPr>
          <w:p>
            <w:pPr>
              <w:ind w:left="240"/>
              <w:spacing w:after="0"/>
              <w:rPr>
                <w:sz w:val="20"/>
                <w:szCs w:val="20"/>
                <w:color w:val="auto"/>
              </w:rPr>
            </w:pPr>
            <w:r>
              <w:rPr>
                <w:rFonts w:ascii="Arial" w:cs="Arial" w:eastAsia="Arial" w:hAnsi="Arial"/>
                <w:sz w:val="16"/>
                <w:szCs w:val="16"/>
                <w:color w:val="auto"/>
              </w:rPr>
              <w:t>Israel</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Italy S.r.l.</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Italy</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PRA Development Center KK</w:t>
            </w:r>
          </w:p>
        </w:tc>
        <w:tc>
          <w:tcPr>
            <w:tcW w:w="2180" w:type="dxa"/>
            <w:vAlign w:val="bottom"/>
          </w:tcPr>
          <w:p>
            <w:pPr>
              <w:ind w:left="240"/>
              <w:spacing w:after="0"/>
              <w:rPr>
                <w:sz w:val="20"/>
                <w:szCs w:val="20"/>
                <w:color w:val="auto"/>
              </w:rPr>
            </w:pPr>
            <w:r>
              <w:rPr>
                <w:rFonts w:ascii="Arial" w:cs="Arial" w:eastAsia="Arial" w:hAnsi="Arial"/>
                <w:sz w:val="16"/>
                <w:szCs w:val="16"/>
                <w:color w:val="auto"/>
              </w:rPr>
              <w:t>Japan</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KK</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Japan</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ICON Japan K.K.</w:t>
            </w:r>
          </w:p>
        </w:tc>
        <w:tc>
          <w:tcPr>
            <w:tcW w:w="2180" w:type="dxa"/>
            <w:vAlign w:val="bottom"/>
          </w:tcPr>
          <w:p>
            <w:pPr>
              <w:ind w:left="240"/>
              <w:spacing w:after="0"/>
              <w:rPr>
                <w:sz w:val="20"/>
                <w:szCs w:val="20"/>
                <w:color w:val="auto"/>
              </w:rPr>
            </w:pPr>
            <w:r>
              <w:rPr>
                <w:rFonts w:ascii="Arial" w:cs="Arial" w:eastAsia="Arial" w:hAnsi="Arial"/>
                <w:sz w:val="16"/>
                <w:szCs w:val="16"/>
                <w:color w:val="auto"/>
              </w:rPr>
              <w:t>Japan</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Limited</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Jersey</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40" w:type="dxa"/>
            <w:vAlign w:val="bottom"/>
          </w:tcPr>
          <w:p>
            <w:pPr>
              <w:ind w:left="360"/>
              <w:spacing w:after="0"/>
              <w:rPr>
                <w:sz w:val="20"/>
                <w:szCs w:val="20"/>
                <w:color w:val="auto"/>
              </w:rPr>
            </w:pPr>
            <w:r>
              <w:rPr>
                <w:rFonts w:ascii="Arial" w:cs="Arial" w:eastAsia="Arial" w:hAnsi="Arial"/>
                <w:sz w:val="16"/>
                <w:szCs w:val="16"/>
                <w:color w:val="auto"/>
              </w:rPr>
              <w:t>PRA Health Sciences Kenya Limited</w:t>
            </w:r>
          </w:p>
        </w:tc>
        <w:tc>
          <w:tcPr>
            <w:tcW w:w="2180" w:type="dxa"/>
            <w:vAlign w:val="bottom"/>
          </w:tcPr>
          <w:p>
            <w:pPr>
              <w:ind w:left="240"/>
              <w:spacing w:after="0"/>
              <w:rPr>
                <w:sz w:val="20"/>
                <w:szCs w:val="20"/>
                <w:color w:val="auto"/>
              </w:rPr>
            </w:pPr>
            <w:r>
              <w:rPr>
                <w:rFonts w:ascii="Arial" w:cs="Arial" w:eastAsia="Arial" w:hAnsi="Arial"/>
                <w:sz w:val="16"/>
                <w:szCs w:val="16"/>
                <w:color w:val="auto"/>
              </w:rPr>
              <w:t>Kenya</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Latvia SIA</w:t>
            </w:r>
          </w:p>
        </w:tc>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Latvia</w:t>
            </w:r>
          </w:p>
        </w:tc>
        <w:tc>
          <w:tcPr>
            <w:tcW w:w="290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0"/>
        </w:trPr>
        <w:tc>
          <w:tcPr>
            <w:tcW w:w="6140" w:type="dxa"/>
            <w:vAlign w:val="bottom"/>
          </w:tcPr>
          <w:p>
            <w:pPr>
              <w:ind w:left="360"/>
              <w:spacing w:after="0"/>
              <w:rPr>
                <w:sz w:val="20"/>
                <w:szCs w:val="20"/>
                <w:color w:val="auto"/>
              </w:rPr>
            </w:pPr>
            <w:r>
              <w:rPr>
                <w:rFonts w:ascii="Arial" w:cs="Arial" w:eastAsia="Arial" w:hAnsi="Arial"/>
                <w:sz w:val="16"/>
                <w:szCs w:val="16"/>
                <w:color w:val="auto"/>
              </w:rPr>
              <w:t>UAB RPS Lithuania</w:t>
            </w:r>
          </w:p>
        </w:tc>
        <w:tc>
          <w:tcPr>
            <w:tcW w:w="2180" w:type="dxa"/>
            <w:vAlign w:val="bottom"/>
          </w:tcPr>
          <w:p>
            <w:pPr>
              <w:ind w:left="240"/>
              <w:spacing w:after="0"/>
              <w:rPr>
                <w:sz w:val="20"/>
                <w:szCs w:val="20"/>
                <w:color w:val="auto"/>
              </w:rPr>
            </w:pPr>
            <w:r>
              <w:rPr>
                <w:rFonts w:ascii="Arial" w:cs="Arial" w:eastAsia="Arial" w:hAnsi="Arial"/>
                <w:sz w:val="16"/>
                <w:szCs w:val="16"/>
                <w:color w:val="auto"/>
              </w:rPr>
              <w:t>Lithuania</w:t>
            </w:r>
          </w:p>
        </w:tc>
        <w:tc>
          <w:tcPr>
            <w:tcW w:w="2900" w:type="dxa"/>
            <w:vAlign w:val="bottom"/>
          </w:tcPr>
          <w:p>
            <w:pPr>
              <w:jc w:val="center"/>
              <w:ind w:left="63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4"/>
        </w:trPr>
        <w:tc>
          <w:tcPr>
            <w:tcW w:w="6140" w:type="dxa"/>
            <w:vAlign w:val="bottom"/>
          </w:tcPr>
          <w:p>
            <w:pPr>
              <w:ind w:left="5540"/>
              <w:spacing w:after="0"/>
              <w:rPr>
                <w:sz w:val="20"/>
                <w:szCs w:val="20"/>
                <w:color w:val="auto"/>
              </w:rPr>
            </w:pPr>
            <w:r>
              <w:rPr>
                <w:rFonts w:ascii="Arial" w:cs="Arial" w:eastAsia="Arial" w:hAnsi="Arial"/>
                <w:sz w:val="16"/>
                <w:szCs w:val="16"/>
                <w:color w:val="auto"/>
              </w:rPr>
              <w:t>52</w:t>
            </w:r>
          </w:p>
        </w:tc>
        <w:tc>
          <w:tcPr>
            <w:tcW w:w="2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1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8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Luxembourg S.à r.l.</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Luxembourg</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CRO Malaysia SDN. BHD.</w:t>
            </w:r>
          </w:p>
        </w:tc>
        <w:tc>
          <w:tcPr>
            <w:tcW w:w="2240" w:type="dxa"/>
            <w:vAlign w:val="bottom"/>
          </w:tcPr>
          <w:p>
            <w:pPr>
              <w:ind w:left="220"/>
              <w:spacing w:after="0"/>
              <w:rPr>
                <w:sz w:val="20"/>
                <w:szCs w:val="20"/>
                <w:color w:val="auto"/>
              </w:rPr>
            </w:pPr>
            <w:r>
              <w:rPr>
                <w:rFonts w:ascii="Arial" w:cs="Arial" w:eastAsia="Arial" w:hAnsi="Arial"/>
                <w:sz w:val="16"/>
                <w:szCs w:val="16"/>
                <w:color w:val="auto"/>
              </w:rPr>
              <w:t>Malaysia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Malaysia Sdn. Bhd.</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Malaysia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México, S.A. de C.V.</w:t>
            </w:r>
          </w:p>
        </w:tc>
        <w:tc>
          <w:tcPr>
            <w:tcW w:w="2240" w:type="dxa"/>
            <w:vAlign w:val="bottom"/>
          </w:tcPr>
          <w:p>
            <w:pPr>
              <w:ind w:left="220"/>
              <w:spacing w:after="0"/>
              <w:rPr>
                <w:sz w:val="20"/>
                <w:szCs w:val="20"/>
                <w:color w:val="auto"/>
              </w:rPr>
            </w:pPr>
            <w:r>
              <w:rPr>
                <w:rFonts w:ascii="Arial" w:cs="Arial" w:eastAsia="Arial" w:hAnsi="Arial"/>
                <w:sz w:val="16"/>
                <w:szCs w:val="16"/>
                <w:color w:val="auto"/>
              </w:rPr>
              <w:t>México</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Mexico S. de R.L. de C. 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México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RPS Research México, S. de R.L. de C.V.</w:t>
            </w:r>
          </w:p>
        </w:tc>
        <w:tc>
          <w:tcPr>
            <w:tcW w:w="2240" w:type="dxa"/>
            <w:vAlign w:val="bottom"/>
          </w:tcPr>
          <w:p>
            <w:pPr>
              <w:ind w:left="220"/>
              <w:spacing w:after="0"/>
              <w:rPr>
                <w:sz w:val="20"/>
                <w:szCs w:val="20"/>
                <w:color w:val="auto"/>
              </w:rPr>
            </w:pPr>
            <w:r>
              <w:rPr>
                <w:rFonts w:ascii="Arial" w:cs="Arial" w:eastAsia="Arial" w:hAnsi="Arial"/>
                <w:sz w:val="16"/>
                <w:szCs w:val="16"/>
                <w:color w:val="auto"/>
              </w:rPr>
              <w:t>México</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Servicios, S. de R.L. de C.V.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México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DOCS Insourcing B.V.</w:t>
            </w:r>
          </w:p>
        </w:tc>
        <w:tc>
          <w:tcPr>
            <w:tcW w:w="22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B.V.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Contracting Solutions Holdings B.V.</w:t>
            </w:r>
          </w:p>
        </w:tc>
        <w:tc>
          <w:tcPr>
            <w:tcW w:w="22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Group B.V.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Pharmaceutical Research Associates Holdings B.V.</w:t>
            </w:r>
          </w:p>
        </w:tc>
        <w:tc>
          <w:tcPr>
            <w:tcW w:w="22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Metaholdings B.V.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PRA International B.V.</w:t>
            </w:r>
          </w:p>
        </w:tc>
        <w:tc>
          <w:tcPr>
            <w:tcW w:w="22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International Operations B.V.</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ReSearch Pharmaceutical Services Netherlands B.V.</w:t>
            </w:r>
          </w:p>
        </w:tc>
        <w:tc>
          <w:tcPr>
            <w:tcW w:w="22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(New Zealand) Limited</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Zealand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Pharmaceutical Research Associates New Zealand Limited</w:t>
            </w:r>
          </w:p>
        </w:tc>
        <w:tc>
          <w:tcPr>
            <w:tcW w:w="2240" w:type="dxa"/>
            <w:vAlign w:val="bottom"/>
          </w:tcPr>
          <w:p>
            <w:pPr>
              <w:ind w:left="220"/>
              <w:spacing w:after="0"/>
              <w:rPr>
                <w:sz w:val="20"/>
                <w:szCs w:val="20"/>
                <w:color w:val="auto"/>
              </w:rPr>
            </w:pPr>
            <w:r>
              <w:rPr>
                <w:rFonts w:ascii="Arial" w:cs="Arial" w:eastAsia="Arial" w:hAnsi="Arial"/>
                <w:sz w:val="16"/>
                <w:szCs w:val="16"/>
                <w:color w:val="auto"/>
              </w:rPr>
              <w:t>New Zealand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Norway AS</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Norway</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RPS Panama Inc.</w:t>
            </w:r>
          </w:p>
        </w:tc>
        <w:tc>
          <w:tcPr>
            <w:tcW w:w="2240" w:type="dxa"/>
            <w:vAlign w:val="bottom"/>
          </w:tcPr>
          <w:p>
            <w:pPr>
              <w:ind w:left="220"/>
              <w:spacing w:after="0"/>
              <w:rPr>
                <w:sz w:val="20"/>
                <w:szCs w:val="20"/>
                <w:color w:val="auto"/>
              </w:rPr>
            </w:pPr>
            <w:r>
              <w:rPr>
                <w:rFonts w:ascii="Arial" w:cs="Arial" w:eastAsia="Arial" w:hAnsi="Arial"/>
                <w:sz w:val="16"/>
                <w:szCs w:val="16"/>
                <w:color w:val="auto"/>
              </w:rPr>
              <w:t>Panama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Perú S.A.</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Perú</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RPS Perú S.A.C.</w:t>
            </w:r>
          </w:p>
        </w:tc>
        <w:tc>
          <w:tcPr>
            <w:tcW w:w="2240" w:type="dxa"/>
            <w:vAlign w:val="bottom"/>
          </w:tcPr>
          <w:p>
            <w:pPr>
              <w:ind w:left="220"/>
              <w:spacing w:after="0"/>
              <w:rPr>
                <w:sz w:val="20"/>
                <w:szCs w:val="20"/>
                <w:color w:val="auto"/>
              </w:rPr>
            </w:pPr>
            <w:r>
              <w:rPr>
                <w:rFonts w:ascii="Arial" w:cs="Arial" w:eastAsia="Arial" w:hAnsi="Arial"/>
                <w:sz w:val="16"/>
                <w:szCs w:val="16"/>
                <w:color w:val="auto"/>
              </w:rPr>
              <w:t>Perú</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Services Philippines, Inc.</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Philippines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RPS Research Philippines, Inc.</w:t>
            </w:r>
          </w:p>
        </w:tc>
        <w:tc>
          <w:tcPr>
            <w:tcW w:w="2240" w:type="dxa"/>
            <w:vAlign w:val="bottom"/>
          </w:tcPr>
          <w:p>
            <w:pPr>
              <w:ind w:left="220"/>
              <w:spacing w:after="0"/>
              <w:rPr>
                <w:sz w:val="20"/>
                <w:szCs w:val="20"/>
                <w:color w:val="auto"/>
              </w:rPr>
            </w:pPr>
            <w:r>
              <w:rPr>
                <w:rFonts w:ascii="Arial" w:cs="Arial" w:eastAsia="Arial" w:hAnsi="Arial"/>
                <w:sz w:val="16"/>
                <w:szCs w:val="16"/>
                <w:color w:val="auto"/>
              </w:rPr>
              <w:t>Philippines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Poland Sp. z o.o.</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Symphony Clinical Research Sp zoo</w:t>
            </w:r>
          </w:p>
        </w:tc>
        <w:tc>
          <w:tcPr>
            <w:tcW w:w="2240" w:type="dxa"/>
            <w:vAlign w:val="bottom"/>
          </w:tcPr>
          <w:p>
            <w:pPr>
              <w:ind w:left="220"/>
              <w:spacing w:after="0"/>
              <w:rPr>
                <w:sz w:val="20"/>
                <w:szCs w:val="20"/>
                <w:color w:val="auto"/>
              </w:rPr>
            </w:pPr>
            <w:r>
              <w:rPr>
                <w:rFonts w:ascii="Arial" w:cs="Arial" w:eastAsia="Arial" w:hAnsi="Arial"/>
                <w:sz w:val="16"/>
                <w:szCs w:val="16"/>
                <w:color w:val="auto"/>
              </w:rPr>
              <w:t>Poland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Sp. z o.o.</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PRA International Portugal, Unipessoal, Lda.</w:t>
            </w:r>
          </w:p>
        </w:tc>
        <w:tc>
          <w:tcPr>
            <w:tcW w:w="2240" w:type="dxa"/>
            <w:vAlign w:val="bottom"/>
          </w:tcPr>
          <w:p>
            <w:pPr>
              <w:ind w:left="220"/>
              <w:spacing w:after="0"/>
              <w:rPr>
                <w:sz w:val="20"/>
                <w:szCs w:val="20"/>
                <w:color w:val="auto"/>
              </w:rPr>
            </w:pPr>
            <w:r>
              <w:rPr>
                <w:rFonts w:ascii="Arial" w:cs="Arial" w:eastAsia="Arial" w:hAnsi="Arial"/>
                <w:sz w:val="16"/>
                <w:szCs w:val="16"/>
                <w:color w:val="auto"/>
              </w:rPr>
              <w:t>Portugal</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Puerto Rico, Inc.</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Puerto Rico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S.R.L.</w:t>
            </w:r>
          </w:p>
        </w:tc>
        <w:tc>
          <w:tcPr>
            <w:tcW w:w="2240" w:type="dxa"/>
            <w:vAlign w:val="bottom"/>
          </w:tcPr>
          <w:p>
            <w:pPr>
              <w:ind w:left="220"/>
              <w:spacing w:after="0"/>
              <w:rPr>
                <w:sz w:val="20"/>
                <w:szCs w:val="20"/>
                <w:color w:val="auto"/>
              </w:rPr>
            </w:pPr>
            <w:r>
              <w:rPr>
                <w:rFonts w:ascii="Arial" w:cs="Arial" w:eastAsia="Arial" w:hAnsi="Arial"/>
                <w:sz w:val="16"/>
                <w:szCs w:val="16"/>
                <w:color w:val="auto"/>
              </w:rPr>
              <w:t>Romania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Romania S.R.L.</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Romania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(Rus) LLC</w:t>
            </w:r>
          </w:p>
        </w:tc>
        <w:tc>
          <w:tcPr>
            <w:tcW w:w="2240" w:type="dxa"/>
            <w:vAlign w:val="bottom"/>
          </w:tcPr>
          <w:p>
            <w:pPr>
              <w:ind w:left="220"/>
              <w:spacing w:after="0"/>
              <w:rPr>
                <w:sz w:val="20"/>
                <w:szCs w:val="20"/>
                <w:color w:val="auto"/>
              </w:rPr>
            </w:pPr>
            <w:r>
              <w:rPr>
                <w:rFonts w:ascii="Arial" w:cs="Arial" w:eastAsia="Arial" w:hAnsi="Arial"/>
                <w:sz w:val="16"/>
                <w:szCs w:val="16"/>
                <w:color w:val="auto"/>
              </w:rPr>
              <w:t>Russia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Joint Stock Company IMP Logistics</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Russia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d.o.o. Beograd</w:t>
            </w:r>
          </w:p>
        </w:tc>
        <w:tc>
          <w:tcPr>
            <w:tcW w:w="2240" w:type="dxa"/>
            <w:vAlign w:val="bottom"/>
          </w:tcPr>
          <w:p>
            <w:pPr>
              <w:ind w:left="220"/>
              <w:spacing w:after="0"/>
              <w:rPr>
                <w:sz w:val="20"/>
                <w:szCs w:val="20"/>
                <w:color w:val="auto"/>
              </w:rPr>
            </w:pPr>
            <w:r>
              <w:rPr>
                <w:rFonts w:ascii="Arial" w:cs="Arial" w:eastAsia="Arial" w:hAnsi="Arial"/>
                <w:sz w:val="16"/>
                <w:szCs w:val="16"/>
                <w:color w:val="auto"/>
              </w:rPr>
              <w:t>Serbia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doo Belgrade</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Serbia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(Pte) Limited</w:t>
            </w:r>
          </w:p>
        </w:tc>
        <w:tc>
          <w:tcPr>
            <w:tcW w:w="2240" w:type="dxa"/>
            <w:vAlign w:val="bottom"/>
          </w:tcPr>
          <w:p>
            <w:pPr>
              <w:ind w:left="22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Life Sciences Singapore Pte. Ltd.</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Singapore</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Pharmaceutical Research Associates Singapore Pte. Ltd.</w:t>
            </w:r>
          </w:p>
        </w:tc>
        <w:tc>
          <w:tcPr>
            <w:tcW w:w="2240" w:type="dxa"/>
            <w:vAlign w:val="bottom"/>
          </w:tcPr>
          <w:p>
            <w:pPr>
              <w:ind w:left="22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Slovakia, s.r.o.</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Slovakia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Pharmaceutical Research Associates SK s.r.o.</w:t>
            </w:r>
          </w:p>
        </w:tc>
        <w:tc>
          <w:tcPr>
            <w:tcW w:w="2240" w:type="dxa"/>
            <w:vAlign w:val="bottom"/>
          </w:tcPr>
          <w:p>
            <w:pPr>
              <w:ind w:left="220"/>
              <w:spacing w:after="0"/>
              <w:rPr>
                <w:sz w:val="20"/>
                <w:szCs w:val="20"/>
                <w:color w:val="auto"/>
              </w:rPr>
            </w:pPr>
            <w:r>
              <w:rPr>
                <w:rFonts w:ascii="Arial" w:cs="Arial" w:eastAsia="Arial" w:hAnsi="Arial"/>
                <w:sz w:val="16"/>
                <w:szCs w:val="16"/>
                <w:color w:val="auto"/>
              </w:rPr>
              <w:t>Slovakia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Pharmaceutical S A (Proprietary) Limited</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Africa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Accellacare South Africa (PTY) LTD</w:t>
            </w:r>
          </w:p>
        </w:tc>
        <w:tc>
          <w:tcPr>
            <w:tcW w:w="2240" w:type="dxa"/>
            <w:vAlign w:val="bottom"/>
          </w:tcPr>
          <w:p>
            <w:pPr>
              <w:ind w:left="220"/>
              <w:spacing w:after="0"/>
              <w:rPr>
                <w:sz w:val="20"/>
                <w:szCs w:val="20"/>
                <w:color w:val="auto"/>
              </w:rPr>
            </w:pPr>
            <w:r>
              <w:rPr>
                <w:rFonts w:ascii="Arial" w:cs="Arial" w:eastAsia="Arial" w:hAnsi="Arial"/>
                <w:sz w:val="16"/>
                <w:szCs w:val="16"/>
                <w:color w:val="auto"/>
              </w:rPr>
              <w:t>South Africa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180"/>
        </w:trPr>
        <w:tc>
          <w:tcPr>
            <w:tcW w:w="61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ICON Clinical Research Korea Yuhan Hoesa/ ICON Clinical Research Korea</w:t>
            </w:r>
          </w:p>
        </w:tc>
        <w:tc>
          <w:tcPr>
            <w:tcW w:w="224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Ltd.</w:t>
            </w:r>
          </w:p>
        </w:tc>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Korea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6"/>
                <w:szCs w:val="16"/>
                <w:color w:val="auto"/>
              </w:rPr>
              <w:t>Mapi Korea Yuhan Hoesa/ Mapi Korea LLC (In Voluntary Liquidation)</w:t>
            </w:r>
          </w:p>
        </w:tc>
        <w:tc>
          <w:tcPr>
            <w:tcW w:w="2240" w:type="dxa"/>
            <w:vAlign w:val="bottom"/>
          </w:tcPr>
          <w:p>
            <w:pPr>
              <w:ind w:left="220"/>
              <w:spacing w:after="0"/>
              <w:rPr>
                <w:sz w:val="20"/>
                <w:szCs w:val="20"/>
                <w:color w:val="auto"/>
              </w:rPr>
            </w:pPr>
            <w:r>
              <w:rPr>
                <w:rFonts w:ascii="Arial" w:cs="Arial" w:eastAsia="Arial" w:hAnsi="Arial"/>
                <w:sz w:val="16"/>
                <w:szCs w:val="16"/>
                <w:color w:val="auto"/>
              </w:rPr>
              <w:t>South Korea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4"/>
        </w:trPr>
        <w:tc>
          <w:tcPr>
            <w:tcW w:w="6160" w:type="dxa"/>
            <w:vAlign w:val="bottom"/>
          </w:tcPr>
          <w:p>
            <w:pPr>
              <w:ind w:left="5540"/>
              <w:spacing w:after="0"/>
              <w:rPr>
                <w:sz w:val="20"/>
                <w:szCs w:val="20"/>
                <w:color w:val="auto"/>
              </w:rPr>
            </w:pPr>
            <w:r>
              <w:rPr>
                <w:rFonts w:ascii="Arial" w:cs="Arial" w:eastAsia="Arial" w:hAnsi="Arial"/>
                <w:sz w:val="16"/>
                <w:szCs w:val="16"/>
                <w:color w:val="auto"/>
              </w:rPr>
              <w:t>53</w:t>
            </w:r>
          </w:p>
        </w:tc>
        <w:tc>
          <w:tcPr>
            <w:tcW w:w="2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1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5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7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72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Korea Limited</w:t>
            </w:r>
          </w:p>
        </w:tc>
        <w:tc>
          <w:tcPr>
            <w:tcW w:w="720" w:type="dxa"/>
            <w:vAlign w:val="bottom"/>
            <w:shd w:val="clear" w:color="auto" w:fill="CCEEFF"/>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Korea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España, S.L.</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Spain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España, S.A.U.</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Spain</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RPS ReSearch Ibérica, S.L.U.</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Spain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Spain S.L.</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Spain</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Accellacare España S.L.</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Spain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Sweden AB</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Sweden</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PRA International Sweden AB</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Sweden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Switzerland GmbH</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Switzerland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(Switzerland) GmbH</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Switzerland</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Switzerland AG</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Switzerland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Taiwan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Taiwan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Taiwan, Inc.</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Taiwan</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(Thailand)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Thailand</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(Thailand) Co., Ltd.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Thailand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Ankara Klinik Arastirma Dis Ticaret Anonim Sirketi</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Turkey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Turkey Sağlik Araştirma Ve Geliştirme Limited Şirketi</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Turkey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DOCS Ukraine LLC</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LLC</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IMP-Logistics Ukraine, LLC</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Ukraine, LLC</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Accellacare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Aptiv Solutions (UK) Ltd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DOCS International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(LR)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2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(U.K.) No. 3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4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(U.K.) No. 5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Development Solutions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Investments (UK) Ltd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Improving Treatments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Medeval Group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MeDiNova Lakeside Clinical Research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MeDiNova Merc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VSK (Kenilworth)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IMP Logistics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 Research Associates (UK)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Pharm Research Associates Russia Limited (in Voluntary Liquidation)</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Sterling Synergy Systems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ICON Clinical Research Holdings (U.K.) Limited</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6 Limited</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440" w:type="dxa"/>
            <w:vAlign w:val="bottom"/>
          </w:tcPr>
          <w:p>
            <w:pPr>
              <w:ind w:left="360"/>
              <w:spacing w:after="0"/>
              <w:rPr>
                <w:sz w:val="20"/>
                <w:szCs w:val="20"/>
                <w:color w:val="auto"/>
              </w:rPr>
            </w:pPr>
            <w:r>
              <w:rPr>
                <w:rFonts w:ascii="Arial" w:cs="Arial" w:eastAsia="Arial" w:hAnsi="Arial"/>
                <w:sz w:val="16"/>
                <w:szCs w:val="16"/>
                <w:color w:val="auto"/>
              </w:rPr>
              <w:t>RPS Global S.A.</w:t>
            </w:r>
          </w:p>
        </w:tc>
        <w:tc>
          <w:tcPr>
            <w:tcW w:w="7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Uruguay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Latin America S.A</w:t>
            </w:r>
          </w:p>
        </w:tc>
        <w:tc>
          <w:tcPr>
            <w:tcW w:w="72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Uruguay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858"/>
        </w:trPr>
        <w:tc>
          <w:tcPr>
            <w:tcW w:w="5440" w:type="dxa"/>
            <w:vAlign w:val="bottom"/>
          </w:tcPr>
          <w:p>
            <w:pPr>
              <w:spacing w:after="0"/>
              <w:rPr>
                <w:sz w:val="24"/>
                <w:szCs w:val="24"/>
                <w:color w:val="auto"/>
              </w:rPr>
            </w:pPr>
          </w:p>
        </w:tc>
        <w:tc>
          <w:tcPr>
            <w:tcW w:w="720" w:type="dxa"/>
            <w:vAlign w:val="bottom"/>
          </w:tcPr>
          <w:p>
            <w:pPr>
              <w:jc w:val="right"/>
              <w:ind w:right="359"/>
              <w:spacing w:after="0"/>
              <w:rPr>
                <w:sz w:val="20"/>
                <w:szCs w:val="20"/>
                <w:color w:val="auto"/>
              </w:rPr>
            </w:pPr>
            <w:r>
              <w:rPr>
                <w:rFonts w:ascii="Arial" w:cs="Arial" w:eastAsia="Arial" w:hAnsi="Arial"/>
                <w:sz w:val="16"/>
                <w:szCs w:val="16"/>
                <w:color w:val="auto"/>
              </w:rPr>
              <w:t>54</w:t>
            </w: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4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3"/>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1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b w:val="1"/>
                <w:bCs w:val="1"/>
                <w:i w:val="1"/>
                <w:iCs w:val="1"/>
                <w:color w:val="auto"/>
              </w:rPr>
              <w:t>Country</w:t>
            </w:r>
          </w:p>
        </w:tc>
        <w:tc>
          <w:tcPr>
            <w:tcW w:w="298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Early Phase Services,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ClinStar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Nextrials,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Pharmaceutical Research Associates CIS,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Eastern Europe,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CRN North America,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LP</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Addplan,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Beacon Bioscience,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C4 MedSolutions,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CHC Group,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CRN Holdings,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 Pharmaceutical Strategies Group,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Investments,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Laboratory Services,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Tennessee,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US Holdings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MMMM Consulting,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MMMM Group,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MolecularMD Corp.</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PriceSpective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PubsHub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Care Innovations,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Care Innovations,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CRI NewCo,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CRI Worldwide,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International Medical Technical Consultants,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Parallel 6,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PRA Early Development Research,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PRA Holdings,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International,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PRA Receivables,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ReSearch Pharmaceutical Services, Inc.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Roy RPS Holdings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RPS Global Holdings,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Parent Holding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Source Healthcare Analytics,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Sunset Hills,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Symphony Health Solutions Corporation</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Christie Clinic, LLC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Clinical Resource Network, LLC</w:t>
            </w:r>
          </w:p>
        </w:tc>
        <w:tc>
          <w:tcPr>
            <w:tcW w:w="3180" w:type="dxa"/>
            <w:vAlign w:val="bottom"/>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Global, Inc.</w:t>
            </w:r>
          </w:p>
        </w:tc>
        <w:tc>
          <w:tcPr>
            <w:tcW w:w="31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858"/>
        </w:trPr>
        <w:tc>
          <w:tcPr>
            <w:tcW w:w="5060" w:type="dxa"/>
            <w:vAlign w:val="bottom"/>
          </w:tcPr>
          <w:p>
            <w:pPr>
              <w:spacing w:after="0"/>
              <w:rPr>
                <w:sz w:val="24"/>
                <w:szCs w:val="24"/>
                <w:color w:val="auto"/>
              </w:rPr>
            </w:pPr>
          </w:p>
        </w:tc>
        <w:tc>
          <w:tcPr>
            <w:tcW w:w="3180" w:type="dxa"/>
            <w:vAlign w:val="bottom"/>
          </w:tcPr>
          <w:p>
            <w:pPr>
              <w:ind w:left="480"/>
              <w:spacing w:after="0"/>
              <w:rPr>
                <w:sz w:val="20"/>
                <w:szCs w:val="20"/>
                <w:color w:val="auto"/>
              </w:rPr>
            </w:pPr>
            <w:r>
              <w:rPr>
                <w:rFonts w:ascii="Arial" w:cs="Arial" w:eastAsia="Arial" w:hAnsi="Arial"/>
                <w:sz w:val="16"/>
                <w:szCs w:val="16"/>
                <w:color w:val="auto"/>
              </w:rPr>
              <w:t>55</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0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5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0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b w:val="1"/>
                <w:bCs w:val="1"/>
                <w:i w:val="1"/>
                <w:iCs w:val="1"/>
                <w:color w:val="auto"/>
              </w:rPr>
              <w:t>Country</w:t>
            </w:r>
          </w:p>
        </w:tc>
        <w:tc>
          <w:tcPr>
            <w:tcW w:w="298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Managed Care Strategic Solutions,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CRI International,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Accellacare of Charlotte,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Hickory,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Accellacare of Raleigh,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Rocky Mount,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Accellacare of Salisbury,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Wilmington,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Accellacare of Winston-Salem,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US Inc.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Complete Healthcare Communications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Complete Publication Solutions,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Accellacare of Charleston, LLC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Bristol, LLC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Lifetree Clinical Research, LC</w:t>
            </w:r>
          </w:p>
        </w:tc>
        <w:tc>
          <w:tcPr>
            <w:tcW w:w="3020" w:type="dxa"/>
            <w:vAlign w:val="bottom"/>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Government and Public Health Solutions, Inc.</w:t>
            </w:r>
          </w:p>
        </w:tc>
        <w:tc>
          <w:tcPr>
            <w:tcW w:w="30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bl>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*Mapi Research Trust is an association, its members are ICON Subsidiary entities.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Description of Property</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principal executive offices are located in South County Business Park, Leopardstown, Dublin, Republic of Ireland, where we own an office facility of approximately 15,000 square meters. We lease all other properties.</w:t>
      </w:r>
    </w:p>
    <w:p>
      <w:pPr>
        <w:spacing w:after="0" w:line="20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We maintain sixty-seven offices in Europe; twelve of our offices are in the UK, seven each in Germany and The Netherlands, five in Spain, three in each of France, Italy, Hungary, Poland and Russia, two in each of Ireland, Israel, Romania, Sweden, Switzerland and Turkey and one in each of Belarus, Belgium, Bulgaria, the Czech Republic, Georgia, Latvia, Serbia, Slovakia and the Ukraine. We maintain forty-one offices in North America; thirty-seven in the United States, two in Canada and two in Mexico. We have twenty-one offices in Asia; six in China (including one in Hong Kong), five in India, two in each of Japan, Singapore, South Korea and Taiwan and one in each of The Philippines and Thailand. We have two offices in Australia and one in New Zealand. We have nine offices in South America; three in Brazil, two in Argentina and one in each of Colombia, Chile, Peru and Guatemala. We maintain one office in South Africa.</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4A.  </w:t>
      </w:r>
      <w:r>
        <w:rPr>
          <w:rFonts w:ascii="Arial" w:cs="Arial" w:eastAsia="Arial" w:hAnsi="Arial"/>
          <w:sz w:val="16"/>
          <w:szCs w:val="16"/>
          <w:b w:val="1"/>
          <w:bCs w:val="1"/>
          <w:i w:val="1"/>
          <w:iCs w:val="1"/>
          <w:color w:val="auto"/>
        </w:rPr>
        <w:t>Unresolved Staff Comments.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Operating and Financial Review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2021 and December 31, 2020. Information related to the year ended December 31, 2019 has not been included. It can be found in the Company's filing of the form 20-F 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2021, we employed approximately 38,330 employees, in 142 locations in 53 countries. During the year ended December 31, 2021 we derived approximately 47.1%, 46.4% and 6.5% of our revenue in the United States, Europe, and the rest of the world, respectively.</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unsatisfied performance obligation comprises our assessment of contracted revenue yet to be earned from projects awarded by clients. At December 31, 2021 we had unsatisfied performance obligations of approximately $13.3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2021, ICON announced the completion of the Acquisition of PRA. The combined Group retained the name ICON and brought together approximately 38,000 (as at the Merger date) employees across the globe, creating one of the world’s most advanced healthcare intelligence and clinical research organizations. 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 The operating results of the Group for the year ended December 31, 2021 are materially impacted by the completion of the Merger and result in large variances when comparing to the year ended December 31, 2020. Where applicable, management have included commentary on specific one-time charges related to the Merger in order to provide an understanding of the normal operations of the Group. The management's discussion and analysis below includes the results of PRA from July 1, 2021 to December 31, 2021. The results of PRA prior to July 1, 2021 are not reflected.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ind w:firstLine="648"/>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8"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Assessment of COVID-19 impact on operating results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the period since December 31, 2020, the Company has continued to experience a return to positive growth in revenue and net income as a result of the ongoing recovery from the global COVID-19 pandemic. At this point in time, there still remains some degree of uncertainty relating to the long-term effect of COVID-19 on our business and when it will be possible for business activity to return to normal operating levels. Although the impact of the global COVID-19 pandemic on our business is reducing, the emergence of COVID-19 variants of concern continue to create restrictions on our ability to ensure laboratory samples are collected and analyzed on time, our ability to monitor our clinical trials, the ability of patients or service providers to travel, and our ability to travel, as a result of the outbreak.</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has continued to successfully mobilize its vaccine resources to address the COVID-19 global threat, including its ability to conduct home-based trials to minimize infection. In addition, the Company is currently providing clinical monitoring and safety oversight on numerous COVID-19 trials for both the private and government sectors.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provided clinical trial services to the Pfizer and BioNTech SE investigational COVID-19 vaccine program. ICON worked with Pfizer and 153 sites in the US, Europe and Latin America to ensure over 44,000 patients were recruited within four months for phase 3 of the trial, in late 2020, in one of the largest and most expeditious clinical trials ever performed. Trial capabilities were key to enabling agility and speed in the global study, which included a high level of remote clinical monitoring and source data verification, in addition to on-site monitoring, safeguarding data quality and integrity in the evolving pandemic environment.</w:t>
      </w:r>
    </w:p>
    <w:p>
      <w:pPr>
        <w:spacing w:after="0" w:line="21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Revenue for the year ended December 31, 2021 increased by $2,683.5 million, or 95.9%, to $5,480.8 million, compared to $2,797.3 million for the year ended December 31, 2020. Revenue increased by 94.5% in constant currency terms (Constant currency revenue growth reflects growth in revenue had foreign exchange rates that existed in 2020 remained constant). The increase in revenues in the year ended December 31, 2021 reflected the completion of the Merger and the continued recovery from the impact of the COVID-19 global pandemic. The Company has earned revenue from clinical trials associated with COVID-19, which include the Pfizer BioNTech COVID-19 vaccine program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0" w:name="page61"/>
    <w:bookmarkEnd w:id="60"/>
    <w:p>
      <w:pPr>
        <w:jc w:val="both"/>
        <w:ind w:firstLine="64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99"/>
              <w:spacing w:after="0" w:line="156" w:lineRule="exact"/>
              <w:rPr>
                <w:sz w:val="20"/>
                <w:szCs w:val="20"/>
                <w:color w:val="auto"/>
              </w:rPr>
            </w:pPr>
            <w:r>
              <w:rPr>
                <w:rFonts w:ascii="Arial" w:cs="Arial" w:eastAsia="Arial" w:hAnsi="Arial"/>
                <w:sz w:val="16"/>
                <w:szCs w:val="16"/>
                <w:b w:val="1"/>
                <w:bCs w:val="1"/>
                <w:color w:val="auto"/>
              </w:rPr>
              <w:t>Percentage of Revenue</w:t>
            </w:r>
          </w:p>
        </w:tc>
        <w:tc>
          <w:tcPr>
            <w:tcW w:w="120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559"/>
              <w:spacing w:after="0" w:line="156"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100.0 %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100.0 %</w:t>
            </w:r>
          </w:p>
        </w:tc>
        <w:tc>
          <w:tcPr>
            <w:tcW w:w="1940" w:type="dxa"/>
            <w:vAlign w:val="bottom"/>
          </w:tcPr>
          <w:p>
            <w:pPr>
              <w:jc w:val="right"/>
              <w:spacing w:after="0"/>
              <w:rPr>
                <w:sz w:val="20"/>
                <w:szCs w:val="20"/>
                <w:color w:val="auto"/>
              </w:rPr>
            </w:pPr>
            <w:r>
              <w:rPr>
                <w:rFonts w:ascii="Arial" w:cs="Arial" w:eastAsia="Arial" w:hAnsi="Arial"/>
                <w:sz w:val="16"/>
                <w:szCs w:val="16"/>
                <w:color w:val="auto"/>
              </w:rPr>
              <w:t>95.9 %</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Costs and expenses:</w:t>
            </w:r>
          </w:p>
        </w:tc>
        <w:tc>
          <w:tcPr>
            <w:tcW w:w="2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72.5 %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70.8 %</w:t>
            </w:r>
          </w:p>
        </w:tc>
        <w:tc>
          <w:tcPr>
            <w:tcW w:w="1940" w:type="dxa"/>
            <w:vAlign w:val="bottom"/>
          </w:tcPr>
          <w:p>
            <w:pPr>
              <w:jc w:val="right"/>
              <w:spacing w:after="0"/>
              <w:rPr>
                <w:sz w:val="20"/>
                <w:szCs w:val="20"/>
                <w:color w:val="auto"/>
              </w:rPr>
            </w:pPr>
            <w:r>
              <w:rPr>
                <w:rFonts w:ascii="Arial" w:cs="Arial" w:eastAsia="Arial" w:hAnsi="Arial"/>
                <w:sz w:val="16"/>
                <w:szCs w:val="16"/>
                <w:color w:val="auto"/>
              </w:rPr>
              <w:t>100.6 %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10.7 %</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12.2 %</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1.4 %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1.7 %</w:t>
            </w:r>
          </w:p>
        </w:tc>
        <w:tc>
          <w:tcPr>
            <w:tcW w:w="1940" w:type="dxa"/>
            <w:vAlign w:val="bottom"/>
          </w:tcPr>
          <w:p>
            <w:pPr>
              <w:jc w:val="right"/>
              <w:spacing w:after="0"/>
              <w:rPr>
                <w:sz w:val="20"/>
                <w:szCs w:val="20"/>
                <w:color w:val="auto"/>
              </w:rPr>
            </w:pPr>
            <w:r>
              <w:rPr>
                <w:rFonts w:ascii="Arial" w:cs="Arial" w:eastAsia="Arial" w:hAnsi="Arial"/>
                <w:sz w:val="16"/>
                <w:szCs w:val="16"/>
                <w:color w:val="auto"/>
              </w:rPr>
              <w:t>61.0 %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4.4 %</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0.7 %</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Transaction and integration related</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3.6 %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 %</w:t>
            </w:r>
          </w:p>
        </w:tc>
        <w:tc>
          <w:tcPr>
            <w:tcW w:w="19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0.5 %</w:t>
            </w: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0.6 %</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6.9 %</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14.0 %</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680" w:type="dxa"/>
            <w:vAlign w:val="bottom"/>
            <w:gridSpan w:val="2"/>
          </w:tcPr>
          <w:p>
            <w:pPr>
              <w:ind w:left="40"/>
              <w:spacing w:after="0"/>
              <w:rPr>
                <w:sz w:val="20"/>
                <w:szCs w:val="20"/>
                <w:color w:val="auto"/>
              </w:rPr>
            </w:pPr>
            <w:r>
              <w:rPr>
                <w:rFonts w:ascii="Arial" w:cs="Arial" w:eastAsia="Arial" w:hAnsi="Arial"/>
                <w:sz w:val="16"/>
                <w:szCs w:val="16"/>
                <w:color w:val="auto"/>
              </w:rPr>
              <w:t>N/M = Not Meaningful</w:t>
            </w: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610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Year ended December 31, 2021 compared to year ended December 31, 2020</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9"/>
              </w:rPr>
              <w:t>Year Ended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140" w:type="dxa"/>
            <w:vAlign w:val="bottom"/>
            <w:gridSpan w:val="2"/>
            <w:vMerge w:val="restart"/>
            <w:shd w:val="clear" w:color="auto" w:fill="CCEEFF"/>
          </w:tcPr>
          <w:p>
            <w:pPr>
              <w:jc w:val="right"/>
              <w:ind w:right="15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5,480,826 $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2,797,288</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2,683,538</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 for the year ended December 31, 2021 increased by $2,683.5 million, or 95.9%, to $5,480.8 million, compared to $2,797.3 million for the year ended December 31, 2020. Revenue increased by 94.5% in constant currency terms. The increase in revenues in the year ended December 31, 2021 is due to the Merger and the impact of the continued recovery from the COVID-19 global pandemic has had on operations including: our ability to ensure laboratory samples are collected and analyzed on time, our ability to perform on-site monitoring of clinical trials, the ability of patients or service providers to travel, and our ability to travel. The Company has earned revenue from clinical trials associated with COVID-19, most notably with the Pfizer BioNTech COVID-19 vaccine program.</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Revenues from our top five customers amounted to $1,733.1 million in the year ended December 31, 2021 compared to $1,092.8 million in the year ended December 31, 2020 or 31.6% and 39.1% respectively. The largest of these customers related to a strategic partnership with a large global pharmaceutical company.</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Revenue in Ireland increased by $184.6 million in the year ended December 31, 2021, to $1,365.9 million, compared to $1,181.3 million for the year ended December 31, 2020. Revenue in Ireland during the year ended December 31, 2021 increased by 15.6% compared to an overall increase in Group revenue of 95.9%. Revenue in Ireland is principally a function of our global contracting model (see </w:t>
      </w:r>
      <w:r>
        <w:rPr>
          <w:rFonts w:ascii="Arial" w:cs="Arial" w:eastAsia="Arial" w:hAnsi="Arial"/>
          <w:sz w:val="16"/>
          <w:szCs w:val="16"/>
          <w:i w:val="1"/>
          <w:iCs w:val="1"/>
          <w:color w:val="auto"/>
        </w:rPr>
        <w:t>note 20 - Business segment and geographical information</w:t>
      </w:r>
      <w:r>
        <w:rPr>
          <w:rFonts w:ascii="Arial" w:cs="Arial" w:eastAsia="Arial" w:hAnsi="Arial"/>
          <w:sz w:val="16"/>
          <w:szCs w:val="16"/>
          <w:color w:val="auto"/>
        </w:rPr>
        <w:t xml:space="preserve"> </w:t>
      </w:r>
      <w:r>
        <w:rPr>
          <w:rFonts w:ascii="Arial" w:cs="Arial" w:eastAsia="Arial" w:hAnsi="Arial"/>
          <w:sz w:val="17"/>
          <w:szCs w:val="17"/>
          <w:color w:val="auto"/>
        </w:rPr>
        <w:t>i</w:t>
      </w:r>
      <w:r>
        <w:rPr>
          <w:rFonts w:ascii="Arial" w:cs="Arial" w:eastAsia="Arial" w:hAnsi="Arial"/>
          <w:sz w:val="16"/>
          <w:szCs w:val="16"/>
          <w:color w:val="auto"/>
        </w:rPr>
        <w:t>n the consolidated financial statements). Entities acquired as part of the Merger are currently being integrated into the global contracting model and this</w:t>
      </w:r>
      <w:r>
        <w:rPr>
          <w:rFonts w:ascii="Arial" w:cs="Arial" w:eastAsia="Arial" w:hAnsi="Arial"/>
          <w:sz w:val="17"/>
          <w:szCs w:val="17"/>
          <w:color w:val="auto"/>
        </w:rPr>
        <w:t xml:space="preserve"> </w:t>
      </w:r>
      <w:r>
        <w:rPr>
          <w:rFonts w:ascii="Arial" w:cs="Arial" w:eastAsia="Arial" w:hAnsi="Arial"/>
          <w:sz w:val="16"/>
          <w:szCs w:val="16"/>
          <w:color w:val="auto"/>
        </w:rPr>
        <w:t>process remains ongoing at December 31, 2021.</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in the Rest of Europe increased by $758.6 million or 182.0%, to $1,175.5 million, compared to $416.9 million for the year ended December 31, 2020. Revenue in the U.S. increased by $1,655.4 million or 178.9%, to $2,581.0 million, compared to $925.6 million for the year ended December 31, 2020. Revenue in our Rest of World (‘Other’) region increased by $84.8 million or 31.0%, to $358.4 million, compared to $273.5 million for the year ended December 31, 2020. Revenue has increased across all regions principally reflecting the Merger completion and continued recovery from the COVID-19 global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6"/>
        </w:trPr>
        <w:tc>
          <w:tcPr>
            <w:tcW w:w="5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3,972,612</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1,979,883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1,992,729</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72.5 %</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100.6 %</w:t>
            </w:r>
          </w:p>
        </w:tc>
      </w:tr>
    </w:tbl>
    <w:p>
      <w:pPr>
        <w:spacing w:after="0" w:line="3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Direct costs for the year increased by $1,992.7 million, or 100.6%, to $3,972.6 million, compared to $1,979.9 million for the year ended December 31, 2020. Direct costs consist primarily of investigator and other reimbursable costs, compensation, associated fringe benefits and routine share based compensation expense for project-related employees and other direct project driven costs. The increase in direct costs during the year arose due to an increase in headcount and an increase in personnel related expenditure of $1,217.2 million, as a result of the Merger, combined with an increase in other direct project related costs of $22.3 million, an increase in laboratory costs of $17.2 million, an increase in third party investigator and other reimbursable costs of $734.4 million and an increase in travel related costs of $1.6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585,330</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342,449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242,881</w:t>
            </w: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70.9 %</w:t>
            </w:r>
          </w:p>
        </w:tc>
      </w:tr>
    </w:tbl>
    <w:p>
      <w:pPr>
        <w:spacing w:after="0" w:line="3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Selling, general and administrative expenses for the year increased by $242.9 million, or 70.9%, to $585.3 million, compared to $342.4 million for the year ended December 31, 2020. Selling, general and administrative expenses comprise primarily of compensation, related fringe benefits and routine share based compensation expense for non-project-related employees, recruitment expenditures, professional service costs, advertising costs and all costs related to facilities and information systems. As a percentage of revenue, selling, general and administrative expenses decreased to 10.7% of revenue, compared to 12.2% of revenue for the year ended December 31, 2020. During the year, the increase in selling, general and administrative expenses relates to an increase in general overhead costs of $9.0 million, an increase of $58.3 million in facilities related costs, an increase of $188.1 million in personnel related expenditure and an increase of $8.2 million in marketing fees. These increases were partly offset by a decrease of $20.1 million due to foreign exchange movements and other immaterial decreases.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Share based compensation expense recognized during the years ended December 31, 2021 and December 31, 2020 were $133.8 million and $26.3 million respectively (see </w:t>
      </w:r>
      <w:r>
        <w:rPr>
          <w:rFonts w:ascii="Arial" w:cs="Arial" w:eastAsia="Arial" w:hAnsi="Arial"/>
          <w:sz w:val="16"/>
          <w:szCs w:val="16"/>
          <w:i w:val="1"/>
          <w:iCs w:val="1"/>
          <w:color w:val="auto"/>
        </w:rPr>
        <w:t>note 11 - Equity Incentive Schemes and Stock Compensation Charges</w:t>
      </w:r>
      <w:r>
        <w:rPr>
          <w:rFonts w:ascii="Arial" w:cs="Arial" w:eastAsia="Arial" w:hAnsi="Arial"/>
          <w:sz w:val="16"/>
          <w:szCs w:val="16"/>
          <w:color w:val="auto"/>
        </w:rPr>
        <w:t xml:space="preserve"> to the consolidated financial statements). Share based compensation expenses are part of personnel related expenditure in direct costs and selling, general and administrative expenses.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Year Ended</w:t>
            </w: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75,484</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46,892</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28,592</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61.0 %</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239,503</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19,234</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220,269</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4.4 %</w:t>
            </w:r>
          </w:p>
        </w:tc>
        <w:tc>
          <w:tcPr>
            <w:tcW w:w="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1,145.2 %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both"/>
        <w:ind w:firstLine="648"/>
        <w:spacing w:after="0" w:line="248" w:lineRule="auto"/>
        <w:rPr>
          <w:sz w:val="20"/>
          <w:szCs w:val="20"/>
          <w:color w:val="auto"/>
        </w:rPr>
      </w:pPr>
      <w:r>
        <w:rPr>
          <w:rFonts w:ascii="Arial" w:cs="Arial" w:eastAsia="Arial" w:hAnsi="Arial"/>
          <w:sz w:val="16"/>
          <w:szCs w:val="16"/>
          <w:color w:val="auto"/>
        </w:rPr>
        <w:t>Depreciation expense for the year increased by $28.6 million or 61.0%, to $75.5 million, compared to $46.9 million for the year ended December 31, 2020. The depreciation charge reflects investments in facilities, information systems and equipment supporting the Company’s continued growth. The depreciation charge, from a value perspective, has increased mainly due to the additional office footprint acquired through the Merger. As a percentage of revenue, the depreciation expense decreased to 1.4% of revenues, compared to 1.7% for the year ended December 31, 2020. Amortization expense for the year increased by $220.3 million or 1,145.2%, to $239.5 million, compared to $19.2 million for the year ended December 31, 2020. The amortization expense represents the amortization of intangible assets acquired in business combinations. The increase in amortization expense for the year reflects the amortization of newly acquired intangibles arising on the Merger. As a percentage of revenue, the amortization expense increased to 4.4%, compared to 0.7% of revenue for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Year Ended</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related</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198,263</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(759)</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199,022</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3.6 %</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31,105</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18,089</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13,016</w:t>
            </w: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0.5 %</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72.0 %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year ended December 31, 2021, the Company incurred $229.4 million for restructuring, transaction and integration-related expenses associated with the Merger. The charge includes transaction and integration costs of $198.3 million associated with investment banking, advisory costs, retention agreements with employees, accelerated share compensation charges and ongoing integration activities. The transaction and integration related credit of $0.8 million incurred in the year ended December 31, 2020 related to the release of contingent consideration net of expenses incurred as part of ICON's recent acquisitions prior to the Merger.</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optimize its locations to best fit the requirements of the Company and reorganize its workforce to drive future growth. This program has resulted in a charge of $31.1 million in the year ended December 31, 2021. In the year ended December 31, 2020, a restructuring charge of $18.1 million was recognized under a restructuring plan adopted following a review of operations. The restructuring plan reflected resource rationalization across the business to improve resource utilization.</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expect to incur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378,529</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391,500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(12,971)</w:t>
            </w: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6.9 %</w:t>
            </w:r>
          </w:p>
        </w:tc>
        <w:tc>
          <w:tcPr>
            <w:tcW w:w="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3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decreased by $13.0 million, or 3.3%, to $378.5 million, compared to $391.5 million for the year ended December 31, 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income from operations decreased to 6.9% of revenues compared to 14.0% of revenues for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5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6"/>
        </w:trPr>
        <w:tc>
          <w:tcPr>
            <w:tcW w:w="5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Change</w:t>
            </w: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to adjusted income from operations</w:t>
            </w:r>
          </w:p>
        </w:tc>
        <w:tc>
          <w:tcPr>
            <w:tcW w:w="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378,529</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391,500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(12,971)</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related</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198,263</w:t>
            </w: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(759)</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199,022</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31,105</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18,089</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13,016</w:t>
            </w: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income from operations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607,897</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408,830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199,067</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11.1 %</w:t>
            </w:r>
          </w:p>
        </w:tc>
        <w:tc>
          <w:tcPr>
            <w:tcW w:w="8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14.6 %</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48.7 %</w:t>
            </w:r>
          </w:p>
        </w:tc>
      </w:tr>
    </w:tbl>
    <w:p>
      <w:pPr>
        <w:spacing w:after="0" w:line="3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operations, excluding restructuring, transaction and integration related expenses ("adjusted income from operations") reflects income from operations with restructuring charges and transaction and integration related expenses added back. The most comparable GAAP measure is income from operations. The amounts added back to income from operations are presented directly from the consolidated statement of operations and in the notes to the financial statements. Management believes adjusted income from operations provides stakeholders more insight into underlying business performance. Adjusted income from operations increased by $199.1 million, or 48.7%, to $607.9 million, compared to $408.8 million for the year ended December 31, 2020. As a percentage of revenue, income from operations decreased to 11.1% of revenues compared to 14.6% of revenues for year ended December 31, 2020.</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Adjusted income from operations in Ireland decreased by $133.5 million or 45.2% to $161.9 million, compared to $295.4 million for the year ended December 31, 2020. The decrease in the year ended December 31, 2021 is mainly a result of the amortization charged on the intangible assets acquired in the Merger. Income from operations in Ireland and other geographic regions are reflective of the Company’s global transfer pricing model and the centralization of intragroup financing activities in Ireland.</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the Rest of Europe region, adjusted income from operations increased by $148.0 million, to $183.4 million, compared to $35.4 million for the year ended December 31, 2020. The increase is due to the additional activity in the region as a result of the Merger. As a percentage of revenues, income from operations, excluding restructuring and transaction related items, in the Rest of Europe region increased to 15.6% compared to 8.5% for the year ended December 31, 2020.</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the U.S. region, Adjusted income from operations increased by $175.1 million, to $232.0 million, compared to $56.9 million for the year ended December 31, 2020. The increase is due to the additional activity in the region as a result of the Merger. As a percentage of revenues, income from operations, excluding restructuring and transaction related items, in the U.S. region increased to 9.0% compared to 6.1% for the year ended December 31, 2020.</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other regions, Adjusted income from operations increased by $9.5 million, to $30.6 million, compared to $21.1 million for the year ended December 31, 2020. The increase is due to the additional activity in the region as a result of the Merger. As a percentage of revenues, income from operations, excluding restructuring and transaction related items, in the other regions increased to 8.5% , compared to 7.7% for the year ended December 31, 2020.</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9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(2,150)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78.9 %</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(182,423)</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(13,019)</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(169,404)</w:t>
            </w:r>
          </w:p>
        </w:tc>
        <w:tc>
          <w:tcPr>
            <w:tcW w:w="1120" w:type="dxa"/>
            <w:vAlign w:val="bottom"/>
          </w:tcPr>
          <w:p>
            <w:pPr>
              <w:jc w:val="right"/>
              <w:spacing w:after="0"/>
              <w:rPr>
                <w:sz w:val="20"/>
                <w:szCs w:val="20"/>
                <w:color w:val="auto"/>
              </w:rPr>
            </w:pPr>
            <w:r>
              <w:rPr>
                <w:rFonts w:ascii="Arial" w:cs="Arial" w:eastAsia="Arial" w:hAnsi="Arial"/>
                <w:sz w:val="16"/>
                <w:szCs w:val="16"/>
                <w:color w:val="auto"/>
              </w:rPr>
              <w:t>1,301.2 %</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Interest expense increased to $182.4 million compared to $13.0 million for the year ended December 31, 2020 due to the draw down of debt facilities associated with the Merger and costs related to the extinguishment of previous debt facilities (see </w:t>
      </w:r>
      <w:r>
        <w:rPr>
          <w:rFonts w:ascii="Arial" w:cs="Arial" w:eastAsia="Arial" w:hAnsi="Arial"/>
          <w:sz w:val="16"/>
          <w:szCs w:val="16"/>
          <w:i w:val="1"/>
          <w:iCs w:val="1"/>
          <w:color w:val="auto"/>
        </w:rPr>
        <w:t>note 24 - Non-current bank credit lines and loan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facilities </w:t>
      </w:r>
      <w:r>
        <w:rPr>
          <w:rFonts w:ascii="Arial" w:cs="Arial" w:eastAsia="Arial" w:hAnsi="Arial"/>
          <w:sz w:val="16"/>
          <w:szCs w:val="16"/>
          <w:color w:val="auto"/>
        </w:rPr>
        <w:t>to the consolidated financial statements). No amounts were drawn down on the revolving credit facilities during the year ended December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or the year ended December 31, 2020. Interest income for the year ended December 31, 2021 decreased to $0.6 million, compared to $2.7 million for the year ended December 31, 2020. This reflects reduced returns on cash and cash equivalents.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Year Ended</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41,334</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47,875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(6,541)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21.0 %</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12.6 %</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Provision for income taxes for the year decreased to $41.3 million compared to $47.9 million for the year ended December 31, 2020. The Company’s effective tax rate for the year ended December 31, 2021 was 21.0% compared to 12.6% for the year ended December 31, 2020. The Company’s effective tax rate remains principally a function of the distribution of pre-tax profits amongst the territories in which it operates and the tax treatment of costs related to the Merger.</w:t>
      </w:r>
    </w:p>
    <w:p>
      <w:pPr>
        <w:spacing w:after="0" w:line="304"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borrowings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1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07"/>
        </w:trPr>
        <w:tc>
          <w:tcPr>
            <w:tcW w:w="30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Drawn down/</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Net cash inflow/</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non-cash</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Effect of</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exchange rates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i w:val="1"/>
                <w:iCs w:val="1"/>
                <w:color w:val="auto"/>
              </w:rPr>
              <w:t>dollars in thousands</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equivalents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840,305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(80,365)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(7,727)</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752,213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1,729</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1,712</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Total cash and cash equivalents</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842,034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(80,382)</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(7,727)</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753,925</w:t>
            </w:r>
          </w:p>
        </w:tc>
        <w:tc>
          <w:tcPr>
            <w:tcW w:w="0" w:type="dxa"/>
            <w:vAlign w:val="bottom"/>
          </w:tcPr>
          <w:p>
            <w:pPr>
              <w:spacing w:after="0"/>
              <w:rPr>
                <w:sz w:val="1"/>
                <w:szCs w:val="1"/>
                <w:color w:val="auto"/>
              </w:rPr>
            </w:pPr>
          </w:p>
        </w:tc>
      </w:tr>
      <w:tr>
        <w:trPr>
          <w:trHeight w:val="271"/>
        </w:trPr>
        <w:tc>
          <w:tcPr>
            <w:tcW w:w="30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rPr>
              <w:t>Balance</w:t>
            </w: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Drawn down/</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Net cash inflow/</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Other non-cash</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Effect of</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(repaid)</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(outflow)</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exchange rates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6"/>
                <w:szCs w:val="16"/>
                <w:b w:val="1"/>
                <w:bCs w:val="1"/>
                <w:i w:val="1"/>
                <w:iCs w:val="1"/>
                <w:color w:val="auto"/>
              </w:rPr>
              <w:t>dollars in thousands</w:t>
            </w:r>
          </w:p>
        </w:tc>
        <w:tc>
          <w:tcPr>
            <w:tcW w:w="1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Borrowings</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Senior Notes</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348,477</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(363,992)</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15,515</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7"/>
        </w:trPr>
        <w:tc>
          <w:tcPr>
            <w:tcW w:w="3060" w:type="dxa"/>
            <w:vAlign w:val="bottom"/>
          </w:tcPr>
          <w:p>
            <w:pPr>
              <w:ind w:left="20"/>
              <w:spacing w:after="0" w:line="178" w:lineRule="exact"/>
              <w:rPr>
                <w:sz w:val="20"/>
                <w:szCs w:val="20"/>
                <w:color w:val="auto"/>
              </w:rPr>
            </w:pPr>
            <w:r>
              <w:rPr>
                <w:rFonts w:ascii="Arial" w:cs="Arial" w:eastAsia="Arial" w:hAnsi="Arial"/>
                <w:sz w:val="16"/>
                <w:szCs w:val="16"/>
                <w:color w:val="auto"/>
              </w:rPr>
              <w:t>Senior Secured Credit Facilities &amp; Senior</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5,436,312</w:t>
            </w:r>
          </w:p>
        </w:tc>
        <w:tc>
          <w:tcPr>
            <w:tcW w:w="0" w:type="dxa"/>
            <w:vAlign w:val="bottom"/>
          </w:tcPr>
          <w:p>
            <w:pPr>
              <w:spacing w:after="0"/>
              <w:rPr>
                <w:sz w:val="1"/>
                <w:szCs w:val="1"/>
                <w:color w:val="auto"/>
              </w:rPr>
            </w:pPr>
          </w:p>
        </w:tc>
      </w:tr>
      <w:tr>
        <w:trPr>
          <w:trHeight w:val="198"/>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Secured Notes</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6,015,000</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(589,986)</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11,298</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borrowings</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348,477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5,651,008</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(589,986)</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26,813</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5,436,312</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cash and cash equivalents and</w:t>
            </w:r>
          </w:p>
        </w:tc>
        <w:tc>
          <w:tcPr>
            <w:tcW w:w="15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493,557</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(5,651,008)</w:t>
            </w:r>
          </w:p>
        </w:tc>
        <w:tc>
          <w:tcPr>
            <w:tcW w:w="13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509,604</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(26,813)</w:t>
            </w:r>
          </w:p>
        </w:tc>
        <w:tc>
          <w:tcPr>
            <w:tcW w:w="14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(7,727)</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(4,682,387)</w:t>
            </w:r>
          </w:p>
        </w:tc>
        <w:tc>
          <w:tcPr>
            <w:tcW w:w="0" w:type="dxa"/>
            <w:vAlign w:val="bottom"/>
          </w:tcPr>
          <w:p>
            <w:pPr>
              <w:spacing w:after="0"/>
              <w:rPr>
                <w:sz w:val="1"/>
                <w:szCs w:val="1"/>
                <w:color w:val="auto"/>
              </w:rPr>
            </w:pPr>
          </w:p>
        </w:tc>
      </w:tr>
      <w:tr>
        <w:trPr>
          <w:trHeight w:val="235"/>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borrowings</w:t>
            </w: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cash and cash equivalents and available for sale investments at December 31, 2021 amounted to $753.9 million compared with cash and available for sale investments of $842.0 million at December 31, 2020. The Company’s cash and short term investment balances at December 31, 2021 comprised cash and cash equivalents $752.2 million and short-term investments $1.7 million. The Company’s cash and short term investment balances at December 31, 2020 comprised cash and cash equivalents $840.3 million and short-term investments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both"/>
        <w:ind w:firstLine="648"/>
        <w:spacing w:after="0" w:line="250"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 No amounts have been drawn under the revolving loan facility as at December 31, 2021.</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in a private offering. The senior secured notes will mature on July 15, 2026 and will bear interest at a rate of 2.875%.</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 On December 29, 2021, the Company repaid $500.0 million of the senior secured term loan facility and made a quarterly interest payment of $40.8 million.</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contractual liabilities for lease arrangements of $227.7 million which will be predominantly settled over the next five year period through cash payments.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has tax related liabilities of $217.0 million which are predominantly long term in nature with $112.0 million expected to be settled in the next five year period. The balance of $105.0 million is expected to be settled beyond that five year period.</w:t>
      </w:r>
    </w:p>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December 8, 2020, ICON Investments Five Unlimited Company issued new senior notes ("2020 Senior Notes") for aggregate gross proceeds of $350.0 million in a private placement which was guaranteed by ICON plc. The 2020 Senior Notes were issued in two tranches; Series A Notes of $275.0 million maturing on December 8, 2023 and Series B Notes of $75.0 million maturing on December 8, 2025. Interest payable on the 2020 Senior Notes was fixed at 2.32% and 2.43% for Series A Notes and Series B Notes respectively. Due to the conditions attached to the additional borrowings to fund the PRA Merger, the 2020 Senior Notes were repaid in full on July 1, 2021 inclusive of early repayment charges. The total repayment on July 1, 2021 was $364.0 million.</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of $0.9 million, representing the realized loss on the interest rate hedge. The</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portion of this loss has been released in the period in line with the commitment to early settle the 2020 Senior Notes.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Interest payable was fixed at 3.64%, and was payable semi-annually on the Senior Notes on each June 15 and December 15, commencing June 15, 2016. The Senior Notes were guaranteed by ICON plc and matured on December 15, 2020 at which time they were repaid in full.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Net cash provided by operating activities was $829.1 million for the year ended December 31, 2021 compared with net cash provided by operating activities of $568.0 million for the year ended December 31, 2020. The dollar value of working capital balances and the related number of days’ revenue outstanding (i.e. revenue outstanding as a percentage of revenue for the period, multiplied by the number of days in the period) can vary over a study or trial duration. The number of days’ revenue outstanding at December 31, 2021 was 31 days compared to 57 days at December 31, 2020. This reflects the timing of cash collections and individual contractual terms.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Billed and unbilled revenue also includes amounts recoverable from customers in respect of reimbursable costs. Amounts recorded as accrued to investigators and others in respect of reimbursable expenses were $323.6 million at December 31, 2021 and $138.2 million at December 31, 2020 (see </w:t>
      </w:r>
      <w:r>
        <w:rPr>
          <w:rFonts w:ascii="Arial" w:cs="Arial" w:eastAsia="Arial" w:hAnsi="Arial"/>
          <w:sz w:val="16"/>
          <w:szCs w:val="16"/>
          <w:i w:val="1"/>
          <w:iCs w:val="1"/>
          <w:color w:val="auto"/>
        </w:rPr>
        <w:t>note 8 - Other liabilities</w:t>
      </w:r>
      <w:r>
        <w:rPr>
          <w:rFonts w:ascii="Arial" w:cs="Arial" w:eastAsia="Arial" w:hAnsi="Arial"/>
          <w:sz w:val="16"/>
          <w:szCs w:val="16"/>
          <w:color w:val="auto"/>
        </w:rPr>
        <w:t xml:space="preserve"> in the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6" w:name="page67"/>
    <w:bookmarkEnd w:id="66"/>
    <w:p>
      <w:pPr>
        <w:jc w:val="both"/>
        <w:ind w:firstLine="648"/>
        <w:spacing w:after="0" w:line="232" w:lineRule="auto"/>
        <w:rPr>
          <w:sz w:val="20"/>
          <w:szCs w:val="20"/>
          <w:color w:val="auto"/>
        </w:rPr>
      </w:pPr>
      <w:r>
        <w:rPr>
          <w:rFonts w:ascii="Arial" w:cs="Arial" w:eastAsia="Arial" w:hAnsi="Arial"/>
          <w:sz w:val="16"/>
          <w:szCs w:val="16"/>
          <w:color w:val="auto"/>
        </w:rPr>
        <w:t xml:space="preserve">Contractual terms with our customers require ICON to receive and discharge payment to third parties prior to billing the customer for these items. During the year, unearned revenue increased to $1,324.0 million from $660.9 million at December 31, 2020 (see </w:t>
      </w:r>
      <w:r>
        <w:rPr>
          <w:rFonts w:ascii="Arial" w:cs="Arial" w:eastAsia="Arial" w:hAnsi="Arial"/>
          <w:sz w:val="16"/>
          <w:szCs w:val="16"/>
          <w:i w:val="1"/>
          <w:iCs w:val="1"/>
          <w:color w:val="auto"/>
        </w:rPr>
        <w:t>note 18 - Accounts receivable, unbilled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(contract assets) and unearned revenue or payments on account (contract liabilities) </w:t>
      </w:r>
      <w:r>
        <w:rPr>
          <w:rFonts w:ascii="Arial" w:cs="Arial" w:eastAsia="Arial" w:hAnsi="Arial"/>
          <w:sz w:val="16"/>
          <w:szCs w:val="16"/>
          <w:color w:val="auto"/>
        </w:rPr>
        <w:t>in the consolidated financial statements). These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due to the balance acquired as part of the Merger but are also due to timing of payments and invoicing related to the Group's clinical trial management contracts. These advance billings and the completion of the Merger have resulted in the significant increase in unearned revenue at December 31, 2021. During the year, cash from other net assets increased to a $108.3 million inflow from a $2.2 million outflow at December 31, 2020. These fluctuations are primarily due to the balance acquired as part of the Merger and increases in tax related liabilities.</w:t>
      </w:r>
    </w:p>
    <w:p>
      <w:pPr>
        <w:spacing w:after="0" w:line="2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generated from operations,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A decrease in the number of days’ revenue outstanding during a period will result in cash inflows to the Company while an increase in days revenue outstanding will lead to cash outflows.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Net cash used in investing activities was $6,024.2 million for the year ended December 31, 2021 compared to net cash used in investing activities of $46.6 million for the year ended December 31, 2020. Net cash used in investing activities the year ended December 31, 2021 was largely attributable to the cash element of the Merger consideration of $5,914.5 million (net of cash acquired). During the year, capital expenditure of $93.8 million was made mainly related to investment in facilities and IT infrastructure. Further cash outflow of $2.5 million was made in respect of the Company's investment in Oncacare, a loan of $10.0 million was provided to Oncacare and $3.6 million in relation to investments in long-term equity.</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the year ended December 31, 2020, net cash used in investing activities of $46.6 million was largely attributable to cash outflows on the acquisitions of MedPass of $47.6 million on January 22, 2020, cash outflows of $0.3 million in relation to the working capital adjustment on the acquisition of Symphony which was acquired on September 24, 2019, cash outflows of $0.5 million in relation to the contingent consideration paid for Symphony in the period and a cash inflow of $0.5 million in relation to the working capital adjustment for MeDiNova which was acquired on May 23, 2019. These amounts were offset in part by cash acquired of $10.2 million. A cash outflow of $2.5 million was made in respect of the Company's investment in Oncacare. During the year, capital expenditure of $40.9 million was made mainly related to the investment in facilities and IT infrastructure. In addition, $47.9 million was generated by the sale of short term investments and $3.2 million cash was paid in relation to investments in long-term equity.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provided by financing activities amounted to $5,114.7 million for the year ended December 31, 2021 compared with net cash outflow from financing activities of $208.3 million for the year ended December 31, 2020. The Company drew down external financing of $6,015 million to fund the completion of the Merger. This was offset by debt discount and certain debt issue costs of $109.9 million. As part of the external financing, the Company paid financing professional fees of $30.3 million and made payments of principal on the external debt of $513.8 million. The Company also repaid the 2020 Senior Notes on 1 July 2021, including early repayment charges, totaling $364.0 million. During the year ended December 31, 2021, $118.6 million was received by the Company from the exercise of share options.</w:t>
      </w:r>
    </w:p>
    <w:p>
      <w:pPr>
        <w:spacing w:after="0" w:line="2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the year ended December 31, 2020, cash outflows in respect of financing activities includes consideration paid by the Company for share buybacks pursuant to the Company’s share repurchase program totaling $175.0 million in the year ended December 31, 2020 (see note 13 - Share Capital in the consolidated financial statements). In December 2020, $350.0 million was received in respect of the issue of the 2020 Senior Notes and $350.0 million was paid in respect of the repayment of the 2015 Senior Notes. Finance costs in respect of the issue of the 2020 Senior Notes were $1.6 million and there was a cash outflow of $0.9 million in respect of the loss on settlement of the interest rate hedge on the 2020 Senior Notes. There were cash outflows of $43.9 million in relation to the purchase of the remaining share capital in MeDiNova. In addition, $13.2 million was received by the Company from the exercise of share options.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these cash flows, cash and cash equivalents decreased by $88.1 million for the year ended December 31, 2021 compared to an increase of $320.0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67" w:name="page68"/>
    <w:bookmarkEnd w:id="67"/>
    <w:p>
      <w:pPr>
        <w:ind w:left="400" w:hanging="392"/>
        <w:spacing w:after="0"/>
        <w:tabs>
          <w:tab w:leader="none" w:pos="4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plays a critical role in new drug development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214"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or commitments or events since December 31, 2021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20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Policies and Estimates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 Significant accounting policies are summarized in Note 1 to the consolidated financial statements.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 The application of these critical accounting policies and estimates is discussed with the Audit Committee of the Board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earn revenues by providing a number of different services to our clients. These services, which are integral elements of the clinical development process, include clinical trials management, contract staffing, consulting and laboratory services. Contracts range in duration from a number of months to several years.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2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 is recognized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ind w:firstLine="648"/>
        <w:spacing w:after="0" w:line="250"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3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acquired in a business combination</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intangible assets associated with a business combination. 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Measurement of intangible assets involves the use of estimates for determining the fair value at the acquisition date. The determination of the fair values of assets and liabilities, as well as of the useful lives of the assets is based on 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Management utilized external valuation experts, where necessary, to ensure the valuation process was sufficiently detailed and robust to develop reliable valuations.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2021 (or previously)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combinations</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October 2021, the FASB issued ASU 2021-08 'Business Combinations (Topic 805) - Accounting for Contract Assets and Contract Liabilities from Contracts with Customers'. The amendments in this ASU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ASU are effective for fiscal years beginning after December 15, 2022, including interim periods within those fiscal years.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w:t>
      </w:r>
    </w:p>
    <w:p>
      <w:pPr>
        <w:spacing w:after="0" w:line="23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has taken then option to early adopt the amendments in this ASU for year ended December 31, 2021 and apply the amendments to interim periods from the beginning of the fiscal year. The Company has applied the amendments of this ASU to the Merger with PRA, completed on July 1, 2021. The application of these amendments has resulted in a $16.0 million increase in goodwill and corresponding $16.0 million increase to unearned revenue compared to the initial accounting for the Merger. Since July 1, 2021, the Company had amortized $4.0 million of the unearned revenue adjustment through the revenue line in the Consolidated Statement of Comprehensive Income. This amortization has been reversed in December 2021 resulting in a net nil impact on revenue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Other accounting pronouncements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August 2020, the FASB issued ASU 2020-06 ‘Accounting for Convertible Instruments and Contracts in an Entity’s Own Equity’ which removes the separation models in ASC 470 ‘Debt’ for convertible debt with cash conversion features and convertible instruments with beneficial conversion features. The ASU also removes from ASC 815 ‘Derivatives and Hedge Accounting’ certain conditions for equity classification for contracts on an entity’s own equity. The ASU is effective for the Company for the year ended December 31, 2021. The adoption of this ASU did not have a significant impact on the financial statements.</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January 2020, the FASB issued ASU 2020-01, 'Investments-Equity Securities (Topic 321), Investments-Equity Method and Joint Ventures (Topic 323), and Derivatives and Hedging (Topic 815)'. ASU 2020-01 states any equity security transitioning from the alternative method of accounting under Topic 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the Company for the year ended December 31, 2021, and has been applied on a prospective basis. The adoption of this ASU did not have a significant impact on the financial statements.</w:t>
      </w:r>
    </w:p>
    <w:p>
      <w:pPr>
        <w:spacing w:after="0" w:line="21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December 2019, the FASB issued ASU 2019-12 'Simplifying the Accounting for Income Taxes (Topic 740)'.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adopted the amendments in this ASU on a prospective basis, except where the required method of adoption is retrospective or modified retrospective. ASU 2019-12 is effective for the Company for the year ended December 31, 2021. The adoption of this ASU did not have a significant impact on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which will be adopted during fiscal year ended December 31, 2022</w:t>
      </w:r>
    </w:p>
    <w:p>
      <w:pPr>
        <w:spacing w:after="0" w:line="2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significant impact on the Company’s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Directors and Senior Management</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and accompanying biographies set forth certain information concerning each of ICON plc’s Directors, officers and other key employees as of March 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Name</w:t>
            </w:r>
          </w:p>
        </w:tc>
        <w:tc>
          <w:tcPr>
            <w:tcW w:w="15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Age</w:t>
            </w:r>
          </w:p>
        </w:tc>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Position</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Ciaran Murray (5)</w:t>
            </w:r>
          </w:p>
        </w:tc>
        <w:tc>
          <w:tcPr>
            <w:tcW w:w="1580" w:type="dxa"/>
            <w:vAlign w:val="bottom"/>
          </w:tcPr>
          <w:p>
            <w:pPr>
              <w:ind w:left="920"/>
              <w:spacing w:after="0"/>
              <w:rPr>
                <w:sz w:val="20"/>
                <w:szCs w:val="20"/>
                <w:color w:val="auto"/>
              </w:rPr>
            </w:pPr>
            <w:r>
              <w:rPr>
                <w:rFonts w:ascii="Arial" w:cs="Arial" w:eastAsia="Arial" w:hAnsi="Arial"/>
                <w:sz w:val="16"/>
                <w:szCs w:val="16"/>
                <w:color w:val="auto"/>
              </w:rPr>
              <w:t>59</w:t>
            </w:r>
          </w:p>
        </w:tc>
        <w:tc>
          <w:tcPr>
            <w:tcW w:w="6660" w:type="dxa"/>
            <w:vAlign w:val="bottom"/>
          </w:tcPr>
          <w:p>
            <w:pPr>
              <w:ind w:left="360"/>
              <w:spacing w:after="0"/>
              <w:rPr>
                <w:sz w:val="20"/>
                <w:szCs w:val="20"/>
                <w:color w:val="auto"/>
              </w:rPr>
            </w:pPr>
            <w:r>
              <w:rPr>
                <w:rFonts w:ascii="Arial" w:cs="Arial" w:eastAsia="Arial" w:hAnsi="Arial"/>
                <w:sz w:val="16"/>
                <w:szCs w:val="16"/>
                <w:color w:val="auto"/>
              </w:rPr>
              <w:t>Chair and Director</w:t>
            </w: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 (1)(6)</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61</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Executive Officer and 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Brendan Brennan (1)(6)</w:t>
            </w:r>
          </w:p>
        </w:tc>
        <w:tc>
          <w:tcPr>
            <w:tcW w:w="1580" w:type="dxa"/>
            <w:vAlign w:val="bottom"/>
          </w:tcPr>
          <w:p>
            <w:pPr>
              <w:ind w:left="920"/>
              <w:spacing w:after="0"/>
              <w:rPr>
                <w:sz w:val="20"/>
                <w:szCs w:val="20"/>
                <w:color w:val="auto"/>
              </w:rPr>
            </w:pPr>
            <w:r>
              <w:rPr>
                <w:rFonts w:ascii="Arial" w:cs="Arial" w:eastAsia="Arial" w:hAnsi="Arial"/>
                <w:sz w:val="16"/>
                <w:szCs w:val="16"/>
                <w:color w:val="auto"/>
              </w:rPr>
              <w:t>43</w:t>
            </w:r>
          </w:p>
        </w:tc>
        <w:tc>
          <w:tcPr>
            <w:tcW w:w="6660" w:type="dxa"/>
            <w:vAlign w:val="bottom"/>
          </w:tcPr>
          <w:p>
            <w:pPr>
              <w:ind w:left="360"/>
              <w:spacing w:after="0"/>
              <w:rPr>
                <w:sz w:val="20"/>
                <w:szCs w:val="20"/>
                <w:color w:val="auto"/>
              </w:rPr>
            </w:pPr>
            <w:r>
              <w:rPr>
                <w:rFonts w:ascii="Arial" w:cs="Arial" w:eastAsia="Arial" w:hAnsi="Arial"/>
                <w:sz w:val="16"/>
                <w:szCs w:val="16"/>
                <w:color w:val="auto"/>
              </w:rPr>
              <w:t>Chief Financial Officer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Rónán Murphy (2)(3)(5)(6)</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64</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Lead Independent Director</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Professor Hugh Brady (3)</w:t>
            </w:r>
          </w:p>
        </w:tc>
        <w:tc>
          <w:tcPr>
            <w:tcW w:w="1580" w:type="dxa"/>
            <w:vAlign w:val="bottom"/>
          </w:tcPr>
          <w:p>
            <w:pPr>
              <w:ind w:left="920"/>
              <w:spacing w:after="0"/>
              <w:rPr>
                <w:sz w:val="20"/>
                <w:szCs w:val="20"/>
                <w:color w:val="auto"/>
              </w:rPr>
            </w:pPr>
            <w:r>
              <w:rPr>
                <w:rFonts w:ascii="Arial" w:cs="Arial" w:eastAsia="Arial" w:hAnsi="Arial"/>
                <w:sz w:val="16"/>
                <w:szCs w:val="16"/>
                <w:color w:val="auto"/>
              </w:rPr>
              <w:t>62</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John Climax</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69</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Joan Garahy (2)(4)</w:t>
            </w:r>
          </w:p>
        </w:tc>
        <w:tc>
          <w:tcPr>
            <w:tcW w:w="1580" w:type="dxa"/>
            <w:vAlign w:val="bottom"/>
          </w:tcPr>
          <w:p>
            <w:pPr>
              <w:ind w:left="920"/>
              <w:spacing w:after="0"/>
              <w:rPr>
                <w:sz w:val="20"/>
                <w:szCs w:val="20"/>
                <w:color w:val="auto"/>
              </w:rPr>
            </w:pPr>
            <w:r>
              <w:rPr>
                <w:rFonts w:ascii="Arial" w:cs="Arial" w:eastAsia="Arial" w:hAnsi="Arial"/>
                <w:sz w:val="16"/>
                <w:szCs w:val="16"/>
                <w:color w:val="auto"/>
              </w:rPr>
              <w:t>59</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Professor William Hall (2)(4)</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72</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Eugene McCague (3)(4)(5)</w:t>
            </w:r>
          </w:p>
        </w:tc>
        <w:tc>
          <w:tcPr>
            <w:tcW w:w="1580" w:type="dxa"/>
            <w:vAlign w:val="bottom"/>
          </w:tcPr>
          <w:p>
            <w:pPr>
              <w:ind w:left="920"/>
              <w:spacing w:after="0"/>
              <w:rPr>
                <w:sz w:val="20"/>
                <w:szCs w:val="20"/>
                <w:color w:val="auto"/>
              </w:rPr>
            </w:pPr>
            <w:r>
              <w:rPr>
                <w:rFonts w:ascii="Arial" w:cs="Arial" w:eastAsia="Arial" w:hAnsi="Arial"/>
                <w:sz w:val="16"/>
                <w:szCs w:val="16"/>
                <w:color w:val="auto"/>
              </w:rPr>
              <w:t>63</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Julie O'Neill (5)</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56</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Mary Pendergast (2)</w:t>
            </w:r>
          </w:p>
        </w:tc>
        <w:tc>
          <w:tcPr>
            <w:tcW w:w="1580" w:type="dxa"/>
            <w:vAlign w:val="bottom"/>
          </w:tcPr>
          <w:p>
            <w:pPr>
              <w:ind w:left="920"/>
              <w:spacing w:after="0"/>
              <w:rPr>
                <w:sz w:val="20"/>
                <w:szCs w:val="20"/>
                <w:color w:val="auto"/>
              </w:rPr>
            </w:pPr>
            <w:r>
              <w:rPr>
                <w:rFonts w:ascii="Arial" w:cs="Arial" w:eastAsia="Arial" w:hAnsi="Arial"/>
                <w:sz w:val="16"/>
                <w:szCs w:val="16"/>
                <w:color w:val="auto"/>
              </w:rPr>
              <w:t>71</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Colin Shannon</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62</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Dr. Linda Grais</w:t>
            </w:r>
          </w:p>
        </w:tc>
        <w:tc>
          <w:tcPr>
            <w:tcW w:w="1580" w:type="dxa"/>
            <w:vAlign w:val="bottom"/>
          </w:tcPr>
          <w:p>
            <w:pPr>
              <w:ind w:left="920"/>
              <w:spacing w:after="0"/>
              <w:rPr>
                <w:sz w:val="20"/>
                <w:szCs w:val="20"/>
                <w:color w:val="auto"/>
              </w:rPr>
            </w:pPr>
            <w:r>
              <w:rPr>
                <w:rFonts w:ascii="Arial" w:cs="Arial" w:eastAsia="Arial" w:hAnsi="Arial"/>
                <w:sz w:val="16"/>
                <w:szCs w:val="16"/>
                <w:color w:val="auto"/>
              </w:rPr>
              <w:t>65</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Diarmaid Cunningham</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47</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Administrative Officer, General Counsel &amp; Company Secretary</w:t>
            </w:r>
          </w:p>
        </w:tc>
      </w:tr>
    </w:tbl>
    <w:p>
      <w:pPr>
        <w:spacing w:after="0" w:line="326"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Named Executive Officer of the Company.</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Nominating and Governance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Integration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Ciaran Murray</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 Mr. Murray has been the Chair of ICON plc since March 2017 and an outside director since the May 2018. Mr. Murray served as Chief Executive Officer from October 2011 until March 2017 and was Chief Financial Officer from joining ICON plc in 2005 until his appointment as Chief Executive Officer in 2011. During his time with ICON plc, Mr. Murray was recognized for his leadership of ICON and the CRO industry. Mr. Murray served as Chairman of the Association of Clinical Research Organizations (ACRO) which represents the CRO industry globally. In addition, Mr. Murray was named as a leader in CRO Innovation by PharmaVOICE100, a listing of the most influential people in the bio pharma industry. 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Dr. Steve Cutler was appointed Chief Executive Officer of ICON plc in March 2017, having previously served as Chief Operating Officer from January 2014. Dr. Cutler served as Group President of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6"/>
          <w:szCs w:val="16"/>
          <w:i w:val="1"/>
          <w:iCs w:val="1"/>
          <w:color w:val="auto"/>
        </w:rPr>
        <w:t>Brendan Brennan</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Mr. Brennan has developed his career over the last 22 years from experience in various industries.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also spent a number of years in public accounting with PwC. Mr. Brennan is a Fellow of the Institute of Chartered Accountants in Ireland and holds a bachelor’s degree in Accounting and Finance from Dublin City University. Over his years in the CRO industry, Mr. Brennan has been involved in many industry organizations and developments including ACRO (Association of Clinical Research Organizations) where he was the founding Chairman of the industry CFO round table group, a group formed to aid CROs dealing with the various industry challenges. Mr. Brennan held the position of Chairman of the round table from its foundation in 2017 to December 31,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Rónán Murphy</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Rónán Murphy has served as an outside Director of the Company since October 2016. He was appointed as Lead Independent Director in January 2019. Mr. Murphy is the former Senior Partner of PwC Ireland. He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Mr. Murphy is presently Chairman of Greencoat Renewables PLC and a non-executive Director of Davy Stockbrokers. Mr. Murphy currently serves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Professor Hugh Brady</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Professor Hugh Brady has served as an outside Director of the Company since April 2014. Professor Brady is a physician-scientist. He is currently President and Vice-Chancellor of the University of Bristol in the UK - a member of the UK's Russell Group of elite research-intensive universities. He is President Designate of Imperial College London, where he will serve from August 1, 2022, and President Emeritus of University College Dublin (UCD), where he served as President from 2004-2013. A nephrologist by training, Professor Brady served as Professor of Medicine and Therapeutics and Head of Department at UCD.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and as Chief Executive Officer from June 1990 to October 2002. Since January 2010 he has held a position as an outside Director of the Company. Dr. Climax has over 30 years of experience in the clinical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Joan Garahy</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Ms. Joan Garahy was appointed as an outside Director of ICON plc in November 2017. Ms. Garahy is a Non-Executive Director of Irish Residential Properties REIT plc, IPB Insurance CLG and two private wealth management companies. Ms. Garahy’s previous executive roles include founder and CEO of ClearView Investment &amp; Pensions Limited, a financial advisory company,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Senior Independent non-executive Director of Kerry Group plc and a non executive director at Galway University Foundation and she is currently a member of the board of The Irish Chamber Orchestra. Ms. Garahy is a Qualified Financial Advisor, she holds a Bachelor of Science degree from University College Galway, a Master of Science from University College Dublin and a Diploma in Accounting &amp; Finance from ACCA.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i w:val="1"/>
          <w:iCs w:val="1"/>
          <w:color w:val="auto"/>
        </w:rPr>
        <w:t>Professor William Hall</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Professor William Hall has served as an outside Director of ICON plc since February 2013. He is a renowned expert in infectious diseases and virology. He currently serves as Distinguished Professor at Hokkaido University in Japan and is Professor Emeritus of Medical Microbiology and the Centre for Research in Infectious Diseases at University College Dublin’s (UCD) School of Medicine and Medical Science. Professor Hall also has served as Consultant to the Minister of Health and Children in the Republic of Ireland, providing input on a range of topics including influenza pandemic preparedness, SARS,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and is also a co-founder of the Global Virus Network.</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Eugene McCague</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the Irish branch of AON Insurance and he also serves as chairman of Ibec, Ireland’s leading business representative association. Mr. McCague’s previous board roles include the Health Service Executive, the Irish state body which administers public health service in Ireland, chairman of the governing body of the Dublin Institute of Technology, chairman of the Dublin Institute of Technology Foundation and chairman of the governing authority of University College Dublin and director of Fly Leasing Limited. Mr. McCague was also president of the Dublin Chamber of Commerce in 2006. Mr. McCague holds a Bachelor of Civil Law degree and a diploma in European Law from University College Dublin.</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Julie O’Neill</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Ms. Julie O’Neill has served as an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Hookipa Pharma Inc.,ILC Dover, Achilles Therapeutics plc and Angus Chemical Company. She is also on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 Ms. O'Neill is also a member of the Strategy Committee of the State Claims Agency.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Mary Pendergast</w:t>
      </w:r>
    </w:p>
    <w:p>
      <w:pPr>
        <w:spacing w:after="0" w:line="19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Ms. Mary Pendergast has served as a non-executive director of ICON plc since February 2014. Ms. Pendergast is an expert in the regulatory aspects of drug development and is President of Pendergast Consulting, a consulting firm that advises biopharmaceutical companies, patient groups, professional and advocacy organizations,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6"/>
          <w:szCs w:val="16"/>
          <w:i w:val="1"/>
          <w:iCs w:val="1"/>
          <w:color w:val="auto"/>
        </w:rPr>
        <w:t>Colin Shannon</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Colin Shannon previously served as PRA's President and Chief Executive Officer and was a director of the Company since 2010. He was also the Chairman of the Board of Directors at PRA Health Sciences. Mr. Shannon joined PRA in 2007, serving first as President and Chief Operating Officer. Prior to joining PRA Health Sciences, he was Executive Vice President, Global Clinical Operations at Pharmaceutical Product Development, Inc. (now known as Pharmaceutical Product Development LLC) or PPD. During his 12 year tenure with PPD, he held various leadership roles, including Chief Operating Officer for its European division and Chief Financial and Administration Officer for Europe and the Pacific Rim. Prior to joining PPD, Mr. Shannon had more than 15 years of experience in a variety of financial and accounting positions in the utility and multimedia industries. Mr. Shannon earned his M.B.A. from London's City University and is a fellow member of the Chartered Association of Certified Accountants.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Dr. Linda Grais was previously a member of the PRA Health Sciences board since October 2015. Dr. Grais served as a member of the board of directors of Ocera Therapeutics, Inc. from January 2008 through December 2017 and as President and Chief Executive Officer of Ocera Therapeutics, Inc. from June 2012 to December 2017.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She currently serves on the boards of directors of Zosana Pharma Company and Arca Biopharma, Inc. and sits on the compensation and audit committees of Arca Biopharma, Inc. Dr. Grais received a B.A. from Yale University, an M.D. from Yale Medical School and a J.D. from Stanford Law School.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Diarmaid Cunningham</w:t>
      </w:r>
    </w:p>
    <w:p>
      <w:pPr>
        <w:spacing w:after="0" w:line="1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Mr. Diarmaid Cunningham is Chief Administrative Officer, General Counsel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This expansion of his role means Mr. Cunningham has responsibility to the Company’s Quality Assurance, Client Contracts Services, Facilities and Procurement groups in addition to his responsibility for the Company’s Legal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2014, 2020 and 2021.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 In January 2021, Mr. Cunningham was appointed as a non-executive director of the Irish charity The Jack &amp; Jill Foundation.</w:t>
      </w:r>
    </w:p>
    <w:p>
      <w:pPr>
        <w:spacing w:after="0" w:line="200" w:lineRule="exact"/>
        <w:rPr>
          <w:sz w:val="20"/>
          <w:szCs w:val="20"/>
          <w:color w:val="auto"/>
        </w:rPr>
      </w:pPr>
    </w:p>
    <w:p>
      <w:pPr>
        <w:spacing w:after="0" w:line="262" w:lineRule="exact"/>
        <w:rPr>
          <w:sz w:val="20"/>
          <w:szCs w:val="20"/>
          <w:color w:val="auto"/>
        </w:rPr>
      </w:pPr>
    </w:p>
    <w:p>
      <w:pPr>
        <w:ind w:right="8320" w:firstLine="332"/>
        <w:spacing w:after="0" w:line="566" w:lineRule="auto"/>
        <w:tabs>
          <w:tab w:leader="none" w:pos="6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Compensation Discussion &amp; Analysis</w:t>
      </w:r>
    </w:p>
    <w:p>
      <w:pPr>
        <w:spacing w:after="0"/>
        <w:rPr>
          <w:sz w:val="20"/>
          <w:szCs w:val="20"/>
          <w:color w:val="auto"/>
        </w:rPr>
      </w:pPr>
      <w:r>
        <w:rPr>
          <w:rFonts w:ascii="Arial" w:cs="Arial" w:eastAsia="Arial" w:hAnsi="Arial"/>
          <w:sz w:val="16"/>
          <w:szCs w:val="16"/>
          <w:i w:val="1"/>
          <w:iCs w:val="1"/>
          <w:color w:val="auto"/>
        </w:rPr>
        <w:t>Remuneration policy</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or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i w:val="1"/>
          <w:iCs w:val="1"/>
          <w:color w:val="auto"/>
        </w:rPr>
        <w:t>Outside Directors’ remuneration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Outside Directors are remunerated by way of Directors’ fees and are also eligible for participation in the share equity incentive schemes. Up to July 1, 2021 each outside Director (excluding the Board Chairman) was paid an annual retainer of $65,000 and additional fees for Board Committee service. With effect from July 1, 2021, the annual retainer was increased to $90,000.</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Murray’s Executive Chairman term expired on May 12, 2018 and he transitioned to the outside Director role of Chair. Up to July 1, 2021, the arrangements with the Chair of the Board provided for payment of €300,000 (translated at average rate for the year: $356,244) annually. With effect from July 1, 2021, the Chair fee was increased to €330,000 (translated at average rate for the year: $392,244) annually.</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Mr. Rónán Murphy was appointed as Lead Independent Director with effect from January 1, 2019 and receives an additional annual fee of $25,000 for this role.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Outside Directors are not eligible for performance related bonuses and no pension contributions are made on their behalf. The Compensation and Organization Committee sets outside Directors' remuneration.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Total cash compensation is divided into a base salary portion and a bonus incentive portion.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60% and 200% with actual pay outs for 2021 ranging from 60% to 200%, of salary, based on Group and individual performance.</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total bonus of $3.2 million was awarded to the following individuals; Dr. Steve Cutler Chief Executive Officer ($2.3 million) and Mr. Brendan Brennan Chief Financial Officer ($0.9 million) to reflect their contribution to the performance of the Company during 2021. These amounts were approved by the Compensation and Organization Committee and will be paid during the year ended December 31, 2022.</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primarily by the Committee at the start of each year based on peer groups and advice from independent compensation consultants.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party Agreements and Arrangements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2021</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94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680" w:type="dxa"/>
            <w:vAlign w:val="bottom"/>
            <w:tcBorders>
              <w:top w:val="single" w:sz="8" w:color="auto"/>
              <w:right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Pension</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980" w:type="dxa"/>
            <w:vAlign w:val="bottom"/>
            <w:tcBorders>
              <w:top w:val="single" w:sz="8" w:color="auto"/>
              <w:right w:val="single" w:sz="8" w:color="auto"/>
            </w:tcBorders>
            <w:shd w:val="clear" w:color="auto" w:fill="CCEEFF"/>
          </w:tcPr>
          <w:p>
            <w:pPr>
              <w:spacing w:after="0"/>
              <w:rPr>
                <w:sz w:val="16"/>
                <w:szCs w:val="16"/>
                <w:color w:val="auto"/>
              </w:rPr>
            </w:pPr>
          </w:p>
        </w:tc>
        <w:tc>
          <w:tcPr>
            <w:tcW w:w="2260" w:type="dxa"/>
            <w:vAlign w:val="bottom"/>
            <w:tcBorders>
              <w:top w:val="single" w:sz="8" w:color="auto"/>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Share-based Director’s</w:t>
            </w:r>
          </w:p>
        </w:tc>
        <w:tc>
          <w:tcPr>
            <w:tcW w:w="11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680" w:type="dxa"/>
            <w:vAlign w:val="bottom"/>
            <w:tcBorders>
              <w:right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Year</w:t>
            </w: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Salary</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Bonus</w:t>
            </w:r>
          </w:p>
        </w:tc>
        <w:tc>
          <w:tcPr>
            <w:tcW w:w="23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 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2260" w:type="dxa"/>
            <w:vAlign w:val="bottom"/>
            <w:tcBorders>
              <w:right w:val="single" w:sz="8" w:color="auto"/>
            </w:tcBorders>
            <w:gridSpan w:val="2"/>
            <w:vMerge w:val="continue"/>
            <w:shd w:val="clear" w:color="auto" w:fill="CCEEFF"/>
          </w:tcPr>
          <w:p>
            <w:pPr>
              <w:spacing w:after="0"/>
              <w:rPr>
                <w:sz w:val="7"/>
                <w:szCs w:val="7"/>
                <w:color w:val="auto"/>
              </w:rPr>
            </w:pP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680" w:type="dxa"/>
            <w:vAlign w:val="bottom"/>
            <w:tcBorders>
              <w:right w:val="single" w:sz="8" w:color="auto"/>
            </w:tcBorders>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320" w:type="dxa"/>
            <w:vAlign w:val="bottom"/>
            <w:tcBorders>
              <w:right w:val="single" w:sz="8" w:color="auto"/>
            </w:tcBorders>
            <w:gridSpan w:val="2"/>
            <w:vMerge w:val="continue"/>
            <w:shd w:val="clear" w:color="auto" w:fill="CCEEFF"/>
          </w:tcPr>
          <w:p>
            <w:pPr>
              <w:spacing w:after="0"/>
              <w:rPr>
                <w:sz w:val="18"/>
                <w:szCs w:val="18"/>
                <w:color w:val="auto"/>
              </w:rPr>
            </w:pPr>
          </w:p>
        </w:tc>
        <w:tc>
          <w:tcPr>
            <w:tcW w:w="980" w:type="dxa"/>
            <w:vAlign w:val="bottom"/>
            <w:tcBorders>
              <w:right w:val="single" w:sz="8" w:color="auto"/>
            </w:tcBorders>
            <w:vMerge w:val="continue"/>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compensation Fees</w:t>
            </w:r>
          </w:p>
        </w:tc>
        <w:tc>
          <w:tcPr>
            <w:tcW w:w="58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94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68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right w:val="single" w:sz="8" w:color="auto"/>
            </w:tcBorders>
            <w:shd w:val="clear" w:color="auto" w:fill="CCEEFF"/>
          </w:tcPr>
          <w:p>
            <w:pPr>
              <w:spacing w:after="0"/>
              <w:rPr>
                <w:sz w:val="7"/>
                <w:szCs w:val="7"/>
                <w:color w:val="auto"/>
              </w:rPr>
            </w:pPr>
          </w:p>
        </w:tc>
        <w:tc>
          <w:tcPr>
            <w:tcW w:w="1160" w:type="dxa"/>
            <w:vAlign w:val="bottom"/>
            <w:tcBorders>
              <w:bottom w:val="single" w:sz="8" w:color="auto"/>
              <w:right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680" w:type="dxa"/>
            <w:vAlign w:val="bottom"/>
          </w:tcPr>
          <w:p>
            <w:pPr>
              <w:ind w:left="720"/>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680" w:type="dxa"/>
            <w:vAlign w:val="bottom"/>
            <w:tcBorders>
              <w:right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1,146</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2,300</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121</w:t>
            </w:r>
          </w:p>
        </w:tc>
        <w:tc>
          <w:tcPr>
            <w:tcW w:w="980" w:type="dxa"/>
            <w:vAlign w:val="bottom"/>
            <w:tcBorders>
              <w:right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rPr>
              <w:t>31</w:t>
            </w:r>
          </w:p>
        </w:tc>
        <w:tc>
          <w:tcPr>
            <w:tcW w:w="9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3,598</w:t>
            </w:r>
          </w:p>
        </w:tc>
        <w:tc>
          <w:tcPr>
            <w:tcW w:w="16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5,959</w:t>
            </w:r>
          </w:p>
        </w:tc>
        <w:tc>
          <w:tcPr>
            <w:tcW w:w="5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680" w:type="dxa"/>
            <w:vAlign w:val="bottom"/>
            <w:tcBorders>
              <w:right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607</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914</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w:t>
            </w:r>
          </w:p>
        </w:tc>
        <w:tc>
          <w:tcPr>
            <w:tcW w:w="980" w:type="dxa"/>
            <w:vAlign w:val="bottom"/>
            <w:tcBorders>
              <w:bottom w:val="single" w:sz="8" w:color="auto"/>
              <w:right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rPr>
              <w:t>35</w:t>
            </w:r>
          </w:p>
        </w:tc>
        <w:tc>
          <w:tcPr>
            <w:tcW w:w="9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1,632</w:t>
            </w:r>
          </w:p>
        </w:tc>
        <w:tc>
          <w:tcPr>
            <w:tcW w:w="16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1,341</w:t>
            </w:r>
          </w:p>
        </w:tc>
        <w:tc>
          <w:tcPr>
            <w:tcW w:w="5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1,753</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3,214</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197</w:t>
            </w:r>
          </w:p>
        </w:tc>
        <w:tc>
          <w:tcPr>
            <w:tcW w:w="980" w:type="dxa"/>
            <w:vAlign w:val="bottom"/>
            <w:tcBorders>
              <w:bottom w:val="single" w:sz="8" w:color="auto"/>
              <w:right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66</w:t>
            </w:r>
          </w:p>
        </w:tc>
        <w:tc>
          <w:tcPr>
            <w:tcW w:w="9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5,230</w:t>
            </w: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7,300</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11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5780" w:type="dxa"/>
            <w:vAlign w:val="bottom"/>
            <w:gridSpan w:val="5"/>
          </w:tcPr>
          <w:p>
            <w:pPr>
              <w:jc w:val="center"/>
              <w:ind w:right="879"/>
              <w:spacing w:after="0"/>
              <w:rPr>
                <w:sz w:val="20"/>
                <w:szCs w:val="20"/>
                <w:color w:val="auto"/>
              </w:rPr>
            </w:pPr>
            <w:r>
              <w:rPr>
                <w:rFonts w:ascii="Arial" w:cs="Arial" w:eastAsia="Arial" w:hAnsi="Arial"/>
                <w:sz w:val="16"/>
                <w:szCs w:val="16"/>
                <w:b w:val="1"/>
                <w:bCs w:val="1"/>
                <w:color w:val="auto"/>
              </w:rPr>
              <w:t>Summary compensation table - Year ended December 31, 2020</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680" w:type="dxa"/>
            <w:vAlign w:val="bottom"/>
            <w:tcBorders>
              <w:right w:val="single" w:sz="8" w:color="auto"/>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Pension</w:t>
            </w:r>
          </w:p>
        </w:tc>
        <w:tc>
          <w:tcPr>
            <w:tcW w:w="98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All other</w:t>
            </w:r>
          </w:p>
        </w:tc>
        <w:tc>
          <w:tcPr>
            <w:tcW w:w="980" w:type="dxa"/>
            <w:vAlign w:val="bottom"/>
            <w:tcBorders>
              <w:right w:val="single" w:sz="8" w:color="auto"/>
            </w:tcBorders>
            <w:shd w:val="clear" w:color="auto" w:fill="CCEEFF"/>
          </w:tcPr>
          <w:p>
            <w:pPr>
              <w:spacing w:after="0"/>
              <w:rPr>
                <w:sz w:val="14"/>
                <w:szCs w:val="14"/>
                <w:color w:val="auto"/>
              </w:rPr>
            </w:pPr>
          </w:p>
        </w:tc>
        <w:tc>
          <w:tcPr>
            <w:tcW w:w="2260" w:type="dxa"/>
            <w:vAlign w:val="bottom"/>
            <w:tcBorders>
              <w:right w:val="single" w:sz="8" w:color="auto"/>
            </w:tcBorders>
            <w:gridSpan w:val="2"/>
            <w:vMerge w:val="restart"/>
            <w:shd w:val="clear" w:color="auto" w:fill="CCEEFF"/>
          </w:tcPr>
          <w:p>
            <w:pPr>
              <w:ind w:left="200"/>
              <w:spacing w:after="0"/>
              <w:rPr>
                <w:sz w:val="20"/>
                <w:szCs w:val="20"/>
                <w:color w:val="auto"/>
              </w:rPr>
            </w:pPr>
            <w:r>
              <w:rPr>
                <w:rFonts w:ascii="Arial" w:cs="Arial" w:eastAsia="Arial" w:hAnsi="Arial"/>
                <w:sz w:val="16"/>
                <w:szCs w:val="16"/>
                <w:b w:val="1"/>
                <w:bCs w:val="1"/>
                <w:color w:val="auto"/>
              </w:rPr>
              <w:t>Share-based Director’s</w:t>
            </w:r>
          </w:p>
        </w:tc>
        <w:tc>
          <w:tcPr>
            <w:tcW w:w="116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Total</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680" w:type="dxa"/>
            <w:vAlign w:val="bottom"/>
            <w:tcBorders>
              <w:right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Year</w:t>
            </w: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Salary *</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Bonus</w:t>
            </w:r>
          </w:p>
        </w:tc>
        <w:tc>
          <w:tcPr>
            <w:tcW w:w="23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 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2260" w:type="dxa"/>
            <w:vAlign w:val="bottom"/>
            <w:tcBorders>
              <w:right w:val="single" w:sz="8" w:color="auto"/>
            </w:tcBorders>
            <w:gridSpan w:val="2"/>
            <w:vMerge w:val="continue"/>
            <w:shd w:val="clear" w:color="auto" w:fill="CCEEFF"/>
          </w:tcPr>
          <w:p>
            <w:pPr>
              <w:spacing w:after="0"/>
              <w:rPr>
                <w:sz w:val="7"/>
                <w:szCs w:val="7"/>
                <w:color w:val="auto"/>
              </w:rPr>
            </w:pPr>
          </w:p>
        </w:tc>
        <w:tc>
          <w:tcPr>
            <w:tcW w:w="1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680" w:type="dxa"/>
            <w:vAlign w:val="bottom"/>
            <w:tcBorders>
              <w:right w:val="single" w:sz="8" w:color="auto"/>
            </w:tcBorders>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320" w:type="dxa"/>
            <w:vAlign w:val="bottom"/>
            <w:tcBorders>
              <w:right w:val="single" w:sz="8" w:color="auto"/>
            </w:tcBorders>
            <w:gridSpan w:val="2"/>
            <w:vMerge w:val="continue"/>
            <w:shd w:val="clear" w:color="auto" w:fill="CCEEFF"/>
          </w:tcPr>
          <w:p>
            <w:pPr>
              <w:spacing w:after="0"/>
              <w:rPr>
                <w:sz w:val="18"/>
                <w:szCs w:val="18"/>
                <w:color w:val="auto"/>
              </w:rPr>
            </w:pPr>
          </w:p>
        </w:tc>
        <w:tc>
          <w:tcPr>
            <w:tcW w:w="980" w:type="dxa"/>
            <w:vAlign w:val="bottom"/>
            <w:tcBorders>
              <w:right w:val="single" w:sz="8" w:color="auto"/>
            </w:tcBorders>
            <w:vMerge w:val="continue"/>
            <w:shd w:val="clear" w:color="auto" w:fill="CCEEFF"/>
          </w:tcPr>
          <w:p>
            <w:pPr>
              <w:spacing w:after="0"/>
              <w:rPr>
                <w:sz w:val="18"/>
                <w:szCs w:val="18"/>
                <w:color w:val="auto"/>
              </w:rPr>
            </w:pPr>
          </w:p>
        </w:tc>
        <w:tc>
          <w:tcPr>
            <w:tcW w:w="1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compensation Fees</w:t>
            </w:r>
          </w:p>
        </w:tc>
        <w:tc>
          <w:tcPr>
            <w:tcW w:w="58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94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68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right w:val="single" w:sz="8" w:color="auto"/>
            </w:tcBorders>
            <w:shd w:val="clear" w:color="auto" w:fill="CCEEFF"/>
          </w:tcPr>
          <w:p>
            <w:pPr>
              <w:spacing w:after="0"/>
              <w:rPr>
                <w:sz w:val="7"/>
                <w:szCs w:val="7"/>
                <w:color w:val="auto"/>
              </w:rPr>
            </w:pPr>
          </w:p>
        </w:tc>
        <w:tc>
          <w:tcPr>
            <w:tcW w:w="1160" w:type="dxa"/>
            <w:vAlign w:val="bottom"/>
            <w:tcBorders>
              <w:bottom w:val="single" w:sz="8" w:color="auto"/>
              <w:right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680" w:type="dxa"/>
            <w:vAlign w:val="bottom"/>
          </w:tcPr>
          <w:p>
            <w:pPr>
              <w:ind w:left="760"/>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680" w:type="dxa"/>
            <w:vAlign w:val="bottom"/>
            <w:tcBorders>
              <w:right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680" w:type="dxa"/>
            <w:vAlign w:val="bottom"/>
            <w:tcBorders>
              <w:right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rPr>
              <w:t>2020</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1,172</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171</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2,167</w:t>
            </w:r>
          </w:p>
        </w:tc>
        <w:tc>
          <w:tcPr>
            <w:tcW w:w="16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6,453</w:t>
            </w:r>
          </w:p>
        </w:tc>
        <w:tc>
          <w:tcPr>
            <w:tcW w:w="5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680" w:type="dxa"/>
            <w:vAlign w:val="bottom"/>
            <w:tcBorders>
              <w:right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680" w:type="dxa"/>
            <w:vAlign w:val="bottom"/>
            <w:tcBorders>
              <w:bottom w:val="single" w:sz="8" w:color="auto"/>
              <w:right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562</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253</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70</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w:t>
            </w:r>
          </w:p>
        </w:tc>
        <w:tc>
          <w:tcPr>
            <w:tcW w:w="16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1,366</w:t>
            </w:r>
          </w:p>
        </w:tc>
        <w:tc>
          <w:tcPr>
            <w:tcW w:w="5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1,734</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1,046</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241</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3,081</w:t>
            </w:r>
          </w:p>
        </w:tc>
        <w:tc>
          <w:tcPr>
            <w:tcW w:w="16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7,819</w:t>
            </w:r>
          </w:p>
        </w:tc>
        <w:tc>
          <w:tcPr>
            <w:tcW w:w="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10,944</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*Note: CEO salary is part of a bi-weekly payroll process. The 2020 payroll included an additional pay period compared to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2021</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Company</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top w:val="single" w:sz="8" w:color="auto"/>
              <w:right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Director’s</w:t>
            </w:r>
          </w:p>
        </w:tc>
        <w:tc>
          <w:tcPr>
            <w:tcW w:w="12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1220" w:type="dxa"/>
            <w:vAlign w:val="bottom"/>
            <w:vMerge w:val="restart"/>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Salary</w:t>
            </w:r>
          </w:p>
        </w:tc>
        <w:tc>
          <w:tcPr>
            <w:tcW w:w="1380" w:type="dxa"/>
            <w:vAlign w:val="bottom"/>
            <w:vMerge w:val="restart"/>
            <w:shd w:val="clear" w:color="auto" w:fill="CCEEFF"/>
          </w:tcPr>
          <w:p>
            <w:pPr>
              <w:jc w:val="right"/>
              <w:ind w:right="220"/>
              <w:spacing w:after="0" w:line="162" w:lineRule="exact"/>
              <w:rPr>
                <w:sz w:val="20"/>
                <w:szCs w:val="20"/>
                <w:color w:val="auto"/>
              </w:rPr>
            </w:pPr>
            <w:r>
              <w:rPr>
                <w:rFonts w:ascii="Arial" w:cs="Arial" w:eastAsia="Arial" w:hAnsi="Arial"/>
                <w:sz w:val="16"/>
                <w:szCs w:val="16"/>
                <w:b w:val="1"/>
                <w:bCs w:val="1"/>
                <w:color w:val="auto"/>
              </w:rPr>
              <w:t>pension</w:t>
            </w: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2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fees</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14"/>
                <w:szCs w:val="14"/>
                <w:b w:val="1"/>
                <w:bCs w:val="1"/>
                <w:color w:val="auto"/>
              </w:rPr>
              <w:t xml:space="preserve">contribution </w:t>
            </w:r>
            <w:r>
              <w:rPr>
                <w:rFonts w:ascii="Arial" w:cs="Arial" w:eastAsia="Arial" w:hAnsi="Arial"/>
                <w:sz w:val="25"/>
                <w:szCs w:val="25"/>
                <w:b w:val="1"/>
                <w:bCs w:val="1"/>
                <w:color w:val="auto"/>
                <w:vertAlign w:val="superscript"/>
              </w:rPr>
              <w:t>compensation</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1,146</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121</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2,331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3,598</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5,959</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Colin Shannon</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Linda Grais</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1,146</w:t>
            </w:r>
          </w:p>
        </w:tc>
        <w:tc>
          <w:tcPr>
            <w:tcW w:w="1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3,598</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8,011</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1,326</w:t>
            </w:r>
          </w:p>
        </w:tc>
        <w:tc>
          <w:tcPr>
            <w:tcW w:w="12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12,935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Summary compensation table - Year ended December 31, 2020</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Company</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top w:val="single" w:sz="8" w:color="auto"/>
              <w:right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Director’s</w:t>
            </w:r>
          </w:p>
        </w:tc>
        <w:tc>
          <w:tcPr>
            <w:tcW w:w="12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1220" w:type="dxa"/>
            <w:vAlign w:val="bottom"/>
            <w:vMerge w:val="restart"/>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Salary *</w:t>
            </w:r>
          </w:p>
        </w:tc>
        <w:tc>
          <w:tcPr>
            <w:tcW w:w="1380" w:type="dxa"/>
            <w:vAlign w:val="bottom"/>
            <w:vMerge w:val="restart"/>
            <w:shd w:val="clear" w:color="auto" w:fill="CCEEFF"/>
          </w:tcPr>
          <w:p>
            <w:pPr>
              <w:jc w:val="right"/>
              <w:ind w:right="220"/>
              <w:spacing w:after="0" w:line="162" w:lineRule="exact"/>
              <w:rPr>
                <w:sz w:val="20"/>
                <w:szCs w:val="20"/>
                <w:color w:val="auto"/>
              </w:rPr>
            </w:pPr>
            <w:r>
              <w:rPr>
                <w:rFonts w:ascii="Arial" w:cs="Arial" w:eastAsia="Arial" w:hAnsi="Arial"/>
                <w:sz w:val="16"/>
                <w:szCs w:val="16"/>
                <w:b w:val="1"/>
                <w:bCs w:val="1"/>
                <w:color w:val="auto"/>
              </w:rPr>
              <w:t>pension</w:t>
            </w: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2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fees</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contribution</w:t>
            </w:r>
            <w:r>
              <w:rPr>
                <w:rFonts w:ascii="Arial" w:cs="Arial" w:eastAsia="Arial" w:hAnsi="Arial"/>
                <w:sz w:val="14"/>
                <w:szCs w:val="14"/>
                <w:b w:val="1"/>
                <w:bCs w:val="1"/>
                <w:color w:val="auto"/>
              </w:rPr>
              <w:t xml:space="preserve"> compensation</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1,172</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171</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824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6,453</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2020</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290</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40"/>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1,172</w:t>
            </w:r>
          </w:p>
        </w:tc>
        <w:tc>
          <w:tcPr>
            <w:tcW w:w="1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171</w:t>
            </w: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2,167</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8,666</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1,062</w:t>
            </w:r>
          </w:p>
        </w:tc>
        <w:tc>
          <w:tcPr>
            <w:tcW w:w="12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11,895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*Note: CEO salary is part of a bi-weekly payroll process. The 2020 payroll included an additional pay period compared to 2021.</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Contracts, Termination of Employment and Change in Control Arrangements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and Executive Officers’ service agreements and letters of engagement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Ciaran Murray</w:t>
      </w:r>
    </w:p>
    <w:p>
      <w:pPr>
        <w:spacing w:after="0" w:line="26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Mr. Ciaran Murray has served as Chair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 Up to July 1, 2021, the arrangements with the Chair of the Board provided for the payment to him of fees of $356,244 (€300,000) per annum in respect of his position as Chair. With effect from July 1, 2021, the Chair fee was increased to €330,000 (translated at average rate for the year: $392,244) annually.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 employee on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March 1, 2022 58,646 ordinary share options at exercise prices ranging from $71.95 to $125.74 per share and 865 Restricted Share Units, which vest in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5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$1,146,127 and a bonus to be agreed by the Compensation and Organization Committee. He is also entitled to receive a pension contribution, a car allowance of $12,000 and medical insurance coverage for himself and his dependents. He was previously granted and held at March 1, 2022 173,016 ordinary share options at exercise prices ranging from $71.95 to $174.96 per share, 18,857 Restricted Share Units which vest on various dates between March 2022 and March 2024 and 34,082 (up to a maximum of 68,164) Performance Share Units which vest between March 2022 and March 2024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Brendan Brennan</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$607,035 (€510,922) and a bonus to be agreed by the Compensation and Organization Committee. He is also entitled to receive a pension contribution, a car allowance of €20,000 and medical insurance coverage for himself and his dependents. He was previously granted and held at March 1, 2022 64,215 ordinary share options at exercise prices ranging from $71.95 to $174.96 per share, 4,261 Restricted Share Units, which vest on various dates between March 2022 and March 2024, and 7,600 (up to a maximum of 15,200) Performance Share Units which vest between March 2022 and March 2024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Rónán Murphy</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Mr. Rónán Murphy has served as Lead Independent Director from January 2019 having served as an outside Director of the Company since October 2016. The current arrangements with Mr. Murphy provide for the payment to him of Directors fees of $160,000 per annum. He was previously granted and held at March 1, 2022 9,622 ordinary share options at an exercise prices ranging from $90.03 to $125.74 and 865 Restricted Share Units, which vest in May 2022.</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Professor Hugh Brady</w:t>
      </w:r>
    </w:p>
    <w:p>
      <w:pPr>
        <w:spacing w:after="0" w:line="2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Professor Hugh Brady has served as an outside Director of the Company since April 2014. The current arrangements with Professor Brady provide for the payment to him of Directors fees of $102,500 per annum. He was previously granted and held at March 1, 2022 5,192 ordinary share options at exercise prices ranging from $65.60 to $90.03 and 865 Restricted Share Units, which vest in May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current arrangements with Dr. Climax provide for the payment to him of Directors fees of $90,000 per annum. He was previously granted and held at March 1, 2022 43,255 ordinary share options at exercise prices ranging from $40.83 to $125.74 per share and 865 Restricted Share Units, which vest in May 2022.</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Joan Garahy</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Joan Garahy has served as an outside Director of the Company since November 2017. The current arrangements with Ms. Garahy provide for the payment to her of Directors fees of $122,500 per annum. She was previously granted and held at March 1, 2022 5,005 ordinary share options at an exercise price of $125.74 and 865 Restricted Share Units, which vest in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i w:val="1"/>
          <w:iCs w:val="1"/>
          <w:color w:val="auto"/>
        </w:rPr>
        <w:t>Professor William Hall</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Professor William Hall has served as an outside Director of the Company since February 2013. The current arrangements with Professor Hall provide for the payment to him of Directors fees of $115,000 per annum. He was previously granted and held at March 1, 2022 1,541 ordinary share options at exercise price of $90.03 and 865 Restricted Share Units, which vest in May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Eugene McCague</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Eugene McCague has served as an outside Director of the Company since October 2017. The current arrangements with Mr. McCague provide for the payment to him of Directors fees of $135,000 per annum. He was previously granted and held at March 1, 2022 5,005 ordinary share options at an exercise price of $125.74 and 865 Restricted Share Units, which vest in May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Julie O'Neill</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Ms. Julie O'Neill was appointed an outside Director of the Company in July 2019. The current arrangements with Ms. O'Neill provide for the payment to her of Directors fees of $102,500 per annum. She was previously granted and held at March 1, 2022 865 Restricted Share Units, which vest in May 2022.</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Mary Pendergast</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Mary Pendergast has served as an outside Director of the Company since February 2014. The current arrangements with Ms. Pendergast provide for the payment to her of Directors fees of $102,500 per annum. She was previously granted and held at March 1, 2022 43,255 ordinary share options at exercise prices ranging from $40.83 to $125.74 and 865 Restricted Share Units, which vest in May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Colin Shannon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Colin Shannon has served as an outside Director of the Company since July 2021 having served as PRA Health Sciences, Inc. President and Chief Executive Officer and was a director of from 2010 to July 2021. He was also the Chairman of the Board of Directors at PRA Health Sciences. The current arrangements with Mr. Shannon provide for the payment to him of Directors fees of $90,000 per annum.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Dr. Linda Grais has served as an outside Director of the Company since July 2021 having served as a member of the PRA Health Sciences,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 since October 2015. The current arrangements with Dr. Grais provide for the payment to her of Director fees of $90,000 per annum.</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9" w:name="page80"/>
    <w:bookmarkEnd w:id="79"/>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Board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of Directors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Board comprises one executive and eleven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(12 Directors) to be adequate but continues to look for suitable qualified potential candidates to join the Board.</w:t>
      </w:r>
    </w:p>
    <w:p>
      <w:pPr>
        <w:spacing w:after="0" w:line="2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2021 the Board held nine board meetings. During 2021, in response to the global pandemic, those meetings were held both virtually and in-person depending on government guidelines at the time of the meetings. All Directors allocated sufficient time to the Company during the year ended December 31, 2021 to effectively discharge their responsibilities to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retirement and re-election</w:t>
      </w:r>
    </w:p>
    <w:p>
      <w:pPr>
        <w:spacing w:after="0" w:line="25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6"/>
          <w:szCs w:val="16"/>
          <w:color w:val="FF0000"/>
        </w:rPr>
        <w:t>.</w:t>
      </w:r>
      <w:r>
        <w:rPr>
          <w:rFonts w:ascii="Arial" w:cs="Arial" w:eastAsia="Arial" w:hAnsi="Arial"/>
          <w:sz w:val="16"/>
          <w:szCs w:val="16"/>
          <w:color w:val="auto"/>
        </w:rPr>
        <w:t xml:space="preserv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2022, it is anticipated that 4 Directors will retire in accordance with the Constitution and offer themselves for re-election. The Board of Directors adopted a Non-Executive Director Policy for Service on April 24, 2018, the Policy was amended on April 21, 2020 which provides that, subject to individual waiver by the Board, an outside Director of ICON plc shall serve on the Board of the Directors for an initial term which expires at the fourth annual general meeting after their appointment. Each outside director may serve a further term of 3 years, subject to the Board’s approval. After the second 3 year term the Board may request that the outside Director serve up to 3 further terms of 1 year each. After a third 1 year term the Board may request that the outside director serve for further 1 year terms in the event that the Board has particular requirement or desire for the outside director’s skill, knowledge or experience. For an outside Director who previously served as an executive of the Company, the initial 3 year term referred to in this policy is deemed to commence on the date that he/she is determined to be independent as per the NASDAQ Rules. This policy does not apply to Dr. John Climax as he is a founder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 Independent Director</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Rónán Murphy was appointed as Lead Independent Director with effect from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i w:val="1"/>
          <w:iCs w:val="1"/>
          <w:color w:val="auto"/>
        </w:rPr>
        <w:t>Board Committees</w:t>
      </w:r>
    </w:p>
    <w:p>
      <w:pPr>
        <w:spacing w:after="0" w:line="2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Board has delegated some of its responsibilities to Board Committees. There are currently five Committees. These are the Audit Committee, the Compensation and Organization Committee, the Nominating and Governance Committee, Integration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and Governance Committee each completed a self-evaluation of the performance of the Committee during the year ended December 31, 2021 or in respect to the year ended December 31, 2021 and each Committee was satisfied with their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Chairperson at all times. The Audit Committee is currently comprised of three independent Directors: Rónán Murphy (Chairperson), Professor Hugh Brady and Eugene McCague.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and Organization Committee</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Joan Garahy (Chairperson), Professor William Hall, Mary Pendergast and Rónán Murphy.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26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Nominating and Governance Committee is responsible for Board succession, oversight of the Board and committee composition and performance and oversight of the Company's corporate governance and business ethics initiatives and strategies and activities in respect to environmental, social and governance (ESG) matters. The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external search consultants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Committee Charter was updated in February 2022 to include specific responsibilities in respect to the oversight of the Company's strategic plans, objectives and risks relating to ESG matters. The Nominating and Governance Committee currently comprises the following independent Directors: Eugene McCague (Chairperson), Professor William Hall and Joan Garahy.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Integration Committee</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Integration Committee was set up in April 2021 to assist the Board with its oversight responsibilities in relation to the integration of PRA Health Sciences into the ICON Group. The Integration Committee will meet a minimum of four times a year. It is responsible for the reviewing and assessing the integration plan and providing oversight of the integration team including reviewing the progress of the integration and recommending to the Board for approval any changes to the plans, documents, policies and procedures of the integration team. The Committee is also responsible for meeting the external advisors for the integration. The Integration Committee currently comprises the following independent Directors: Ciaran Murray (Chairperson), Rónán Murphy, Eugene McCague and Julie O'Neill.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i w:val="1"/>
          <w:iCs w:val="1"/>
          <w:color w:val="auto"/>
        </w:rPr>
        <w:t>Execution Committee</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Steve Cutler (Chairperson), Rónán Murphy and Brendan Brennan.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Attendance at Board and Committee meetings by the Directors who held office during 2021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Directors’ Attendance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jc w:val="center"/>
              <w:ind w:left="419"/>
              <w:spacing w:after="0" w:line="175" w:lineRule="exact"/>
              <w:rPr>
                <w:sz w:val="20"/>
                <w:szCs w:val="20"/>
                <w:color w:val="auto"/>
              </w:rPr>
            </w:pPr>
            <w:r>
              <w:rPr>
                <w:rFonts w:ascii="Arial" w:cs="Arial" w:eastAsia="Arial" w:hAnsi="Arial"/>
                <w:sz w:val="16"/>
                <w:szCs w:val="16"/>
                <w:b w:val="1"/>
                <w:bCs w:val="1"/>
                <w:color w:val="auto"/>
                <w:w w:val="99"/>
              </w:rPr>
              <w:t>Board</w:t>
            </w:r>
          </w:p>
        </w:tc>
        <w:tc>
          <w:tcPr>
            <w:tcW w:w="1440" w:type="dxa"/>
            <w:vAlign w:val="bottom"/>
            <w:tcBorders>
              <w:top w:val="single" w:sz="8" w:color="auto"/>
            </w:tcBorders>
          </w:tcPr>
          <w:p>
            <w:pPr>
              <w:ind w:left="660"/>
              <w:spacing w:after="0" w:line="175" w:lineRule="exact"/>
              <w:rPr>
                <w:sz w:val="20"/>
                <w:szCs w:val="20"/>
                <w:color w:val="auto"/>
              </w:rPr>
            </w:pPr>
            <w:r>
              <w:rPr>
                <w:rFonts w:ascii="Arial" w:cs="Arial" w:eastAsia="Arial" w:hAnsi="Arial"/>
                <w:sz w:val="16"/>
                <w:szCs w:val="16"/>
                <w:b w:val="1"/>
                <w:bCs w:val="1"/>
                <w:color w:val="auto"/>
              </w:rPr>
              <w:t>Audit</w:t>
            </w:r>
          </w:p>
        </w:tc>
        <w:tc>
          <w:tcPr>
            <w:tcW w:w="1740" w:type="dxa"/>
            <w:vAlign w:val="bottom"/>
            <w:tcBorders>
              <w:top w:val="single" w:sz="8" w:color="auto"/>
            </w:tcBorders>
          </w:tcPr>
          <w:p>
            <w:pPr>
              <w:jc w:val="center"/>
              <w:ind w:left="59"/>
              <w:spacing w:after="0" w:line="175" w:lineRule="exact"/>
              <w:rPr>
                <w:sz w:val="20"/>
                <w:szCs w:val="20"/>
                <w:color w:val="auto"/>
              </w:rPr>
            </w:pPr>
            <w:r>
              <w:rPr>
                <w:rFonts w:ascii="Arial" w:cs="Arial" w:eastAsia="Arial" w:hAnsi="Arial"/>
                <w:sz w:val="16"/>
                <w:szCs w:val="16"/>
                <w:b w:val="1"/>
                <w:bCs w:val="1"/>
                <w:color w:val="auto"/>
              </w:rPr>
              <w:t>Compensation</w:t>
            </w:r>
          </w:p>
        </w:tc>
        <w:tc>
          <w:tcPr>
            <w:tcW w:w="14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Nominating</w:t>
            </w:r>
          </w:p>
        </w:tc>
        <w:tc>
          <w:tcPr>
            <w:tcW w:w="1560" w:type="dxa"/>
            <w:vAlign w:val="bottom"/>
            <w:tcBorders>
              <w:top w:val="single" w:sz="8" w:color="auto"/>
            </w:tcBorders>
          </w:tcPr>
          <w:p>
            <w:pPr>
              <w:ind w:left="260"/>
              <w:spacing w:after="0" w:line="175" w:lineRule="exact"/>
              <w:rPr>
                <w:sz w:val="20"/>
                <w:szCs w:val="20"/>
                <w:color w:val="auto"/>
              </w:rPr>
            </w:pPr>
            <w:r>
              <w:rPr>
                <w:rFonts w:ascii="Arial" w:cs="Arial" w:eastAsia="Arial" w:hAnsi="Arial"/>
                <w:sz w:val="16"/>
                <w:szCs w:val="16"/>
                <w:b w:val="1"/>
                <w:bCs w:val="1"/>
                <w:color w:val="auto"/>
              </w:rPr>
              <w:t>Integration (3)</w:t>
            </w:r>
          </w:p>
        </w:tc>
      </w:tr>
      <w:tr>
        <w:trPr>
          <w:trHeight w:val="162"/>
        </w:trPr>
        <w:tc>
          <w:tcPr>
            <w:tcW w:w="2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jc w:val="center"/>
              <w:ind w:left="39"/>
              <w:spacing w:after="0" w:line="162" w:lineRule="exact"/>
              <w:rPr>
                <w:sz w:val="20"/>
                <w:szCs w:val="20"/>
                <w:color w:val="auto"/>
              </w:rPr>
            </w:pPr>
            <w:r>
              <w:rPr>
                <w:rFonts w:ascii="Arial" w:cs="Arial" w:eastAsia="Arial" w:hAnsi="Arial"/>
                <w:sz w:val="16"/>
                <w:szCs w:val="16"/>
                <w:b w:val="1"/>
                <w:bCs w:val="1"/>
                <w:color w:val="auto"/>
              </w:rPr>
              <w:t>and</w:t>
            </w: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and</w:t>
            </w:r>
          </w:p>
        </w:tc>
        <w:tc>
          <w:tcPr>
            <w:tcW w:w="1560" w:type="dxa"/>
            <w:vAlign w:val="bottom"/>
          </w:tcPr>
          <w:p>
            <w:pPr>
              <w:spacing w:after="0"/>
              <w:rPr>
                <w:sz w:val="14"/>
                <w:szCs w:val="14"/>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Organization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c>
          <w:tcPr>
            <w:tcW w:w="1560" w:type="dxa"/>
            <w:vAlign w:val="bottom"/>
            <w:tcBorders>
              <w:bottom w:val="single" w:sz="8" w:color="auto"/>
            </w:tcBorders>
          </w:tcPr>
          <w:p>
            <w:pPr>
              <w:spacing w:after="0"/>
              <w:rPr>
                <w:sz w:val="19"/>
                <w:szCs w:val="19"/>
                <w:color w:val="auto"/>
              </w:rPr>
            </w:pPr>
          </w:p>
        </w:tc>
      </w:tr>
      <w:tr>
        <w:trPr>
          <w:trHeight w:val="223"/>
        </w:trPr>
        <w:tc>
          <w:tcPr>
            <w:tcW w:w="274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Director</w:t>
            </w:r>
          </w:p>
        </w:tc>
        <w:tc>
          <w:tcPr>
            <w:tcW w:w="8480" w:type="dxa"/>
            <w:vAlign w:val="bottom"/>
            <w:gridSpan w:val="5"/>
          </w:tcPr>
          <w:p>
            <w:pPr>
              <w:ind w:left="1280"/>
              <w:spacing w:after="0"/>
              <w:rPr>
                <w:sz w:val="20"/>
                <w:szCs w:val="20"/>
                <w:color w:val="auto"/>
              </w:rPr>
            </w:pPr>
            <w:r>
              <w:rPr>
                <w:rFonts w:ascii="Arial" w:cs="Arial" w:eastAsia="Arial" w:hAnsi="Arial"/>
                <w:sz w:val="16"/>
                <w:szCs w:val="16"/>
                <w:b w:val="1"/>
                <w:bCs w:val="1"/>
                <w:color w:val="auto"/>
              </w:rPr>
              <w:t>Number of meetings attended / number of meetings eligible to attend as a Director</w:t>
            </w:r>
          </w:p>
        </w:tc>
      </w:tr>
      <w:tr>
        <w:trPr>
          <w:trHeight w:val="214"/>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Ciaran Murray (1)</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3/3</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Steve Cutler</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Rónán Murphy (1)</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8/9</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rPr>
              <w:t>4/4</w:t>
            </w:r>
          </w:p>
        </w:tc>
        <w:tc>
          <w:tcPr>
            <w:tcW w:w="17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8"/>
              </w:rPr>
              <w:t>6/6</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3/3</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 Hugh Brady (1)</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4/4</w:t>
            </w:r>
          </w:p>
        </w:tc>
        <w:tc>
          <w:tcPr>
            <w:tcW w:w="17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Dr. John Climax (1)</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Joan Garahy (1)</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8"/>
              </w:rPr>
              <w:t>6/6</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William Hall (1)</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8/9</w:t>
            </w:r>
          </w:p>
        </w:tc>
        <w:tc>
          <w:tcPr>
            <w:tcW w:w="1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8"/>
              </w:rPr>
              <w:t>6/6</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4/4</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Eugene McCague (1)</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4/4</w:t>
            </w:r>
          </w:p>
        </w:tc>
        <w:tc>
          <w:tcPr>
            <w:tcW w:w="17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3/3</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Julie O'Neill (1)</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3/3</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Mary Pendergast (1)</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9/9</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8"/>
              </w:rPr>
              <w:t>6/6</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Colin Shannon</w:t>
            </w:r>
          </w:p>
        </w:tc>
        <w:tc>
          <w:tcPr>
            <w:tcW w:w="23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8"/>
              </w:rPr>
              <w:t>3/3</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Linda Grais (1)</w:t>
            </w:r>
          </w:p>
        </w:tc>
        <w:tc>
          <w:tcPr>
            <w:tcW w:w="23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8"/>
              </w:rPr>
              <w:t>3/3</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4" w:lineRule="exact"/>
        <w:rPr>
          <w:sz w:val="20"/>
          <w:szCs w:val="20"/>
          <w:color w:val="auto"/>
        </w:rPr>
      </w:pPr>
    </w:p>
    <w:p>
      <w:pPr>
        <w:ind w:left="660" w:right="400" w:hanging="328"/>
        <w:spacing w:after="0" w:line="352"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Independent Director as defined under NASDAQ Rule 5605(a)(2). Ciaran Murray is an independent director in accordance with NASDAQ Rule 5605(a)(2) since May 2021.</w:t>
      </w: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decisions by the Execution Committee were made by written resolution and therefore no meetings were held.</w:t>
      </w:r>
    </w:p>
    <w:p>
      <w:pPr>
        <w:spacing w:after="0" w:line="86" w:lineRule="exact"/>
        <w:rPr>
          <w:rFonts w:ascii="Arial" w:cs="Arial" w:eastAsia="Arial" w:hAnsi="Arial"/>
          <w:sz w:val="16"/>
          <w:szCs w:val="16"/>
          <w:color w:val="auto"/>
        </w:rPr>
      </w:pPr>
    </w:p>
    <w:p>
      <w:pPr>
        <w:ind w:left="660" w:right="160" w:hanging="328"/>
        <w:spacing w:after="0" w:line="366"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Integration Committee was set up in April 2021 and held 3 meetings from that period to year end, it will hold a minimum of 4 meetings in a full year.</w:t>
      </w:r>
    </w:p>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Employees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2021, December 31, 2020 and December 31, 2019 we employed approximately 38,330, 15,730 and 14,650 people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employees are not unionized and we believe we have a satisfactory relationship with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left="660" w:right="9260" w:hanging="328"/>
        <w:spacing w:after="0" w:line="533" w:lineRule="auto"/>
        <w:tabs>
          <w:tab w:leader="none" w:pos="651"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 Shares</w:t>
      </w:r>
    </w:p>
    <w:p>
      <w:pPr>
        <w:spacing w:after="0" w:line="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sets forth certain information as of March 1, 2022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48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No. of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of total</w:t>
            </w:r>
          </w:p>
        </w:tc>
      </w:tr>
      <w:tr>
        <w:trPr>
          <w:trHeight w:val="21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48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Shares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1,274</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24,640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21,621</w:t>
            </w:r>
          </w:p>
        </w:tc>
        <w:tc>
          <w:tcPr>
            <w:tcW w:w="1180" w:type="dxa"/>
            <w:vAlign w:val="bottom"/>
          </w:tcPr>
          <w:p>
            <w:pPr>
              <w:jc w:val="right"/>
              <w:spacing w:after="0"/>
              <w:rPr>
                <w:sz w:val="20"/>
                <w:szCs w:val="20"/>
                <w:color w:val="auto"/>
              </w:rPr>
            </w:pPr>
            <w:r>
              <w:rPr>
                <w:rFonts w:ascii="Arial" w:cs="Arial" w:eastAsia="Arial" w:hAnsi="Arial"/>
                <w:sz w:val="16"/>
                <w:szCs w:val="16"/>
                <w:color w:val="auto"/>
              </w:rPr>
              <w:t>0.03 %</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Rónán Murphy</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1,274</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Professor Hugh Brady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589</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John Climax</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508,891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Ms. Joan Garahy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1,274</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Professor William Hall</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Mr. Eugene McCague</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1,274</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Julie O'Neill</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1,084</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Ms. Mary Pendergast</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1,380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Colin Shannon</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Dr. Linda Grais</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3,994</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332" w:lineRule="exact"/>
        <w:rPr>
          <w:sz w:val="20"/>
          <w:szCs w:val="20"/>
          <w:color w:val="auto"/>
        </w:rPr>
      </w:pPr>
    </w:p>
    <w:p>
      <w:pPr>
        <w:jc w:val="both"/>
        <w:ind w:left="500" w:hanging="330"/>
        <w:spacing w:after="0" w:line="253" w:lineRule="auto"/>
        <w:tabs>
          <w:tab w:leader="none" w:pos="4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Restricted Share Units and Performance Share Units</w:t>
      </w:r>
    </w:p>
    <w:p>
      <w:pPr>
        <w:spacing w:after="0" w:line="26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following table sets forth certain information as of March 1, 2022 regarding beneficial ownership of Restricted Share Units (“RSUs”) and Performance Share Units (“PSUs”) which have been issued to our current Directors and executive officers.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b w:val="1"/>
                <w:bCs w:val="1"/>
                <w:color w:val="auto"/>
              </w:rPr>
              <w:t>No. of</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Vesting Date</w:t>
            </w: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No. of</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Vesting Date</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RSUs</w:t>
            </w:r>
          </w:p>
        </w:tc>
        <w:tc>
          <w:tcPr>
            <w:tcW w:w="24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519"/>
              <w:spacing w:after="0" w:line="216" w:lineRule="exact"/>
              <w:rPr>
                <w:sz w:val="20"/>
                <w:szCs w:val="20"/>
                <w:color w:val="auto"/>
              </w:rPr>
            </w:pPr>
            <w:r>
              <w:rPr>
                <w:rFonts w:ascii="Arial" w:cs="Arial" w:eastAsia="Arial" w:hAnsi="Arial"/>
                <w:sz w:val="16"/>
                <w:szCs w:val="16"/>
                <w:b w:val="1"/>
                <w:bCs w:val="1"/>
                <w:color w:val="auto"/>
              </w:rPr>
              <w:t xml:space="preserve">PSUs </w:t>
            </w:r>
            <w:r>
              <w:rPr>
                <w:rFonts w:ascii="Arial" w:cs="Arial" w:eastAsia="Arial" w:hAnsi="Arial"/>
                <w:sz w:val="21"/>
                <w:szCs w:val="21"/>
                <w:b w:val="1"/>
                <w:bCs w:val="1"/>
                <w:color w:val="auto"/>
                <w:vertAlign w:val="superscript"/>
              </w:rPr>
              <w:t>(1)</w:t>
            </w:r>
          </w:p>
        </w:tc>
        <w:tc>
          <w:tcPr>
            <w:tcW w:w="1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Ciaran Murray</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220" w:type="dxa"/>
            <w:vAlign w:val="bottom"/>
            <w:vMerge w:val="restart"/>
          </w:tcPr>
          <w:p>
            <w:pPr>
              <w:ind w:left="20"/>
              <w:spacing w:after="0"/>
              <w:rPr>
                <w:sz w:val="20"/>
                <w:szCs w:val="20"/>
                <w:color w:val="auto"/>
              </w:rPr>
            </w:pPr>
            <w:r>
              <w:rPr>
                <w:rFonts w:ascii="Arial" w:cs="Arial" w:eastAsia="Arial" w:hAnsi="Arial"/>
                <w:sz w:val="16"/>
                <w:szCs w:val="16"/>
                <w:color w:val="auto"/>
              </w:rPr>
              <w:t>Dr. Steve Cutler</w:t>
            </w: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220" w:type="dxa"/>
            <w:vAlign w:val="bottom"/>
            <w:vMerge w:val="continue"/>
          </w:tcPr>
          <w:p>
            <w:pPr>
              <w:spacing w:after="0"/>
              <w:rPr>
                <w:sz w:val="18"/>
                <w:szCs w:val="18"/>
                <w:color w:val="auto"/>
              </w:rPr>
            </w:pPr>
          </w:p>
        </w:tc>
        <w:tc>
          <w:tcPr>
            <w:tcW w:w="2820" w:type="dxa"/>
            <w:vAlign w:val="bottom"/>
            <w:vMerge w:val="restart"/>
          </w:tcPr>
          <w:p>
            <w:pPr>
              <w:ind w:left="1760"/>
              <w:spacing w:after="0"/>
              <w:rPr>
                <w:sz w:val="20"/>
                <w:szCs w:val="20"/>
                <w:color w:val="auto"/>
              </w:rPr>
            </w:pPr>
            <w:r>
              <w:rPr>
                <w:rFonts w:ascii="Arial" w:cs="Arial" w:eastAsia="Arial" w:hAnsi="Arial"/>
                <w:sz w:val="16"/>
                <w:szCs w:val="16"/>
                <w:color w:val="auto"/>
              </w:rPr>
              <w:t>3,581</w:t>
            </w:r>
          </w:p>
        </w:tc>
        <w:tc>
          <w:tcPr>
            <w:tcW w:w="2460" w:type="dxa"/>
            <w:vAlign w:val="bottom"/>
            <w:vMerge w:val="restart"/>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vMerge w:val="restart"/>
          </w:tcPr>
          <w:p>
            <w:pPr>
              <w:jc w:val="right"/>
              <w:ind w:right="519"/>
              <w:spacing w:after="0"/>
              <w:rPr>
                <w:sz w:val="20"/>
                <w:szCs w:val="20"/>
                <w:color w:val="auto"/>
              </w:rPr>
            </w:pPr>
            <w:r>
              <w:rPr>
                <w:rFonts w:ascii="Arial" w:cs="Arial" w:eastAsia="Arial" w:hAnsi="Arial"/>
                <w:sz w:val="16"/>
                <w:szCs w:val="16"/>
                <w:color w:val="auto"/>
              </w:rPr>
              <w:t>12,526</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March 3, 2022</w:t>
            </w:r>
          </w:p>
        </w:tc>
        <w:tc>
          <w:tcPr>
            <w:tcW w:w="0" w:type="dxa"/>
            <w:vAlign w:val="bottom"/>
          </w:tcPr>
          <w:p>
            <w:pPr>
              <w:spacing w:after="0"/>
              <w:rPr>
                <w:sz w:val="1"/>
                <w:szCs w:val="1"/>
                <w:color w:val="auto"/>
              </w:rPr>
            </w:pPr>
          </w:p>
        </w:tc>
      </w:tr>
      <w:tr>
        <w:trPr>
          <w:trHeight w:val="57"/>
        </w:trPr>
        <w:tc>
          <w:tcPr>
            <w:tcW w:w="222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3,200</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11,202</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2023</w:t>
            </w: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ind w:left="1760"/>
              <w:spacing w:after="0"/>
              <w:rPr>
                <w:sz w:val="20"/>
                <w:szCs w:val="20"/>
                <w:color w:val="auto"/>
              </w:rPr>
            </w:pPr>
            <w:r>
              <w:rPr>
                <w:rFonts w:ascii="Arial" w:cs="Arial" w:eastAsia="Arial" w:hAnsi="Arial"/>
                <w:sz w:val="16"/>
                <w:szCs w:val="16"/>
                <w:color w:val="auto"/>
              </w:rPr>
              <w:t>2,958</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10,354</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2024</w:t>
            </w: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2,958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ind w:left="1760"/>
              <w:spacing w:after="0"/>
              <w:rPr>
                <w:sz w:val="20"/>
                <w:szCs w:val="20"/>
                <w:color w:val="auto"/>
              </w:rPr>
            </w:pPr>
            <w:r>
              <w:rPr>
                <w:rFonts w:ascii="Arial" w:cs="Arial" w:eastAsia="Arial" w:hAnsi="Arial"/>
                <w:sz w:val="16"/>
                <w:szCs w:val="16"/>
                <w:color w:val="auto"/>
              </w:rPr>
              <w:t>3,201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6"/>
                <w:szCs w:val="16"/>
                <w:color w:val="auto"/>
              </w:rPr>
              <w:t>2,959</w:t>
            </w:r>
          </w:p>
        </w:tc>
        <w:tc>
          <w:tcPr>
            <w:tcW w:w="24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220" w:type="dxa"/>
            <w:vAlign w:val="bottom"/>
            <w:vMerge w:val="restart"/>
          </w:tcPr>
          <w:p>
            <w:pPr>
              <w:ind w:left="20"/>
              <w:spacing w:after="0"/>
              <w:rPr>
                <w:sz w:val="20"/>
                <w:szCs w:val="20"/>
                <w:color w:val="auto"/>
              </w:rPr>
            </w:pPr>
            <w:r>
              <w:rPr>
                <w:rFonts w:ascii="Arial" w:cs="Arial" w:eastAsia="Arial" w:hAnsi="Arial"/>
                <w:sz w:val="16"/>
                <w:szCs w:val="16"/>
                <w:color w:val="auto"/>
              </w:rPr>
              <w:t>Mr. Brendan Brennan</w:t>
            </w:r>
          </w:p>
        </w:tc>
        <w:tc>
          <w:tcPr>
            <w:tcW w:w="28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220" w:type="dxa"/>
            <w:vAlign w:val="bottom"/>
            <w:vMerge w:val="continue"/>
          </w:tcPr>
          <w:p>
            <w:pPr>
              <w:spacing w:after="0"/>
              <w:rPr>
                <w:sz w:val="18"/>
                <w:szCs w:val="18"/>
                <w:color w:val="auto"/>
              </w:rPr>
            </w:pPr>
          </w:p>
        </w:tc>
        <w:tc>
          <w:tcPr>
            <w:tcW w:w="28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781</w:t>
            </w:r>
          </w:p>
        </w:tc>
        <w:tc>
          <w:tcPr>
            <w:tcW w:w="246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2,731</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March 3, 2022</w:t>
            </w:r>
          </w:p>
        </w:tc>
        <w:tc>
          <w:tcPr>
            <w:tcW w:w="0" w:type="dxa"/>
            <w:vAlign w:val="bottom"/>
          </w:tcPr>
          <w:p>
            <w:pPr>
              <w:spacing w:after="0"/>
              <w:rPr>
                <w:sz w:val="1"/>
                <w:szCs w:val="1"/>
                <w:color w:val="auto"/>
              </w:rPr>
            </w:pPr>
          </w:p>
        </w:tc>
      </w:tr>
      <w:tr>
        <w:trPr>
          <w:trHeight w:val="60"/>
        </w:trPr>
        <w:tc>
          <w:tcPr>
            <w:tcW w:w="2220" w:type="dxa"/>
            <w:vAlign w:val="bottom"/>
          </w:tcPr>
          <w:p>
            <w:pPr>
              <w:spacing w:after="0"/>
              <w:rPr>
                <w:sz w:val="5"/>
                <w:szCs w:val="5"/>
                <w:color w:val="auto"/>
              </w:rPr>
            </w:pPr>
          </w:p>
        </w:tc>
        <w:tc>
          <w:tcPr>
            <w:tcW w:w="2820" w:type="dxa"/>
            <w:vAlign w:val="bottom"/>
            <w:vMerge w:val="continue"/>
            <w:shd w:val="clear" w:color="auto" w:fill="CCEEFF"/>
          </w:tcPr>
          <w:p>
            <w:pPr>
              <w:spacing w:after="0"/>
              <w:rPr>
                <w:sz w:val="5"/>
                <w:szCs w:val="5"/>
                <w:color w:val="auto"/>
              </w:rPr>
            </w:pPr>
          </w:p>
        </w:tc>
        <w:tc>
          <w:tcPr>
            <w:tcW w:w="2460" w:type="dxa"/>
            <w:vAlign w:val="bottom"/>
            <w:vMerge w:val="continue"/>
            <w:shd w:val="clear" w:color="auto" w:fill="CCEEFF"/>
          </w:tcPr>
          <w:p>
            <w:pPr>
              <w:spacing w:after="0"/>
              <w:rPr>
                <w:sz w:val="5"/>
                <w:szCs w:val="5"/>
                <w:color w:val="auto"/>
              </w:rPr>
            </w:pPr>
          </w:p>
        </w:tc>
        <w:tc>
          <w:tcPr>
            <w:tcW w:w="202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692</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2,425</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2023</w:t>
            </w: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2,444</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2024</w:t>
            </w: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694</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698</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Rónán Murphy</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Professor Hugh Brady</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John Climax</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Joan Garahy</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Professor William Hall</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Eugene McCague</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Julie O'Neill</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Ms. Mary Pendergast</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865</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21, 2022</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ind w:left="500" w:hanging="330"/>
        <w:spacing w:after="0" w:line="235"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2019 – 2021, 2020 – 2022 and 2021 – 2023. Depending on the actual amount of EPS from 2019 to 2023, up to a maximum of 41,682 additional PSUs may also be granted to Dr. Steve Cutler and Mr. Brendan Brennan.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Share Options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sets forth certain information as of March 1, 2022 regarding options to acquire ordinary shares of the Company by all of our current Directors and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No. of</w:t>
            </w:r>
          </w:p>
        </w:tc>
        <w:tc>
          <w:tcPr>
            <w:tcW w:w="528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rPr>
              <w:t>Exercise price Expiration Date</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3700" w:type="dxa"/>
            <w:vAlign w:val="bottom"/>
            <w:tcBorders>
              <w:bottom w:val="single" w:sz="8" w:color="auto"/>
            </w:tcBorders>
            <w:shd w:val="clear" w:color="auto" w:fill="CCEEFF"/>
          </w:tcPr>
          <w:p>
            <w:pPr>
              <w:jc w:val="right"/>
              <w:ind w:right="639"/>
              <w:spacing w:after="0" w:line="216"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18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4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45,948</w:t>
            </w:r>
          </w:p>
        </w:tc>
        <w:tc>
          <w:tcPr>
            <w:tcW w:w="1840" w:type="dxa"/>
            <w:vAlign w:val="bottom"/>
          </w:tcPr>
          <w:p>
            <w:pPr>
              <w:jc w:val="right"/>
              <w:spacing w:after="0"/>
              <w:rPr>
                <w:sz w:val="20"/>
                <w:szCs w:val="20"/>
                <w:color w:val="auto"/>
              </w:rPr>
            </w:pPr>
            <w:r>
              <w:rPr>
                <w:rFonts w:ascii="Arial" w:cs="Arial" w:eastAsia="Arial" w:hAnsi="Arial"/>
                <w:sz w:val="16"/>
                <w:szCs w:val="16"/>
                <w:color w:val="auto"/>
              </w:rPr>
              <w:t>$71.95</w:t>
            </w:r>
          </w:p>
        </w:tc>
        <w:tc>
          <w:tcPr>
            <w:tcW w:w="3440" w:type="dxa"/>
            <w:vAlign w:val="bottom"/>
          </w:tcPr>
          <w:p>
            <w:pPr>
              <w:ind w:left="40"/>
              <w:spacing w:after="0"/>
              <w:rPr>
                <w:sz w:val="20"/>
                <w:szCs w:val="20"/>
                <w:color w:val="auto"/>
              </w:rPr>
            </w:pPr>
            <w:r>
              <w:rPr>
                <w:rFonts w:ascii="Arial" w:cs="Arial" w:eastAsia="Arial" w:hAnsi="Arial"/>
                <w:sz w:val="16"/>
                <w:szCs w:val="16"/>
                <w:color w:val="auto"/>
              </w:rPr>
              <w:t>March 4, 2024</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7,693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54"/>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r>
        <w:trPr>
          <w:trHeight w:val="239"/>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Dr. Steve Cutler</w:t>
            </w:r>
          </w:p>
        </w:tc>
        <w:tc>
          <w:tcPr>
            <w:tcW w:w="37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40" w:type="dxa"/>
            <w:vAlign w:val="bottom"/>
            <w:vMerge w:val="continue"/>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6,128</w:t>
            </w:r>
          </w:p>
        </w:tc>
        <w:tc>
          <w:tcPr>
            <w:tcW w:w="1840" w:type="dxa"/>
            <w:vAlign w:val="bottom"/>
          </w:tcPr>
          <w:p>
            <w:pPr>
              <w:jc w:val="right"/>
              <w:spacing w:after="0"/>
              <w:rPr>
                <w:sz w:val="20"/>
                <w:szCs w:val="20"/>
                <w:color w:val="auto"/>
              </w:rPr>
            </w:pPr>
            <w:r>
              <w:rPr>
                <w:rFonts w:ascii="Arial" w:cs="Arial" w:eastAsia="Arial" w:hAnsi="Arial"/>
                <w:sz w:val="16"/>
                <w:szCs w:val="16"/>
                <w:color w:val="auto"/>
              </w:rPr>
              <w:t>$71.95</w:t>
            </w:r>
          </w:p>
        </w:tc>
        <w:tc>
          <w:tcPr>
            <w:tcW w:w="3440" w:type="dxa"/>
            <w:vAlign w:val="bottom"/>
          </w:tcPr>
          <w:p>
            <w:pPr>
              <w:ind w:left="40"/>
              <w:spacing w:after="0"/>
              <w:rPr>
                <w:sz w:val="20"/>
                <w:szCs w:val="20"/>
                <w:color w:val="auto"/>
              </w:rPr>
            </w:pPr>
            <w:r>
              <w:rPr>
                <w:rFonts w:ascii="Arial" w:cs="Arial" w:eastAsia="Arial" w:hAnsi="Arial"/>
                <w:sz w:val="16"/>
                <w:szCs w:val="16"/>
                <w:color w:val="auto"/>
              </w:rPr>
              <w:t>March 4, 2024</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25,156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2025</w:t>
            </w: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29,613</w:t>
            </w:r>
          </w:p>
        </w:tc>
        <w:tc>
          <w:tcPr>
            <w:tcW w:w="1840" w:type="dxa"/>
            <w:vAlign w:val="bottom"/>
          </w:tcPr>
          <w:p>
            <w:pPr>
              <w:jc w:val="right"/>
              <w:spacing w:after="0"/>
              <w:rPr>
                <w:sz w:val="20"/>
                <w:szCs w:val="20"/>
                <w:color w:val="auto"/>
              </w:rPr>
            </w:pPr>
            <w:r>
              <w:rPr>
                <w:rFonts w:ascii="Arial" w:cs="Arial" w:eastAsia="Arial" w:hAnsi="Arial"/>
                <w:sz w:val="16"/>
                <w:szCs w:val="16"/>
                <w:color w:val="auto"/>
              </w:rPr>
              <w:t>$115.11</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2026</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32,272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2027</w:t>
            </w: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42,386</w:t>
            </w:r>
          </w:p>
        </w:tc>
        <w:tc>
          <w:tcPr>
            <w:tcW w:w="1840" w:type="dxa"/>
            <w:vAlign w:val="bottom"/>
          </w:tcPr>
          <w:p>
            <w:pPr>
              <w:jc w:val="right"/>
              <w:spacing w:after="0"/>
              <w:rPr>
                <w:sz w:val="20"/>
                <w:szCs w:val="20"/>
                <w:color w:val="auto"/>
              </w:rPr>
            </w:pPr>
            <w:r>
              <w:rPr>
                <w:rFonts w:ascii="Arial" w:cs="Arial" w:eastAsia="Arial" w:hAnsi="Arial"/>
                <w:sz w:val="16"/>
                <w:szCs w:val="16"/>
                <w:color w:val="auto"/>
              </w:rPr>
              <w:t>$159.33</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37,461</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$174.96</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 3, 2029</w:t>
            </w:r>
          </w:p>
        </w:tc>
        <w:tc>
          <w:tcPr>
            <w:tcW w:w="0" w:type="dxa"/>
            <w:vAlign w:val="bottom"/>
          </w:tcPr>
          <w:p>
            <w:pPr>
              <w:spacing w:after="0"/>
              <w:rPr>
                <w:sz w:val="1"/>
                <w:szCs w:val="1"/>
                <w:color w:val="auto"/>
              </w:rPr>
            </w:pPr>
          </w:p>
        </w:tc>
      </w:tr>
      <w:tr>
        <w:trPr>
          <w:trHeight w:val="239"/>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Mr. Brendan Brennan</w:t>
            </w: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40" w:type="dxa"/>
            <w:vAlign w:val="bottom"/>
            <w:vMerge w:val="continue"/>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13,611</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4, 2024</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14,206</w:t>
            </w:r>
          </w:p>
        </w:tc>
        <w:tc>
          <w:tcPr>
            <w:tcW w:w="1840" w:type="dxa"/>
            <w:vAlign w:val="bottom"/>
          </w:tcPr>
          <w:p>
            <w:pPr>
              <w:jc w:val="right"/>
              <w:spacing w:after="0"/>
              <w:rPr>
                <w:sz w:val="20"/>
                <w:szCs w:val="20"/>
                <w:color w:val="auto"/>
              </w:rPr>
            </w:pPr>
            <w:r>
              <w:rPr>
                <w:rFonts w:ascii="Arial" w:cs="Arial" w:eastAsia="Arial" w:hAnsi="Arial"/>
                <w:sz w:val="16"/>
                <w:szCs w:val="16"/>
                <w:color w:val="auto"/>
              </w:rPr>
              <w:t>$83.47</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2025</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9,584</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2026</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8,796</w:t>
            </w:r>
          </w:p>
        </w:tc>
        <w:tc>
          <w:tcPr>
            <w:tcW w:w="1840" w:type="dxa"/>
            <w:vAlign w:val="bottom"/>
          </w:tcPr>
          <w:p>
            <w:pPr>
              <w:jc w:val="right"/>
              <w:spacing w:after="0"/>
              <w:rPr>
                <w:sz w:val="20"/>
                <w:szCs w:val="20"/>
                <w:color w:val="auto"/>
              </w:rPr>
            </w:pPr>
            <w:r>
              <w:rPr>
                <w:rFonts w:ascii="Arial" w:cs="Arial" w:eastAsia="Arial" w:hAnsi="Arial"/>
                <w:sz w:val="16"/>
                <w:szCs w:val="16"/>
                <w:color w:val="auto"/>
              </w:rPr>
              <w:t>$140.38</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2027</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9,176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2028</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8,842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$174.96</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March 3, 2029</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Mr. Rónán Murphy</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4,617</w:t>
            </w:r>
          </w:p>
        </w:tc>
        <w:tc>
          <w:tcPr>
            <w:tcW w:w="1840" w:type="dxa"/>
            <w:vAlign w:val="bottom"/>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r>
        <w:trPr>
          <w:trHeight w:val="240"/>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Professor Hugh Brady</w:t>
            </w: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40" w:type="dxa"/>
            <w:vAlign w:val="bottom"/>
            <w:vMerge w:val="continue"/>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2,113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 2024</w:t>
            </w:r>
          </w:p>
        </w:tc>
        <w:tc>
          <w:tcPr>
            <w:tcW w:w="0" w:type="dxa"/>
            <w:vAlign w:val="bottom"/>
          </w:tcPr>
          <w:p>
            <w:pPr>
              <w:spacing w:after="0"/>
              <w:rPr>
                <w:sz w:val="1"/>
                <w:szCs w:val="1"/>
                <w:color w:val="auto"/>
              </w:rPr>
            </w:pPr>
          </w:p>
        </w:tc>
      </w:tr>
      <w:tr>
        <w:trPr>
          <w:trHeight w:val="253"/>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3,079</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40"/>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Dr. John Climax</w:t>
            </w:r>
          </w:p>
        </w:tc>
        <w:tc>
          <w:tcPr>
            <w:tcW w:w="37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240" w:type="dxa"/>
            <w:vAlign w:val="bottom"/>
            <w:vMerge w:val="continue"/>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10,000</w:t>
            </w:r>
          </w:p>
        </w:tc>
        <w:tc>
          <w:tcPr>
            <w:tcW w:w="1840" w:type="dxa"/>
            <w:vAlign w:val="bottom"/>
          </w:tcPr>
          <w:p>
            <w:pPr>
              <w:jc w:val="right"/>
              <w:spacing w:after="0"/>
              <w:rPr>
                <w:sz w:val="20"/>
                <w:szCs w:val="20"/>
                <w:color w:val="auto"/>
              </w:rPr>
            </w:pPr>
            <w:r>
              <w:rPr>
                <w:rFonts w:ascii="Arial" w:cs="Arial" w:eastAsia="Arial" w:hAnsi="Arial"/>
                <w:sz w:val="16"/>
                <w:szCs w:val="16"/>
                <w:color w:val="auto"/>
              </w:rPr>
              <w:t>$40.83</w:t>
            </w:r>
          </w:p>
        </w:tc>
        <w:tc>
          <w:tcPr>
            <w:tcW w:w="3440" w:type="dxa"/>
            <w:vAlign w:val="bottom"/>
          </w:tcPr>
          <w:p>
            <w:pPr>
              <w:ind w:left="40"/>
              <w:spacing w:after="0"/>
              <w:rPr>
                <w:sz w:val="20"/>
                <w:szCs w:val="20"/>
                <w:color w:val="auto"/>
              </w:rPr>
            </w:pPr>
            <w:r>
              <w:rPr>
                <w:rFonts w:ascii="Arial" w:cs="Arial" w:eastAsia="Arial" w:hAnsi="Arial"/>
                <w:sz w:val="16"/>
                <w:szCs w:val="16"/>
                <w:color w:val="auto"/>
              </w:rPr>
              <w:t>May 23, 2022</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10,000</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18, 2023</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10,557</w:t>
            </w:r>
          </w:p>
        </w:tc>
        <w:tc>
          <w:tcPr>
            <w:tcW w:w="1840" w:type="dxa"/>
            <w:vAlign w:val="bottom"/>
          </w:tcPr>
          <w:p>
            <w:pPr>
              <w:jc w:val="right"/>
              <w:spacing w:after="0"/>
              <w:rPr>
                <w:sz w:val="20"/>
                <w:szCs w:val="20"/>
                <w:color w:val="auto"/>
              </w:rPr>
            </w:pPr>
            <w:r>
              <w:rPr>
                <w:rFonts w:ascii="Arial" w:cs="Arial" w:eastAsia="Arial" w:hAnsi="Arial"/>
                <w:sz w:val="16"/>
                <w:szCs w:val="16"/>
                <w:color w:val="auto"/>
              </w:rPr>
              <w:t>$65.60</w:t>
            </w:r>
          </w:p>
        </w:tc>
        <w:tc>
          <w:tcPr>
            <w:tcW w:w="3440" w:type="dxa"/>
            <w:vAlign w:val="bottom"/>
          </w:tcPr>
          <w:p>
            <w:pPr>
              <w:ind w:left="40"/>
              <w:spacing w:after="0"/>
              <w:rPr>
                <w:sz w:val="20"/>
                <w:szCs w:val="20"/>
                <w:color w:val="auto"/>
              </w:rPr>
            </w:pPr>
            <w:r>
              <w:rPr>
                <w:rFonts w:ascii="Arial" w:cs="Arial" w:eastAsia="Arial" w:hAnsi="Arial"/>
                <w:sz w:val="16"/>
                <w:szCs w:val="16"/>
                <w:color w:val="auto"/>
              </w:rPr>
              <w:t>May 20, 2024</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7,693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r>
        <w:trPr>
          <w:trHeight w:val="260"/>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3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Joan Garahy</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Professor William Hall</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1,541</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Eugene McCague</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r>
        <w:trPr>
          <w:trHeight w:val="239"/>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Ms. Mary Pendergast</w:t>
            </w:r>
          </w:p>
        </w:tc>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40" w:type="dxa"/>
            <w:vAlign w:val="bottom"/>
            <w:vMerge w:val="continue"/>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10,000</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23, 2022</w:t>
            </w: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10,000</w:t>
            </w:r>
          </w:p>
        </w:tc>
        <w:tc>
          <w:tcPr>
            <w:tcW w:w="1840" w:type="dxa"/>
            <w:vAlign w:val="bottom"/>
          </w:tcPr>
          <w:p>
            <w:pPr>
              <w:jc w:val="right"/>
              <w:spacing w:after="0"/>
              <w:rPr>
                <w:sz w:val="20"/>
                <w:szCs w:val="20"/>
                <w:color w:val="auto"/>
              </w:rPr>
            </w:pPr>
            <w:r>
              <w:rPr>
                <w:rFonts w:ascii="Arial" w:cs="Arial" w:eastAsia="Arial" w:hAnsi="Arial"/>
                <w:sz w:val="16"/>
                <w:szCs w:val="16"/>
                <w:color w:val="auto"/>
              </w:rPr>
              <w:t>$68.39</w:t>
            </w:r>
          </w:p>
        </w:tc>
        <w:tc>
          <w:tcPr>
            <w:tcW w:w="3440" w:type="dxa"/>
            <w:vAlign w:val="bottom"/>
          </w:tcPr>
          <w:p>
            <w:pPr>
              <w:ind w:left="40"/>
              <w:spacing w:after="0"/>
              <w:rPr>
                <w:sz w:val="20"/>
                <w:szCs w:val="20"/>
                <w:color w:val="auto"/>
              </w:rPr>
            </w:pPr>
            <w:r>
              <w:rPr>
                <w:rFonts w:ascii="Arial" w:cs="Arial" w:eastAsia="Arial" w:hAnsi="Arial"/>
                <w:sz w:val="16"/>
                <w:szCs w:val="16"/>
                <w:color w:val="auto"/>
              </w:rPr>
              <w:t>March 18, 2023</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10,557</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 2024</w:t>
            </w: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7,693</w:t>
            </w:r>
          </w:p>
        </w:tc>
        <w:tc>
          <w:tcPr>
            <w:tcW w:w="1840" w:type="dxa"/>
            <w:vAlign w:val="bottom"/>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tcPr>
          <w:p>
            <w:pPr>
              <w:ind w:left="40"/>
              <w:spacing w:after="0"/>
              <w:rPr>
                <w:sz w:val="20"/>
                <w:szCs w:val="20"/>
                <w:color w:val="auto"/>
              </w:rPr>
            </w:pPr>
            <w:r>
              <w:rPr>
                <w:rFonts w:ascii="Arial" w:cs="Arial" w:eastAsia="Arial" w:hAnsi="Arial"/>
                <w:sz w:val="16"/>
                <w:szCs w:val="16"/>
                <w:color w:val="auto"/>
              </w:rPr>
              <w:t>May 19, 2025</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title of securities covered by all of the above options are non-qualified.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5" w:name="page86"/>
    <w:bookmarkEnd w:id="85"/>
    <w:p>
      <w:pPr>
        <w:jc w:val="both"/>
        <w:ind w:firstLine="648"/>
        <w:spacing w:after="0" w:line="249" w:lineRule="auto"/>
        <w:rPr>
          <w:sz w:val="20"/>
          <w:szCs w:val="20"/>
          <w:color w:val="auto"/>
        </w:rPr>
      </w:pPr>
      <w:r>
        <w:rPr>
          <w:rFonts w:ascii="Arial" w:cs="Arial" w:eastAsia="Arial" w:hAnsi="Arial"/>
          <w:sz w:val="16"/>
          <w:szCs w:val="16"/>
          <w:color w:val="auto"/>
        </w:rPr>
        <w:t>In February 2018, the Board approved the appointment of Mr. Murray as Chair of the Board of Directors with effect from May 12,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and 2021 vest over twelve months.</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i w:val="1"/>
          <w:iCs w:val="1"/>
          <w:color w:val="auto"/>
        </w:rPr>
        <w:t>Legacy PRA Equity Incentive Plans</w:t>
      </w:r>
    </w:p>
    <w:p>
      <w:pPr>
        <w:spacing w:after="0" w:line="264" w:lineRule="exact"/>
        <w:rPr>
          <w:sz w:val="20"/>
          <w:szCs w:val="20"/>
          <w:color w:val="auto"/>
        </w:rPr>
      </w:pPr>
    </w:p>
    <w:p>
      <w:pPr>
        <w:ind w:right="2540" w:firstLine="648"/>
        <w:spacing w:after="0" w:line="260" w:lineRule="auto"/>
        <w:rPr>
          <w:sz w:val="20"/>
          <w:szCs w:val="20"/>
          <w:color w:val="auto"/>
        </w:rPr>
      </w:pPr>
      <w:r>
        <w:rPr>
          <w:rFonts w:ascii="Arial" w:cs="Arial" w:eastAsia="Arial" w:hAnsi="Arial"/>
          <w:sz w:val="16"/>
          <w:szCs w:val="16"/>
          <w:color w:val="auto"/>
        </w:rPr>
        <w:t>The following represent the legacy PRA equity incentive plans, which still have equity outstanding but have been terminated as of July 1, 2021, as to grants of future awards.</w:t>
      </w:r>
    </w:p>
    <w:p>
      <w:pPr>
        <w:spacing w:after="0" w:line="209"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6"/>
          <w:szCs w:val="16"/>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21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PRA Health Sciences, Inc. 2020 Stock Incentive Plan was amended and restated and assumed by the Company effective as of July 1, 2021. The 2020 Stock Incentive Plan (“the 2020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2,500,000 shares of common stock plus all shares that remained available under the prior plan on May 18, 2020.</w:t>
      </w:r>
    </w:p>
    <w:p>
      <w:pPr>
        <w:spacing w:after="0" w:line="21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PRA Health Sciences, Inc. 2018 Stock Incentive Plan was amended and restated and assumed by the Company effective as of July 1, 2021. 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2,000,000 shares of common stock plus all shares that remained available under the 2014 Plan on May 31, 2018 (which included shares carried over from the 2013 Plan).</w:t>
      </w:r>
    </w:p>
    <w:p>
      <w:pPr>
        <w:spacing w:after="0" w:line="21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6"/>
          <w:szCs w:val="16"/>
          <w:color w:val="auto"/>
        </w:rPr>
        <w:t>The PRA Health Sciences, Inc. 2014 Omnibus Incentive Plan was amended and restated and assumed by the Company effective as of July 1, 2021 (the “2014 Plan”). 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1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2013 Stock Incentive Plan for Key Employees of PRA Health Sciences and its Subsidiaries was amended and restated and assumed by the Registrant effective as of July 1, 2021 (the “2013 Plan”). On September 23, 2013, the PRA Health Sciences, Inc. Board of Directors approved the formation of the 2013 Plan for Key Employees of Pinnacle Holdco Parent, Inc. and its subsidiaries. The 2013 Plan allowed for the issuance of stock options and other stock-based awards as permitted by applicable laws. The number of shares available for grant under the 2013 Plan was 12.5% of the outstanding shares at closing on a fully diluted basis. The 2013 Plan authorized the issuance of 2,052,909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Major Shareholders and Related Party Transactions.</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Major Shareholders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March 1, 2022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 (4)</w:t>
            </w:r>
          </w:p>
        </w:tc>
        <w:tc>
          <w:tcPr>
            <w:tcW w:w="9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 (5)</w:t>
            </w: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Owner or Identity of Group</w:t>
            </w:r>
          </w:p>
        </w:tc>
        <w:tc>
          <w:tcPr>
            <w:tcW w:w="1480" w:type="dxa"/>
            <w:vAlign w:val="bottom"/>
          </w:tcPr>
          <w:p>
            <w:pPr>
              <w:jc w:val="right"/>
              <w:ind w:right="139"/>
              <w:spacing w:after="0" w:line="162" w:lineRule="exact"/>
              <w:rPr>
                <w:sz w:val="20"/>
                <w:szCs w:val="20"/>
                <w:color w:val="auto"/>
              </w:rPr>
            </w:pPr>
            <w:r>
              <w:rPr>
                <w:rFonts w:ascii="Arial" w:cs="Arial" w:eastAsia="Arial" w:hAnsi="Arial"/>
                <w:sz w:val="16"/>
                <w:szCs w:val="16"/>
                <w:b w:val="1"/>
                <w:bCs w:val="1"/>
                <w:color w:val="auto"/>
              </w:rPr>
              <w:t>No. of Shares</w:t>
            </w: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Percent of</w:t>
            </w:r>
          </w:p>
        </w:tc>
        <w:tc>
          <w:tcPr>
            <w:tcW w:w="144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No. of Shares</w:t>
            </w:r>
          </w:p>
        </w:tc>
        <w:tc>
          <w:tcPr>
            <w:tcW w:w="96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Percent of</w:t>
            </w:r>
          </w:p>
        </w:tc>
        <w:tc>
          <w:tcPr>
            <w:tcW w:w="146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No. of Shares</w:t>
            </w:r>
          </w:p>
        </w:tc>
        <w:tc>
          <w:tcPr>
            <w:tcW w:w="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(1)</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(1)</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(1)</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WCM Investment Management (2)</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7,179,979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8.8 %</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3,976,550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7.5 %</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3,643,211</w:t>
            </w:r>
          </w:p>
        </w:tc>
        <w:tc>
          <w:tcPr>
            <w:tcW w:w="84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MFS Investment Management (2)</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6,785,703</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8.3 %</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2,073,465</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3.9 %</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1,489,310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Wellington Management Company, LLP (2)</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5,154,597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6.3 %</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3,989,007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7.6 %</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3,800,959</w:t>
            </w:r>
          </w:p>
        </w:tc>
        <w:tc>
          <w:tcPr>
            <w:tcW w:w="84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All Directors, officers and other key employees as a</w:t>
            </w:r>
          </w:p>
        </w:tc>
        <w:tc>
          <w:tcPr>
            <w:tcW w:w="1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group (3)</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1,129,726</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1.4 %</w:t>
            </w: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1,152,168</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2.2 %</w:t>
            </w:r>
          </w:p>
        </w:tc>
        <w:tc>
          <w:tcPr>
            <w:tcW w:w="1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1,278,374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500" w:hanging="330"/>
        <w:spacing w:after="0" w:line="253" w:lineRule="auto"/>
        <w:tabs>
          <w:tab w:leader="none" w:pos="4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93" w:lineRule="exact"/>
        <w:rPr>
          <w:rFonts w:ascii="Arial" w:cs="Arial" w:eastAsia="Arial" w:hAnsi="Arial"/>
          <w:sz w:val="16"/>
          <w:szCs w:val="16"/>
          <w:color w:val="auto"/>
        </w:rPr>
      </w:pPr>
    </w:p>
    <w:p>
      <w:pPr>
        <w:ind w:left="480" w:hanging="310"/>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Neither the Company nor any of its officers, Directors or affiliates holds any voting power in this entity.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jc w:val="both"/>
        <w:ind w:left="500" w:hanging="330"/>
        <w:spacing w:after="0" w:line="251" w:lineRule="auto"/>
        <w:tabs>
          <w:tab w:leader="none" w:pos="4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430,451 ordinary shares issuable upon the exercise of stock options granted by the Company, 33,568 RSUs awarded by the Company to Directors, officers and other key employees and 92,866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94" w:lineRule="exact"/>
        <w:rPr>
          <w:rFonts w:ascii="Arial" w:cs="Arial" w:eastAsia="Arial" w:hAnsi="Arial"/>
          <w:sz w:val="16"/>
          <w:szCs w:val="16"/>
          <w:color w:val="auto"/>
        </w:rPr>
      </w:pPr>
    </w:p>
    <w:p>
      <w:pPr>
        <w:ind w:left="480" w:hanging="310"/>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shown above are stated as of February 24, 2021.</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shown above are stated as of February 27,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ICON plc, is not directly or indirectly, owned or controlled by another corporation or by any government.</w:t>
      </w:r>
    </w:p>
    <w:p>
      <w:pPr>
        <w:spacing w:after="0" w:line="2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Related Party Transactions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$30,000 (December 31, 2020: $321,000) from DS Biopharma Limited (formerly Dignity Sciences Limited) during the year. Dr. John Climax is Executive Chairman and a Director and shareholder of DS Biopharma Limited. $12,000 was recorded as due from DS Biopharma Limited at December 31, 2021 (December 31, 2020: $41,000).</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$551,000 (December 31, 2020: $9,000) from Afimmune Limited during the year. Dr. John Climax is Chief Executive Officer and a Director and shareholder of Afimmune Limited. $197,000 was recorded as due from Afimmune Limited at December 31, 2021 (December 31, 2020: $Nil).</w:t>
      </w:r>
    </w:p>
    <w:p>
      <w:pPr>
        <w:spacing w:after="0" w:line="2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The Company provided corporate support services to Oncacare to the value of $465,000 during the year ended December 31, 2021. $264,000 was recorded as due from Oncacare at December 31, 2021. During the year ended December 31, 2021, the Company provided a loan of $10 million to Oncacare in order to fund the continued start up of the business' operations. The loan accrues annual interest at 1.6% and the loan is repayable on June 30, 2025. The full amount of this loan remains outstanding at December 31, 2021 along with accrued interest of $23,000.</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in Oncacare has the right to sell the 51% majority voting share capital exclusively to the Company in an eighteen month period, commencing January 1, 2023 and ICON also has the right to acquire the 51% majority voting share capital from August 1, 2025.</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Interests of experts and counsel</w:t>
      </w:r>
    </w:p>
    <w:p>
      <w:pPr>
        <w:spacing w:after="0" w:line="268" w:lineRule="exact"/>
        <w:rPr>
          <w:sz w:val="20"/>
          <w:szCs w:val="20"/>
          <w:color w:val="auto"/>
        </w:rPr>
      </w:pPr>
    </w:p>
    <w:p>
      <w:pPr>
        <w:jc w:val="center"/>
        <w:ind w:right="890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Information.</w:t>
      </w:r>
    </w:p>
    <w:p>
      <w:pPr>
        <w:spacing w:after="0" w:line="194" w:lineRule="exact"/>
        <w:rPr>
          <w:sz w:val="20"/>
          <w:szCs w:val="20"/>
          <w:color w:val="auto"/>
        </w:rPr>
      </w:pPr>
    </w:p>
    <w:p>
      <w:pPr>
        <w:ind w:left="660" w:right="6140" w:hanging="328"/>
        <w:spacing w:after="0" w:line="563" w:lineRule="auto"/>
        <w:tabs>
          <w:tab w:leader="none" w:pos="6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Consolidated Statements and Other Financial Information </w:t>
      </w:r>
      <w:r>
        <w:rPr>
          <w:rFonts w:ascii="Arial" w:cs="Arial" w:eastAsia="Arial" w:hAnsi="Arial"/>
          <w:sz w:val="16"/>
          <w:szCs w:val="16"/>
          <w:color w:val="auto"/>
        </w:rPr>
        <w:t>See Item 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Dividend Policy</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Significant Changes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There have been no significant changes to our business that we believe could reasonably be expected to have a material adverse effect on our business, results of operations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The Offer and Listing.</w:t>
      </w:r>
    </w:p>
    <w:p>
      <w:pPr>
        <w:spacing w:after="0" w:line="24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Offer and listing details</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ICON’s ordinary shares are traded on the NASDAQ Global Select Market under the symbol “ICLR”. ICON plc’s American Depositary Receipt</w:t>
      </w:r>
    </w:p>
    <w:p>
      <w:pPr>
        <w:spacing w:after="0" w:line="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("ADR") program was terminated on January 31, 2013 and ICON plc’s ordinary shares began directly trading on NASDAQ on February 4, 2013. Prior to that date, ICON plc’s American Depositary Shares ("ADSs") were traded on NASDAQ and ICON plc’s Depository for the ADSs was The Bank of New York Mellon.</w:t>
      </w:r>
    </w:p>
    <w:p>
      <w:pPr>
        <w:spacing w:after="0" w:line="396" w:lineRule="exact"/>
        <w:rPr>
          <w:sz w:val="20"/>
          <w:szCs w:val="20"/>
          <w:color w:val="auto"/>
        </w:rPr>
      </w:pPr>
    </w:p>
    <w:p>
      <w:pPr>
        <w:ind w:left="660" w:right="9100" w:hanging="328"/>
        <w:spacing w:after="0" w:line="286" w:lineRule="auto"/>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82" w:lineRule="exact"/>
        <w:rPr>
          <w:rFonts w:ascii="Arial" w:cs="Arial" w:eastAsia="Arial" w:hAnsi="Arial"/>
          <w:sz w:val="16"/>
          <w:szCs w:val="16"/>
          <w:b w:val="1"/>
          <w:bCs w:val="1"/>
          <w:color w:val="auto"/>
        </w:rPr>
      </w:pPr>
    </w:p>
    <w:p>
      <w:pPr>
        <w:ind w:left="660" w:hanging="328"/>
        <w:spacing w:after="0"/>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NASDAQ.</w:t>
      </w:r>
    </w:p>
    <w:p>
      <w:pPr>
        <w:spacing w:after="0" w:line="228" w:lineRule="exact"/>
        <w:rPr>
          <w:rFonts w:ascii="Arial" w:cs="Arial" w:eastAsia="Arial" w:hAnsi="Arial"/>
          <w:sz w:val="16"/>
          <w:szCs w:val="16"/>
          <w:b w:val="1"/>
          <w:bCs w:val="1"/>
          <w:color w:val="auto"/>
        </w:rPr>
      </w:pPr>
    </w:p>
    <w:p>
      <w:pPr>
        <w:ind w:left="660" w:right="9000" w:hanging="328"/>
        <w:spacing w:after="0" w:line="286" w:lineRule="auto"/>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spacing w:after="0" w:line="182" w:lineRule="exact"/>
        <w:rPr>
          <w:rFonts w:ascii="Arial" w:cs="Arial" w:eastAsia="Arial" w:hAnsi="Arial"/>
          <w:sz w:val="16"/>
          <w:szCs w:val="16"/>
          <w:b w:val="1"/>
          <w:bCs w:val="1"/>
          <w:color w:val="auto"/>
        </w:rPr>
      </w:pPr>
    </w:p>
    <w:p>
      <w:pPr>
        <w:ind w:left="640" w:hanging="308"/>
        <w:spacing w:after="0"/>
        <w:tabs>
          <w:tab w:leader="none" w:pos="64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Not applicable.</w:t>
      </w:r>
    </w:p>
    <w:p>
      <w:pPr>
        <w:spacing w:after="0" w:line="228" w:lineRule="exact"/>
        <w:rPr>
          <w:rFonts w:ascii="Arial" w:cs="Arial" w:eastAsia="Arial" w:hAnsi="Arial"/>
          <w:sz w:val="16"/>
          <w:szCs w:val="16"/>
          <w:b w:val="1"/>
          <w:bCs w:val="1"/>
          <w:color w:val="auto"/>
        </w:rPr>
      </w:pPr>
    </w:p>
    <w:p>
      <w:pPr>
        <w:ind w:left="660" w:right="8900" w:hanging="328"/>
        <w:spacing w:after="0" w:line="286" w:lineRule="auto"/>
        <w:tabs>
          <w:tab w:leader="none" w:pos="63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Additional Information.</w:t>
      </w:r>
    </w:p>
    <w:p>
      <w:pPr>
        <w:spacing w:after="0" w:line="248" w:lineRule="exact"/>
        <w:rPr>
          <w:sz w:val="20"/>
          <w:szCs w:val="20"/>
          <w:color w:val="auto"/>
        </w:rPr>
      </w:pPr>
    </w:p>
    <w:p>
      <w:pPr>
        <w:jc w:val="both"/>
        <w:ind w:left="660" w:right="9520" w:hanging="328"/>
        <w:spacing w:after="0" w:line="563" w:lineRule="auto"/>
        <w:tabs>
          <w:tab w:leader="none" w:pos="6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328"/>
        <w:spacing w:after="0"/>
        <w:tabs>
          <w:tab w:leader="none" w:pos="6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Constitution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incorporate by reference our Constitution, as amended, located under the heading “Constitution of the Company” in Exhibit 3.1.</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Objects</w:t>
      </w:r>
    </w:p>
    <w:p>
      <w:pPr>
        <w:spacing w:after="0" w:line="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 set out in the Constitution.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i w:val="1"/>
          <w:iCs w:val="1"/>
          <w:color w:val="auto"/>
        </w:rPr>
        <w:t>Rights, Preferences and Dividends Attaching to Shares</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Necessary to Change the Rights of Shareholders</w:t>
      </w:r>
    </w:p>
    <w:p>
      <w:pPr>
        <w:spacing w:after="0" w:line="2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and General Meetings</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Share Ownership</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Provisions of the Constitution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248" w:lineRule="exact"/>
        <w:rPr>
          <w:sz w:val="20"/>
          <w:szCs w:val="20"/>
          <w:color w:val="auto"/>
        </w:rPr>
      </w:pPr>
    </w:p>
    <w:p>
      <w:pPr>
        <w:ind w:left="660" w:hanging="4"/>
        <w:spacing w:after="0" w:line="260" w:lineRule="auto"/>
        <w:tabs>
          <w:tab w:leader="none" w:pos="879"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22" w:lineRule="exact"/>
        <w:rPr>
          <w:rFonts w:ascii="Arial" w:cs="Arial" w:eastAsia="Arial" w:hAnsi="Arial"/>
          <w:sz w:val="16"/>
          <w:szCs w:val="16"/>
          <w:color w:val="auto"/>
        </w:rPr>
      </w:pPr>
    </w:p>
    <w:p>
      <w:pPr>
        <w:ind w:left="880" w:hanging="224"/>
        <w:spacing w:after="0"/>
        <w:tabs>
          <w:tab w:leader="none" w:pos="8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pacing w:after="0" w:line="22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C.  Material Contracts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is a summary of each contract (not being a contract entered into in the ordinary course of business) that has been entered into: (a) within the two years immediately preceding the date of this Form 20-F which are, or may be, material to us; or (b) at any time which contain obligations or entitlements which is, or may be, material to us as at the date of this Form 20-F:</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February 24, 2021, we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“Closing Date”), Pursuant to the terms and subject to the conditions of the Merger Agreement, Merger Sub was merged with and into PRA, with PRA surviving as a subsidiary of ICON and US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jc w:val="both"/>
        <w:ind w:firstLine="648"/>
        <w:spacing w:after="0" w:line="251" w:lineRule="auto"/>
        <w:rPr>
          <w:sz w:val="20"/>
          <w:szCs w:val="20"/>
          <w:color w:val="auto"/>
        </w:rPr>
      </w:pPr>
      <w:r>
        <w:rPr>
          <w:rFonts w:ascii="Arial" w:cs="Arial" w:eastAsia="Arial" w:hAnsi="Arial"/>
          <w:sz w:val="16"/>
          <w:szCs w:val="16"/>
          <w:color w:val="auto"/>
        </w:rPr>
        <w:t>As a result of the Merger, each share of PRA common stock issued and outstanding immediately prior to the completion of the Merger (other than shares held by any shareholder who properly demands and perfects his, her or its appraisal rights with respect to such shares and treasury shares held by PRA) was cancelled and converted into the right to receive: (i) from ICON, 0.4125 of one ICON ordinary share and (ii) from US Holdco and the surviving corporation $80.00 in cash, without interest.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Equity awards of PRA that are outstanding prior to the effective time of the Merger were generally treated as follows (subject to the terms and conditions set forth in the Merger Agreement):</w:t>
      </w:r>
    </w:p>
    <w:p>
      <w:pPr>
        <w:spacing w:after="0" w:line="222" w:lineRule="exact"/>
        <w:rPr>
          <w:sz w:val="20"/>
          <w:szCs w:val="20"/>
          <w:color w:val="auto"/>
        </w:rPr>
      </w:pPr>
    </w:p>
    <w:p>
      <w:pPr>
        <w:jc w:val="both"/>
        <w:ind w:left="660" w:hanging="328"/>
        <w:spacing w:after="0" w:line="246"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outstanding PRA stock option and restricted stock unit was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outstanding share of PRA restricted stock was vested at the Closing and was cancelled and converted into the right to receive the per share merger consideration.</w:t>
      </w:r>
    </w:p>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foregoing description of the Merger and the Merger Agreement, and the related transactions contemplated thereby, does not purport to be complete and is subject to, and qualified in its entirety by reference to, the full text of the Merger Agreement which is attached as Exhibit 2.1 to ICON’s Current Report on Form 6-K filed with the Securities and Exchange Commission (the “SEC”) on February 24, 2021 and incorporated herein by reference herein.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Credit Facilities</w:t>
      </w:r>
    </w:p>
    <w:p>
      <w:pPr>
        <w:spacing w:after="0" w:line="2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w:t>
      </w:r>
    </w:p>
    <w:p>
      <w:pPr>
        <w:spacing w:after="0" w:line="1" w:lineRule="exact"/>
        <w:rPr>
          <w:sz w:val="20"/>
          <w:szCs w:val="20"/>
          <w:color w:val="auto"/>
        </w:rPr>
      </w:pPr>
    </w:p>
    <w:p>
      <w:pPr>
        <w:ind w:firstLine="8"/>
        <w:spacing w:after="0" w:line="260" w:lineRule="auto"/>
        <w:tabs>
          <w:tab w:leader="none" w:pos="2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Company's private placement notes outstanding and fund, in part, the Merger. The senior secured term loan facility will mature in July 2028 and the revolving loan facility will mature in July 2026.</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Facility contains a financial covenant that requires ICON to maintain a Total Net Leverage Ratio (as defined in the Credit Agreement) of 5.75:1.00 prior to June 30, 2023 and 4.50:1.00 on and after June 30, 2023, subject to a step-down of 0.50:1.00 following a Material Acquisition (as defined in the Credit Agreement), which will be tested at the end of any fiscal quarter only if amounts are drawn under the Revolving Credit Facility (excluding cash collateralized and backstopped letters of credit) in excess of 30% of the Revolving Commitments.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 On November 10, 2021, the Company achieved a net leverage ratio of less than 4 times and the margin applicable to the senior secured term loan was reduced by 0.25% with the overall rate reducing from 3.0% to 2.75%. On December 29, 2021, the Company repaid $500.0 million of the senior secured term loan facility and made a quarterly interest payment of $40.8 million.</w:t>
      </w:r>
    </w:p>
    <w:p>
      <w:pPr>
        <w:spacing w:after="0" w:line="21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At December 31, 2021, no amounts have been drawn under the revolving loan facility with the exception of $4.1 million letters of credit given to landlords to guarantee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Senior Secured Notes</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to the Senior Secured Credit Facilities, on July 1, 2021, Indigo Merger Sub, Inc. (which was merged with and into PRA Health Sciences, Inc.) (the “Issuer”), a wholly-owned subsidiary of the Company, issued $500.0 million in aggregate principal amount of 2.875% senior secured notes due July 2026 (the “Senior Secured Notes”) in a private offering (the “Offering”). The Senior Secured Notes will mature on July 15, 2026. The Issuer will pay interest on the Senior Secured Notes on January 15 and July 15 of each year. Interest on the Senior Secured Notes will accrue at a rate of 2.875% per annum.</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Senior Secured Notes are guaranteed on a senior secured basis by ICON and its direct and indirect subsidiaries that guarantee the Senior Secured Credit Facilities. The Senior Secured Notes are secured by a lien on substantially all of ICON’s, the Issuer’s and each of the subsidiary guarantor’s assets (subject to certain exceptions), and the Senior Secured Notes have a first-priority lien on such assets, which rank pari passu with the liens securing the Senior Secured Credit Facilities, subject to other permitted liens.</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At any time prior to July 15, 2023, the Issuer may redeem all or part of the Senior Secured Notes at a redemption price equal to 100% of the principal amount of the Notes plus an applicable make whole premium and accrued and unpaid interest to, but not including the redemption date. At any time prior to July 15, 2023, the Issuer may redeem up to 40% of the aggregate principal amount of the Senior Secured Notes at a redemption price of 102.875% of the principal amount plus accrued and unpaid interest to, but not including, the date of redemption. In addition, at any time and from time to time prior to July 15, 2023, the Issuer may redeem up to 10% per annum of the aggregate principal amount of the Senior Secured Notes at a redemption price of 103.000% of the aggregate principal amount thereof, plus accrued and unpaid interest, if any, to, but excluding, the date of redemption.</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Indenture contains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The Indenture contains customary events of default and remedies.</w:t>
      </w:r>
    </w:p>
    <w:p>
      <w:pPr>
        <w:spacing w:after="0" w:line="20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Exchange Controls and Other Limitations Affecting Security Holders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and activities in Belarus, Bosnia &amp; Herzegovina, Burundi, Sudan, South Sudan, the Central African Republic, Libya, Lebanon, Mali, the Democratic People's Republic of Korea, Myanmar/Burma, Tunisia, Zimbabwe, Venezuela, certain persons, entities and bodies in Syrian Arab Republic, the Republic of Guinea-Bissau, Nicaragua, Democratic Republic of Congo, Iran, Ukraine, associated with the Taliban in Afghanistan; associated with ISIL (Da’esh) and Al-Qaeda; associated with Turkey’s unauthorized drilling activities in the Eastern Mediterranean and certain known terrorists and terrorist groups and countries that harbor certain terrorist groups, without the prior permission of the Central Bank of Ireland.</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are no restrictions under the Company’s Constitution or under Irish Law that limit the right of non-residents or foreign owners to hold the Company’s ordinary shares or vote at general meetings of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92" w:name="page93"/>
    <w:bookmarkEnd w:id="92"/>
    <w:p>
      <w:pPr>
        <w:ind w:left="640" w:hanging="308"/>
        <w:spacing w:after="0"/>
        <w:tabs>
          <w:tab w:leader="none" w:pos="64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6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17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AS USED HEREIN, REFERENCES TO THE ORDINARY SHARES SHALL INCLUDE SHARES HELD IN THE ACCOUNTS OF PARTICIPANTS THROUGH THE DEPOSITARY TRUST COMPANY (“THE DTC”).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Taxation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corporation tax on income</w:t>
      </w:r>
    </w:p>
    <w:p>
      <w:pPr>
        <w:spacing w:after="0" w:line="2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ICON is a public limited company incorporated and resident for tax purposes in Ireland by virtue of its place of central management and control being in Ireland.</w:t>
      </w:r>
    </w:p>
    <w:p>
      <w:pPr>
        <w:spacing w:after="0" w:line="2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standard rate of Irish corporation tax on trading income (with certain exceptions) is currently 12.5%.</w:t>
      </w:r>
    </w:p>
    <w:p>
      <w:pPr>
        <w:spacing w:after="0" w:line="23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223"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Corporation tax is charged at the rate of 25% on a company's non-trading income and certain types of trading income not eligible for the lower rate of 12.5% referred to above.</w:t>
      </w:r>
    </w:p>
    <w:p>
      <w:pPr>
        <w:spacing w:after="0" w:line="223"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exemption from capital gains tax on the disposal of shares by an Irish resident company will apply where certain conditions are met. These conditions principally are:</w:t>
      </w:r>
    </w:p>
    <w:p>
      <w:pPr>
        <w:spacing w:after="0" w:line="277" w:lineRule="exact"/>
        <w:rPr>
          <w:sz w:val="20"/>
          <w:szCs w:val="20"/>
          <w:color w:val="auto"/>
        </w:rPr>
      </w:pPr>
    </w:p>
    <w:p>
      <w:pPr>
        <w:ind w:left="660" w:hanging="328"/>
        <w:spacing w:after="0" w:line="203" w:lineRule="auto"/>
        <w:tabs>
          <w:tab w:leader="none" w:pos="655" w:val="left"/>
        </w:tabs>
        <w:numPr>
          <w:ilvl w:val="0"/>
          <w:numId w:val="57"/>
        </w:numPr>
        <w:rPr>
          <w:rFonts w:ascii="Arial" w:cs="Arial" w:eastAsia="Arial" w:hAnsi="Arial"/>
          <w:sz w:val="22"/>
          <w:szCs w:val="22"/>
          <w:color w:val="auto"/>
        </w:rPr>
      </w:pPr>
      <w:r>
        <w:rPr>
          <w:rFonts w:ascii="Arial" w:cs="Arial" w:eastAsia="Arial" w:hAnsi="Arial"/>
          <w:sz w:val="16"/>
          <w:szCs w:val="16"/>
          <w:color w:val="auto"/>
        </w:rPr>
        <w:t>The company claiming the exemption must hold (directly or indirectly) at least 5% of the ordinary share capital of the company in which the interest is being disposed of, throughout a continuous period of at least 12 months, in the two year period prior to disposal;</w:t>
      </w:r>
    </w:p>
    <w:p>
      <w:pPr>
        <w:spacing w:after="0" w:line="278" w:lineRule="exact"/>
        <w:rPr>
          <w:rFonts w:ascii="Arial" w:cs="Arial" w:eastAsia="Arial" w:hAnsi="Arial"/>
          <w:sz w:val="22"/>
          <w:szCs w:val="22"/>
          <w:color w:val="auto"/>
        </w:rPr>
      </w:pPr>
    </w:p>
    <w:p>
      <w:pPr>
        <w:ind w:left="660" w:hanging="328"/>
        <w:spacing w:after="0" w:line="203" w:lineRule="auto"/>
        <w:tabs>
          <w:tab w:leader="none" w:pos="655" w:val="left"/>
        </w:tabs>
        <w:numPr>
          <w:ilvl w:val="0"/>
          <w:numId w:val="57"/>
        </w:numPr>
        <w:rPr>
          <w:rFonts w:ascii="Arial" w:cs="Arial" w:eastAsia="Arial" w:hAnsi="Arial"/>
          <w:sz w:val="22"/>
          <w:szCs w:val="22"/>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224" w:lineRule="exact"/>
        <w:rPr>
          <w:rFonts w:ascii="Arial" w:cs="Arial" w:eastAsia="Arial" w:hAnsi="Arial"/>
          <w:sz w:val="22"/>
          <w:szCs w:val="22"/>
          <w:color w:val="auto"/>
        </w:rPr>
      </w:pPr>
    </w:p>
    <w:p>
      <w:pPr>
        <w:ind w:left="660" w:right="20" w:hanging="328"/>
        <w:spacing w:after="0" w:line="242"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shares must be in a company which is primarily a trading company or the company making the disposal together with its “5% plus subsidiaries” should be primarily a trading group;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shares must not derive the greater part of their value from land or mineral rights in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i w:val="1"/>
          <w:iCs w:val="1"/>
          <w:color w:val="auto"/>
        </w:rPr>
        <w:t>Irish withholding tax on dividends</w:t>
      </w:r>
    </w:p>
    <w:p>
      <w:pPr>
        <w:spacing w:after="0" w:line="251" w:lineRule="exact"/>
        <w:rPr>
          <w:sz w:val="20"/>
          <w:szCs w:val="20"/>
          <w:color w:val="auto"/>
        </w:rPr>
      </w:pPr>
    </w:p>
    <w:p>
      <w:pPr>
        <w:ind w:right="240" w:firstLine="648"/>
        <w:spacing w:after="0" w:line="242" w:lineRule="auto"/>
        <w:rPr>
          <w:sz w:val="20"/>
          <w:szCs w:val="20"/>
          <w:color w:val="auto"/>
        </w:rPr>
      </w:pPr>
      <w:r>
        <w:rPr>
          <w:rFonts w:ascii="Arial" w:cs="Arial" w:eastAsia="Arial" w:hAnsi="Arial"/>
          <w:sz w:val="16"/>
          <w:szCs w:val="16"/>
          <w:color w:val="auto"/>
        </w:rPr>
        <w:t>Unless specifically exempted, all dividends paid by the Company, will be subject to Irish withholding tax. The current rate for dividend withholding tax is 25%.</w:t>
      </w: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An individual shareholder who is neither resident nor ordinarily resident for tax purposes in Ireland, but is resident in a country with which Ireland has a double tax treaty, or in a member state of the European Communities, other than Ireland (together, a Relevant Territory), will be exempt from withholding tax provided he or she makes the requisite declaration.</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23"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(directly or indirectly) by Irish residents;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are ultimately controlled (directly or indirectly) by residents of a Relevant Territory; or</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have the principal class of their shares, or shares of a 75% parent, substantially and regularly traded on one or more recognized stock exchanges in a Relevant Territory (including Ireland) or Territories; or</w:t>
      </w:r>
    </w:p>
    <w:p>
      <w:pPr>
        <w:spacing w:after="0" w:line="222"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2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24"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depositary or the DTC is resident in a Relevant Territory; and</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depositary or the DTC have entered into a qualifying intermediary agreement with the Irish tax authorities; and</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depositary or the DTC have been authorized by the Irish Revenue Commissioners as a qualifying intermediary and such authorization has not expired or been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i w:val="1"/>
          <w:iCs w:val="1"/>
          <w:color w:val="auto"/>
        </w:rPr>
        <w:t>Irish income tax on dividends</w:t>
      </w:r>
    </w:p>
    <w:p>
      <w:pPr>
        <w:spacing w:after="0" w:line="2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22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Under certain circumstances, non-Irish resident shareholders will be subject to Irish income tax on dividend income. Where withholding tax of 25% has been deducted, this will fully satisfy the non-Irish resident shareholder’s tax liability. No PRSI or USC should apply in these circumstances.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2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individual resident in the U.S. or in a Relevant Territory;</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corporation that is ultimately controlled by person(s) resident in the U.S. or in a Relevant Territory;</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in a Relevant Territory;</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in a Relevant Territory.</w:t>
      </w:r>
    </w:p>
    <w:p>
      <w:pPr>
        <w:spacing w:after="0" w:line="22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U.S. Holders who do not qualify for the above income tax exemption may be able to obtain treaty benefits under the double tax treaty.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domicile levy</w:t>
      </w:r>
    </w:p>
    <w:p>
      <w:pPr>
        <w:spacing w:after="0" w:line="25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 market value of their Irish-located property on 31 December exceeds €5,000,000, their worldwide annual income exceeds €1,000,000 and their liability to Irish Income Tax in that year is less than €200,000.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gains tax on disposal of shares</w:t>
      </w:r>
    </w:p>
    <w:p>
      <w:pPr>
        <w:spacing w:after="0" w:line="2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Irish resident or ordinarily resident shareholders will be liable to capital gains tax at 33% on gains arising from the disposal or part disposal of their shareholding.</w:t>
      </w: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r>
        <w:rPr>
          <w:rFonts w:ascii="Arial" w:cs="Arial" w:eastAsia="Arial" w:hAnsi="Arial"/>
          <w:sz w:val="16"/>
          <w:szCs w:val="16"/>
          <w:color w:val="FF0000"/>
        </w:rPr>
        <w:t>.</w:t>
      </w:r>
    </w:p>
    <w:p>
      <w:pPr>
        <w:spacing w:after="0" w:line="2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There are provisions to subject a person who disposes of an interest in a company while temporarily being non-Irish resident, to Irish capital gains tax. This treatment will apply to Irish domiciled individuals:</w:t>
      </w:r>
    </w:p>
    <w:p>
      <w:pPr>
        <w:spacing w:after="0" w:line="223"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who cease to be Irish resident;</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who beneficially own the relevant assets when they cease to be resident;</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there are not more than 5 years of assessment between the last year of Irish tax residence prior to becoming temporarily non-resident and the tax year that he/she resumes Irish tax residency;</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who dispose of the relevant assets during this temporary non-residence; and</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interest disposed of represents 5% or greater of the issued share capital of the company or is worth at least €500,000.</w:t>
      </w:r>
    </w:p>
    <w:p>
      <w:pPr>
        <w:spacing w:after="0" w:line="235"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i w:val="1"/>
          <w:iCs w:val="1"/>
          <w:color w:val="auto"/>
        </w:rPr>
        <w:t>Irish capital acquisitions tax</w:t>
      </w:r>
    </w:p>
    <w:p>
      <w:pPr>
        <w:spacing w:after="0" w:line="251"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Irish capital acquisitions tax (referred to as CAT) applies to gifts and inheritances. Subject to certain tax-free thresholds, gifts and inheritances are liable to tax at 33%.</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a gift or inheritance is taken under a disposition made after December 1, 1999 it will be within the charge to CAT:</w:t>
      </w:r>
    </w:p>
    <w:p>
      <w:pPr>
        <w:spacing w:after="0" w:line="235"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234"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where the person making the gift or inheritance is or was resident or ordinarily resident in the Republic of Ireland at the date of the disposition under which the gift or inheritance is taken;</w:t>
      </w:r>
    </w:p>
    <w:p>
      <w:pPr>
        <w:spacing w:after="0" w:line="222"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he/she made the settlement, or at the date of the gift or, if he/she is dead at the date of the gift, at the date of his/her death; or</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2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tax-free threshold amounts that apply are:</w:t>
      </w:r>
    </w:p>
    <w:p>
      <w:pPr>
        <w:ind w:left="640" w:hanging="308"/>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€16,250 in the case of persons who are not related to one another;</w:t>
      </w:r>
    </w:p>
    <w:p>
      <w:pPr>
        <w:spacing w:after="0" w:line="234" w:lineRule="exact"/>
        <w:rPr>
          <w:rFonts w:ascii="Arial" w:cs="Arial" w:eastAsia="Arial" w:hAnsi="Arial"/>
          <w:sz w:val="16"/>
          <w:szCs w:val="16"/>
          <w:color w:val="auto"/>
        </w:rPr>
      </w:pPr>
    </w:p>
    <w:p>
      <w:pPr>
        <w:ind w:left="660" w:hanging="328"/>
        <w:spacing w:after="0" w:line="241"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€32,500 in the case of gifts or inheritances received from inter alia a brother or sister or from a brother or sister of a parent or from a grandparent; and</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€335,000 in the case of gifts and inheritances received from a parent (or from a grandparent by a minor child of a deceased child) and specified inheritances received by a parent from a child for gifts or inheritances taken on or after October 9, 2019.</w:t>
      </w:r>
    </w:p>
    <w:p>
      <w:pPr>
        <w:spacing w:after="0" w:line="22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Gifts and inheritances passing between spouses are exempt from CAT.</w:t>
      </w:r>
    </w:p>
    <w:p>
      <w:pPr>
        <w:spacing w:after="0" w:line="23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A gift or inheritance of the Company’s ordinary shares or American Depositary Shares (ADSs) will be within the charge to Irish capital acquisitions tax, notwithstanding that the person from whom or by whom the gift or inheritance is received is domiciled or resident outside Ireland.</w:t>
      </w: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stamp duty</w:t>
      </w:r>
    </w:p>
    <w:p>
      <w:pPr>
        <w:spacing w:after="0" w:line="25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Transfers through the DTC of book entry interests in shares are not subject to Irish stamp duty.</w:t>
      </w:r>
    </w:p>
    <w:p>
      <w:pPr>
        <w:spacing w:after="0" w:line="23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subject to stamp duty at the 1% rate if the transfer relates to a sale, a contemplated sale, a gift or any other change in the beneficial ownership of such ordinary shares. However, transfers of ordinary shares into or out of the DTC are not subject to Irish stamp duty where no change in beneficial ownership of the shares has occurred and provided a contract for sale in respect of the transferring shares is not in place.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jc w:val="both"/>
        <w:ind w:firstLine="648"/>
        <w:spacing w:after="0" w:line="242" w:lineRule="auto"/>
        <w:rPr>
          <w:sz w:val="20"/>
          <w:szCs w:val="20"/>
          <w:color w:val="auto"/>
        </w:rPr>
      </w:pPr>
      <w:r>
        <w:rPr>
          <w:rFonts w:ascii="Arial" w:cs="Arial" w:eastAsia="Arial" w:hAnsi="Arial"/>
          <w:sz w:val="16"/>
          <w:szCs w:val="16"/>
          <w:color w:val="auto"/>
        </w:rPr>
        <w:t>The person accountable for payment of stamp duty is normally the transferee or, in the case of a transfer by way of gift, or for a consideration less than the market value, all parties to the transfer.</w:t>
      </w: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18" w:lineRule="exact"/>
        <w:rPr>
          <w:sz w:val="20"/>
          <w:szCs w:val="20"/>
          <w:color w:val="auto"/>
        </w:rPr>
      </w:pPr>
    </w:p>
    <w:p>
      <w:pPr>
        <w:ind w:left="660" w:right="8360" w:hanging="328"/>
        <w:spacing w:after="0" w:line="563" w:lineRule="auto"/>
        <w:tabs>
          <w:tab w:leader="none" w:pos="637"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60" w:right="8960" w:hanging="328"/>
        <w:spacing w:after="0" w:line="563" w:lineRule="auto"/>
        <w:tabs>
          <w:tab w:leader="none" w:pos="65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foreign private issuer, we are exempt from certain rules under the Exchange Act, including prescribing the furnishing and content of proxy statements to shareholders.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D18 X5R3 Attention: Corporate Governance, email: corporate.governance@iconplc.com.</w:t>
      </w:r>
    </w:p>
    <w:p>
      <w:pPr>
        <w:spacing w:after="0" w:line="20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 From Corporate Governance Listing Requirements Under the NASDAQ Marketplace Rules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248" w:lineRule="exact"/>
        <w:rPr>
          <w:sz w:val="20"/>
          <w:szCs w:val="20"/>
          <w:color w:val="auto"/>
        </w:rPr>
      </w:pPr>
    </w:p>
    <w:p>
      <w:pPr>
        <w:jc w:val="both"/>
        <w:ind w:left="900" w:hanging="244"/>
        <w:spacing w:after="0" w:line="250" w:lineRule="auto"/>
        <w:tabs>
          <w:tab w:leader="none" w:pos="8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229" w:lineRule="exact"/>
        <w:rPr>
          <w:rFonts w:ascii="Arial" w:cs="Arial" w:eastAsia="Arial" w:hAnsi="Arial"/>
          <w:sz w:val="16"/>
          <w:szCs w:val="16"/>
          <w:color w:val="auto"/>
        </w:rPr>
      </w:pPr>
    </w:p>
    <w:p>
      <w:pPr>
        <w:jc w:val="both"/>
        <w:ind w:left="900" w:hanging="244"/>
        <w:spacing w:after="0" w:line="249" w:lineRule="auto"/>
        <w:tabs>
          <w:tab w:leader="none" w:pos="8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31" w:lineRule="exact"/>
        <w:rPr>
          <w:rFonts w:ascii="Arial" w:cs="Arial" w:eastAsia="Arial" w:hAnsi="Arial"/>
          <w:sz w:val="16"/>
          <w:szCs w:val="16"/>
          <w:color w:val="auto"/>
        </w:rPr>
      </w:pPr>
    </w:p>
    <w:p>
      <w:pPr>
        <w:jc w:val="both"/>
        <w:ind w:left="900" w:hanging="244"/>
        <w:spacing w:after="0" w:line="250" w:lineRule="auto"/>
        <w:tabs>
          <w:tab w:leader="none" w:pos="8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w:t>
      </w:r>
      <w:r>
        <w:rPr>
          <w:rFonts w:ascii="Arial" w:cs="Arial" w:eastAsia="Arial" w:hAnsi="Arial"/>
          <w:sz w:val="16"/>
          <w:szCs w:val="16"/>
          <w:b w:val="1"/>
          <w:bCs w:val="1"/>
          <w:i w:val="1"/>
          <w:iCs w:val="1"/>
          <w:color w:val="auto"/>
        </w:rPr>
        <w:t>. Quantitative and Qualitative Disclosures about Market Risk.</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principal market risks (i.e. risk of loss arising from adverse changes in market rates and prices) to which we are exposed include foreign currency risk and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ind w:left="660"/>
              <w:spacing w:after="0"/>
              <w:rPr>
                <w:sz w:val="20"/>
                <w:szCs w:val="20"/>
                <w:color w:val="auto"/>
              </w:rPr>
            </w:pPr>
            <w:r>
              <w:rPr>
                <w:rFonts w:ascii="Arial" w:cs="Arial" w:eastAsia="Arial" w:hAnsi="Arial"/>
                <w:sz w:val="16"/>
                <w:szCs w:val="16"/>
                <w:color w:val="auto"/>
              </w:rPr>
              <w:t>The following significant exchange rates applied during the year:</w:t>
            </w: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14"/>
        </w:trPr>
        <w:tc>
          <w:tcPr>
            <w:tcW w:w="5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16"/>
        </w:trPr>
        <w:tc>
          <w:tcPr>
            <w:tcW w:w="58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Average Rate</w:t>
            </w:r>
          </w:p>
        </w:tc>
        <w:tc>
          <w:tcPr>
            <w:tcW w:w="1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Closing Rate</w:t>
            </w:r>
          </w:p>
        </w:tc>
        <w:tc>
          <w:tcPr>
            <w:tcW w:w="760" w:type="dxa"/>
            <w:vAlign w:val="bottom"/>
            <w:shd w:val="clear" w:color="auto" w:fill="CCEEFF"/>
          </w:tcPr>
          <w:p>
            <w:pPr>
              <w:spacing w:after="0"/>
              <w:rPr>
                <w:sz w:val="18"/>
                <w:szCs w:val="18"/>
                <w:color w:val="auto"/>
              </w:rPr>
            </w:pPr>
          </w:p>
        </w:tc>
      </w:tr>
      <w:tr>
        <w:trPr>
          <w:trHeight w:val="215"/>
        </w:trPr>
        <w:tc>
          <w:tcPr>
            <w:tcW w:w="58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Euro:USD</w:t>
            </w:r>
          </w:p>
        </w:tc>
        <w:tc>
          <w:tcPr>
            <w:tcW w:w="18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1.1886</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1.1357</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1.1370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1.2216</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Pound Sterling:USD</w:t>
            </w:r>
          </w:p>
        </w:tc>
        <w:tc>
          <w:tcPr>
            <w:tcW w:w="1800" w:type="dxa"/>
            <w:vAlign w:val="bottom"/>
          </w:tcPr>
          <w:p>
            <w:pPr>
              <w:jc w:val="right"/>
              <w:ind w:right="639"/>
              <w:spacing w:after="0"/>
              <w:rPr>
                <w:sz w:val="20"/>
                <w:szCs w:val="20"/>
                <w:color w:val="auto"/>
              </w:rPr>
            </w:pPr>
            <w:r>
              <w:rPr>
                <w:rFonts w:ascii="Arial" w:cs="Arial" w:eastAsia="Arial" w:hAnsi="Arial"/>
                <w:sz w:val="16"/>
                <w:szCs w:val="16"/>
                <w:b w:val="1"/>
                <w:bCs w:val="1"/>
                <w:color w:val="auto"/>
              </w:rPr>
              <w:t>1.3788</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1.2821</w:t>
            </w: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1.3532</w:t>
            </w:r>
          </w:p>
        </w:tc>
        <w:tc>
          <w:tcPr>
            <w:tcW w:w="760" w:type="dxa"/>
            <w:vAlign w:val="bottom"/>
          </w:tcPr>
          <w:p>
            <w:pPr>
              <w:jc w:val="right"/>
              <w:spacing w:after="0"/>
              <w:rPr>
                <w:sz w:val="20"/>
                <w:szCs w:val="20"/>
                <w:color w:val="auto"/>
              </w:rPr>
            </w:pPr>
            <w:r>
              <w:rPr>
                <w:rFonts w:ascii="Arial" w:cs="Arial" w:eastAsia="Arial" w:hAnsi="Arial"/>
                <w:sz w:val="16"/>
                <w:szCs w:val="16"/>
                <w:color w:val="auto"/>
              </w:rPr>
              <w:t>1.3670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Borrowings under the Senior Secured Term Loan facility amortize in quarterly installments equal to 1.00% per annum of the original principal amount ($5,515 million), and the remaining balance is due for repayment by July 2028. The interest rate margin applicable to the borrowings under the Senior Secured Term Loan Facility will be, at the option of the applicable borrower (as defined in the credit agreement), either (1) the base rate ( as described in the credit agreement) plus an applicable margin of 1.50% or (2) LIBOR plus an applicable margin of 2.50%, in each case , with a step down of 0.25% if the first lien net leverage ratio is equal to or less than 4.00 to 1.00. The senior secured facility is subject to a LIBOR floor of 0.50%</w:t>
      </w:r>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As at the December 31, 2021 the outstanding principal amount of the Senior Secured Term Loan Facility was $5,001 million. The applicable interest rate for the next quarterly interest period is expected to be 2.75%, comprising of the lower margin of 2.25% and the LIBOR floor of 0.50%. The interest rate is fixed on this debt on a calendar quarter basis and is subject to external market conditions. As at December 31, 2021 no hedges had been entered into to fix the interest on this debt beyond the quarterly term.</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to the Senior Secured Facilities, on July 1, 2021, the Company issued $500 million in aggregate principal senior notes due in 2026 in a private (“the Offering “). The Senior Secured Notes will mature in July 2026 and pay a fixed semi annual coupon to investors of 2.875% per annum. This debt is not subject to movements in interest rate conditions.</w:t>
      </w:r>
    </w:p>
    <w:p>
      <w:pPr>
        <w:spacing w:after="0" w:line="22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sensitivity analysis below represents the hypothetical change in the net interest payable of a 1% movement in market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284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Interest</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rPr>
                <w:sz w:val="14"/>
                <w:szCs w:val="14"/>
                <w:color w:val="auto"/>
              </w:rPr>
            </w:pPr>
          </w:p>
        </w:tc>
        <w:tc>
          <w:tcPr>
            <w:tcW w:w="400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Interest for the year ended</w:t>
            </w:r>
          </w:p>
        </w:tc>
        <w:tc>
          <w:tcPr>
            <w:tcW w:w="2840" w:type="dxa"/>
            <w:vAlign w:val="bottom"/>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Change 1% increase in</w:t>
            </w:r>
          </w:p>
        </w:tc>
        <w:tc>
          <w:tcPr>
            <w:tcW w:w="2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Change 1% decrease in</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rPr>
                <w:sz w:val="14"/>
                <w:szCs w:val="14"/>
                <w:color w:val="auto"/>
              </w:rPr>
            </w:pPr>
          </w:p>
        </w:tc>
        <w:tc>
          <w:tcPr>
            <w:tcW w:w="4000" w:type="dxa"/>
            <w:vAlign w:val="bottom"/>
            <w:vMerge w:val="continue"/>
            <w:shd w:val="clear" w:color="auto" w:fill="CCEEFF"/>
          </w:tcPr>
          <w:p>
            <w:pPr>
              <w:spacing w:after="0"/>
              <w:rPr>
                <w:sz w:val="14"/>
                <w:szCs w:val="14"/>
                <w:color w:val="auto"/>
              </w:rPr>
            </w:pPr>
          </w:p>
        </w:tc>
        <w:tc>
          <w:tcPr>
            <w:tcW w:w="2840" w:type="dxa"/>
            <w:vAlign w:val="bottom"/>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market interest rate</w:t>
            </w:r>
          </w:p>
        </w:tc>
        <w:tc>
          <w:tcPr>
            <w:tcW w:w="2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market interest rate</w:t>
            </w:r>
          </w:p>
        </w:tc>
        <w:tc>
          <w:tcPr>
            <w:tcW w:w="0" w:type="dxa"/>
            <w:vAlign w:val="bottom"/>
          </w:tcPr>
          <w:p>
            <w:pPr>
              <w:spacing w:after="0"/>
              <w:rPr>
                <w:sz w:val="1"/>
                <w:szCs w:val="1"/>
                <w:color w:val="auto"/>
              </w:rPr>
            </w:pPr>
          </w:p>
        </w:tc>
      </w:tr>
      <w:tr>
        <w:trPr>
          <w:trHeight w:val="215"/>
        </w:trPr>
        <w:tc>
          <w:tcPr>
            <w:tcW w:w="204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December 31, 2021 (in thousands)</w:t>
            </w:r>
          </w:p>
        </w:tc>
        <w:tc>
          <w:tcPr>
            <w:tcW w:w="28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000" w:type="dxa"/>
            <w:vAlign w:val="bottom"/>
          </w:tcPr>
          <w:p>
            <w:pPr>
              <w:jc w:val="right"/>
              <w:ind w:right="519"/>
              <w:spacing w:after="0"/>
              <w:rPr>
                <w:sz w:val="20"/>
                <w:szCs w:val="20"/>
                <w:color w:val="auto"/>
              </w:rPr>
            </w:pPr>
            <w:r>
              <w:rPr>
                <w:rFonts w:ascii="Arial" w:cs="Arial" w:eastAsia="Arial" w:hAnsi="Arial"/>
                <w:sz w:val="16"/>
                <w:szCs w:val="16"/>
                <w:color w:val="auto"/>
              </w:rPr>
              <w:t>$574</w:t>
            </w:r>
          </w:p>
        </w:tc>
        <w:tc>
          <w:tcPr>
            <w:tcW w:w="2840" w:type="dxa"/>
            <w:vAlign w:val="bottom"/>
          </w:tcPr>
          <w:p>
            <w:pPr>
              <w:jc w:val="right"/>
              <w:ind w:right="619"/>
              <w:spacing w:after="0"/>
              <w:rPr>
                <w:sz w:val="20"/>
                <w:szCs w:val="20"/>
                <w:color w:val="auto"/>
              </w:rPr>
            </w:pPr>
            <w:r>
              <w:rPr>
                <w:rFonts w:ascii="Arial" w:cs="Arial" w:eastAsia="Arial" w:hAnsi="Arial"/>
                <w:sz w:val="16"/>
                <w:szCs w:val="16"/>
                <w:color w:val="auto"/>
              </w:rPr>
              <w:t>$9,772</w:t>
            </w:r>
          </w:p>
        </w:tc>
        <w:tc>
          <w:tcPr>
            <w:tcW w:w="236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($182,423)</w:t>
            </w:r>
          </w:p>
        </w:tc>
        <w:tc>
          <w:tcPr>
            <w:tcW w:w="28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($206,398 *)</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($150,178 *)</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($181,849)</w:t>
            </w:r>
          </w:p>
        </w:tc>
        <w:tc>
          <w:tcPr>
            <w:tcW w:w="2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($196,626)</w:t>
            </w:r>
          </w:p>
        </w:tc>
        <w:tc>
          <w:tcPr>
            <w:tcW w:w="2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($150,177)</w:t>
            </w:r>
          </w:p>
        </w:tc>
        <w:tc>
          <w:tcPr>
            <w:tcW w:w="0" w:type="dxa"/>
            <w:vAlign w:val="bottom"/>
          </w:tcPr>
          <w:p>
            <w:pPr>
              <w:spacing w:after="0"/>
              <w:rPr>
                <w:sz w:val="1"/>
                <w:szCs w:val="1"/>
                <w:color w:val="auto"/>
              </w:rPr>
            </w:pPr>
          </w:p>
        </w:tc>
      </w:tr>
    </w:tbl>
    <w:p>
      <w:pPr>
        <w:spacing w:after="0" w:line="380" w:lineRule="exact"/>
        <w:rPr>
          <w:sz w:val="20"/>
          <w:szCs w:val="20"/>
          <w:color w:val="auto"/>
        </w:rPr>
      </w:pPr>
    </w:p>
    <w:p>
      <w:pPr>
        <w:ind w:firstLine="8"/>
        <w:spacing w:after="0" w:line="278" w:lineRule="auto"/>
        <w:tabs>
          <w:tab w:leader="none" w:pos="123" w:val="left"/>
        </w:tabs>
        <w:numPr>
          <w:ilvl w:val="0"/>
          <w:numId w:val="67"/>
        </w:numPr>
        <w:rPr>
          <w:rFonts w:ascii="Arial" w:cs="Arial" w:eastAsia="Arial" w:hAnsi="Arial"/>
          <w:sz w:val="16"/>
          <w:szCs w:val="16"/>
          <w:color w:val="auto"/>
        </w:rPr>
      </w:pPr>
      <w:r>
        <w:rPr>
          <w:rFonts w:ascii="Arial" w:cs="Arial" w:eastAsia="Arial" w:hAnsi="Arial"/>
          <w:sz w:val="16"/>
          <w:szCs w:val="16"/>
          <w:color w:val="auto"/>
        </w:rPr>
        <w:t>14% of the interest costs fixed due to high yield bond issuance. $88.6 million financing fees have been allocated to interest cost which are not impacted by a change in interest rate.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w:t>
      </w:r>
      <w:r>
        <w:rPr>
          <w:rFonts w:ascii="Arial" w:cs="Arial" w:eastAsia="Arial" w:hAnsi="Arial"/>
          <w:sz w:val="16"/>
          <w:szCs w:val="16"/>
          <w:b w:val="1"/>
          <w:bCs w:val="1"/>
          <w:i w:val="1"/>
          <w:iCs w:val="1"/>
          <w:color w:val="auto"/>
        </w:rPr>
        <w:t>. Description of Securities Other than Equity Securities.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w:t>
      </w:r>
      <w:r>
        <w:rPr>
          <w:rFonts w:ascii="Arial" w:cs="Arial" w:eastAsia="Arial" w:hAnsi="Arial"/>
          <w:sz w:val="16"/>
          <w:szCs w:val="16"/>
          <w:b w:val="1"/>
          <w:bCs w:val="1"/>
          <w:i w:val="1"/>
          <w:iCs w:val="1"/>
          <w:color w:val="auto"/>
        </w:rPr>
        <w:t>. Defaults, Dividend Arrearages and Delinquencies.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Material Modifications to the Rights of Security Holders and Use of Proceeds.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Controls and Procedures.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2021.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Following the completion of the Merger on July 1, 2021, Management has continued to progress the integration of PRA into the established internal control framework of the Company. As of December 31, 2021, Management have not yet formally completed its evaluation of the internal control framework of PRA and management have elected to exclude the acquired business from its assessment of internal control over financial reporting as of December 31, 2021. Management expect to have completed its evaluation by June 30, 2022. PRA represented 10% of total assets as of December 31, 2021 and 38% of revenue for the year then ended.</w:t>
      </w:r>
    </w:p>
    <w:p>
      <w:pPr>
        <w:spacing w:after="0" w:line="200" w:lineRule="exact"/>
        <w:rPr>
          <w:sz w:val="20"/>
          <w:szCs w:val="20"/>
          <w:color w:val="auto"/>
        </w:rPr>
      </w:pPr>
    </w:p>
    <w:p>
      <w:pPr>
        <w:spacing w:after="0" w:line="253" w:lineRule="exact"/>
        <w:rPr>
          <w:sz w:val="20"/>
          <w:szCs w:val="20"/>
          <w:color w:val="auto"/>
        </w:rPr>
      </w:pPr>
    </w:p>
    <w:p>
      <w:pPr>
        <w:ind w:left="660" w:right="3920" w:hanging="328"/>
        <w:spacing w:after="0" w:line="563" w:lineRule="auto"/>
        <w:tabs>
          <w:tab w:leader="none" w:pos="6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Management's Annual Report on Internal Accounting Control over Financial Reporting </w:t>
      </w:r>
      <w:r>
        <w:rPr>
          <w:rFonts w:ascii="Arial" w:cs="Arial" w:eastAsia="Arial" w:hAnsi="Arial"/>
          <w:sz w:val="16"/>
          <w:szCs w:val="16"/>
          <w:color w:val="auto"/>
        </w:rPr>
        <w:t>Reference is made to page 102 of this Form 20-F.</w:t>
      </w:r>
    </w:p>
    <w:p>
      <w:pPr>
        <w:ind w:left="660" w:right="5220" w:hanging="328"/>
        <w:spacing w:after="0" w:line="563" w:lineRule="auto"/>
        <w:tabs>
          <w:tab w:leader="none" w:pos="6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Independent Registered Public Accounting Firm </w:t>
      </w:r>
      <w:r>
        <w:rPr>
          <w:rFonts w:ascii="Arial" w:cs="Arial" w:eastAsia="Arial" w:hAnsi="Arial"/>
          <w:sz w:val="16"/>
          <w:szCs w:val="16"/>
          <w:color w:val="auto"/>
        </w:rPr>
        <w:t>Reference is made to page 103 of this Form 20-F.</w:t>
      </w:r>
    </w:p>
    <w:p>
      <w:pPr>
        <w:ind w:left="660" w:hanging="328"/>
        <w:spacing w:after="0"/>
        <w:tabs>
          <w:tab w:leader="none" w:pos="6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Controls over Financial Reporting</w:t>
      </w:r>
    </w:p>
    <w:p>
      <w:pPr>
        <w:spacing w:after="0" w:line="26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There were no changes in our internal controls over financial reporting during the period covered by this Form 20-F that have materially affected or are reasonably likely to materially affect our internal controls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Reserved.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Mr. Rónán Murphy acts as the Audit Committee financial expert serving on our Audit Committee and Board of Directors. The Board has determined that Mr. Murphy is independent.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Ethical Conduct</w:t>
      </w:r>
    </w:p>
    <w:p>
      <w:pPr>
        <w:spacing w:after="0" w:line="255" w:lineRule="exact"/>
        <w:rPr>
          <w:sz w:val="20"/>
          <w:szCs w:val="20"/>
          <w:color w:val="auto"/>
        </w:rPr>
      </w:pPr>
    </w:p>
    <w:p>
      <w:pPr>
        <w:ind w:right="220" w:firstLine="648"/>
        <w:spacing w:after="0" w:line="237" w:lineRule="auto"/>
        <w:rPr>
          <w:sz w:val="20"/>
          <w:szCs w:val="20"/>
          <w:color w:val="auto"/>
        </w:rPr>
      </w:pPr>
      <w:r>
        <w:rPr>
          <w:rFonts w:ascii="Arial" w:cs="Arial" w:eastAsia="Arial" w:hAnsi="Arial"/>
          <w:sz w:val="16"/>
          <w:szCs w:val="16"/>
          <w:color w:val="auto"/>
        </w:rPr>
        <w:t xml:space="preserve">Our Global Code of Ethical Conduct applies to all officers, directors, employees, consultants and agents globally of ICON plc, its subsidiaries and branches. There are no waivers from the provisions of the Code of Ethical Conduct that are required to be disclosed. This Code of Ethical Conduct is available on our website at: </w:t>
      </w:r>
      <w:r>
        <w:rPr>
          <w:rFonts w:ascii="Arial" w:cs="Arial" w:eastAsia="Arial" w:hAnsi="Arial"/>
          <w:sz w:val="16"/>
          <w:szCs w:val="16"/>
          <w:u w:val="single" w:color="auto"/>
          <w:color w:val="0000FF"/>
        </w:rPr>
        <w:t>https://investor.iconplc.com/corporate-governance/governance-documents</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-123825</wp:posOffset>
            </wp:positionV>
            <wp:extent cx="5969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1200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principal accountants for the years ended December 31, 2021 and December 31, 2020 were KPMG, Dublin, Ireland (Audit firm ID: 1116). The table below summarizes the fees for professional services rendered by KPMG for the audit of our annual financial statements for the years ended December 31, 2021 and December 31, 2020 and fees billed for other services rendered by KPMG.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shd w:val="clear" w:color="auto" w:fill="CCEEFF"/>
          </w:tcPr>
          <w:p>
            <w:pPr>
              <w:spacing w:after="0"/>
              <w:rPr>
                <w:sz w:val="16"/>
                <w:szCs w:val="16"/>
                <w:color w:val="auto"/>
              </w:rPr>
            </w:pPr>
          </w:p>
        </w:tc>
        <w:tc>
          <w:tcPr>
            <w:tcW w:w="778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12 month period ended December 31, 12 month period ended December 31,</w:t>
            </w:r>
          </w:p>
        </w:tc>
      </w:tr>
      <w:tr>
        <w:trPr>
          <w:trHeight w:val="215"/>
        </w:trPr>
        <w:tc>
          <w:tcPr>
            <w:tcW w:w="346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2021 (in thousands)</w:t>
            </w:r>
          </w:p>
        </w:tc>
        <w:tc>
          <w:tcPr>
            <w:tcW w:w="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 (in thousands)</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Audit fees (1)</w:t>
            </w:r>
          </w:p>
        </w:tc>
        <w:tc>
          <w:tcPr>
            <w:tcW w:w="3240" w:type="dxa"/>
            <w:vAlign w:val="bottom"/>
          </w:tcPr>
          <w:p>
            <w:pPr>
              <w:jc w:val="right"/>
              <w:spacing w:after="0"/>
              <w:rPr>
                <w:sz w:val="20"/>
                <w:szCs w:val="20"/>
                <w:color w:val="auto"/>
              </w:rPr>
            </w:pPr>
            <w:r>
              <w:rPr>
                <w:rFonts w:ascii="Arial" w:cs="Arial" w:eastAsia="Arial" w:hAnsi="Arial"/>
                <w:sz w:val="16"/>
                <w:szCs w:val="16"/>
                <w:color w:val="auto"/>
              </w:rPr>
              <w:t>$2,906</w:t>
            </w:r>
          </w:p>
        </w:tc>
        <w:tc>
          <w:tcPr>
            <w:tcW w:w="2000" w:type="dxa"/>
            <w:vAlign w:val="bottom"/>
          </w:tcPr>
          <w:p>
            <w:pPr>
              <w:jc w:val="right"/>
              <w:ind w:right="359"/>
              <w:spacing w:after="0"/>
              <w:rPr>
                <w:sz w:val="20"/>
                <w:szCs w:val="20"/>
                <w:color w:val="auto"/>
              </w:rPr>
            </w:pPr>
            <w:r>
              <w:rPr>
                <w:rFonts w:ascii="Arial" w:cs="Arial" w:eastAsia="Arial" w:hAnsi="Arial"/>
                <w:sz w:val="16"/>
                <w:szCs w:val="16"/>
                <w:color w:val="auto"/>
              </w:rPr>
              <w:t>32 %</w:t>
            </w:r>
          </w:p>
        </w:tc>
        <w:tc>
          <w:tcPr>
            <w:tcW w:w="960" w:type="dxa"/>
            <w:vAlign w:val="bottom"/>
          </w:tcPr>
          <w:p>
            <w:pPr>
              <w:jc w:val="right"/>
              <w:spacing w:after="0"/>
              <w:rPr>
                <w:sz w:val="20"/>
                <w:szCs w:val="20"/>
                <w:color w:val="auto"/>
              </w:rPr>
            </w:pPr>
            <w:r>
              <w:rPr>
                <w:rFonts w:ascii="Arial" w:cs="Arial" w:eastAsia="Arial" w:hAnsi="Arial"/>
                <w:sz w:val="16"/>
                <w:szCs w:val="16"/>
                <w:color w:val="auto"/>
              </w:rPr>
              <w:t>$1,438</w:t>
            </w:r>
          </w:p>
        </w:tc>
        <w:tc>
          <w:tcPr>
            <w:tcW w:w="158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related fees (2)</w:t>
            </w:r>
          </w:p>
        </w:tc>
        <w:tc>
          <w:tcPr>
            <w:tcW w:w="3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2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2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 (3)</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2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400"/>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$9,085</w:t>
            </w:r>
          </w:p>
        </w:tc>
        <w:tc>
          <w:tcPr>
            <w:tcW w:w="20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(1) Audit fees include annual audit fees for the Company and its subsidiaries.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0" w:name="page101"/>
    <w:bookmarkEnd w:id="100"/>
    <w:p>
      <w:pPr>
        <w:ind w:left="260" w:hanging="252"/>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Audit related fees principally consist of fees for financial due diligence services, fees for the audit of employee benefit plans and fees for pension reviews.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Tax fees are fees for tax compliance and tax consultation services.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provided to the Company by its auditors.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ordinary shares were redeemed by the Company during the year ended December 31, 2021.</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year ended December 31, 2020, 1,235,218 ordinary shares were redeemed by the Company for a total consideration of $175.0 million. All ordinary shares that are redeemed under the buyback program were canceled in accordance with the constitutional documents of the Company and the nominal value of these shares transferred to an undenominated capital fund as required under Irish Company law.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shd w:val="clear" w:color="auto" w:fill="CCEEFF"/>
          </w:tcPr>
          <w:p>
            <w:pPr>
              <w:spacing w:after="0"/>
              <w:rPr>
                <w:sz w:val="16"/>
                <w:szCs w:val="16"/>
                <w:color w:val="auto"/>
              </w:rPr>
            </w:pPr>
          </w:p>
        </w:tc>
        <w:tc>
          <w:tcPr>
            <w:tcW w:w="23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 Price Paid per</w:t>
            </w:r>
          </w:p>
        </w:tc>
        <w:tc>
          <w:tcPr>
            <w:tcW w:w="272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Total 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215"/>
        </w:trPr>
        <w:tc>
          <w:tcPr>
            <w:tcW w:w="266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of Shares Purchased</w:t>
            </w:r>
          </w:p>
        </w:tc>
        <w:tc>
          <w:tcPr>
            <w:tcW w:w="2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4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of Shares Purchased Paid for Shares Purchased</w:t>
            </w:r>
          </w:p>
        </w:tc>
      </w:tr>
      <w:tr>
        <w:trPr>
          <w:trHeight w:val="209"/>
        </w:trPr>
        <w:tc>
          <w:tcPr>
            <w:tcW w:w="2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(in thousands, except per share data)</w:t>
            </w:r>
          </w:p>
        </w:tc>
        <w:tc>
          <w:tcPr>
            <w:tcW w:w="1280" w:type="dxa"/>
            <w:vAlign w:val="bottom"/>
          </w:tcPr>
          <w:p>
            <w:pPr>
              <w:spacing w:after="0"/>
              <w:rPr>
                <w:sz w:val="18"/>
                <w:szCs w:val="18"/>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02/1/20 – 02/29/20</w:t>
            </w:r>
          </w:p>
        </w:tc>
        <w:tc>
          <w:tcPr>
            <w:tcW w:w="2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91,944</w:t>
            </w:r>
          </w:p>
        </w:tc>
        <w:tc>
          <w:tcPr>
            <w:tcW w:w="2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$160.49</w:t>
            </w:r>
          </w:p>
        </w:tc>
        <w:tc>
          <w:tcPr>
            <w:tcW w:w="27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91,944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r>
      <w:tr>
        <w:trPr>
          <w:trHeight w:val="21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03/1/20 – 03/31/20</w:t>
            </w:r>
          </w:p>
        </w:tc>
        <w:tc>
          <w:tcPr>
            <w:tcW w:w="2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1,143,274</w:t>
            </w:r>
          </w:p>
        </w:tc>
        <w:tc>
          <w:tcPr>
            <w:tcW w:w="2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$140.16</w:t>
            </w:r>
          </w:p>
        </w:tc>
        <w:tc>
          <w:tcPr>
            <w:tcW w:w="27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1,143,274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$160,244</w:t>
            </w:r>
          </w:p>
        </w:tc>
      </w:tr>
      <w:tr>
        <w:trPr>
          <w:trHeight w:val="234"/>
        </w:trPr>
        <w:tc>
          <w:tcPr>
            <w:tcW w:w="266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1,235,218</w:t>
            </w:r>
          </w:p>
        </w:tc>
        <w:tc>
          <w:tcPr>
            <w:tcW w:w="2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$141.68</w:t>
            </w:r>
          </w:p>
        </w:tc>
        <w:tc>
          <w:tcPr>
            <w:tcW w:w="27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1,235,218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January 8, 2019, the Company commenced a share buyback program of up to 1.0 million shares which was completed during the year ended December 31, 2019. These shares were redeemed by the Company for a total consideration of $141.6 million.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Average Price Paid per</w:t>
            </w:r>
          </w:p>
        </w:tc>
        <w:tc>
          <w:tcPr>
            <w:tcW w:w="24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Total Number</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of Shares Purchased</w:t>
            </w:r>
          </w:p>
        </w:tc>
        <w:tc>
          <w:tcPr>
            <w:tcW w:w="20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b w:val="1"/>
                <w:bCs w:val="1"/>
                <w:color w:val="auto"/>
              </w:rPr>
              <w:t>Share</w:t>
            </w:r>
          </w:p>
        </w:tc>
        <w:tc>
          <w:tcPr>
            <w:tcW w:w="4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 Purchased as Paid for Shares Purchased</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Part of a</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as</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Publicly Announced</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Part of a</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Plan</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Publicly Announced</w:t>
            </w:r>
          </w:p>
        </w:tc>
      </w:tr>
      <w:tr>
        <w:trPr>
          <w:trHeight w:val="215"/>
        </w:trPr>
        <w:tc>
          <w:tcPr>
            <w:tcW w:w="2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Plan</w:t>
            </w:r>
          </w:p>
        </w:tc>
      </w:tr>
      <w:tr>
        <w:trPr>
          <w:trHeight w:val="210"/>
        </w:trPr>
        <w:tc>
          <w:tcPr>
            <w:tcW w:w="2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 except per share data)</w:t>
            </w:r>
          </w:p>
        </w:tc>
        <w:tc>
          <w:tcPr>
            <w:tcW w:w="1660" w:type="dxa"/>
            <w:vAlign w:val="bottom"/>
          </w:tcPr>
          <w:p>
            <w:pPr>
              <w:spacing w:after="0"/>
              <w:rPr>
                <w:sz w:val="18"/>
                <w:szCs w:val="18"/>
                <w:color w:val="auto"/>
              </w:rPr>
            </w:pPr>
          </w:p>
        </w:tc>
      </w:tr>
      <w:tr>
        <w:trPr>
          <w:trHeight w:val="217"/>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1/1 /19– 1/31/19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200,253</w:t>
            </w:r>
          </w:p>
        </w:tc>
        <w:tc>
          <w:tcPr>
            <w:tcW w:w="2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$124.84</w:t>
            </w:r>
          </w:p>
        </w:tc>
        <w:tc>
          <w:tcPr>
            <w:tcW w:w="24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200,253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April 4/1/19 – 4/30/19</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58,630</w:t>
            </w:r>
          </w:p>
        </w:tc>
        <w:tc>
          <w:tcPr>
            <w:tcW w:w="2080" w:type="dxa"/>
            <w:vAlign w:val="bottom"/>
          </w:tcPr>
          <w:p>
            <w:pPr>
              <w:jc w:val="right"/>
              <w:ind w:right="119"/>
              <w:spacing w:after="0"/>
              <w:rPr>
                <w:sz w:val="20"/>
                <w:szCs w:val="20"/>
                <w:color w:val="auto"/>
              </w:rPr>
            </w:pPr>
            <w:r>
              <w:rPr>
                <w:rFonts w:ascii="Arial" w:cs="Arial" w:eastAsia="Arial" w:hAnsi="Arial"/>
                <w:sz w:val="16"/>
                <w:szCs w:val="16"/>
                <w:color w:val="auto"/>
              </w:rPr>
              <w:t>$129.91</w:t>
            </w:r>
          </w:p>
        </w:tc>
        <w:tc>
          <w:tcPr>
            <w:tcW w:w="2460" w:type="dxa"/>
            <w:vAlign w:val="bottom"/>
          </w:tcPr>
          <w:p>
            <w:pPr>
              <w:jc w:val="right"/>
              <w:ind w:right="459"/>
              <w:spacing w:after="0"/>
              <w:rPr>
                <w:sz w:val="20"/>
                <w:szCs w:val="20"/>
                <w:color w:val="auto"/>
              </w:rPr>
            </w:pPr>
            <w:r>
              <w:rPr>
                <w:rFonts w:ascii="Arial" w:cs="Arial" w:eastAsia="Arial" w:hAnsi="Arial"/>
                <w:sz w:val="16"/>
                <w:szCs w:val="16"/>
                <w:color w:val="auto"/>
              </w:rPr>
              <w:t>58,630</w:t>
            </w:r>
          </w:p>
        </w:tc>
        <w:tc>
          <w:tcPr>
            <w:tcW w:w="1660" w:type="dxa"/>
            <w:vAlign w:val="bottom"/>
          </w:tcPr>
          <w:p>
            <w:pPr>
              <w:jc w:val="right"/>
              <w:spacing w:after="0"/>
              <w:rPr>
                <w:sz w:val="20"/>
                <w:szCs w:val="20"/>
                <w:color w:val="auto"/>
              </w:rPr>
            </w:pPr>
            <w:r>
              <w:rPr>
                <w:rFonts w:ascii="Arial" w:cs="Arial" w:eastAsia="Arial" w:hAnsi="Arial"/>
                <w:sz w:val="16"/>
                <w:szCs w:val="16"/>
                <w:color w:val="auto"/>
              </w:rPr>
              <w:t>$7,617</w:t>
            </w: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5/1/19 – 5/31/19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237,352</w:t>
            </w:r>
          </w:p>
        </w:tc>
        <w:tc>
          <w:tcPr>
            <w:tcW w:w="2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$136.86</w:t>
            </w:r>
          </w:p>
        </w:tc>
        <w:tc>
          <w:tcPr>
            <w:tcW w:w="24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237,352</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$32,483</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August 8/1/19 – 8/31/19</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6,495</w:t>
            </w:r>
          </w:p>
        </w:tc>
        <w:tc>
          <w:tcPr>
            <w:tcW w:w="2080" w:type="dxa"/>
            <w:vAlign w:val="bottom"/>
          </w:tcPr>
          <w:p>
            <w:pPr>
              <w:jc w:val="right"/>
              <w:ind w:right="119"/>
              <w:spacing w:after="0"/>
              <w:rPr>
                <w:sz w:val="20"/>
                <w:szCs w:val="20"/>
                <w:color w:val="auto"/>
              </w:rPr>
            </w:pPr>
            <w:r>
              <w:rPr>
                <w:rFonts w:ascii="Arial" w:cs="Arial" w:eastAsia="Arial" w:hAnsi="Arial"/>
                <w:sz w:val="16"/>
                <w:szCs w:val="16"/>
                <w:color w:val="auto"/>
              </w:rPr>
              <w:t>$152.00</w:t>
            </w:r>
          </w:p>
        </w:tc>
        <w:tc>
          <w:tcPr>
            <w:tcW w:w="2460" w:type="dxa"/>
            <w:vAlign w:val="bottom"/>
          </w:tcPr>
          <w:p>
            <w:pPr>
              <w:jc w:val="right"/>
              <w:ind w:right="459"/>
              <w:spacing w:after="0"/>
              <w:rPr>
                <w:sz w:val="20"/>
                <w:szCs w:val="20"/>
                <w:color w:val="auto"/>
              </w:rPr>
            </w:pPr>
            <w:r>
              <w:rPr>
                <w:rFonts w:ascii="Arial" w:cs="Arial" w:eastAsia="Arial" w:hAnsi="Arial"/>
                <w:sz w:val="16"/>
                <w:szCs w:val="16"/>
                <w:color w:val="auto"/>
              </w:rPr>
              <w:t>6,495</w:t>
            </w:r>
          </w:p>
        </w:tc>
        <w:tc>
          <w:tcPr>
            <w:tcW w:w="166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6"/>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September 9/1/19 – 9/30/19</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497,270</w:t>
            </w:r>
          </w:p>
        </w:tc>
        <w:tc>
          <w:tcPr>
            <w:tcW w:w="2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$151.80</w:t>
            </w:r>
          </w:p>
        </w:tc>
        <w:tc>
          <w:tcPr>
            <w:tcW w:w="24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497,270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$75,486</w:t>
            </w:r>
          </w:p>
        </w:tc>
      </w:tr>
      <w:tr>
        <w:trPr>
          <w:trHeight w:val="210"/>
        </w:trPr>
        <w:tc>
          <w:tcPr>
            <w:tcW w:w="26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1,000,000</w:t>
            </w:r>
          </w:p>
        </w:tc>
        <w:tc>
          <w:tcPr>
            <w:tcW w:w="2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$141.57</w:t>
            </w:r>
          </w:p>
        </w:tc>
        <w:tc>
          <w:tcPr>
            <w:tcW w:w="2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1,000,000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$141,573</w:t>
            </w:r>
          </w:p>
        </w:tc>
      </w:tr>
      <w:tr>
        <w:trPr>
          <w:trHeight w:val="23"/>
        </w:trPr>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October 22, 2019, the Company commenced a further share buyback program. At December 31, 2019, 35,100 ordinary shares were redeemed for a total consideration of $5.3 million. All ordinary shares that were redeemed under the buyback programs were canceled in accordance with the Constitution of the Company and the nominal value of these shares transferred to other undenominated capital as required under Irish Company law.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 Price Paid per</w:t>
            </w:r>
          </w:p>
        </w:tc>
        <w:tc>
          <w:tcPr>
            <w:tcW w:w="272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Total 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215"/>
        </w:trPr>
        <w:tc>
          <w:tcPr>
            <w:tcW w:w="262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of Shares Purchased</w:t>
            </w:r>
          </w:p>
        </w:tc>
        <w:tc>
          <w:tcPr>
            <w:tcW w:w="2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4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of Shares Purchased Paid for Shares Purchased</w:t>
            </w:r>
          </w:p>
        </w:tc>
      </w:tr>
      <w:tr>
        <w:trPr>
          <w:trHeight w:val="210"/>
        </w:trPr>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(in thousands, except per share data)</w:t>
            </w:r>
          </w:p>
        </w:tc>
        <w:tc>
          <w:tcPr>
            <w:tcW w:w="1280" w:type="dxa"/>
            <w:vAlign w:val="bottom"/>
          </w:tcPr>
          <w:p>
            <w:pPr>
              <w:spacing w:after="0"/>
              <w:rPr>
                <w:sz w:val="18"/>
                <w:szCs w:val="18"/>
                <w:color w:val="auto"/>
              </w:rPr>
            </w:pPr>
          </w:p>
        </w:tc>
      </w:tr>
      <w:tr>
        <w:trPr>
          <w:trHeight w:val="214"/>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October 10/1/19 – 10/31/19</w:t>
            </w:r>
          </w:p>
        </w:tc>
        <w:tc>
          <w:tcPr>
            <w:tcW w:w="2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35,100</w:t>
            </w:r>
          </w:p>
        </w:tc>
        <w:tc>
          <w:tcPr>
            <w:tcW w:w="2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$152.66</w:t>
            </w:r>
          </w:p>
        </w:tc>
        <w:tc>
          <w:tcPr>
            <w:tcW w:w="27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35,100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w:t>
            </w:r>
          </w:p>
        </w:tc>
      </w:tr>
      <w:tr>
        <w:trPr>
          <w:trHeight w:val="210"/>
        </w:trPr>
        <w:tc>
          <w:tcPr>
            <w:tcW w:w="26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35,100</w:t>
            </w:r>
          </w:p>
        </w:tc>
        <w:tc>
          <w:tcPr>
            <w:tcW w:w="2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$152.66</w:t>
            </w:r>
          </w:p>
        </w:tc>
        <w:tc>
          <w:tcPr>
            <w:tcW w:w="27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35,100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w:t>
            </w:r>
          </w:p>
        </w:tc>
      </w:tr>
      <w:tr>
        <w:trPr>
          <w:trHeight w:val="24"/>
        </w:trPr>
        <w:tc>
          <w:tcPr>
            <w:tcW w:w="26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1" w:name="page102"/>
    <w:bookmarkEnd w:id="101"/>
    <w:p>
      <w:pPr>
        <w:jc w:val="both"/>
        <w:ind w:firstLine="648"/>
        <w:spacing w:after="0" w:line="248" w:lineRule="auto"/>
        <w:rPr>
          <w:sz w:val="20"/>
          <w:szCs w:val="20"/>
          <w:color w:val="auto"/>
        </w:rPr>
      </w:pPr>
      <w:r>
        <w:rPr>
          <w:rFonts w:ascii="Arial" w:cs="Arial" w:eastAsia="Arial" w:hAnsi="Arial"/>
          <w:sz w:val="16"/>
          <w:szCs w:val="16"/>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Changes in Registrant's Certifying Accountant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Financial Statements.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w:t>
      </w:r>
      <w:r>
        <w:rPr>
          <w:rFonts w:ascii="Arial" w:cs="Arial" w:eastAsia="Arial" w:hAnsi="Arial"/>
          <w:sz w:val="16"/>
          <w:szCs w:val="16"/>
          <w:b w:val="1"/>
          <w:bCs w:val="1"/>
          <w:i w:val="1"/>
          <w:iCs w:val="1"/>
          <w:color w:val="auto"/>
        </w:rPr>
        <w:t>. Financial Statements.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pages 102 to 158 of this Form 20-F.</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19. </w:t>
      </w:r>
      <w:r>
        <w:rPr>
          <w:rFonts w:ascii="Arial" w:cs="Arial" w:eastAsia="Arial" w:hAnsi="Arial"/>
          <w:sz w:val="16"/>
          <w:szCs w:val="16"/>
          <w:b w:val="1"/>
          <w:bCs w:val="1"/>
          <w:i w:val="1"/>
          <w:iCs w:val="1"/>
          <w:color w:val="auto"/>
        </w:rPr>
        <w:t>Exhibits.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of ICON plc and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Exhibits of ICON plc and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Reports of Independent Registered Public Accounting Firm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Balance Sheets as at December 31, 2021 and December 31, 2020</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Operations for the years ended December 31, 2021, December 31, 2020 and December 31,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Comprehensive Income for the years ended December 31, 2021, December 31, 2020 and December 31, 2019</w:t>
      </w:r>
    </w:p>
    <w:p>
      <w:pPr>
        <w:spacing w:after="0" w:line="167"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Consolidated Statements of Shareholders' Equity and Comprehensive Income for the years ended December 31, 2021, December 31, 2020 and December 31, 2019</w:t>
      </w:r>
    </w:p>
    <w:p>
      <w:pPr>
        <w:spacing w:after="0" w:line="141" w:lineRule="exact"/>
        <w:rPr>
          <w:sz w:val="20"/>
          <w:szCs w:val="20"/>
          <w:color w:val="auto"/>
        </w:rPr>
      </w:pPr>
    </w:p>
    <w:p>
      <w:pPr>
        <w:ind w:left="660" w:right="1500"/>
        <w:spacing w:after="0" w:line="471" w:lineRule="auto"/>
        <w:rPr>
          <w:sz w:val="20"/>
          <w:szCs w:val="20"/>
          <w:color w:val="auto"/>
        </w:rPr>
      </w:pPr>
      <w:r>
        <w:rPr>
          <w:rFonts w:ascii="Arial" w:cs="Arial" w:eastAsia="Arial" w:hAnsi="Arial"/>
          <w:sz w:val="16"/>
          <w:szCs w:val="16"/>
          <w:color w:val="auto"/>
        </w:rPr>
        <w:t>Consolidated Statements of Cash Flows for the years ended December 31, 2021, December 31, 2020 and December 31, 2019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640" w:type="dxa"/>
            <w:vAlign w:val="bottom"/>
            <w:vMerge w:val="restart"/>
            <w:shd w:val="clear" w:color="auto" w:fill="CCEEFF"/>
          </w:tcPr>
          <w:p>
            <w:pPr>
              <w:ind w:left="3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28">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CCEEFF"/>
            </w:tcBorders>
            <w:shd w:val="clear" w:color="auto" w:fill="CCEEFF"/>
          </w:tcPr>
          <w:p>
            <w:pPr>
              <w:ind w:left="360"/>
              <w:spacing w:after="0" w:line="144" w:lineRule="exact"/>
              <w:rPr>
                <w:sz w:val="20"/>
                <w:szCs w:val="20"/>
                <w:color w:val="auto"/>
              </w:rPr>
            </w:pPr>
            <w:r>
              <w:rPr>
                <w:rFonts w:ascii="Arial" w:cs="Arial" w:eastAsia="Arial" w:hAnsi="Arial"/>
                <w:sz w:val="16"/>
                <w:szCs w:val="16"/>
                <w:color w:val="auto"/>
              </w:rPr>
              <w:t>Sub, Inc and PRA Health Sciences, Inc. (incorporated by reference to exhibit 2.1 to the Form 6K (file No. 333-08704) filed on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February 24, 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40" w:type="dxa"/>
            <w:vAlign w:val="bottom"/>
            <w:gridSpan w:val="4"/>
            <w:shd w:val="clear" w:color="auto" w:fill="CCEEFF"/>
          </w:tcPr>
          <w:p>
            <w:pPr>
              <w:ind w:left="20"/>
              <w:spacing w:after="0" w:line="175" w:lineRule="exact"/>
              <w:rPr>
                <w:rFonts w:ascii="Arial" w:cs="Arial" w:eastAsia="Arial" w:hAnsi="Arial"/>
                <w:sz w:val="16"/>
                <w:szCs w:val="16"/>
                <w:color w:val="0000FF"/>
              </w:rPr>
            </w:pPr>
            <w:hyperlink w:anchor="page161">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Securities Registered Under Section 12 of the Exchange Act.</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29">
              <w:r>
                <w:rPr>
                  <w:rFonts w:ascii="Arial" w:cs="Arial" w:eastAsia="Arial" w:hAnsi="Arial"/>
                  <w:sz w:val="16"/>
                  <w:szCs w:val="16"/>
                  <w:color w:val="0000FF"/>
                </w:rPr>
                <w:t>2.</w:t>
              </w:r>
              <w:r>
                <w:rPr>
                  <w:rFonts w:ascii="Arial" w:cs="Arial" w:eastAsia="Arial" w:hAnsi="Arial"/>
                  <w:sz w:val="16"/>
                  <w:szCs w:val="16"/>
                  <w:u w:val="single" w:color="auto"/>
                  <w:color w:val="0000FF"/>
                </w:rPr>
                <w:t>3</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Credit Agreement, dated as of July 1, 2021, by and among ICON Luxembourg, S.À R.L., ICON Clinical Investments, LLC, Indigo</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71" w:lineRule="exact"/>
              <w:rPr>
                <w:sz w:val="20"/>
                <w:szCs w:val="20"/>
                <w:color w:val="auto"/>
              </w:rPr>
            </w:pPr>
            <w:r>
              <w:rPr>
                <w:rFonts w:ascii="Arial" w:cs="Arial" w:eastAsia="Arial" w:hAnsi="Arial"/>
                <w:sz w:val="16"/>
                <w:szCs w:val="16"/>
                <w:color w:val="auto"/>
              </w:rPr>
              <w:t>Merger Sub, Inc. (which, after giving effect to the Merger on the Closing Date was succeeded by PRA Health Sciences, Inc.),</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ICON Public Limited Company, the other borrowers party thereto from time to time, the subsidiary guarantors party thereto from</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time to time, lenders party thereto Citibank, N.A., as administrative agent, and Citibank, N.A., London Branch, as collateral agent</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99.1 to the Form 6K (File No. 333-08704) filed on July 1, 2021).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30">
              <w:r>
                <w:rPr>
                  <w:rFonts w:ascii="Arial" w:cs="Arial" w:eastAsia="Arial" w:hAnsi="Arial"/>
                  <w:sz w:val="16"/>
                  <w:szCs w:val="16"/>
                  <w:color w:val="0000FF"/>
                </w:rPr>
                <w:t>2.</w:t>
              </w:r>
              <w:r>
                <w:rPr>
                  <w:rFonts w:ascii="Arial" w:cs="Arial" w:eastAsia="Arial" w:hAnsi="Arial"/>
                  <w:sz w:val="16"/>
                  <w:szCs w:val="16"/>
                  <w:u w:val="single" w:color="auto"/>
                  <w:color w:val="0000FF"/>
                </w:rPr>
                <w:t>4</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Indenture, dated as of July 1, 2021, by and among Indigo Merger Sub, Inc., PRA Health Sciences, Inc., the guarantors party</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71" w:lineRule="exact"/>
              <w:rPr>
                <w:sz w:val="20"/>
                <w:szCs w:val="20"/>
                <w:color w:val="auto"/>
              </w:rPr>
            </w:pPr>
            <w:r>
              <w:rPr>
                <w:rFonts w:ascii="Arial" w:cs="Arial" w:eastAsia="Arial" w:hAnsi="Arial"/>
                <w:sz w:val="16"/>
                <w:szCs w:val="16"/>
                <w:color w:val="auto"/>
              </w:rPr>
              <w:t>thereto and Citibank, N.A., London Branch as trustee, notes collateral agent, paying agent, transfer agent and registrar</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99.2 to the Form 6K (File No. 333-08704) filed on July 1, 2021).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31">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filed on July 25, 2016).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3">
              <w:r>
                <w:rPr>
                  <w:rFonts w:ascii="Arial" w:cs="Arial" w:eastAsia="Arial" w:hAnsi="Arial"/>
                  <w:sz w:val="16"/>
                  <w:szCs w:val="16"/>
                  <w:color w:val="0000FF"/>
                </w:rPr>
                <w:t>12.</w:t>
              </w:r>
              <w:r>
                <w:rPr>
                  <w:rFonts w:ascii="Arial" w:cs="Arial" w:eastAsia="Arial" w:hAnsi="Arial"/>
                  <w:sz w:val="16"/>
                  <w:szCs w:val="16"/>
                  <w:u w:val="single" w:color="auto"/>
                  <w:color w:val="0000FF"/>
                </w:rPr>
                <w:t>1*</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302 certifications.</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5">
              <w:r>
                <w:rPr>
                  <w:rFonts w:ascii="Arial" w:cs="Arial" w:eastAsia="Arial" w:hAnsi="Arial"/>
                  <w:sz w:val="16"/>
                  <w:szCs w:val="16"/>
                  <w:color w:val="0000FF"/>
                </w:rPr>
                <w:t>12.</w:t>
              </w:r>
              <w:r>
                <w:rPr>
                  <w:rFonts w:ascii="Arial" w:cs="Arial" w:eastAsia="Arial" w:hAnsi="Arial"/>
                  <w:sz w:val="16"/>
                  <w:szCs w:val="16"/>
                  <w:u w:val="single" w:color="auto"/>
                  <w:color w:val="0000FF"/>
                </w:rPr>
                <w:t>2*</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906 certifications.</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0" w:type="dxa"/>
            <w:vAlign w:val="bottom"/>
            <w:gridSpan w:val="5"/>
            <w:shd w:val="clear" w:color="auto" w:fill="CCEEFF"/>
          </w:tcPr>
          <w:p>
            <w:pPr>
              <w:ind w:left="2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List of Subsidiaries (incorporated by reference to Item 4 of Form 20-F filed herewith).</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7">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Consent of KPMG, Independent Registered Public Accounting Firm.</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101.1*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Interactive Data Files (XBRL – Related Documents).</w:t>
            </w:r>
          </w:p>
        </w:tc>
        <w:tc>
          <w:tcPr>
            <w:tcW w:w="0" w:type="dxa"/>
            <w:vAlign w:val="bottom"/>
          </w:tcPr>
          <w:p>
            <w:pPr>
              <w:spacing w:after="0"/>
              <w:rPr>
                <w:sz w:val="1"/>
                <w:szCs w:val="1"/>
                <w:color w:val="auto"/>
              </w:rPr>
            </w:pPr>
          </w:p>
        </w:tc>
      </w:tr>
      <w:tr>
        <w:trPr>
          <w:trHeight w:val="534"/>
        </w:trPr>
        <w:tc>
          <w:tcPr>
            <w:tcW w:w="1580" w:type="dxa"/>
            <w:vAlign w:val="bottom"/>
            <w:gridSpan w:val="6"/>
          </w:tcPr>
          <w:p>
            <w:pPr>
              <w:spacing w:after="0"/>
              <w:rPr>
                <w:sz w:val="20"/>
                <w:szCs w:val="20"/>
                <w:color w:val="auto"/>
              </w:rPr>
            </w:pPr>
            <w:r>
              <w:rPr>
                <w:rFonts w:ascii="Arial" w:cs="Arial" w:eastAsia="Arial" w:hAnsi="Arial"/>
                <w:sz w:val="16"/>
                <w:szCs w:val="16"/>
                <w:color w:val="auto"/>
              </w:rPr>
              <w:t>*  Filed herewith</w:t>
            </w:r>
          </w:p>
        </w:tc>
        <w:tc>
          <w:tcPr>
            <w:tcW w:w="9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Securities Exchange Act of 1934.</w:t>
      </w:r>
    </w:p>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Following the completion of the Merger on July 1, 2021, Management has continued to progress the integration of PRA into the established internal control framework of the Company. As of December 31, 2021, Management have not yet formally completed its evaluation of the internal control framework of PRA and management have elected to exclude the acquired business from its assessment of internal control over financial reporting as of December 31, 2021. Management expect to have completed its evaluation by June 30, 2022. PRA represented 10% of total assets as of December 31, 2021 and 38% of revenue for the year then ended.</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Management assessed the effectiveness of the Company's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xml:space="preserve"> as of December 31, 2021.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upon the assessment performed, we determined that, as of December 31, 2021 the Company's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was effective. There have been no changes in the Company's internal control over financial reporting during 2021 that have materially affected, or are reasonably likely to affect materially, the Group's internal control over financial reporting.</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KPMG, an independent registered public accounting firm, has audited the consolidated financial statements of ICON plc and subsidiaries as of and for the year ended December 31, 2021, included herein, and has issued an audit report on the effectiveness of our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4" w:name="page105"/>
    <w:bookmarkEnd w:id="104"/>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5" w:lineRule="exact"/>
        <w:rPr>
          <w:sz w:val="20"/>
          <w:szCs w:val="20"/>
          <w:color w:val="auto"/>
        </w:rPr>
      </w:pPr>
    </w:p>
    <w:p>
      <w:pPr>
        <w:jc w:val="both"/>
        <w:spacing w:after="0" w:line="190" w:lineRule="exact"/>
        <w:rPr>
          <w:sz w:val="20"/>
          <w:szCs w:val="20"/>
          <w:color w:val="auto"/>
        </w:rPr>
      </w:pPr>
      <w:r>
        <w:rPr>
          <w:rFonts w:ascii="Arial" w:cs="Arial" w:eastAsia="Arial" w:hAnsi="Arial"/>
          <w:sz w:val="16"/>
          <w:szCs w:val="16"/>
          <w:color w:val="auto"/>
        </w:rPr>
        <w:t>We have audited the accompanying consolidated balance sheets of ICON, plc and subsidiaries (“the Company”) as of December 31, 2021 and 2020, the related consolidated statements of operations, comprehensive income, shareholders equity and comprehensive income,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in conformity with U.S. generally accepted accounting principles.</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March 1, 2022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Valuation of customer relationship intangible asset acquired in a business combination</w:t>
      </w:r>
    </w:p>
    <w:p>
      <w:pPr>
        <w:spacing w:after="0" w:line="264" w:lineRule="exact"/>
        <w:rPr>
          <w:sz w:val="20"/>
          <w:szCs w:val="20"/>
          <w:color w:val="auto"/>
        </w:rPr>
      </w:pPr>
    </w:p>
    <w:p>
      <w:pPr>
        <w:ind w:left="660" w:right="40"/>
        <w:spacing w:after="0" w:line="253" w:lineRule="auto"/>
        <w:rPr>
          <w:sz w:val="20"/>
          <w:szCs w:val="20"/>
          <w:color w:val="auto"/>
        </w:rPr>
      </w:pPr>
      <w:r>
        <w:rPr>
          <w:rFonts w:ascii="Arial" w:cs="Arial" w:eastAsia="Arial" w:hAnsi="Arial"/>
          <w:sz w:val="16"/>
          <w:szCs w:val="16"/>
          <w:color w:val="auto"/>
        </w:rPr>
        <w:t>As discussed in Note 6 to the consolidated financial statements, the Company completed its merger (the “Merger”) with PRA Health Sciences, Inc. ("PRA") on July 1, 2021. The Company estimated the preliminary fair value of the customer relationship intangible asset to be $3,915.0 million as of the date of the Acquisition.</w:t>
      </w:r>
    </w:p>
    <w:p>
      <w:pPr>
        <w:spacing w:after="0" w:line="228" w:lineRule="exact"/>
        <w:rPr>
          <w:sz w:val="20"/>
          <w:szCs w:val="20"/>
          <w:color w:val="auto"/>
        </w:rPr>
      </w:pPr>
    </w:p>
    <w:p>
      <w:pPr>
        <w:ind w:left="660" w:right="160"/>
        <w:spacing w:after="0" w:line="250" w:lineRule="auto"/>
        <w:rPr>
          <w:sz w:val="20"/>
          <w:szCs w:val="20"/>
          <w:color w:val="auto"/>
        </w:rPr>
      </w:pPr>
      <w:r>
        <w:rPr>
          <w:rFonts w:ascii="Arial" w:cs="Arial" w:eastAsia="Arial" w:hAnsi="Arial"/>
          <w:sz w:val="16"/>
          <w:szCs w:val="16"/>
          <w:color w:val="auto"/>
        </w:rPr>
        <w:t>We identified the evaluation of the preliminary fair value of the customer relationship intangible asset acquired as a critical audit matter. It required subjective auditor judgement to assess the forecasts of the acquiree’s cash flows, which include forecasted revenue growth, operating income margins and the customer attrition rate, as well as the discount rate based on an analysis of the acquiree’s weighted average cost of capital. In addition, specialized skills and knowledge were needed to test the significant assumptions listed above and used in the discounted cash flow model.</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primary procedures we performed to address this critical audit matter:</w:t>
      </w:r>
    </w:p>
    <w:p>
      <w:pPr>
        <w:spacing w:after="0" w:line="248"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We evaluated the design and tested the operating effectiveness of certain internal controls related to the business combinations process, including controls over the valuation of the customer relationship intangible asset. This included controls related to the significant assumptions used in the development of the discounted cash flow model, including forecasted revenue growth, operating income margins, customer attrition rate and the discount rate. We also tested management's controls over the completeness and accuracy of the data used in the fair value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6"/>
          <w:szCs w:val="16"/>
          <w:b w:val="1"/>
          <w:bCs w:val="1"/>
          <w:color w:val="auto"/>
        </w:rPr>
        <w:t>Basis for Opinion (continued)</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Critical Audit Matter (continued)</w:t>
      </w:r>
    </w:p>
    <w:p>
      <w:pPr>
        <w:spacing w:after="0" w:line="248"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We assessed the reasonableness of the Company’s estimate forecasted revenue growth and operating income margins by comparing forecasted revenue growth and operating income margins to the acquiree’s historical results and publicly available industry data. To assess the Company’s customer attrition rates, we compared them to historic customer attrition rates of the acquiree.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involved a valuation professional with specialized skills and knowledge who assisted in:</w:t>
      </w:r>
    </w:p>
    <w:p>
      <w:pPr>
        <w:spacing w:after="0" w:line="59" w:lineRule="exact"/>
        <w:rPr>
          <w:sz w:val="20"/>
          <w:szCs w:val="20"/>
          <w:color w:val="auto"/>
        </w:rPr>
      </w:pPr>
    </w:p>
    <w:p>
      <w:pPr>
        <w:ind w:left="660" w:hanging="4"/>
        <w:spacing w:after="0" w:line="260" w:lineRule="auto"/>
        <w:tabs>
          <w:tab w:leader="none" w:pos="779"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evaluating the discount rate by comparing it against discount rates that were independently developed using publicly available market data of comparable entities</w:t>
      </w:r>
    </w:p>
    <w:p>
      <w:pPr>
        <w:spacing w:after="0" w:line="33" w:lineRule="exact"/>
        <w:rPr>
          <w:rFonts w:ascii="Arial" w:cs="Arial" w:eastAsia="Arial" w:hAnsi="Arial"/>
          <w:sz w:val="16"/>
          <w:szCs w:val="16"/>
          <w:color w:val="auto"/>
        </w:rPr>
      </w:pPr>
    </w:p>
    <w:p>
      <w:pPr>
        <w:ind w:left="660" w:hanging="4"/>
        <w:spacing w:after="0" w:line="260" w:lineRule="auto"/>
        <w:tabs>
          <w:tab w:leader="none" w:pos="79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assessing the fair value of the customer relationship intangible asset acquired using (1) the Company’s forecasted cash flows and (2) our independently developed discount rates.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Revenue recognition for clinical trial service contracts</w:t>
      </w:r>
    </w:p>
    <w:p>
      <w:pPr>
        <w:spacing w:after="0" w:line="26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As discussed in Note 17 to the consolidated financial statements, the Company recognized revenue of US$5,480.8 million for the year ended 31 December 2021, a significant portion of which relates to clinical trial service revenue. As discussed in Note 2 to the consolidated financial statements, clinical trial service revenue is recognized over time, using an input measure, being total project costs (inclusive of third party costs) incurred to date relative to total forecast project costs, to measure progress towards satisfying the Company’s performance obligation. The transaction price is based on the contract or latest change order value, adjusted to reflect the estimated realizable contract value.</w:t>
      </w:r>
    </w:p>
    <w:p>
      <w:pPr>
        <w:spacing w:after="0" w:line="230"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We identified the evaluation of revenue recognition for clinical trial service revenue as a critical audit matter. Complex and subjective auditor judgment was required to evaluate the Company’s estimate of total forecast project costs and the estimated realizable contract values.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primary procedures we performed to address this critical audit matter:</w:t>
      </w:r>
    </w:p>
    <w:p>
      <w:pPr>
        <w:spacing w:after="0" w:line="248"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We evaluated the design and tested the operating effectiveness of certain internal controls related to the revenue process, including controls over total forecast project costs and estimated realizable contract values.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tested the total forecast project costs and the realizable contract values for a selection of clinical trial service contracts, by evaluating:</w:t>
      </w:r>
    </w:p>
    <w:p>
      <w:pPr>
        <w:spacing w:after="0" w:line="59" w:lineRule="exact"/>
        <w:rPr>
          <w:sz w:val="20"/>
          <w:szCs w:val="20"/>
          <w:color w:val="auto"/>
        </w:rPr>
      </w:pPr>
    </w:p>
    <w:p>
      <w:pPr>
        <w:ind w:left="660" w:hanging="4"/>
        <w:spacing w:after="0" w:line="260" w:lineRule="auto"/>
        <w:tabs>
          <w:tab w:leader="none" w:pos="77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Direct costs incurred, both during the year and cumulative over the life of the contracts. We tested the accuracy and completeness of the direct costs by agreeing to source data</w:t>
      </w:r>
    </w:p>
    <w:p>
      <w:pPr>
        <w:spacing w:after="0" w:line="33" w:lineRule="exact"/>
        <w:rPr>
          <w:rFonts w:ascii="Arial" w:cs="Arial" w:eastAsia="Arial" w:hAnsi="Arial"/>
          <w:sz w:val="16"/>
          <w:szCs w:val="16"/>
          <w:color w:val="auto"/>
        </w:rPr>
      </w:pPr>
    </w:p>
    <w:p>
      <w:pPr>
        <w:ind w:left="660" w:hanging="4"/>
        <w:spacing w:after="0" w:line="260" w:lineRule="auto"/>
        <w:tabs>
          <w:tab w:leader="none" w:pos="77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Third-party costs incurred, both during the year and cumulative over the life of the contracts. We tested the accuracy and completeness of the third-party costs incurred by agreeing to invoices received</w:t>
      </w:r>
    </w:p>
    <w:p>
      <w:pPr>
        <w:spacing w:after="0" w:line="33" w:lineRule="exact"/>
        <w:rPr>
          <w:rFonts w:ascii="Arial" w:cs="Arial" w:eastAsia="Arial" w:hAnsi="Arial"/>
          <w:sz w:val="16"/>
          <w:szCs w:val="16"/>
          <w:color w:val="auto"/>
        </w:rPr>
      </w:pPr>
    </w:p>
    <w:p>
      <w:pPr>
        <w:jc w:val="both"/>
        <w:ind w:left="660" w:hanging="4"/>
        <w:spacing w:after="0" w:line="253" w:lineRule="auto"/>
        <w:tabs>
          <w:tab w:leader="none" w:pos="772"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Findings from interviews with operational personnel of the Company to assess progress to date, the estimate of remaining costs to be incurred and factors impacting the amount of time and costs to complete the selected contracts, including an understanding of the nature and complexity of the work to be performed</w:t>
      </w:r>
    </w:p>
    <w:p>
      <w:pPr>
        <w:spacing w:after="0" w:line="39" w:lineRule="exact"/>
        <w:rPr>
          <w:rFonts w:ascii="Arial" w:cs="Arial" w:eastAsia="Arial" w:hAnsi="Arial"/>
          <w:sz w:val="16"/>
          <w:szCs w:val="16"/>
          <w:color w:val="auto"/>
        </w:rPr>
      </w:pPr>
    </w:p>
    <w:p>
      <w:pPr>
        <w:ind w:left="660" w:hanging="4"/>
        <w:spacing w:after="0" w:line="260" w:lineRule="auto"/>
        <w:tabs>
          <w:tab w:leader="none" w:pos="7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Correspondence of amendments to the scope or contract value, if any, between the Company and the customer for the selected contracts as part of our evaluation of contract progress</w:t>
      </w:r>
    </w:p>
    <w:p>
      <w:pPr>
        <w:spacing w:after="0" w:line="33" w:lineRule="exact"/>
        <w:rPr>
          <w:rFonts w:ascii="Arial" w:cs="Arial" w:eastAsia="Arial" w:hAnsi="Arial"/>
          <w:sz w:val="16"/>
          <w:szCs w:val="16"/>
          <w:color w:val="auto"/>
        </w:rPr>
      </w:pPr>
    </w:p>
    <w:p>
      <w:pPr>
        <w:ind w:left="760" w:hanging="104"/>
        <w:spacing w:after="0"/>
        <w:tabs>
          <w:tab w:leader="none" w:pos="7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Changes to estimated costs and project margins, including the amount and timing of the changes and</w:t>
      </w:r>
    </w:p>
    <w:p>
      <w:pPr>
        <w:spacing w:after="0" w:line="59" w:lineRule="exact"/>
        <w:rPr>
          <w:rFonts w:ascii="Arial" w:cs="Arial" w:eastAsia="Arial" w:hAnsi="Arial"/>
          <w:sz w:val="16"/>
          <w:szCs w:val="16"/>
          <w:color w:val="auto"/>
        </w:rPr>
      </w:pPr>
    </w:p>
    <w:p>
      <w:pPr>
        <w:jc w:val="both"/>
        <w:ind w:left="660" w:hanging="4"/>
        <w:spacing w:after="0" w:line="253" w:lineRule="auto"/>
        <w:tabs>
          <w:tab w:leader="none" w:pos="77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282" w:lineRule="exact"/>
        <w:rPr>
          <w:sz w:val="20"/>
          <w:szCs w:val="20"/>
          <w:color w:val="auto"/>
        </w:rPr>
      </w:pPr>
    </w:p>
    <w:p>
      <w:pPr>
        <w:ind w:left="660" w:right="180"/>
        <w:spacing w:after="0" w:line="260" w:lineRule="auto"/>
        <w:rPr>
          <w:sz w:val="20"/>
          <w:szCs w:val="20"/>
          <w:color w:val="auto"/>
        </w:rPr>
      </w:pPr>
      <w:r>
        <w:rPr>
          <w:rFonts w:ascii="Arial" w:cs="Arial" w:eastAsia="Arial" w:hAnsi="Arial"/>
          <w:sz w:val="16"/>
          <w:szCs w:val="16"/>
          <w:color w:val="auto"/>
        </w:rPr>
        <w:t>We also evaluated the Company’s methods, assumptions and data used to accurately estimate total forecast project costs and realizable contract values, by comparing historical estimates developed at contract inception to actual results for a selection of contracts.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06" w:name="page107"/>
    <w:bookmarkEnd w:id="106"/>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have audited ICON plc and subsidiaries’ (“the Company”) internal control over financial reporting as of December 31, 2021, based on criteria established in Internal Control – Integrated Framework (2013) issued by the Committee of Sponsoring Organizations of the Treadway Commission. In our opinion, the</w:t>
      </w:r>
    </w:p>
    <w:p>
      <w:pPr>
        <w:spacing w:after="0" w:line="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w:t>
      </w:r>
    </w:p>
    <w:p>
      <w:pPr>
        <w:spacing w:after="0" w:line="19" w:lineRule="exact"/>
        <w:rPr>
          <w:sz w:val="20"/>
          <w:szCs w:val="20"/>
          <w:color w:val="auto"/>
        </w:rPr>
      </w:pPr>
    </w:p>
    <w:p>
      <w:pPr>
        <w:jc w:val="both"/>
        <w:spacing w:after="0"/>
        <w:rPr>
          <w:sz w:val="20"/>
          <w:szCs w:val="20"/>
          <w:color w:val="auto"/>
        </w:rPr>
      </w:pPr>
      <w:r>
        <w:rPr>
          <w:rFonts w:ascii="Arial" w:cs="Arial" w:eastAsia="Arial" w:hAnsi="Arial"/>
          <w:sz w:val="16"/>
          <w:szCs w:val="16"/>
          <w:color w:val="auto"/>
        </w:rPr>
        <w:t>balance sheets of the Company as of December 31, 2021 and 2020, the related consolidated statements of operations, comprehensive income, shareholders’ equity and comprehensive income, and cash flows for each of the years in the three-year period ended December 31, 2021, and the related notes (collectively, the “consolidated financial statements”), and our report dated March 1, 2022 expressed an unqualified opinion on those consolidated financial statements.</w:t>
      </w:r>
    </w:p>
    <w:p>
      <w:pPr>
        <w:spacing w:after="0" w:line="200" w:lineRule="exact"/>
        <w:rPr>
          <w:sz w:val="20"/>
          <w:szCs w:val="20"/>
          <w:color w:val="auto"/>
        </w:rPr>
      </w:pP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ICON plc acquired PRA Health Sciences, Inc. (“PRA”) during 2021, and management excluded from its assessment of the effectiveness of the Company’s internal control over financial reporting as of December 31, 2021, PRA’s internal control over financial reporting associated with 10% of total assets and 38% of total revenues included in the consolidated financial statements of the Company as of and for the year ended December 31, 2021. Our audit of internal control over financial reporting of the Company also excluded an evaluation of the internal control over financial reporting of PRA.</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107" w:name="page108"/>
    <w:bookmarkEnd w:id="107"/>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0" w:type="dxa"/>
            <w:vAlign w:val="bottom"/>
          </w:tcPr>
          <w:p>
            <w:pPr>
              <w:spacing w:after="0"/>
              <w:rPr>
                <w:sz w:val="18"/>
                <w:szCs w:val="18"/>
                <w:color w:val="auto"/>
              </w:rPr>
            </w:pPr>
          </w:p>
        </w:tc>
        <w:tc>
          <w:tcPr>
            <w:tcW w:w="3640" w:type="dxa"/>
            <w:vAlign w:val="bottom"/>
            <w:gridSpan w:val="3"/>
          </w:tcPr>
          <w:p>
            <w:pPr>
              <w:jc w:val="right"/>
              <w:ind w:right="13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752,213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840,305</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(Note 3a)</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 net (Note 18)</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1,342,770</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715,271</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 (Note 18)</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623,121</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428,684</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56,760</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35,394</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53,477</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taxes receivable (Note 14)</w:t>
            </w:r>
          </w:p>
        </w:tc>
        <w:tc>
          <w:tcPr>
            <w:tcW w:w="1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50,299</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28,118</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2,941,198</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2,102,978</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(Note 7)</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336,444</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174,343</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Goodwill (Note 4)</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9,037,931</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936,257</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(Note 5)</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66,460</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Operating right-of-use assets (Note 23)</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198,123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84,561</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70,557</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20,773</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Non-current income taxes receivable (Note 14)</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18,637</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17,230</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(Note 14)</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12,705</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Equity method investments (Note 3c)</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2,373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12"/>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Investments in equity-long term (Note 3b)</w:t>
            </w:r>
          </w:p>
        </w:tc>
        <w:tc>
          <w:tcPr>
            <w:tcW w:w="14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22,592</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w:t>
            </w:r>
          </w:p>
        </w:tc>
      </w:tr>
      <w:tr>
        <w:trPr>
          <w:trHeight w:val="21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17,387,090</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90,764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51,113</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Unearned revenue (Note 18)</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1,323,961</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660,883</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(Note 8)</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949,629</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399,769</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Income taxes payable (Note 14)</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59,433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12,178</w:t>
            </w: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bank credit lines and loan facilities (Note 24)</w:t>
            </w:r>
          </w:p>
        </w:tc>
        <w:tc>
          <w:tcPr>
            <w:tcW w:w="14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current liabilities</w:t>
            </w:r>
          </w:p>
        </w:tc>
        <w:tc>
          <w:tcPr>
            <w:tcW w:w="1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2,478,937</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1,123,943</w:t>
            </w: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Non-current bank credit lines and loan facilities (Note 24)</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5,381,162</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348,477</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(Note 23)</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159,483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60,801</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Non-current other liabilities (Note 9)</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41,861</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26,366</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government grants</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Non-current income taxes payable (Note 14)</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172,109</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14,539</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 (Note 14)</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1,085,976</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Commitments and contingencies (Note 16)</w:t>
            </w:r>
          </w:p>
        </w:tc>
        <w:tc>
          <w:tcPr>
            <w:tcW w:w="1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9,320,263</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1,585,370</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6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Ordinary shares par value 6 euro cents per share;</w:t>
            </w:r>
          </w:p>
        </w:tc>
        <w:tc>
          <w:tcPr>
            <w:tcW w:w="14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100,000,000 shares authorized, (Note 13)</w:t>
            </w:r>
          </w:p>
        </w:tc>
        <w:tc>
          <w:tcPr>
            <w:tcW w:w="1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77"/>
        </w:trPr>
        <w:tc>
          <w:tcPr>
            <w:tcW w:w="6160" w:type="dxa"/>
            <w:vAlign w:val="bottom"/>
          </w:tcPr>
          <w:p>
            <w:pPr>
              <w:ind w:left="20"/>
              <w:spacing w:after="0" w:line="178" w:lineRule="exact"/>
              <w:rPr>
                <w:sz w:val="20"/>
                <w:szCs w:val="20"/>
                <w:color w:val="auto"/>
              </w:rPr>
            </w:pPr>
            <w:r>
              <w:rPr>
                <w:rFonts w:ascii="Arial" w:cs="Arial" w:eastAsia="Arial" w:hAnsi="Arial"/>
                <w:sz w:val="16"/>
                <w:szCs w:val="16"/>
                <w:color w:val="auto"/>
              </w:rPr>
              <w:t>81,554,683 shares issued and outstanding at December 31, 2021 and</w:t>
            </w:r>
          </w:p>
        </w:tc>
        <w:tc>
          <w:tcPr>
            <w:tcW w:w="1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6"/>
                <w:szCs w:val="16"/>
                <w:color w:val="auto"/>
              </w:rPr>
              <w:t>52,788,093 shares issued and outstanding at December 31, 2020.</w:t>
            </w:r>
          </w:p>
        </w:tc>
        <w:tc>
          <w:tcPr>
            <w:tcW w:w="14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6,640</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4,580</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6,733,910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617,104</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Other undenominated capital (Note 13 (a))</w:t>
            </w:r>
          </w:p>
        </w:tc>
        <w:tc>
          <w:tcPr>
            <w:tcW w:w="1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(Note 22)</w:t>
            </w:r>
          </w:p>
        </w:tc>
        <w:tc>
          <w:tcPr>
            <w:tcW w:w="1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(90,937)</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(35,477)</w:t>
            </w:r>
          </w:p>
        </w:tc>
      </w:tr>
      <w:tr>
        <w:trPr>
          <w:trHeight w:val="21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1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r>
      <w:tr>
        <w:trPr>
          <w:trHeight w:val="20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14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8,066,827</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17,387,090</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5"/>
        </w:trPr>
        <w:tc>
          <w:tcPr>
            <w:tcW w:w="60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center"/>
              <w:ind w:right="35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5,480,826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2,797,288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2,805,839</w:t>
            </w:r>
          </w:p>
        </w:tc>
      </w:tr>
      <w:tr>
        <w:trPr>
          <w:trHeight w:val="259"/>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375"/>
        </w:trPr>
        <w:tc>
          <w:tcPr>
            <w:tcW w:w="60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 (excluding depreciation and amortization)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3,972,612</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1,979,883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1,974,135</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585,330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342,449</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332,663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314,987</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66,126</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61,550</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Transaction and integration related (Note 6)</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198,263</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(759)</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4,085</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(Note 15)</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5,102,297</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2,405,788</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2,372,433</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378,529</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391,500</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433,406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(Note 24)</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(182,423)</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(13,276)</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196,680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381,205</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426,989</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(Note 14)</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(51,133)</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155,346</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375,856</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equity method investments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153,185</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332,964</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375,856</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153,185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332,331</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373,986</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 per Ordinary Share attributable to the Group (Note 27):</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0"/>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6.20</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4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(Note 2 (w))</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67,110,186</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52,859,911</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53,859,537</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(Note 2 (w))</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68,068,311</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53,283,585</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54,333,461</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9"/>
              </w:rPr>
              <w:t>Year Ended</w:t>
            </w: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15"/>
        </w:trPr>
        <w:tc>
          <w:tcPr>
            <w:tcW w:w="69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r>
      <w:tr>
        <w:trPr>
          <w:trHeight w:val="210"/>
        </w:trPr>
        <w:tc>
          <w:tcPr>
            <w:tcW w:w="6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153,185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332,964</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375,856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(60,092)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48,129</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impact of long-term funding</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Unrealized capital (loss)/gain - investments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 on defined benefit pension plan</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(910)</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interest rate hedge</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97,725</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373,306</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369,365</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attributable to the Group</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372,673</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367,495</w:t>
            </w:r>
          </w:p>
        </w:tc>
      </w:tr>
    </w:tbl>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979"/>
              <w:spacing w:after="0"/>
              <w:rPr>
                <w:sz w:val="20"/>
                <w:szCs w:val="20"/>
                <w:color w:val="auto"/>
              </w:rPr>
            </w:pPr>
            <w:r>
              <w:rPr>
                <w:rFonts w:ascii="Arial" w:cs="Arial" w:eastAsia="Arial" w:hAnsi="Arial"/>
                <w:sz w:val="16"/>
                <w:szCs w:val="16"/>
                <w:b w:val="1"/>
                <w:bCs w:val="1"/>
                <w:color w:val="auto"/>
              </w:rPr>
              <w:t>Group</w:t>
            </w: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Additional</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8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34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780" w:type="dxa"/>
            <w:vAlign w:val="bottom"/>
            <w:vMerge w:val="continue"/>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Capital</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Capital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53,971,706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4,658</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529,642</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888,326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1,354,281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373,986</w:t>
            </w:r>
          </w:p>
        </w:tc>
        <w:tc>
          <w:tcPr>
            <w:tcW w:w="860" w:type="dxa"/>
            <w:vAlign w:val="bottom"/>
          </w:tcPr>
          <w:p>
            <w:pPr>
              <w:jc w:val="right"/>
              <w:spacing w:after="0"/>
              <w:rPr>
                <w:sz w:val="20"/>
                <w:szCs w:val="20"/>
                <w:color w:val="auto"/>
              </w:rPr>
            </w:pPr>
            <w:r>
              <w:rPr>
                <w:rFonts w:ascii="Arial" w:cs="Arial" w:eastAsia="Arial" w:hAnsi="Arial"/>
                <w:sz w:val="16"/>
                <w:szCs w:val="16"/>
                <w:color w:val="auto"/>
              </w:rPr>
              <w:t>373,986</w:t>
            </w:r>
          </w:p>
        </w:tc>
        <w:tc>
          <w:tcPr>
            <w:tcW w:w="1180" w:type="dxa"/>
            <w:vAlign w:val="bottom"/>
          </w:tcPr>
          <w:p>
            <w:pPr>
              <w:jc w:val="right"/>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(2,710)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(2,710)</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gain -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line="178" w:lineRule="exact"/>
              <w:rPr>
                <w:sz w:val="20"/>
                <w:szCs w:val="20"/>
                <w:color w:val="auto"/>
              </w:rPr>
            </w:pPr>
            <w:r>
              <w:rPr>
                <w:rFonts w:ascii="Arial" w:cs="Arial" w:eastAsia="Arial" w:hAnsi="Arial"/>
                <w:sz w:val="16"/>
                <w:szCs w:val="16"/>
                <w:color w:val="auto"/>
              </w:rPr>
              <w:t>Actuarial loss on defined benefit pension</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20"/>
              <w:spacing w:after="0"/>
              <w:rPr>
                <w:sz w:val="20"/>
                <w:szCs w:val="20"/>
                <w:color w:val="auto"/>
              </w:rPr>
            </w:pPr>
            <w:r>
              <w:rPr>
                <w:rFonts w:ascii="Arial" w:cs="Arial" w:eastAsia="Arial" w:hAnsi="Arial"/>
                <w:sz w:val="16"/>
                <w:szCs w:val="16"/>
                <w:color w:val="auto"/>
              </w:rPr>
              <w:t>plan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(2,226)</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367,495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329,870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21,599</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line="178" w:lineRule="exact"/>
              <w:rPr>
                <w:sz w:val="20"/>
                <w:szCs w:val="20"/>
                <w:color w:val="auto"/>
              </w:rPr>
            </w:pPr>
            <w:r>
              <w:rPr>
                <w:rFonts w:ascii="Arial" w:cs="Arial" w:eastAsia="Arial" w:hAnsi="Arial"/>
                <w:sz w:val="16"/>
                <w:szCs w:val="16"/>
                <w:color w:val="auto"/>
              </w:rPr>
              <w:t>Issue of restricted share units / performance</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920" w:type="dxa"/>
            <w:vAlign w:val="bottom"/>
          </w:tcPr>
          <w:p>
            <w:pPr>
              <w:jc w:val="right"/>
              <w:spacing w:after="0"/>
              <w:rPr>
                <w:sz w:val="20"/>
                <w:szCs w:val="20"/>
                <w:color w:val="auto"/>
              </w:rPr>
            </w:pPr>
            <w:r>
              <w:rPr>
                <w:rFonts w:ascii="Arial" w:cs="Arial" w:eastAsia="Arial" w:hAnsi="Arial"/>
                <w:sz w:val="16"/>
                <w:szCs w:val="16"/>
                <w:color w:val="auto"/>
              </w:rPr>
              <w:t>355,730</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26,733</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(1,035,100)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(146,931)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(146,931)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Share repurchase costs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Acquisition of redeemable noncontrolling</w:t>
            </w:r>
          </w:p>
        </w:tc>
        <w:tc>
          <w:tcPr>
            <w:tcW w:w="9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32,592</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line="178" w:lineRule="exact"/>
              <w:rPr>
                <w:sz w:val="20"/>
                <w:szCs w:val="20"/>
                <w:color w:val="auto"/>
              </w:rPr>
            </w:pPr>
            <w:r>
              <w:rPr>
                <w:rFonts w:ascii="Arial" w:cs="Arial" w:eastAsia="Arial" w:hAnsi="Arial"/>
                <w:sz w:val="16"/>
                <w:szCs w:val="16"/>
                <w:color w:val="auto"/>
              </w:rPr>
              <w:t>Noncontrolling interest adjustment to</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redemption amount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53,622,206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1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577,961</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1,052</w:t>
            </w:r>
          </w:p>
        </w:tc>
        <w:tc>
          <w:tcPr>
            <w:tcW w:w="1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(75,819) 1,110,226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1,618,055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08088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08088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080885"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w w:val="99"/>
              </w:rPr>
              <w:t>Group</w:t>
            </w: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shd w:val="clear" w:color="auto" w:fill="CCEEFF"/>
          </w:tcPr>
          <w:p>
            <w:pPr>
              <w:spacing w:after="0"/>
              <w:rPr>
                <w:sz w:val="14"/>
                <w:szCs w:val="14"/>
                <w:color w:val="auto"/>
              </w:rPr>
            </w:pPr>
          </w:p>
        </w:tc>
        <w:tc>
          <w:tcPr>
            <w:tcW w:w="326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92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53,622,206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577,961</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332,331</w:t>
            </w:r>
          </w:p>
        </w:tc>
        <w:tc>
          <w:tcPr>
            <w:tcW w:w="920" w:type="dxa"/>
            <w:vAlign w:val="bottom"/>
          </w:tcPr>
          <w:p>
            <w:pPr>
              <w:jc w:val="right"/>
              <w:spacing w:after="0"/>
              <w:rPr>
                <w:sz w:val="20"/>
                <w:szCs w:val="20"/>
                <w:color w:val="auto"/>
              </w:rPr>
            </w:pPr>
            <w:r>
              <w:rPr>
                <w:rFonts w:ascii="Arial" w:cs="Arial" w:eastAsia="Arial" w:hAnsi="Arial"/>
                <w:sz w:val="16"/>
                <w:szCs w:val="16"/>
                <w:color w:val="auto"/>
              </w:rPr>
              <w:t>332,331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(1,603)</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8" w:lineRule="exact"/>
              <w:rPr>
                <w:sz w:val="20"/>
                <w:szCs w:val="20"/>
                <w:color w:val="auto"/>
              </w:rPr>
            </w:pPr>
            <w:r>
              <w:rPr>
                <w:rFonts w:ascii="Arial" w:cs="Arial" w:eastAsia="Arial" w:hAnsi="Arial"/>
                <w:sz w:val="16"/>
                <w:szCs w:val="16"/>
                <w:color w:val="auto"/>
              </w:rPr>
              <w:t>Actuarial loss on defined benefit pension</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6"/>
                <w:szCs w:val="16"/>
                <w:color w:val="auto"/>
              </w:rPr>
              <w:t>plan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(4,138)</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(4,138)</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on interest rate hedge</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(905)</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372,673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193,417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13,176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13,189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Issue of restricted share units /</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207,688</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25,981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25,981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Repurchase of ordinary shares</w:t>
            </w:r>
          </w:p>
        </w:tc>
        <w:tc>
          <w:tcPr>
            <w:tcW w:w="900" w:type="dxa"/>
            <w:vAlign w:val="bottom"/>
          </w:tcPr>
          <w:p>
            <w:pPr>
              <w:ind w:left="60"/>
              <w:spacing w:after="0"/>
              <w:rPr>
                <w:sz w:val="20"/>
                <w:szCs w:val="20"/>
                <w:color w:val="auto"/>
              </w:rPr>
            </w:pPr>
            <w:r>
              <w:rPr>
                <w:rFonts w:ascii="Arial" w:cs="Arial" w:eastAsia="Arial" w:hAnsi="Arial"/>
                <w:sz w:val="16"/>
                <w:szCs w:val="16"/>
                <w:color w:val="auto"/>
              </w:rPr>
              <w:t>(1,235,218)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(175,000)</w:t>
            </w:r>
          </w:p>
        </w:tc>
        <w:tc>
          <w:tcPr>
            <w:tcW w:w="920" w:type="dxa"/>
            <w:vAlign w:val="bottom"/>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8" w:lineRule="exact"/>
              <w:rPr>
                <w:sz w:val="20"/>
                <w:szCs w:val="20"/>
                <w:color w:val="auto"/>
              </w:rPr>
            </w:pPr>
            <w:r>
              <w:rPr>
                <w:rFonts w:ascii="Arial" w:cs="Arial" w:eastAsia="Arial" w:hAnsi="Arial"/>
                <w:sz w:val="16"/>
                <w:szCs w:val="16"/>
                <w:color w:val="auto"/>
              </w:rPr>
              <w:t>Noncontrolling interest adjustment to</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6"/>
                <w:szCs w:val="16"/>
                <w:color w:val="auto"/>
              </w:rPr>
              <w:t>redemption amount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(4,522)</w:t>
            </w:r>
          </w:p>
        </w:tc>
        <w:tc>
          <w:tcPr>
            <w:tcW w:w="920" w:type="dxa"/>
            <w:vAlign w:val="bottom"/>
          </w:tcPr>
          <w:p>
            <w:pPr>
              <w:jc w:val="right"/>
              <w:spacing w:after="0"/>
              <w:rPr>
                <w:sz w:val="20"/>
                <w:szCs w:val="20"/>
                <w:color w:val="auto"/>
              </w:rPr>
            </w:pPr>
            <w:r>
              <w:rPr>
                <w:rFonts w:ascii="Arial" w:cs="Arial" w:eastAsia="Arial" w:hAnsi="Arial"/>
                <w:sz w:val="16"/>
                <w:szCs w:val="16"/>
                <w:color w:val="auto"/>
              </w:rPr>
              <w:t>(4,522)</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Exercise of call option on noncontrolling</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shares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52,788,093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00" w:type="dxa"/>
            <w:vAlign w:val="bottom"/>
            <w:shd w:val="clear" w:color="auto" w:fill="CCEEFF"/>
          </w:tcPr>
          <w:p>
            <w:pPr>
              <w:spacing w:after="0"/>
              <w:rPr>
                <w:sz w:val="14"/>
                <w:szCs w:val="14"/>
                <w:color w:val="auto"/>
              </w:rPr>
            </w:pPr>
          </w:p>
        </w:tc>
        <w:tc>
          <w:tcPr>
            <w:tcW w:w="33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153,185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153,185</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(60,092)</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interest rate hedge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97,725</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1,065,529</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118,512</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118,589</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line="178" w:lineRule="exact"/>
              <w:rPr>
                <w:sz w:val="20"/>
                <w:szCs w:val="20"/>
                <w:color w:val="auto"/>
              </w:rPr>
            </w:pPr>
            <w:r>
              <w:rPr>
                <w:rFonts w:ascii="Arial" w:cs="Arial" w:eastAsia="Arial" w:hAnsi="Arial"/>
                <w:sz w:val="16"/>
                <w:szCs w:val="16"/>
                <w:color w:val="auto"/>
              </w:rPr>
              <w:t>Issue of restricted share units / performance share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6"/>
                <w:szCs w:val="16"/>
                <w:color w:val="auto"/>
              </w:rPr>
              <w:t>units</w:t>
            </w:r>
          </w:p>
        </w:tc>
        <w:tc>
          <w:tcPr>
            <w:tcW w:w="920" w:type="dxa"/>
            <w:vAlign w:val="bottom"/>
          </w:tcPr>
          <w:p>
            <w:pPr>
              <w:jc w:val="right"/>
              <w:spacing w:after="0"/>
              <w:rPr>
                <w:sz w:val="20"/>
                <w:szCs w:val="20"/>
                <w:color w:val="auto"/>
              </w:rPr>
            </w:pPr>
            <w:r>
              <w:rPr>
                <w:rFonts w:ascii="Arial" w:cs="Arial" w:eastAsia="Arial" w:hAnsi="Arial"/>
                <w:sz w:val="16"/>
                <w:szCs w:val="16"/>
                <w:color w:val="auto"/>
              </w:rPr>
              <w:t>328,634</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133,553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133,553</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Issue of shares associated with a business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combination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27,372,427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5,656,195</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5,658,155</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line="178" w:lineRule="exact"/>
              <w:rPr>
                <w:sz w:val="20"/>
                <w:szCs w:val="20"/>
                <w:color w:val="auto"/>
              </w:rPr>
            </w:pPr>
            <w:r>
              <w:rPr>
                <w:rFonts w:ascii="Arial" w:cs="Arial" w:eastAsia="Arial" w:hAnsi="Arial"/>
                <w:sz w:val="16"/>
                <w:szCs w:val="16"/>
                <w:color w:val="auto"/>
              </w:rPr>
              <w:t>Replacement share-based awards issued to acquiree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employees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209,399</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209,399</w:t>
            </w:r>
          </w:p>
        </w:tc>
        <w:tc>
          <w:tcPr>
            <w:tcW w:w="0" w:type="dxa"/>
            <w:vAlign w:val="bottom"/>
          </w:tcPr>
          <w:p>
            <w:pPr>
              <w:spacing w:after="0"/>
              <w:rPr>
                <w:sz w:val="1"/>
                <w:szCs w:val="1"/>
                <w:color w:val="auto"/>
              </w:rPr>
            </w:pPr>
          </w:p>
        </w:tc>
      </w:tr>
      <w:tr>
        <w:trPr>
          <w:trHeight w:val="24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81,554,683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7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7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r>
      <w:tr>
        <w:trPr>
          <w:trHeight w:val="196"/>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(in thousands)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71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153,185</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332,964</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375,856</w:t>
            </w:r>
          </w:p>
        </w:tc>
      </w:tr>
      <w:tr>
        <w:trPr>
          <w:trHeight w:val="207"/>
        </w:trPr>
        <w:tc>
          <w:tcPr>
            <w:tcW w:w="7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Depreciation and amortization expense</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314,987</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66,126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61,550</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Impairment of long lived 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20,037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5,411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Reduction in carrying value of operating right-of-use assets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45,339</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28,480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30,372</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equity method investments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Charge/(credit) on interest rate hedge</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891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(910)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(923)</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Amortization of financing costs and debt discount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12,890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Stock compensation expense</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133,844</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26,271</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26,819</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extinguishment of debt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73,894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Deferred tax (benefit)/expense</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(60,616)</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927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(1,537)</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foreign exchange (gain)/loss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5,979</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w:t>
            </w:r>
          </w:p>
        </w:tc>
      </w:tr>
      <w:tr>
        <w:trPr>
          <w:trHeight w:val="198"/>
        </w:trPr>
        <w:tc>
          <w:tcPr>
            <w:tcW w:w="7140" w:type="dxa"/>
            <w:vAlign w:val="bottom"/>
          </w:tcPr>
          <w:p>
            <w:pPr>
              <w:ind w:left="140"/>
              <w:spacing w:after="0"/>
              <w:rPr>
                <w:sz w:val="20"/>
                <w:szCs w:val="20"/>
                <w:color w:val="auto"/>
              </w:rPr>
            </w:pPr>
            <w:r>
              <w:rPr>
                <w:rFonts w:ascii="Arial" w:cs="Arial" w:eastAsia="Arial" w:hAnsi="Arial"/>
                <w:sz w:val="15"/>
                <w:szCs w:val="15"/>
                <w:color w:val="auto"/>
              </w:rPr>
              <w:t>Other non-cash items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3,589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(6,949)</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2,018</w:t>
            </w:r>
          </w:p>
        </w:tc>
      </w:tr>
      <w:tr>
        <w:trPr>
          <w:trHeight w:val="207"/>
        </w:trPr>
        <w:tc>
          <w:tcPr>
            <w:tcW w:w="7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acquired assets and assumed liabilities: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714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113,513</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(175,040)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(101,545)</w:t>
            </w:r>
          </w:p>
        </w:tc>
      </w:tr>
      <w:tr>
        <w:trPr>
          <w:trHeight w:val="207"/>
        </w:trPr>
        <w:tc>
          <w:tcPr>
            <w:tcW w:w="71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Unbilled revenue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(17,656)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(55,790)</w:t>
            </w:r>
          </w:p>
        </w:tc>
      </w:tr>
      <w:tr>
        <w:trPr>
          <w:trHeight w:val="198"/>
        </w:trPr>
        <w:tc>
          <w:tcPr>
            <w:tcW w:w="7140" w:type="dxa"/>
            <w:vAlign w:val="bottom"/>
          </w:tcPr>
          <w:p>
            <w:pPr>
              <w:ind w:left="220"/>
              <w:spacing w:after="0"/>
              <w:rPr>
                <w:sz w:val="20"/>
                <w:szCs w:val="20"/>
                <w:color w:val="auto"/>
              </w:rPr>
            </w:pPr>
            <w:r>
              <w:rPr>
                <w:rFonts w:ascii="Arial" w:cs="Arial" w:eastAsia="Arial" w:hAnsi="Arial"/>
                <w:sz w:val="15"/>
                <w:szCs w:val="15"/>
                <w:color w:val="auto"/>
              </w:rPr>
              <w:t>Unearned revenue</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(69,121)</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291,844</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86,567</w:t>
            </w:r>
          </w:p>
        </w:tc>
      </w:tr>
      <w:tr>
        <w:trPr>
          <w:trHeight w:val="203"/>
        </w:trPr>
        <w:tc>
          <w:tcPr>
            <w:tcW w:w="7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Other net assets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108,259</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(2,209)</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(11,976)</w:t>
            </w:r>
          </w:p>
        </w:tc>
      </w:tr>
      <w:tr>
        <w:trPr>
          <w:trHeight w:val="196"/>
        </w:trPr>
        <w:tc>
          <w:tcPr>
            <w:tcW w:w="714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829,142</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568,035</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412,541</w:t>
            </w: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Purchase of property, plant and equipment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(93,750)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(40,885)</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(38,948)</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subsidiary undertakings (net of cash acquired)</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(5,914,475)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(47,931)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(131,272)</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Investment in equity method investments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(2,450)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(2,450)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 to equity method investment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Sale of available for sale investments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497</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47,902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21,686</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available for sale investments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(9,603)</w:t>
            </w:r>
          </w:p>
        </w:tc>
      </w:tr>
      <w:tr>
        <w:trPr>
          <w:trHeight w:val="198"/>
        </w:trPr>
        <w:tc>
          <w:tcPr>
            <w:tcW w:w="71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Purchase of investments in equity - long term</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(3,577)</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(3,890)</w:t>
            </w:r>
          </w:p>
        </w:tc>
      </w:tr>
      <w:tr>
        <w:trPr>
          <w:trHeight w:val="200"/>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(6,024,235)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(46,576)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(162,027)</w:t>
            </w:r>
          </w:p>
        </w:tc>
      </w:tr>
      <w:tr>
        <w:trPr>
          <w:trHeight w:val="202"/>
        </w:trPr>
        <w:tc>
          <w:tcPr>
            <w:tcW w:w="714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costs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(30,328)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Drawdown of credit lines and facilities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5,905,100</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350,000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Repayment of credit lines and facilities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(877,780)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Purchase of noncontrolling interest</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(43,923)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the exercise of equity compensation</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118,589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13,203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21,645</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Share issue costs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(853)</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Repurchase of ordinary shares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(146,931)</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Share repurchase costs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03"/>
        </w:trPr>
        <w:tc>
          <w:tcPr>
            <w:tcW w:w="7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Settlement of interest rate hedge</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140" w:type="dxa"/>
            <w:vAlign w:val="bottom"/>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5,114,728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(208,333)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(125,406)</w:t>
            </w:r>
          </w:p>
        </w:tc>
      </w:tr>
      <w:tr>
        <w:trPr>
          <w:trHeight w:val="203"/>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Effect of exchange rate movements on cash</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(7,727)</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6,870</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w:t>
            </w:r>
          </w:p>
        </w:tc>
      </w:tr>
      <w:tr>
        <w:trPr>
          <w:trHeight w:val="200"/>
        </w:trPr>
        <w:tc>
          <w:tcPr>
            <w:tcW w:w="7140" w:type="dxa"/>
            <w:vAlign w:val="bottom"/>
          </w:tcPr>
          <w:p>
            <w:pPr>
              <w:ind w:left="20"/>
              <w:spacing w:after="0"/>
              <w:rPr>
                <w:sz w:val="20"/>
                <w:szCs w:val="20"/>
                <w:color w:val="auto"/>
              </w:rPr>
            </w:pPr>
            <w:r>
              <w:rPr>
                <w:rFonts w:ascii="Arial" w:cs="Arial" w:eastAsia="Arial" w:hAnsi="Arial"/>
                <w:sz w:val="15"/>
                <w:szCs w:val="15"/>
                <w:b w:val="1"/>
                <w:bCs w:val="1"/>
                <w:color w:val="auto"/>
              </w:rPr>
              <w:t>Net (decrease)/increase in cash and cash equivalents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(88,092)</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319,996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124,458</w:t>
            </w:r>
          </w:p>
        </w:tc>
      </w:tr>
      <w:tr>
        <w:trPr>
          <w:trHeight w:val="199"/>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840,305</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520,309</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395,851</w:t>
            </w:r>
          </w:p>
        </w:tc>
      </w:tr>
      <w:tr>
        <w:trPr>
          <w:trHeight w:val="20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752,213</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840,305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520,309</w:t>
            </w: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mission is to improve the lives of patients by accelerating the development of our customers' drugs and devices through innovative solutions.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2021 we had approximately 38,330 employees, in 142 locations in 53 countries. During the year ended December 31, 2021, we derived approximately 47.1%, 46.4% and 6.5% of our revenue in the United States, Europe and Rest of World, respectively.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ICON’s ordinary shares are traded on the NASDAQ Global Select Market under the symbol “ICLR”.</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began operations in 1990 and have expanded our business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accounting policies noted below were applied in the preparation of the accompanying financial statements of the Company and are in conformity with accounting principles generally accepted in the United States.</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Basis of consolidation</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tab/>
        <w:t>Use of estimates</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and intangible assets acquired in a business combination.</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tab/>
        <w:t>Revenue recognition</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Contracts range in duration from a number of months to several years.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i w:val="1"/>
          <w:iCs w:val="1"/>
          <w:color w:val="auto"/>
        </w:rPr>
        <w:t>Laboratory services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tab/>
        <w:t>Pass-through/ Reimbursable expenses</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Pass through/ Reimbursable expenses comprise investigator payments and certain other costs which are reimbursed by clients under terms specific to each contract to the investigators. See </w:t>
      </w:r>
      <w:r>
        <w:rPr>
          <w:rFonts w:ascii="Arial" w:cs="Arial" w:eastAsia="Arial" w:hAnsi="Arial"/>
          <w:sz w:val="16"/>
          <w:szCs w:val="16"/>
          <w:i w:val="1"/>
          <w:iCs w:val="1"/>
          <w:color w:val="auto"/>
        </w:rPr>
        <w:t>note 2 (e) Direct costs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6" w:name="page117"/>
    <w:bookmarkEnd w:id="116"/>
    <w:p>
      <w:pPr>
        <w:spacing w:after="0"/>
        <w:tabs>
          <w:tab w:leader="none" w:pos="320" w:val="left"/>
        </w:tabs>
        <w:rPr>
          <w:sz w:val="20"/>
          <w:szCs w:val="20"/>
          <w:color w:val="auto"/>
        </w:rPr>
      </w:pPr>
      <w:r>
        <w:rPr>
          <w:rFonts w:ascii="Arial" w:cs="Arial" w:eastAsia="Arial" w:hAnsi="Arial"/>
          <w:sz w:val="16"/>
          <w:szCs w:val="16"/>
          <w:color w:val="auto"/>
        </w:rPr>
        <w:t>(e)</w:t>
        <w:tab/>
        <w:t>Direct costs</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Direct costs consist of compensation, associated employee benefits and share-based payments for project-related employees and other direct project-related costs.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Reimbursable expenses are presented within direct costs. This presentation is to align the presentation of costs with our assessment that our clinical trial service is a single performance obligation satisfied over time i.e. the full-service obligation is in respect of a clinical trial (including those services performed by investigators and other parties) is considered a single performance obligation. Reimbursable expenses are recorded once the activity which forms the basis for the cost has occurred.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Investigator payment costs are recorded and reported reflecting investigator activity over the life of the contract. Investigator payments are made based on predetermined contractual arrangements. Timing of payments may differ from the recording and reporting of the expense which is based on activity.</w:t>
      </w:r>
    </w:p>
    <w:p>
      <w:pPr>
        <w:spacing w:after="0" w:line="200" w:lineRule="exact"/>
        <w:rPr>
          <w:sz w:val="20"/>
          <w:szCs w:val="20"/>
          <w:color w:val="auto"/>
        </w:rPr>
      </w:pPr>
    </w:p>
    <w:p>
      <w:pPr>
        <w:spacing w:after="0" w:line="21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tab/>
        <w:t>Advertising costs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costs associated with advertising and promotion are expensed as incurred.</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(g)</w:t>
        <w:tab/>
        <w:t>Foreign currencies and translation of subsidiaries</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plc's financial statements are prepared in United States dollars. Transactions in currencies other than the functional currency of the individual entities within the ICON Group are recorded at the rate ruling at the date of the transaction. Monetary assets and liabilities denominated in currencies other than the functional currency of the individual entities within the ICON Group are translated into the functional currency of that entity at exchange rates prevailing at the Balance Sheet date. Adjustments resulting from these translations are charged or credited to income. Amounts charged or credited to the Consolidated Statements of Operations for the years ended December 31, 2021, December 31, 2020 and December 31, 2019 were as follows:</w:t>
      </w:r>
    </w:p>
    <w:p>
      <w:pPr>
        <w:spacing w:after="0" w:line="248" w:lineRule="exact"/>
        <w:rPr>
          <w:sz w:val="20"/>
          <w:szCs w:val="20"/>
          <w:color w:val="auto"/>
        </w:rPr>
      </w:pPr>
    </w:p>
    <w:p>
      <w:pPr>
        <w:jc w:val="center"/>
        <w:ind w:left="68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10795</wp:posOffset>
            </wp:positionV>
            <wp:extent cx="27514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 w:lineRule="exact"/>
        <w:rPr>
          <w:sz w:val="20"/>
          <w:szCs w:val="20"/>
          <w:color w:val="auto"/>
        </w:rPr>
      </w:pPr>
    </w:p>
    <w:p>
      <w:pPr>
        <w:ind w:left="7980"/>
        <w:spacing w:after="0"/>
        <w:tabs>
          <w:tab w:leader="none" w:pos="9400" w:val="left"/>
          <w:tab w:leader="none" w:pos="108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(in thousands)</w:t>
      </w:r>
    </w:p>
    <w:p>
      <w:pPr>
        <w:spacing w:after="0" w:line="214" w:lineRule="exact"/>
        <w:rPr>
          <w:sz w:val="20"/>
          <w:szCs w:val="20"/>
          <w:color w:val="auto"/>
        </w:rPr>
      </w:pPr>
    </w:p>
    <w:p>
      <w:pPr>
        <w:ind w:left="20"/>
        <w:spacing w:after="0"/>
        <w:tabs>
          <w:tab w:leader="none" w:pos="6900" w:val="left"/>
          <w:tab w:leader="none" w:pos="7700" w:val="left"/>
          <w:tab w:leader="none" w:pos="9300" w:val="left"/>
          <w:tab w:leader="none" w:pos="10880" w:val="left"/>
        </w:tabs>
        <w:rPr>
          <w:sz w:val="20"/>
          <w:szCs w:val="20"/>
          <w:color w:val="auto"/>
        </w:rPr>
      </w:pPr>
      <w:r>
        <w:rPr>
          <w:rFonts w:ascii="Arial" w:cs="Arial" w:eastAsia="Arial" w:hAnsi="Arial"/>
          <w:sz w:val="16"/>
          <w:szCs w:val="16"/>
          <w:color w:val="auto"/>
        </w:rPr>
        <w:t>Amounts (credited)/charged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(14,316) $</w:t>
      </w:r>
      <w:r>
        <w:rPr>
          <w:sz w:val="20"/>
          <w:szCs w:val="20"/>
          <w:color w:val="auto"/>
        </w:rPr>
        <w:tab/>
      </w:r>
      <w:r>
        <w:rPr>
          <w:rFonts w:ascii="Arial" w:cs="Arial" w:eastAsia="Arial" w:hAnsi="Arial"/>
          <w:sz w:val="16"/>
          <w:szCs w:val="16"/>
          <w:color w:val="auto"/>
        </w:rPr>
        <w:t>5,979 $</w:t>
      </w:r>
      <w:r>
        <w:rPr>
          <w:sz w:val="20"/>
          <w:szCs w:val="20"/>
          <w:color w:val="auto"/>
        </w:rPr>
        <w:tab/>
      </w:r>
      <w:r>
        <w:rPr>
          <w:rFonts w:ascii="Arial" w:cs="Arial" w:eastAsia="Arial" w:hAnsi="Arial"/>
          <w:sz w:val="15"/>
          <w:szCs w:val="15"/>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 Foreign currency transaction gains and losses are reported in other comprehensive income ("currency impact of long term funding") rather than through income where the foreign currency transaction is 'long-term investment' in nature i.e. settlement is not planned or anticipated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7" w:name="page118"/>
    <w:bookmarkEnd w:id="117"/>
    <w:p>
      <w:pPr>
        <w:spacing w:after="0"/>
        <w:tabs>
          <w:tab w:leader="none" w:pos="320" w:val="left"/>
        </w:tabs>
        <w:rPr>
          <w:sz w:val="20"/>
          <w:szCs w:val="20"/>
          <w:color w:val="auto"/>
        </w:rPr>
      </w:pPr>
      <w:r>
        <w:rPr>
          <w:rFonts w:ascii="Arial" w:cs="Arial" w:eastAsia="Arial" w:hAnsi="Arial"/>
          <w:sz w:val="16"/>
          <w:szCs w:val="16"/>
          <w:color w:val="auto"/>
        </w:rPr>
        <w:t>(h)</w:t>
        <w:tab/>
        <w:t>Disclosure of fair value of financial instruments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net present value of estimated future cash flows. Debt is measured at historical cost.</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Financial instruments are measured in the Consolidated Balance Sheet at amortized cost or fair value using a fair value hierarchy of valuation inputs.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ectPr>
          <w:pgSz w:w="11900" w:h="16838" w:orient="portrait"/>
          <w:cols w:equalWidth="0" w:num="1">
            <w:col w:w="11240"/>
          </w:cols>
          <w:pgMar w:left="320" w:top="911" w:right="339" w:bottom="1440" w:gutter="0" w:footer="0" w:header="0"/>
        </w:sect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Inputs are based upon unadjusted quoted prices for identical instruments traded in active markets.</w:t>
      </w:r>
    </w:p>
    <w:p>
      <w:pPr>
        <w:spacing w:after="0" w:line="262"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55"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ectPr>
          <w:pgSz w:w="11900" w:h="16838" w:orient="portrait"/>
          <w:cols w:equalWidth="0" w:num="2">
            <w:col w:w="760" w:space="520"/>
            <w:col w:w="9960"/>
          </w:cols>
          <w:pgMar w:left="320" w:top="911" w:right="339" w:bottom="1440" w:gutter="0" w:footer="0" w:header="0"/>
          <w:type w:val="continuous"/>
        </w:sectPr>
      </w:pP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the Consolidated Statement of Operations. Losses other than temporary, which reduce the carrying amount below cost are recognized in Consolidated Statement of Operations.</w:t>
      </w:r>
    </w:p>
    <w:p>
      <w:pPr>
        <w:spacing w:after="0" w:line="23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(i)</w:t>
        <w:tab/>
        <w:t>Business combinations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18" w:name="page119"/>
    <w:bookmarkEnd w:id="118"/>
    <w:p>
      <w:pPr>
        <w:spacing w:after="0"/>
        <w:tabs>
          <w:tab w:leader="none" w:pos="260" w:val="left"/>
        </w:tabs>
        <w:rPr>
          <w:sz w:val="20"/>
          <w:szCs w:val="20"/>
          <w:color w:val="auto"/>
        </w:rPr>
      </w:pPr>
      <w:r>
        <w:rPr>
          <w:rFonts w:ascii="Arial" w:cs="Arial" w:eastAsia="Arial" w:hAnsi="Arial"/>
          <w:sz w:val="16"/>
          <w:szCs w:val="16"/>
          <w:color w:val="auto"/>
        </w:rPr>
        <w:t>(j)</w:t>
        <w:tab/>
        <w:t>Goodwill and Impairment</w:t>
      </w:r>
    </w:p>
    <w:p>
      <w:pPr>
        <w:spacing w:after="0" w:line="16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An impairment charge would be recognized for any amount by which the carrying amount exceeds the reporting unit's fair value up to the amount of existing goodwill. The Company performs a qualitative assessment for a reporting unit to determine if the quantitative impairment test is necessary. No impairment was recognized as a result of the impairment testing carried out for the years ended December 31, 2021, December 31, 2020 and December 31, 2019.</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5"/>
          <w:szCs w:val="15"/>
          <w:color w:val="auto"/>
        </w:rPr>
        <w:t>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24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(l)</w:t>
        <w:tab/>
        <w:t>Cash and cash equivalents</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Cash and cash equivalents include cash and highly liquid investments with initial maturities of three months or less and are stated at cost, which approximates market value.</w:t>
      </w:r>
    </w:p>
    <w:p>
      <w:pPr>
        <w:spacing w:after="0" w:line="22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(m)</w:t>
        <w:tab/>
        <w:t>Investments in debt, equity and other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 for sale investments</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Realized gains and losses are determined using specific identification. The investments are reported at fair value, with unrealized gains or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a separate component of shareholders' equity. Any differences between the cost and fair value of the investments are represented by accrued interest and unrealized gains/losses.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 term investments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2021 meet the definition of equity securities without readily determinable fair values. The Company concluded that the interests held at December 31, 2020 and December 31, 2021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Any increases or decreases in fair value are recognized in net income in the period. These are therefore measured at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Balance Sheet. The Company records its pro rata share of the earnings/losses of these investments in Share of equity method investments in the Consolidated Statement of Operations. The Company reviews these for impairment whenever events or changes in circumstances indicate that the carrying amounts may not be recoverable.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 Accounts receivable, net and unbilled revenue</w:t>
      </w:r>
    </w:p>
    <w:p>
      <w:pPr>
        <w:spacing w:after="0" w:line="1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i w:val="1"/>
          <w:iCs w:val="1"/>
          <w:color w:val="auto"/>
        </w:rPr>
        <w:t>Accounts receivable factoring</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Agreements which result in true sales of the transferred receivables, as defined in ASC 860, which occur when receivables are transferred without recourse to ICON, are excluded from amounts reported in the Consolidated Balance Sheet. Cash proceeds received from such sales are included in operating cash flows. The associated finance costs are presented as interest expense.</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(o)</w:t>
        <w:tab/>
        <w:t>Inventory</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Inventory is valued at the lower of cost and net realizable value and after provisions for obsolescence. The cost of inventories comprises the purchase price and attributable costs, less trade discounts. At December 31, 2021 the carrying value of inventory, included within prepayments and other current assets on the Consolidated Balance Sheet, was $5.8 million (2020: $4.8 million).</w:t>
      </w: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(p)</w:t>
        <w:tab/>
        <w:t>Property, plant and equipment</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Years</w:t>
            </w:r>
          </w:p>
        </w:tc>
      </w:tr>
      <w:tr>
        <w:trPr>
          <w:trHeight w:val="207"/>
        </w:trPr>
        <w:tc>
          <w:tcPr>
            <w:tcW w:w="9180" w:type="dxa"/>
            <w:vAlign w:val="bottom"/>
          </w:tcPr>
          <w:p>
            <w:pPr>
              <w:ind w:left="480"/>
              <w:spacing w:after="0"/>
              <w:rPr>
                <w:sz w:val="20"/>
                <w:szCs w:val="20"/>
                <w:color w:val="auto"/>
              </w:rPr>
            </w:pPr>
            <w:r>
              <w:rPr>
                <w:rFonts w:ascii="Arial" w:cs="Arial" w:eastAsia="Arial" w:hAnsi="Arial"/>
                <w:sz w:val="16"/>
                <w:szCs w:val="16"/>
                <w:color w:val="auto"/>
              </w:rPr>
              <w:t>Building</w:t>
            </w:r>
          </w:p>
        </w:tc>
        <w:tc>
          <w:tcPr>
            <w:tcW w:w="400" w:type="dxa"/>
            <w:vAlign w:val="bottom"/>
          </w:tcPr>
          <w:p>
            <w:pPr>
              <w:spacing w:after="0"/>
              <w:rPr>
                <w:sz w:val="20"/>
                <w:szCs w:val="20"/>
                <w:color w:val="auto"/>
              </w:rPr>
            </w:pPr>
            <w:r>
              <w:rPr>
                <w:rFonts w:ascii="Arial" w:cs="Arial" w:eastAsia="Arial" w:hAnsi="Arial"/>
                <w:sz w:val="16"/>
                <w:szCs w:val="16"/>
                <w:color w:val="auto"/>
              </w:rPr>
              <w:t>40</w:t>
            </w:r>
          </w:p>
        </w:tc>
        <w:tc>
          <w:tcPr>
            <w:tcW w:w="1640" w:type="dxa"/>
            <w:vAlign w:val="bottom"/>
          </w:tcPr>
          <w:p>
            <w:pPr>
              <w:spacing w:after="0"/>
              <w:rPr>
                <w:sz w:val="17"/>
                <w:szCs w:val="17"/>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Computer equipment and software</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spacing w:after="0"/>
              <w:rPr>
                <w:sz w:val="19"/>
                <w:szCs w:val="19"/>
                <w:color w:val="auto"/>
              </w:rPr>
            </w:pPr>
          </w:p>
        </w:tc>
      </w:tr>
      <w:tr>
        <w:trPr>
          <w:trHeight w:val="213"/>
        </w:trPr>
        <w:tc>
          <w:tcPr>
            <w:tcW w:w="9180" w:type="dxa"/>
            <w:vAlign w:val="bottom"/>
          </w:tcPr>
          <w:p>
            <w:pPr>
              <w:ind w:left="480"/>
              <w:spacing w:after="0"/>
              <w:rPr>
                <w:sz w:val="20"/>
                <w:szCs w:val="20"/>
                <w:color w:val="auto"/>
              </w:rPr>
            </w:pPr>
            <w:r>
              <w:rPr>
                <w:rFonts w:ascii="Arial" w:cs="Arial" w:eastAsia="Arial" w:hAnsi="Arial"/>
                <w:sz w:val="16"/>
                <w:szCs w:val="16"/>
                <w:color w:val="auto"/>
              </w:rPr>
              <w:t>Office furniture and fixtures</w:t>
            </w:r>
          </w:p>
        </w:tc>
        <w:tc>
          <w:tcPr>
            <w:tcW w:w="400" w:type="dxa"/>
            <w:vAlign w:val="bottom"/>
          </w:tcPr>
          <w:p>
            <w:pPr>
              <w:spacing w:after="0"/>
              <w:rPr>
                <w:sz w:val="20"/>
                <w:szCs w:val="20"/>
                <w:color w:val="auto"/>
              </w:rPr>
            </w:pPr>
            <w:r>
              <w:rPr>
                <w:rFonts w:ascii="Arial" w:cs="Arial" w:eastAsia="Arial" w:hAnsi="Arial"/>
                <w:sz w:val="16"/>
                <w:szCs w:val="16"/>
                <w:color w:val="auto"/>
              </w:rPr>
              <w:t>8</w:t>
            </w:r>
          </w:p>
        </w:tc>
        <w:tc>
          <w:tcPr>
            <w:tcW w:w="1640" w:type="dxa"/>
            <w:vAlign w:val="bottom"/>
          </w:tcPr>
          <w:p>
            <w:pPr>
              <w:spacing w:after="0"/>
              <w:rPr>
                <w:sz w:val="18"/>
                <w:szCs w:val="18"/>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Laboratory equipment</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CEEFF"/>
          </w:tcPr>
          <w:p>
            <w:pPr>
              <w:spacing w:after="0"/>
              <w:rPr>
                <w:sz w:val="19"/>
                <w:szCs w:val="19"/>
                <w:color w:val="auto"/>
              </w:rPr>
            </w:pPr>
          </w:p>
        </w:tc>
      </w:tr>
      <w:tr>
        <w:trPr>
          <w:trHeight w:val="210"/>
        </w:trPr>
        <w:tc>
          <w:tcPr>
            <w:tcW w:w="9180" w:type="dxa"/>
            <w:vAlign w:val="bottom"/>
          </w:tcPr>
          <w:p>
            <w:pPr>
              <w:ind w:left="480"/>
              <w:spacing w:after="0"/>
              <w:rPr>
                <w:sz w:val="20"/>
                <w:szCs w:val="20"/>
                <w:color w:val="auto"/>
              </w:rPr>
            </w:pPr>
            <w:r>
              <w:rPr>
                <w:rFonts w:ascii="Arial" w:cs="Arial" w:eastAsia="Arial" w:hAnsi="Arial"/>
                <w:sz w:val="16"/>
                <w:szCs w:val="16"/>
                <w:color w:val="auto"/>
              </w:rPr>
              <w:t>Motor vehicles</w:t>
            </w:r>
          </w:p>
        </w:tc>
        <w:tc>
          <w:tcPr>
            <w:tcW w:w="400" w:type="dxa"/>
            <w:vAlign w:val="bottom"/>
          </w:tcPr>
          <w:p>
            <w:pPr>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8"/>
                <w:szCs w:val="18"/>
                <w:color w:val="auto"/>
              </w:rPr>
            </w:pPr>
          </w:p>
        </w:tc>
      </w:tr>
    </w:tbl>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shorter.</w:t>
      </w:r>
    </w:p>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(q)</w:t>
        <w:tab/>
        <w:t>Leases</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 (</w:t>
      </w:r>
      <w:r>
        <w:rPr>
          <w:rFonts w:ascii="Arial" w:cs="Arial" w:eastAsia="Arial" w:hAnsi="Arial"/>
          <w:sz w:val="16"/>
          <w:szCs w:val="16"/>
          <w:color w:val="auto"/>
        </w:rPr>
        <w:t>ASC 842), with a date of initial application of January 1, 2019. The lease accounting policy applied in preparation of the results for the year ended December 31, 2020 and December 31, 2021 therefore reflect application of ASC 842. The Company adopted the standard using the cumulative-effect adjustment approach. Under this transition method, the Company applied the ASC 842 as at the date of initial application (i.e. January 1, 2019), without restatement of comparative period amounts. The cumulative effect of applying the standard is recorded as an adjustment to the opening consolidated balance sheet as at the date of initial application.</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ASC 842 requires lessees to recognize the rights and obligations resulting from virtually all leases on the Consolidated Balance Sheet as right-of-use (ROU) assets with corresponding lease liabilities.</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most significant impact of application of the standard for the Company related to the recognition of right-of-use assets and lease liabilities on the Consolidated Balance Sheet for operating leases for certain property, vehicles and equipment. Prior to application of ASC 842, costs in respect of operating leases were charged to the Consolidated Statements of Operations on a straight-line basis over the lease term.</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Pursuant to certain practical expedients available as part of adopting ASC 842, ICON did not reassess whether existing or expired supplier contracts are or contain leases, the classification of existing or expired leases, or whether unamortized initial direct costs meet the new definition of initial direct costs under ASC 842. Additionally, the Company elected to use hindsight in determining the lease term and in assessing impairment of ROU assets, if any.</w:t>
      </w:r>
    </w:p>
    <w:p>
      <w:pPr>
        <w:spacing w:after="0" w:line="3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determines if an arrangement is a lease at inception. Finance leases, if any, are depreciated on the same basis as property, plant and equipment. At December 31, 2021 and December 31, 2020, the Company did not account for any leases as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0" w:name="page121"/>
    <w:bookmarkEnd w:id="120"/>
    <w:p>
      <w:pPr>
        <w:jc w:val="both"/>
        <w:ind w:firstLine="648"/>
        <w:spacing w:after="0" w:line="248" w:lineRule="auto"/>
        <w:rPr>
          <w:sz w:val="20"/>
          <w:szCs w:val="20"/>
          <w:color w:val="auto"/>
        </w:rPr>
      </w:pPr>
      <w:r>
        <w:rPr>
          <w:rFonts w:ascii="Arial" w:cs="Arial" w:eastAsia="Arial" w:hAnsi="Arial"/>
          <w:sz w:val="16"/>
          <w:szCs w:val="16"/>
          <w:color w:val="auto"/>
        </w:rPr>
        <w:t>Operating leases are included in operating right-of-use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accounts for lease and non-lease components separately with lease components flowing through the Consolidated Balance Sheet and non-lease components expensed directly to the Consolidated Statements of Operations.</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some cases, the Company enters into sublease agreements and becomes both a lessee and a lessor for the same underlying asset. Although subleases are accounted for separately from the lease they relate to, subleases are accounted for in the same way as other leases.</w:t>
      </w: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(r)</w:t>
        <w:tab/>
        <w:t>Income taxes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in the period it arises and has therefore not provided for deferred taxes in respect of this item.</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(s)</w:t>
        <w:tab/>
        <w:t>Government grants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28"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(t)</w:t>
        <w:tab/>
        <w:t>Research and development credits</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1" w:name="page122"/>
    <w:bookmarkEnd w:id="121"/>
    <w:p>
      <w:pPr>
        <w:spacing w:after="0"/>
        <w:tabs>
          <w:tab w:leader="none" w:pos="320" w:val="left"/>
        </w:tabs>
        <w:rPr>
          <w:sz w:val="20"/>
          <w:szCs w:val="20"/>
          <w:color w:val="auto"/>
        </w:rPr>
      </w:pPr>
      <w:r>
        <w:rPr>
          <w:rFonts w:ascii="Arial" w:cs="Arial" w:eastAsia="Arial" w:hAnsi="Arial"/>
          <w:sz w:val="16"/>
          <w:szCs w:val="16"/>
          <w:color w:val="auto"/>
        </w:rPr>
        <w:t>(u)</w:t>
        <w:tab/>
        <w:t>Pension costs</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operates, through certain subsidiaries, a defined benefit plan for certain employees located in the United Kingdom and Switzerland. The Company accounts for the costs of these plans in accordance with ASC 715-30 </w:t>
      </w:r>
      <w:r>
        <w:rPr>
          <w:rFonts w:ascii="Arial" w:cs="Arial" w:eastAsia="Arial" w:hAnsi="Arial"/>
          <w:sz w:val="16"/>
          <w:szCs w:val="16"/>
          <w:i w:val="1"/>
          <w:iCs w:val="1"/>
          <w:color w:val="auto"/>
        </w:rPr>
        <w:t>'Defined Benefit Plans – Pension'</w:t>
      </w:r>
      <w:r>
        <w:rPr>
          <w:rFonts w:ascii="Arial" w:cs="Arial" w:eastAsia="Arial" w:hAnsi="Arial"/>
          <w:sz w:val="16"/>
          <w:szCs w:val="16"/>
          <w:color w:val="auto"/>
        </w:rPr>
        <w:t xml:space="preserve">. These plans are presented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 The Company also maintains various retirement plans across the Group, many of which are required by local employment laws.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(v)</w:t>
        <w:tab/>
        <w:t>Redeemable noncontrolling interests and equity</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Company acquired a majority ownership interest in MeDiNova during the year ended December 31, 2019. Included in the purchase agreement were put and call option arrangements with the noncontrolling interest holders that required (put option) or enabled (call option) the Company to purchase the remaining minority ownership at a future date. The option was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On March 9, 2020, ICON exercised its option to call the remaining shares and took 100% ownership of MeDiNova.</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 until the redemption of the noncontrolling interest on March 9, 2020.</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 Net income per ordinary share</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 Basic and diluted net income per ordinary share attributable to the Company includes the adjustment to reflect the accretion of the noncontrolling interest in MeDiNova to its redemption value (see </w:t>
      </w:r>
      <w:r>
        <w:rPr>
          <w:rFonts w:ascii="Arial" w:cs="Arial" w:eastAsia="Arial" w:hAnsi="Arial"/>
          <w:sz w:val="16"/>
          <w:szCs w:val="16"/>
          <w:i w:val="1"/>
          <w:iCs w:val="1"/>
          <w:color w:val="auto"/>
        </w:rPr>
        <w:t>note 27 - Net income per ordinary share</w:t>
      </w:r>
      <w:r>
        <w:rPr>
          <w:rFonts w:ascii="Arial" w:cs="Arial" w:eastAsia="Arial" w:hAnsi="Arial"/>
          <w:sz w:val="16"/>
          <w:szCs w:val="16"/>
          <w:color w:val="auto"/>
        </w:rPr>
        <w:t>).</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(x)</w:t>
        <w:tab/>
        <w:t>Share-based compensation</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Liability classified awards are measured at the fair value of the award on the grant date and remeasured at each reporting period at fair value until the award is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6"/>
          <w:szCs w:val="16"/>
          <w:i w:val="1"/>
          <w:iCs w:val="1"/>
          <w:color w:val="auto"/>
        </w:rPr>
        <w:t>Replacement awards</w:t>
      </w:r>
    </w:p>
    <w:p>
      <w:pPr>
        <w:spacing w:after="0" w:line="25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connection with the completion of the Merger, the company issued replacement awards to the holders of PRA equity awards on July 1, 2021. An exchange of share-based compensation awards in a business combination is treated as a modification under ASC 718. The replacement awards and the original acquiree awards are measured at fair value at the acquisition date and calculated using the fair-value-based measurement principles in ASC 718. Amounts attributable to pre-combination vesting are accounted for as part of the consideration transferred for the acquiree. Amounts attributable to post-combination vesting are accounted for separate from the business combination and are recognized as compensation cost in the post-combination period.</w:t>
      </w:r>
    </w:p>
    <w:p>
      <w:pPr>
        <w:spacing w:after="0" w:line="24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(y)</w:t>
        <w:tab/>
        <w:t>Impairment of long-lived assets</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(z)</w:t>
        <w:tab/>
        <w:t>Derivative financial instruments</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2021 or December 31, 2020.</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use derivative financial instruments to reduce exposure to fluctuations in foreign exchange rates. During the years ended December 31, 2019 and December 31, 2020, we entered into forward currency contracts in respect of identified exposure arising from euro payments. All contracts expired during the year in which the contract was entered into. No forward currency contracts were entered into during the year ended December 31, 2021.</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entered into certain put and call arrangements to purchase equity in unconsolidated entities at a future date. These arrangements are accounted for at fair value at the balance sheet date.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(aa) Debt issuance costs</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 Early repayment of debt facilities can result in modification of the debt and the acceleration of the amortization of debt issuance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(ab) Transaction and integration-related expenses</w:t>
      </w:r>
    </w:p>
    <w:p>
      <w:pPr>
        <w:spacing w:after="0" w:line="23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Transaction and integration-related expenses are the incremental costs directly attributable to the completion and integration activities associated with the Company’s recent acquisitions. The costs consist of investment banking fees, advisory costs, retention agreements with employees, accelerated share compensation charges, contingent consideration valuation adjustments and ongoing integration activities. The Company accounts for these transaction and integration-related costs as expenses in the period in which the costs are incurred and the services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(ac) Restructuring</w:t>
      </w:r>
    </w:p>
    <w:p>
      <w:pPr>
        <w:spacing w:after="0" w:line="23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Restructuring charges reflect certain one-time costs arising from reorganization programs announced by Company management. These programs generally result in asset impairments and workforce reductions in order to optimize the Company’s structure and facilitate improved long-term performance. Impairment charges are taken when the value-in-use of the asset is less than the asset’s carrying value. Workforce related charges are taken when an approved reorganization program is communicated to the relevant employee groups.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(ad) Reclassifications</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period’s presentation. Most notably, the Company has presented transaction and integration-related expenses as a separate line in the Consolidated Statement of Operations and reclassified certain costs incurred in the years ended December 31, 2020 and December 31, 2019 within this line. These costs consist of transaction and integration-related expenses and contingent consideration valuation adjustments related to ICON's prior period acquisitions. These costs were previously presented in the selling, general and administrative expenses but have been reclassified to transaction and integration-related expenses to conform to the current period’s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Investments</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(a)</w:t>
        <w:tab/>
        <w:t>Available for sale investments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0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at start of year</w:t>
            </w:r>
          </w:p>
        </w:tc>
        <w:tc>
          <w:tcPr>
            <w:tcW w:w="2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49,628</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Purchases</w:t>
            </w:r>
          </w:p>
        </w:tc>
        <w:tc>
          <w:tcPr>
            <w:tcW w:w="2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w:t>
            </w:r>
          </w:p>
        </w:tc>
        <w:tc>
          <w:tcPr>
            <w:tcW w:w="2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(47,902)</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Realized gain on sale of short term investments</w:t>
            </w:r>
          </w:p>
        </w:tc>
        <w:tc>
          <w:tcPr>
            <w:tcW w:w="2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26"/>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2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37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Available for sale investments at end of year</w:t>
            </w:r>
          </w:p>
        </w:tc>
        <w:tc>
          <w:tcPr>
            <w:tcW w:w="2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r>
      <w:tr>
        <w:trPr>
          <w:trHeight w:val="23"/>
        </w:trPr>
        <w:tc>
          <w:tcPr>
            <w:tcW w:w="59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its investment in short term investments as available for sale. Short term investments comprise highly liquid investments with maturities of greater than three months and minimum "A-" rated fixed term deposits. Short term investments at December 31, 2021 have an average maturity of 2.7 years compared to 3.4 years at December 31, 2020.</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available for sale short term investments by major security type as of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Maturity by period</w:t>
            </w:r>
          </w:p>
        </w:tc>
        <w:tc>
          <w:tcPr>
            <w:tcW w:w="600" w:type="dxa"/>
            <w:vAlign w:val="bottom"/>
            <w:tcBorders>
              <w:bottom w:val="single" w:sz="8" w:color="auto"/>
            </w:tcBorders>
            <w:shd w:val="clear" w:color="auto" w:fill="CCEEFF"/>
          </w:tcPr>
          <w:p>
            <w:pPr>
              <w:spacing w:after="0"/>
              <w:rPr>
                <w:sz w:val="18"/>
                <w:szCs w:val="18"/>
                <w:color w:val="auto"/>
              </w:rPr>
            </w:pPr>
          </w:p>
        </w:tc>
      </w:tr>
      <w:tr>
        <w:trPr>
          <w:trHeight w:val="155"/>
        </w:trPr>
        <w:tc>
          <w:tcPr>
            <w:tcW w:w="5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center"/>
              <w:ind w:left="379"/>
              <w:spacing w:after="0" w:line="155" w:lineRule="exact"/>
              <w:rPr>
                <w:sz w:val="20"/>
                <w:szCs w:val="20"/>
                <w:color w:val="auto"/>
              </w:rPr>
            </w:pPr>
            <w:r>
              <w:rPr>
                <w:rFonts w:ascii="Arial" w:cs="Arial" w:eastAsia="Arial" w:hAnsi="Arial"/>
                <w:sz w:val="16"/>
                <w:szCs w:val="16"/>
                <w:b w:val="1"/>
                <w:bCs w:val="1"/>
                <w:color w:val="auto"/>
              </w:rPr>
              <w:t>Cost</w:t>
            </w:r>
          </w:p>
        </w:tc>
        <w:tc>
          <w:tcPr>
            <w:tcW w:w="400" w:type="dxa"/>
            <w:vAlign w:val="bottom"/>
          </w:tcPr>
          <w:p>
            <w:pPr>
              <w:spacing w:after="0"/>
              <w:rPr>
                <w:sz w:val="13"/>
                <w:szCs w:val="13"/>
                <w:color w:val="auto"/>
              </w:rPr>
            </w:pPr>
          </w:p>
        </w:tc>
        <w:tc>
          <w:tcPr>
            <w:tcW w:w="1060" w:type="dxa"/>
            <w:vAlign w:val="bottom"/>
          </w:tcPr>
          <w:p>
            <w:pPr>
              <w:ind w:left="260"/>
              <w:spacing w:after="0" w:line="155" w:lineRule="exact"/>
              <w:rPr>
                <w:sz w:val="20"/>
                <w:szCs w:val="20"/>
                <w:color w:val="auto"/>
              </w:rPr>
            </w:pPr>
            <w:r>
              <w:rPr>
                <w:rFonts w:ascii="Arial" w:cs="Arial" w:eastAsia="Arial" w:hAnsi="Arial"/>
                <w:sz w:val="16"/>
                <w:szCs w:val="16"/>
                <w:b w:val="1"/>
                <w:bCs w:val="1"/>
                <w:color w:val="auto"/>
              </w:rPr>
              <w:t>Fair Value</w:t>
            </w:r>
          </w:p>
        </w:tc>
        <w:tc>
          <w:tcPr>
            <w:tcW w:w="480" w:type="dxa"/>
            <w:vAlign w:val="bottom"/>
          </w:tcPr>
          <w:p>
            <w:pPr>
              <w:spacing w:after="0"/>
              <w:rPr>
                <w:sz w:val="13"/>
                <w:szCs w:val="13"/>
                <w:color w:val="auto"/>
              </w:rPr>
            </w:pPr>
          </w:p>
        </w:tc>
        <w:tc>
          <w:tcPr>
            <w:tcW w:w="960" w:type="dxa"/>
            <w:vAlign w:val="bottom"/>
          </w:tcPr>
          <w:p>
            <w:pPr>
              <w:ind w:left="40"/>
              <w:spacing w:after="0" w:line="155" w:lineRule="exact"/>
              <w:rPr>
                <w:sz w:val="20"/>
                <w:szCs w:val="20"/>
                <w:color w:val="auto"/>
              </w:rPr>
            </w:pPr>
            <w:r>
              <w:rPr>
                <w:rFonts w:ascii="Arial" w:cs="Arial" w:eastAsia="Arial" w:hAnsi="Arial"/>
                <w:sz w:val="16"/>
                <w:szCs w:val="16"/>
                <w:b w:val="1"/>
                <w:bCs w:val="1"/>
                <w:color w:val="auto"/>
              </w:rPr>
              <w:t>Less than 1</w:t>
            </w:r>
          </w:p>
        </w:tc>
        <w:tc>
          <w:tcPr>
            <w:tcW w:w="8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1 to 5</w:t>
            </w:r>
          </w:p>
        </w:tc>
      </w:tr>
      <w:tr>
        <w:trPr>
          <w:trHeight w:val="215"/>
        </w:trPr>
        <w:tc>
          <w:tcPr>
            <w:tcW w:w="54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4"/>
              </w:rPr>
              <w:t>Total</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b w:val="1"/>
                <w:bCs w:val="1"/>
                <w:color w:val="auto"/>
                <w:w w:val="99"/>
              </w:rPr>
              <w:t>Total</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rPr>
              <w:t>year</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r>
      <w:tr>
        <w:trPr>
          <w:trHeight w:val="210"/>
        </w:trPr>
        <w:tc>
          <w:tcPr>
            <w:tcW w:w="5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 deposits</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8"/>
              </w:rPr>
              <w:t>1.7</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8"/>
              </w:rPr>
              <w:t>0.5</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 in millions)</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w w:val="98"/>
              </w:rPr>
              <w:t>1.7</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0.5</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contractual maturity of certain investments in the portfolio is greater than 12 months; however, classification as short-term investments reflects the Company practice and intention in respect of these investments. The Company recognizes the unrealized losses at fair value in equity as these unrealized losses on short term investments have been considered as temporary.</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124" w:name="page125"/>
    <w:bookmarkEnd w:id="124"/>
    <w:p>
      <w:pPr>
        <w:ind w:left="400" w:hanging="392"/>
        <w:spacing w:after="0"/>
        <w:tabs>
          <w:tab w:leader="none" w:pos="40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in equity - long term</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entered into subscription agreements with a number of funds. Capital totaling $16.9 million had been advanced under the terms of the subscription agreements at December 31, 2021 (December 31, 2020: $13.3 million). The Company determined that the interests in the funds meet the definition of equity securities without readily determinable fair values. The Company concluded that the interests held at December 31, 2021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There was an increase in fair value of $3.2 million (December 31, 2020: $2.5 million) recognized in net income during the year bringing the carrying value of the subscriptions to $22.6 million at December 31, 2021 (December 31, 2020: $15.8 million). At December 31, 2021, the Company had committed to future investments of $17.4 million in respect of these funds.</w:t>
      </w:r>
    </w:p>
    <w:p>
      <w:pPr>
        <w:spacing w:after="0" w:line="200" w:lineRule="exact"/>
        <w:rPr>
          <w:sz w:val="20"/>
          <w:szCs w:val="20"/>
          <w:color w:val="auto"/>
        </w:rPr>
      </w:pPr>
    </w:p>
    <w:p>
      <w:pPr>
        <w:spacing w:after="0" w:line="255"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December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Ownership Percentage</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4040" w:type="dxa"/>
            <w:vAlign w:val="bottom"/>
          </w:tcPr>
          <w:p>
            <w:pPr>
              <w:jc w:val="right"/>
              <w:ind w:right="239"/>
              <w:spacing w:after="0"/>
              <w:rPr>
                <w:sz w:val="20"/>
                <w:szCs w:val="20"/>
                <w:color w:val="auto"/>
              </w:rPr>
            </w:pPr>
            <w:r>
              <w:rPr>
                <w:rFonts w:ascii="Arial" w:cs="Arial" w:eastAsia="Arial" w:hAnsi="Arial"/>
                <w:sz w:val="16"/>
                <w:szCs w:val="16"/>
                <w:color w:val="auto"/>
              </w:rPr>
              <w:t>49 % $</w:t>
            </w:r>
          </w:p>
        </w:tc>
        <w:tc>
          <w:tcPr>
            <w:tcW w:w="1800" w:type="dxa"/>
            <w:vAlign w:val="bottom"/>
          </w:tcPr>
          <w:p>
            <w:pPr>
              <w:jc w:val="right"/>
              <w:spacing w:after="0"/>
              <w:rPr>
                <w:sz w:val="20"/>
                <w:szCs w:val="20"/>
                <w:color w:val="auto"/>
              </w:rPr>
            </w:pPr>
            <w:r>
              <w:rPr>
                <w:rFonts w:ascii="Arial" w:cs="Arial" w:eastAsia="Arial" w:hAnsi="Arial"/>
                <w:sz w:val="16"/>
                <w:szCs w:val="16"/>
                <w:color w:val="auto"/>
              </w:rPr>
              <w:t>2,373</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73"/>
        </w:trPr>
        <w:tc>
          <w:tcPr>
            <w:tcW w:w="3140" w:type="dxa"/>
            <w:vAlign w:val="bottom"/>
            <w:tcBorders>
              <w:bottom w:val="single" w:sz="8" w:color="auto"/>
            </w:tcBorders>
            <w:shd w:val="clear" w:color="auto" w:fill="CCEEFF"/>
          </w:tcPr>
          <w:p>
            <w:pPr>
              <w:spacing w:after="0"/>
              <w:rPr>
                <w:sz w:val="23"/>
                <w:szCs w:val="23"/>
                <w:color w:val="auto"/>
              </w:rPr>
            </w:pPr>
          </w:p>
        </w:tc>
        <w:tc>
          <w:tcPr>
            <w:tcW w:w="40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recorded a loss of $2.2 million representing its pro rata share of the losses in Oncacare since December 31, 2020. From the date of initial investment to year ended December 31, 2020, the Company recorded a loss of $0.4 million. During the year ended December 31, 2021, the Company provided a loan of $10 million to Oncacare in order to fund the continued development of the business operations. The loan accrues annual interest at 1.6% and the loan is repayable on June 30, 2025. Oncacare continues to perform in line with expectations.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38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goodwill</w:t>
            </w:r>
          </w:p>
        </w:tc>
        <w:tc>
          <w:tcPr>
            <w:tcW w:w="3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936,257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883,170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Current year acquisitions (note 6)</w:t>
            </w:r>
          </w:p>
        </w:tc>
        <w:tc>
          <w:tcPr>
            <w:tcW w:w="3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8,120,006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27,191</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acquisition</w:t>
            </w:r>
          </w:p>
        </w:tc>
        <w:tc>
          <w:tcPr>
            <w:tcW w:w="3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25,773</w:t>
            </w:r>
          </w:p>
        </w:tc>
      </w:tr>
      <w:tr>
        <w:trPr>
          <w:trHeight w:val="238"/>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goodwill</w:t>
            </w:r>
          </w:p>
        </w:tc>
        <w:tc>
          <w:tcPr>
            <w:tcW w:w="3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9,037,931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936,257</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tests goodwill annually for impairment or whenever events occur which may indicate impairment. The results of the Company's goodwill impairment testing assessed at September 30, 2021 during the year ended December 31, 2021 provided no evidence of impairment and indicated the existence of sufficient headroom such that a reasonably possible change to the key assumptions used would be unlikely to result in an impairment of the related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5. Intangible 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12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34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4,056,642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144,251</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Order backlog</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528,022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39,269</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&amp; brands</w:t>
            </w:r>
          </w:p>
        </w:tc>
        <w:tc>
          <w:tcPr>
            <w:tcW w:w="3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170,525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2,552</w:t>
            </w:r>
          </w:p>
        </w:tc>
      </w:tr>
      <w:tr>
        <w:trPr>
          <w:trHeight w:val="22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Technology assets</w:t>
            </w:r>
          </w:p>
        </w:tc>
        <w:tc>
          <w:tcPr>
            <w:tcW w:w="3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121,507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11,173</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5,081,381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200,011</w:t>
            </w:r>
          </w:p>
        </w:tc>
      </w:tr>
      <w:tr>
        <w:trPr>
          <w:trHeight w:val="259"/>
        </w:trPr>
        <w:tc>
          <w:tcPr>
            <w:tcW w:w="512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(370,538)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(133,551)</w:t>
            </w:r>
          </w:p>
        </w:tc>
      </w:tr>
      <w:tr>
        <w:trPr>
          <w:trHeight w:val="4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book value</w:t>
            </w:r>
          </w:p>
        </w:tc>
        <w:tc>
          <w:tcPr>
            <w:tcW w:w="3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2021, ICON plc announced the completion of its Merger with PRA Health Sciences, Inc. The Merger resulted in the recognition of Customer relationships of $3,915.0 million, Order backlog of $490.0 million, Trade names of $202.0 million, Patient database of $168.0 million and Technology assets of $111.0 million. These assets will be amortized over their expected useful lives of between 3 and 23 years. The valuation and useful lives of these assets remains provisional at December 31, 2021. In total, $223.5 million has been amortized in the period since the date of acquisition.</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On acquisition, certain customer relationships and order backlog identified, which were valued at $11.7 million and $2.9 million respectively, were recognized and are being amortized over approximately 13 years and 3 years, the estimated period of benefit. In total, $2.0 million has been amortized in the period to December 31, 2021 relating to the acquisition.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9400" w:type="dxa"/>
            <w:vAlign w:val="bottom"/>
          </w:tcPr>
          <w:p>
            <w:pPr>
              <w:jc w:val="right"/>
              <w:ind w:right="439"/>
              <w:spacing w:after="0"/>
              <w:rPr>
                <w:sz w:val="20"/>
                <w:szCs w:val="20"/>
                <w:color w:val="auto"/>
              </w:rPr>
            </w:pPr>
            <w:r>
              <w:rPr>
                <w:rFonts w:ascii="Arial" w:cs="Arial" w:eastAsia="Arial" w:hAnsi="Arial"/>
                <w:sz w:val="16"/>
                <w:szCs w:val="16"/>
                <w:color w:val="auto"/>
              </w:rPr>
              <w:t>Future intangible asset amortization expense for the years ended December 31, 2022 to December 31, 2026 is as follows:</w:t>
            </w:r>
          </w:p>
        </w:tc>
        <w:tc>
          <w:tcPr>
            <w:tcW w:w="1280" w:type="dxa"/>
            <w:vAlign w:val="bottom"/>
          </w:tcPr>
          <w:p>
            <w:pPr>
              <w:spacing w:after="0"/>
              <w:rPr>
                <w:sz w:val="16"/>
                <w:szCs w:val="16"/>
                <w:color w:val="auto"/>
              </w:rPr>
            </w:pPr>
          </w:p>
        </w:tc>
      </w:tr>
      <w:tr>
        <w:trPr>
          <w:trHeight w:val="114"/>
        </w:trPr>
        <w:tc>
          <w:tcPr>
            <w:tcW w:w="5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62"/>
        </w:trPr>
        <w:tc>
          <w:tcPr>
            <w:tcW w:w="520" w:type="dxa"/>
            <w:vAlign w:val="bottom"/>
            <w:shd w:val="clear" w:color="auto" w:fill="CCEEFF"/>
          </w:tcPr>
          <w:p>
            <w:pPr>
              <w:spacing w:after="0"/>
              <w:rPr>
                <w:sz w:val="14"/>
                <w:szCs w:val="14"/>
                <w:color w:val="auto"/>
              </w:rPr>
            </w:pPr>
          </w:p>
        </w:tc>
        <w:tc>
          <w:tcPr>
            <w:tcW w:w="9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Year Ended</w:t>
            </w:r>
          </w:p>
        </w:tc>
      </w:tr>
      <w:tr>
        <w:trPr>
          <w:trHeight w:val="215"/>
        </w:trPr>
        <w:tc>
          <w:tcPr>
            <w:tcW w:w="520" w:type="dxa"/>
            <w:vAlign w:val="bottom"/>
            <w:tcBorders>
              <w:bottom w:val="single" w:sz="8" w:color="auto"/>
            </w:tcBorders>
            <w:shd w:val="clear" w:color="auto" w:fill="CCEEFF"/>
          </w:tcPr>
          <w:p>
            <w:pPr>
              <w:spacing w:after="0"/>
              <w:rPr>
                <w:sz w:val="18"/>
                <w:szCs w:val="18"/>
                <w:color w:val="auto"/>
              </w:rPr>
            </w:pPr>
          </w:p>
        </w:tc>
        <w:tc>
          <w:tcPr>
            <w:tcW w:w="10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52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2022</w:t>
            </w:r>
          </w:p>
        </w:tc>
        <w:tc>
          <w:tcPr>
            <w:tcW w:w="9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456,973</w:t>
            </w:r>
          </w:p>
        </w:tc>
      </w:tr>
      <w:tr>
        <w:trPr>
          <w:trHeight w:val="213"/>
        </w:trPr>
        <w:tc>
          <w:tcPr>
            <w:tcW w:w="520" w:type="dxa"/>
            <w:vAlign w:val="bottom"/>
          </w:tcPr>
          <w:p>
            <w:pPr>
              <w:jc w:val="right"/>
              <w:ind w:right="59"/>
              <w:spacing w:after="0"/>
              <w:rPr>
                <w:sz w:val="20"/>
                <w:szCs w:val="20"/>
                <w:color w:val="auto"/>
              </w:rPr>
            </w:pPr>
            <w:r>
              <w:rPr>
                <w:rFonts w:ascii="Arial" w:cs="Arial" w:eastAsia="Arial" w:hAnsi="Arial"/>
                <w:sz w:val="16"/>
                <w:szCs w:val="16"/>
                <w:color w:val="auto"/>
              </w:rPr>
              <w:t>2023</w:t>
            </w: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454,235</w:t>
            </w:r>
          </w:p>
        </w:tc>
      </w:tr>
      <w:tr>
        <w:trPr>
          <w:trHeight w:val="219"/>
        </w:trPr>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2024</w:t>
            </w:r>
          </w:p>
        </w:tc>
        <w:tc>
          <w:tcPr>
            <w:tcW w:w="9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338,463</w:t>
            </w:r>
          </w:p>
        </w:tc>
      </w:tr>
      <w:tr>
        <w:trPr>
          <w:trHeight w:val="213"/>
        </w:trPr>
        <w:tc>
          <w:tcPr>
            <w:tcW w:w="520" w:type="dxa"/>
            <w:vAlign w:val="bottom"/>
          </w:tcPr>
          <w:p>
            <w:pPr>
              <w:jc w:val="right"/>
              <w:ind w:right="59"/>
              <w:spacing w:after="0"/>
              <w:rPr>
                <w:sz w:val="20"/>
                <w:szCs w:val="20"/>
                <w:color w:val="auto"/>
              </w:rPr>
            </w:pPr>
            <w:r>
              <w:rPr>
                <w:rFonts w:ascii="Arial" w:cs="Arial" w:eastAsia="Arial" w:hAnsi="Arial"/>
                <w:sz w:val="16"/>
                <w:szCs w:val="16"/>
                <w:color w:val="auto"/>
              </w:rPr>
              <w:t>2025</w:t>
            </w: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222,191</w:t>
            </w:r>
          </w:p>
        </w:tc>
      </w:tr>
      <w:tr>
        <w:trPr>
          <w:trHeight w:val="226"/>
        </w:trPr>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2026</w:t>
            </w:r>
          </w:p>
        </w:tc>
        <w:tc>
          <w:tcPr>
            <w:tcW w:w="9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208,175</w:t>
            </w:r>
          </w:p>
        </w:tc>
      </w:tr>
      <w:tr>
        <w:trPr>
          <w:trHeight w:val="213"/>
        </w:trPr>
        <w:tc>
          <w:tcPr>
            <w:tcW w:w="520" w:type="dxa"/>
            <w:vAlign w:val="bottom"/>
            <w:tcBorders>
              <w:bottom w:val="single" w:sz="8" w:color="auto"/>
            </w:tcBorders>
          </w:tcPr>
          <w:p>
            <w:pPr>
              <w:spacing w:after="0"/>
              <w:rPr>
                <w:sz w:val="18"/>
                <w:szCs w:val="18"/>
                <w:color w:val="auto"/>
              </w:rPr>
            </w:pPr>
          </w:p>
        </w:tc>
        <w:tc>
          <w:tcPr>
            <w:tcW w:w="9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1,680,037</w:t>
            </w:r>
          </w:p>
        </w:tc>
      </w:tr>
      <w:tr>
        <w:trPr>
          <w:trHeight w:val="24"/>
        </w:trPr>
        <w:tc>
          <w:tcPr>
            <w:tcW w:w="52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Health Sciences, Inc., the parent of the PRA Health Sciences Group ("the Acquisition" and "the Merger"). The combined Group has retained the name ICON and brought together approximately 38,000 (as at the Merger date) employees across the globe, creating one of the world’s most advanced healthcare intelligence and clinical research organization. The Merger was accounted for as a business combination using the acquisition method of accounting in accordance with ASC Topic 805, </w:t>
      </w:r>
      <w:r>
        <w:rPr>
          <w:rFonts w:ascii="Arial" w:cs="Arial" w:eastAsia="Arial" w:hAnsi="Arial"/>
          <w:sz w:val="16"/>
          <w:szCs w:val="16"/>
          <w:i w:val="1"/>
          <w:iCs w:val="1"/>
          <w:color w:val="auto"/>
        </w:rPr>
        <w:t>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6" w:name="page127"/>
    <w:bookmarkEnd w:id="126"/>
    <w:p>
      <w:pPr>
        <w:jc w:val="both"/>
        <w:ind w:firstLine="648"/>
        <w:spacing w:after="0" w:line="253"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the ICON Group. Under the terms of the Merger, PRA shareholders received per share $80 in cash and 0.4125 shares of ICON stock. The trading of PRA common stock on NASDAQ was suspended prior to market open on July 1, 2021.</w:t>
      </w:r>
    </w:p>
    <w:p>
      <w:pPr>
        <w:spacing w:after="0" w:line="22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the year ended December 31, 2021, the Company incurred $198.3 million of Merger-related expenses which were accounted for separately from the business combination and expensed as incurred within the “Transaction and integration related” line item of the Consolidated Statement of Operations. These costs consist primarily of investment banker fees, advisory fees, legal costs, accounting and consulting fees, share-based compensation expense, and employee retention bonuses. Included in the $198.3 million of transaction and integration costs are acquisition related costs (as defined by ASC 805) of $57.1 million. These costs include finders fees; advisory, legal, accounting, valuation, and other professional or consulting fees.</w:t>
      </w:r>
    </w:p>
    <w:p>
      <w:pPr>
        <w:spacing w:after="0" w:line="22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also incurred approximately $86.7 million of Merger-related financing fees which are included in the “Interest expense” line item in the Consolidated Statement of Operations for the year ended December 31, 2021. The Company deferred $76.2 million of financing costs incurred as a result of the Senior Secured Credit Facility and Senior Secured Notes. These costs will be amortized over the term of the related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 accounting associated with the PRA Merger remains ongoing and the Company continues to review the acquisition balance sheet.</w:t>
      </w:r>
    </w:p>
    <w:p>
      <w:pPr>
        <w:spacing w:after="0"/>
        <w:rPr>
          <w:sz w:val="20"/>
          <w:szCs w:val="20"/>
          <w:color w:val="auto"/>
        </w:rPr>
      </w:pPr>
      <w:r>
        <w:rPr>
          <w:rFonts w:ascii="Arial" w:cs="Arial" w:eastAsia="Arial" w:hAnsi="Arial"/>
          <w:sz w:val="16"/>
          <w:szCs w:val="16"/>
          <w:color w:val="auto"/>
        </w:rPr>
        <w:t>The Company expects to conclude the purchase accounting exercise by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ind w:left="660"/>
              <w:spacing w:after="0"/>
              <w:rPr>
                <w:sz w:val="20"/>
                <w:szCs w:val="20"/>
                <w:color w:val="auto"/>
              </w:rPr>
            </w:pPr>
            <w:r>
              <w:rPr>
                <w:rFonts w:ascii="Arial" w:cs="Arial" w:eastAsia="Arial" w:hAnsi="Arial"/>
                <w:sz w:val="16"/>
                <w:szCs w:val="16"/>
                <w:color w:val="auto"/>
              </w:rPr>
              <w:t>The Merger Date fair value of the consideration transferred consisted of the following:</w:t>
            </w:r>
          </w:p>
        </w:tc>
        <w:tc>
          <w:tcPr>
            <w:tcW w:w="2640" w:type="dxa"/>
            <w:vAlign w:val="bottom"/>
          </w:tcPr>
          <w:p>
            <w:pPr>
              <w:spacing w:after="0"/>
              <w:rPr>
                <w:sz w:val="16"/>
                <w:szCs w:val="16"/>
                <w:color w:val="auto"/>
              </w:rPr>
            </w:pPr>
          </w:p>
        </w:tc>
      </w:tr>
      <w:tr>
        <w:trPr>
          <w:trHeight w:val="263"/>
        </w:trPr>
        <w:tc>
          <w:tcPr>
            <w:tcW w:w="86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215"/>
        </w:trPr>
        <w:tc>
          <w:tcPr>
            <w:tcW w:w="8600" w:type="dxa"/>
            <w:vAlign w:val="bottom"/>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264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264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09"/>
        </w:trPr>
        <w:tc>
          <w:tcPr>
            <w:tcW w:w="8600" w:type="dxa"/>
            <w:vAlign w:val="bottom"/>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3"/>
        </w:trPr>
        <w:tc>
          <w:tcPr>
            <w:tcW w:w="86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pacing w:after="0" w:line="204" w:lineRule="exact"/>
        <w:rPr>
          <w:sz w:val="20"/>
          <w:szCs w:val="20"/>
          <w:color w:val="auto"/>
        </w:rPr>
      </w:pPr>
    </w:p>
    <w:p>
      <w:pPr>
        <w:ind w:firstLine="8"/>
        <w:spacing w:after="0" w:line="260" w:lineRule="auto"/>
        <w:tabs>
          <w:tab w:leader="none" w:pos="1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27" w:name="page128"/>
    <w:bookmarkEnd w:id="127"/>
    <w:p>
      <w:pPr>
        <w:jc w:val="both"/>
        <w:ind w:right="20" w:firstLine="648"/>
        <w:spacing w:after="0" w:line="253" w:lineRule="auto"/>
        <w:rPr>
          <w:sz w:val="20"/>
          <w:szCs w:val="20"/>
          <w:color w:val="auto"/>
        </w:rPr>
      </w:pPr>
      <w:r>
        <w:rPr>
          <w:rFonts w:ascii="Arial" w:cs="Arial" w:eastAsia="Arial" w:hAnsi="Arial"/>
          <w:sz w:val="16"/>
          <w:szCs w:val="16"/>
          <w:color w:val="auto"/>
        </w:rPr>
        <w:t>The following table summarizes the preliminary allocation of the consideration transferred based on management’s estimates of Merger Date fair values of assets acquired and liabilities assumed, with the excess of the purchase price over the estimated fair values of the identifiable net assets acquired recorded as goodwill:</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5"/>
        </w:trPr>
        <w:tc>
          <w:tcPr>
            <w:tcW w:w="9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9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125,156</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156,851</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177,345</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8,120,006</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4,886,000</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28,099</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35,391</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(380,342)</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(36,625)</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(739,278)</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(144,403)</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(1,126,952)</w:t>
            </w:r>
          </w:p>
        </w:tc>
      </w:tr>
      <w:tr>
        <w:trPr>
          <w:trHeight w:val="226"/>
        </w:trPr>
        <w:tc>
          <w:tcPr>
            <w:tcW w:w="9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(203,297)</w:t>
            </w:r>
          </w:p>
        </w:tc>
      </w:tr>
      <w:tr>
        <w:trPr>
          <w:trHeight w:val="243"/>
        </w:trPr>
        <w:tc>
          <w:tcPr>
            <w:tcW w:w="9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1"/>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12,041,971</w:t>
            </w:r>
          </w:p>
        </w:tc>
      </w:tr>
      <w:tr>
        <w:trPr>
          <w:trHeight w:val="20"/>
        </w:trPr>
        <w:tc>
          <w:tcPr>
            <w:tcW w:w="95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r>
    </w:tbl>
    <w:p>
      <w:pPr>
        <w:spacing w:after="0" w:line="299" w:lineRule="exact"/>
        <w:rPr>
          <w:sz w:val="20"/>
          <w:szCs w:val="20"/>
          <w:color w:val="auto"/>
        </w:rPr>
      </w:pPr>
    </w:p>
    <w:p>
      <w:pPr>
        <w:ind w:right="20" w:firstLine="8"/>
        <w:spacing w:after="0" w:line="242" w:lineRule="auto"/>
        <w:tabs>
          <w:tab w:leader="none" w:pos="11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expected to be deductible for income tax purposes.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preliminary estimates of the fair value of identified intangible assets and their respective useful lives as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Merger Date (in thousands, except for estimated useful lives):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40" w:type="dxa"/>
            <w:vAlign w:val="bottom"/>
          </w:tcPr>
          <w:p>
            <w:pPr>
              <w:jc w:val="right"/>
              <w:spacing w:after="0"/>
              <w:rPr>
                <w:sz w:val="20"/>
                <w:szCs w:val="20"/>
                <w:color w:val="auto"/>
              </w:rPr>
            </w:pPr>
            <w:r>
              <w:rPr>
                <w:rFonts w:ascii="Arial" w:cs="Arial" w:eastAsia="Arial" w:hAnsi="Arial"/>
                <w:sz w:val="16"/>
                <w:szCs w:val="16"/>
                <w:color w:val="auto"/>
              </w:rPr>
              <w:t>3,915,000</w:t>
            </w:r>
          </w:p>
        </w:tc>
        <w:tc>
          <w:tcPr>
            <w:tcW w:w="30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years</w:t>
            </w:r>
          </w:p>
        </w:tc>
      </w:tr>
      <w:tr>
        <w:trPr>
          <w:trHeight w:val="235"/>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4,886,000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Since July 1, 2021, PRA has earned revenue of $2,053.4 million and pre-tax net income of $169.9 million in the six months ended December 31, 2021.</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Unaudited Supplemental Pro Forma Information</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following pro forma financial information was derived from the historical financial statements of the Company and PRA and presents the combined results of operations as if the Merger had occurred on January 1, 2020. The pro forma financial information is presented for comparative purposes only and is not necessarily indicative of the results that would have actually occurred had the Merger been completed on January 1, 2020. In addition, the pro forma financial information does not give effect to any anticipated cost savings, operating efficiencies or other synergies that may result from the Merger, or any estimated costs that have been or will be incurred by the Company to integrate the assets and operations of PRA. Consequently, actual future results of the Company will differ from the pro forma financial information presented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7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7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7,462,000</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5,980,653</w:t>
            </w: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340,942</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(149,658)</w:t>
            </w:r>
          </w:p>
        </w:tc>
      </w:tr>
    </w:tbl>
    <w:p>
      <w:pPr>
        <w:spacing w:after="0" w:line="3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pro forma adjustments primarily relate to the amortization of acquired intangible assets, interest expense and amortization of deferred financing costs related to the new financing arrangements. In addition, the pro forma net income for the year ended December 31, 2021 was adjusted to exclude certain Merger-related nonrecurring adjustments; these adjustments were included in the year ended December 31, 2020 giving effect to the Merger as if it had occurred on January 1, 2020. The nonrecurring Merger-related adjustments include transaction costs, share-based compensation expense related to the acceleration of share-based compensation awards and replacement share-based awards, and financing fees. The Merger-related adjustments were tax effected using the rates applicable to the jurisdictions where they arose.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r>
        <w:rPr>
          <w:rFonts w:ascii="Arial" w:cs="Arial" w:eastAsia="Arial" w:hAnsi="Arial"/>
          <w:sz w:val="16"/>
          <w:szCs w:val="16"/>
          <w:color w:val="auto"/>
        </w:rPr>
        <w:t xml:space="preserve"> Accounting for the acquisition of MedPass was finalized in the period ended December 31, 2020.</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11,725</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8"/>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46,992</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76"/>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as $Nil. Depending on performance of MedPass for the 12 month period ended December 31, 2020, the total consideration could have increased by a maximum of $6.7 million in contingent consideration. In January 2021, the contingent consideration was finalized and a value of $Nil was payable.</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finalizing the acquisition of MedPass in the 12 month period from acquisition, fair value adjustments were made which resulted in an increase in accounts receivable ($0.2 million) and unearned revenue ($0.8 million) and a decrease in operating right of use assets ($0.8 million), other liabilities ($0.8 million), current lease liabilities ($0.1 million), non-current lease liabilities ($0.7 million) and non-current deferred tax liability ($0.6 million). Customer relationship and order backlog assets were also finalized.</w:t>
      </w:r>
    </w:p>
    <w:p>
      <w:pPr>
        <w:spacing w:after="0" w:line="2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Since January 22, 2020, MedPass earned revenue of $13.2 million and net income of $2.5 million in the year ended December 31, 2020. The proforma effect of the MedPass acquisition if completed on January 1, 2019 would have resulted in revenue and net income for the fiscal years ended December 31, 2020 and December 31, 2019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Borders>
              <w:bottom w:val="single" w:sz="8" w:color="auto"/>
            </w:tcBorders>
            <w:shd w:val="clear" w:color="auto" w:fill="CCEEFF"/>
          </w:tcPr>
          <w:p>
            <w:pPr>
              <w:spacing w:after="0"/>
              <w:rPr>
                <w:sz w:val="18"/>
                <w:szCs w:val="18"/>
                <w:color w:val="auto"/>
              </w:rPr>
            </w:pPr>
          </w:p>
        </w:tc>
      </w:tr>
      <w:tr>
        <w:trPr>
          <w:trHeight w:val="209"/>
        </w:trPr>
        <w:tc>
          <w:tcPr>
            <w:tcW w:w="8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2,798,180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2,820,796</w:t>
            </w: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332,521</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7. Property, Plant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60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Land</w:t>
            </w:r>
          </w:p>
        </w:tc>
        <w:tc>
          <w:tcPr>
            <w:tcW w:w="2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w:t>
            </w:r>
          </w:p>
        </w:tc>
        <w:tc>
          <w:tcPr>
            <w:tcW w:w="2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90,139</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506,322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440,930</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fixtures</w:t>
            </w:r>
          </w:p>
        </w:tc>
        <w:tc>
          <w:tcPr>
            <w:tcW w:w="2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107,507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91,933</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29,210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44,567</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32,261</w:t>
            </w:r>
          </w:p>
        </w:tc>
      </w:tr>
      <w:tr>
        <w:trPr>
          <w:trHeight w:val="20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Motor vehicles</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60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798,968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703,714</w:t>
            </w:r>
          </w:p>
        </w:tc>
      </w:tr>
      <w:tr>
        <w:trPr>
          <w:trHeight w:val="20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 and asset write offs</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(462,524)</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(529,371)</w:t>
            </w:r>
          </w:p>
        </w:tc>
      </w:tr>
      <w:tr>
        <w:trPr>
          <w:trHeight w:val="23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336,444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174,343</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regularly updates its register of property, plant and equipment and during the year ended December 31, 2021 and the year ended December 31, 2020, certain fully depreciated assets were written off as they were no longer used in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Other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56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trade and overhead liabilities*</w:t>
            </w:r>
          </w:p>
        </w:tc>
        <w:tc>
          <w:tcPr>
            <w:tcW w:w="3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459,814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188,638</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Personnel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413,185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161,363</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(note 23)</w:t>
            </w:r>
          </w:p>
        </w:tc>
        <w:tc>
          <w:tcPr>
            <w:tcW w:w="3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24,334</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Facility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12,055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9,441</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Restructuring liabilities (note 15)</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7,219</w:t>
            </w:r>
          </w:p>
        </w:tc>
      </w:tr>
      <w:tr>
        <w:trPr>
          <w:trHeight w:val="22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Short term government grants</w:t>
            </w:r>
          </w:p>
        </w:tc>
        <w:tc>
          <w:tcPr>
            <w:tcW w:w="3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55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949,629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399,769</w:t>
            </w:r>
          </w:p>
        </w:tc>
      </w:tr>
      <w:tr>
        <w:trPr>
          <w:trHeight w:val="23"/>
        </w:trPr>
        <w:tc>
          <w:tcPr>
            <w:tcW w:w="55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*includes amounts due to third parties in respect of accrued reimbursable investigator expenses of $323.6 million at December 31, 2021 and $138.2 million at December 31, 2020.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Non-Current Other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60" w:type="dxa"/>
            <w:vAlign w:val="bottom"/>
            <w:gridSpan w:val="3"/>
          </w:tcPr>
          <w:p>
            <w:pPr>
              <w:ind w:left="660"/>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obligations, net (note 10)</w:t>
            </w:r>
          </w:p>
        </w:tc>
        <w:tc>
          <w:tcPr>
            <w:tcW w:w="2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16,262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10,395</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25,599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15,971</w:t>
            </w:r>
          </w:p>
        </w:tc>
      </w:tr>
      <w:tr>
        <w:trPr>
          <w:trHeight w:val="238"/>
        </w:trPr>
        <w:tc>
          <w:tcPr>
            <w:tcW w:w="594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41,861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26,366</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10. Employee Benefits</w:t>
      </w:r>
    </w:p>
    <w:p>
      <w:pPr>
        <w:spacing w:after="0" w:line="2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Defined contribution or profit sharing style plans ("the Plans") are offered globally in a number of countries. In some cases, these plans are required by local laws or regulations. Certain Company employees are eligible to participate in the Plans and participants in the Plans may elect to defer a portion of their pre-tax earnings into a pension plan, which is run by an independent party. The Company matches participant's contributions up to certain levels of the participant's annual compensation. Contributions to the plan are recorded as an expense in the selling, general and administrative line in the Consolidated Statement of Operations.</w:t>
      </w:r>
    </w:p>
    <w:p>
      <w:pPr>
        <w:spacing w:after="0" w:line="2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United States operations maintain retirement plans (the "U.S. Plans") that qualify as a deferred salary arrangement under Section 401(k) of the Internal Revenue Code. Participants in the U.S. Plans may elect to defer a portion of their earnings, up to the Internal Revenue Service annual contribution limit. The Company matches participant's contributions at varying amounts, subject to a maximum of 4.5% of the participant's annual compensation. Contributions to this U.S. Plan are recorded, in the year contributed, as an expense in the Consolidated Statement of Operations. Contributions for the years ended December 31, 2021, December 31, 2020 and December 31, 2019 were $23.7 million, $17.0 million and $16.5 million respectively.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maintains various retirement plans across the Group, many of which are required by local employment laws. In addition to the specific defined benefit schemes shown separately below, the Company maintains several other retirement plans with a total net obligation associated with these schemes of $8.0 million. This balance has been recorded in non-current other liabilities on the Consolidated Balance Sheet.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ICON Development Solutions Limited pension plan</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2021, December 31, 2020 and December 31, 2019,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w:t>
      </w:r>
      <w:r>
        <w:rPr>
          <w:rFonts w:ascii="Arial" w:cs="Arial" w:eastAsia="Arial" w:hAnsi="Arial"/>
          <w:sz w:val="16"/>
          <w:szCs w:val="16"/>
          <w:color w:val="auto"/>
        </w:rPr>
        <w:t xml:space="preserve"> </w:t>
      </w:r>
      <w:r>
        <w:rPr>
          <w:rFonts w:ascii="Arial" w:cs="Arial" w:eastAsia="Arial" w:hAnsi="Arial"/>
          <w:sz w:val="16"/>
          <w:szCs w:val="16"/>
          <w:i w:val="1"/>
          <w:iCs w:val="1"/>
          <w:color w:val="auto"/>
        </w:rPr>
        <w:t>Other Postretirement'</w:t>
      </w:r>
      <w:r>
        <w:rPr>
          <w:rFonts w:ascii="Arial" w:cs="Arial" w:eastAsia="Arial" w:hAnsi="Arial"/>
          <w:sz w:val="16"/>
          <w:szCs w:val="16"/>
          <w:color w:val="auto"/>
        </w:rPr>
        <w:t>. The plan has been closed to new entrants with effect from July 1, 2003.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w:t>
            </w:r>
          </w:p>
        </w:tc>
        <w:tc>
          <w:tcPr>
            <w:tcW w:w="3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(43,988)</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34,612</w:t>
            </w:r>
          </w:p>
        </w:tc>
      </w:tr>
      <w:tr>
        <w:trPr>
          <w:trHeight w:val="238"/>
        </w:trPr>
        <w:tc>
          <w:tcPr>
            <w:tcW w:w="5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(9,376)</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9)</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w:t>
            </w:r>
          </w:p>
        </w:tc>
      </w:tr>
      <w:tr>
        <w:trPr>
          <w:trHeight w:val="24"/>
        </w:trPr>
        <w:tc>
          <w:tcPr>
            <w:tcW w:w="54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37,036</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Actuarial (gain)/loss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5,294</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37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43,988</w:t>
            </w:r>
          </w:p>
        </w:tc>
      </w:tr>
      <w:tr>
        <w:trPr>
          <w:trHeight w:val="23"/>
        </w:trPr>
        <w:tc>
          <w:tcPr>
            <w:tcW w:w="5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32,016</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2,092</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Employer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r>
      <w:tr>
        <w:trPr>
          <w:trHeight w:val="238"/>
        </w:trPr>
        <w:tc>
          <w:tcPr>
            <w:tcW w:w="5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36,198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34,612</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cost: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60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4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540" w:type="dxa"/>
            <w:vAlign w:val="bottom"/>
          </w:tcPr>
          <w:p>
            <w:pPr>
              <w:spacing w:after="0"/>
              <w:rPr>
                <w:sz w:val="18"/>
                <w:szCs w:val="18"/>
                <w:color w:val="auto"/>
              </w:rPr>
            </w:pPr>
          </w:p>
        </w:tc>
        <w:tc>
          <w:tcPr>
            <w:tcW w:w="1220" w:type="dxa"/>
            <w:vAlign w:val="bottom"/>
          </w:tcPr>
          <w:p>
            <w:pPr>
              <w:jc w:val="center"/>
              <w:ind w:left="699"/>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loss</w:t>
            </w:r>
          </w:p>
        </w:tc>
        <w:tc>
          <w:tcPr>
            <w:tcW w:w="2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December 31, 2020 and December 31, 2019:</w:t>
      </w:r>
    </w:p>
    <w:p>
      <w:pPr>
        <w:spacing w:after="0" w:line="269"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December 31, 2021 December 31, 2020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Discount rate</w:t>
            </w:r>
          </w:p>
        </w:tc>
        <w:tc>
          <w:tcPr>
            <w:tcW w:w="18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2.1 %</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2.9 %</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3.3 %</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rate of return on plan assets</w:t>
            </w:r>
          </w:p>
        </w:tc>
        <w:tc>
          <w:tcPr>
            <w:tcW w:w="1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4.0 %</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3"/>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58"/>
        </w:trPr>
        <w:tc>
          <w:tcPr>
            <w:tcW w:w="5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5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Other comprehensive income</w:t>
            </w:r>
          </w:p>
        </w:tc>
        <w:tc>
          <w:tcPr>
            <w:tcW w:w="18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5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 - benefit obligation</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Actuarial gain – plan assets</w:t>
            </w:r>
          </w:p>
        </w:tc>
        <w:tc>
          <w:tcPr>
            <w:tcW w:w="1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(2,930)</w:t>
            </w:r>
          </w:p>
        </w:tc>
      </w:tr>
      <w:tr>
        <w:trPr>
          <w:trHeight w:val="22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Actuarial loss recognized in net periodic benefit cost</w:t>
            </w:r>
          </w:p>
        </w:tc>
        <w:tc>
          <w:tcPr>
            <w:tcW w:w="1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r>
      <w:tr>
        <w:trPr>
          <w:trHeight w:val="23"/>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 into net periodic benefit cost over the next year are $0.2 million and $Nil respectively.</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Arial" w:cs="Arial" w:eastAsia="Arial" w:hAnsi="Arial"/>
                <w:sz w:val="16"/>
                <w:szCs w:val="16"/>
                <w:b w:val="1"/>
                <w:bCs w:val="1"/>
                <w:color w:val="auto"/>
              </w:rPr>
              <w:t>Benefit Obligation</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32"/>
        </w:trPr>
        <w:tc>
          <w:tcPr>
            <w:tcW w:w="9680" w:type="dxa"/>
            <w:vAlign w:val="bottom"/>
            <w:gridSpan w:val="2"/>
          </w:tcPr>
          <w:p>
            <w:pPr>
              <w:ind w:left="660"/>
              <w:spacing w:after="0"/>
              <w:rPr>
                <w:sz w:val="20"/>
                <w:szCs w:val="20"/>
                <w:color w:val="auto"/>
              </w:rPr>
            </w:pPr>
            <w:r>
              <w:rPr>
                <w:rFonts w:ascii="Arial" w:cs="Arial" w:eastAsia="Arial" w:hAnsi="Arial"/>
                <w:sz w:val="16"/>
                <w:szCs w:val="16"/>
                <w:color w:val="auto"/>
              </w:rPr>
              <w:t>The following assumptions were used in determining the benefit obligation at December 31, 2021 and December 31, 2020:</w:t>
            </w:r>
          </w:p>
        </w:tc>
        <w:tc>
          <w:tcPr>
            <w:tcW w:w="1540" w:type="dxa"/>
            <w:vAlign w:val="bottom"/>
          </w:tcPr>
          <w:p>
            <w:pPr>
              <w:spacing w:after="0"/>
              <w:rPr>
                <w:sz w:val="24"/>
                <w:szCs w:val="24"/>
                <w:color w:val="auto"/>
              </w:rPr>
            </w:pPr>
          </w:p>
        </w:tc>
      </w:tr>
      <w:tr>
        <w:trPr>
          <w:trHeight w:val="114"/>
        </w:trPr>
        <w:tc>
          <w:tcPr>
            <w:tcW w:w="52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5"/>
        </w:trPr>
        <w:tc>
          <w:tcPr>
            <w:tcW w:w="522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460" w:type="dxa"/>
            <w:vAlign w:val="bottom"/>
          </w:tcPr>
          <w:p>
            <w:pPr>
              <w:jc w:val="right"/>
              <w:spacing w:after="0"/>
              <w:rPr>
                <w:sz w:val="20"/>
                <w:szCs w:val="20"/>
                <w:color w:val="auto"/>
              </w:rPr>
            </w:pPr>
            <w:r>
              <w:rPr>
                <w:rFonts w:ascii="Arial" w:cs="Arial" w:eastAsia="Arial" w:hAnsi="Arial"/>
                <w:sz w:val="16"/>
                <w:szCs w:val="16"/>
                <w:color w:val="auto"/>
              </w:rPr>
              <w:t>1.8 %</w:t>
            </w:r>
          </w:p>
        </w:tc>
        <w:tc>
          <w:tcPr>
            <w:tcW w:w="15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41"/>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single discount rate is used which, when used to discount the projected benefit cash flows underlying a pension scheme with a 26 year duration, gives the same result as a full AA corporate bond yield curve.</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Actuarial gains on the benefit obligation during 2021 resulted from changes in the assumptions compared to those adopted at December 2020. Changes in the assumptions reflect the changes in market conditions from December 2020 to December 2021 and the actuarial gain is primarily due to the change in the discount rate.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assets of the scheme are held on an investment platform with Mobius which invests in a number of investment funds with Legal &amp; General, Stone Harbor, Ninety-One and Barings. The overall investment strategy is that approximately 20% of investments are in senior secured loans, 18% in corporate bonds, 19% in high yield bonds and multi-asset credit fund and 24% in world equities respectively. There is no self-investment in employer related assets. The expected long-term rate of return on assets at December 31, 2021 of 3.8% was calculated as the value of the fund after application of a market value reduction factor. The expected long term rates of return on different asset classes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Expected long-term return per annum</w:t>
            </w:r>
          </w:p>
        </w:tc>
        <w:tc>
          <w:tcPr>
            <w:tcW w:w="38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5700" w:type="dxa"/>
            <w:vAlign w:val="bottom"/>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380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174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38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Secured Loans and Multi Asset Credit</w:t>
            </w:r>
          </w:p>
        </w:tc>
        <w:tc>
          <w:tcPr>
            <w:tcW w:w="3800" w:type="dxa"/>
            <w:vAlign w:val="bottom"/>
          </w:tcPr>
          <w:p>
            <w:pPr>
              <w:jc w:val="right"/>
              <w:ind w:right="199"/>
              <w:spacing w:after="0"/>
              <w:rPr>
                <w:sz w:val="20"/>
                <w:szCs w:val="20"/>
                <w:color w:val="auto"/>
              </w:rPr>
            </w:pPr>
            <w:r>
              <w:rPr>
                <w:rFonts w:ascii="Arial" w:cs="Arial" w:eastAsia="Arial" w:hAnsi="Arial"/>
                <w:sz w:val="16"/>
                <w:szCs w:val="16"/>
                <w:color w:val="auto"/>
              </w:rPr>
              <w:t>3.0 %</w:t>
            </w:r>
          </w:p>
        </w:tc>
        <w:tc>
          <w:tcPr>
            <w:tcW w:w="1740" w:type="dxa"/>
            <w:vAlign w:val="bottom"/>
          </w:tcPr>
          <w:p>
            <w:pPr>
              <w:jc w:val="right"/>
              <w:spacing w:after="0"/>
              <w:rPr>
                <w:sz w:val="20"/>
                <w:szCs w:val="20"/>
                <w:color w:val="auto"/>
              </w:rPr>
            </w:pPr>
            <w:r>
              <w:rPr>
                <w:rFonts w:ascii="Arial" w:cs="Arial" w:eastAsia="Arial" w:hAnsi="Arial"/>
                <w:sz w:val="16"/>
                <w:szCs w:val="16"/>
                <w:color w:val="auto"/>
              </w:rPr>
              <w:t>3.0 %</w:t>
            </w:r>
          </w:p>
        </w:tc>
      </w:tr>
    </w:tbl>
    <w:p>
      <w:pPr>
        <w:spacing w:after="0" w:line="3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long-term expected rate of return on cash is determined by reference to traditional corporate bond rates at the latest Balance Sheet date. The long-term expected returns on traditional corporate and government bonds are determined by reference to corporate bond yields and gilt yields respectively at the Balance Sheet date. The long-term expected returns on equities are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underlying asset split of the fund is shown below.</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6"/>
          <w:szCs w:val="16"/>
          <w:b w:val="1"/>
          <w:bCs w:val="1"/>
          <w:color w:val="auto"/>
        </w:rPr>
        <w:t>December 31, 2021 December 31,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3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37 %</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3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24 %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Secured Loans and Multi Asset Credit</w:t>
            </w:r>
          </w:p>
        </w:tc>
        <w:tc>
          <w:tcPr>
            <w:tcW w:w="3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39 %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35"/>
        </w:trPr>
        <w:tc>
          <w:tcPr>
            <w:tcW w:w="640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400" w:type="dxa"/>
            <w:vAlign w:val="bottom"/>
            <w:tcBorders>
              <w:top w:val="single" w:sz="8" w:color="CCEEFF"/>
              <w:bottom w:val="single" w:sz="8" w:color="auto"/>
            </w:tcBorders>
          </w:tcPr>
          <w:p>
            <w:pPr>
              <w:spacing w:after="0" w:line="20" w:lineRule="exact"/>
              <w:rPr>
                <w:sz w:val="1"/>
                <w:szCs w:val="1"/>
                <w:color w:val="auto"/>
              </w:rPr>
            </w:pPr>
          </w:p>
        </w:tc>
        <w:tc>
          <w:tcPr>
            <w:tcW w:w="3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Applying the above expected long term rates of return to the asset distribution at December 31, 2021, gives rise to an expected overall rate of return of scheme assets of approximately 3.8%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Plan Asset Fair Value Measurements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900" w:type="dxa"/>
            <w:vAlign w:val="bottom"/>
            <w:gridSpan w:val="5"/>
            <w:shd w:val="clear" w:color="auto" w:fill="CCEEFF"/>
          </w:tcPr>
          <w:p>
            <w:pPr>
              <w:jc w:val="center"/>
              <w:spacing w:after="0"/>
              <w:rPr>
                <w:sz w:val="20"/>
                <w:szCs w:val="20"/>
                <w:color w:val="auto"/>
              </w:rPr>
            </w:pPr>
            <w:r>
              <w:rPr>
                <w:rFonts w:ascii="Arial" w:cs="Arial" w:eastAsia="Arial" w:hAnsi="Arial"/>
                <w:sz w:val="16"/>
                <w:szCs w:val="16"/>
                <w:b w:val="1"/>
                <w:bCs w:val="1"/>
                <w:color w:val="auto"/>
              </w:rPr>
              <w:t>Quoted Prices in Active Markets for</w:t>
            </w:r>
          </w:p>
        </w:tc>
      </w:tr>
      <w:tr>
        <w:trPr>
          <w:trHeight w:val="162"/>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60" w:type="dxa"/>
            <w:vAlign w:val="bottom"/>
            <w:gridSpan w:val="4"/>
            <w:shd w:val="clear" w:color="auto" w:fill="CCEEFF"/>
          </w:tcPr>
          <w:p>
            <w:pPr>
              <w:jc w:val="center"/>
              <w:ind w:right="159"/>
              <w:spacing w:after="0" w:line="162" w:lineRule="exact"/>
              <w:rPr>
                <w:sz w:val="20"/>
                <w:szCs w:val="20"/>
                <w:color w:val="auto"/>
              </w:rPr>
            </w:pPr>
            <w:r>
              <w:rPr>
                <w:rFonts w:ascii="Arial" w:cs="Arial" w:eastAsia="Arial" w:hAnsi="Arial"/>
                <w:sz w:val="16"/>
                <w:szCs w:val="16"/>
                <w:b w:val="1"/>
                <w:bCs w:val="1"/>
                <w:color w:val="auto"/>
              </w:rPr>
              <w:t>Identical Assets</w:t>
            </w:r>
          </w:p>
        </w:tc>
      </w:tr>
      <w:tr>
        <w:trPr>
          <w:trHeight w:val="215"/>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3"/>
            <w:shd w:val="clear" w:color="auto" w:fill="CCEEFF"/>
          </w:tcPr>
          <w:p>
            <w:pPr>
              <w:jc w:val="center"/>
              <w:ind w:left="799"/>
              <w:spacing w:after="0"/>
              <w:rPr>
                <w:sz w:val="20"/>
                <w:szCs w:val="20"/>
                <w:color w:val="auto"/>
              </w:rPr>
            </w:pPr>
            <w:r>
              <w:rPr>
                <w:rFonts w:ascii="Arial" w:cs="Arial" w:eastAsia="Arial" w:hAnsi="Arial"/>
                <w:sz w:val="16"/>
                <w:szCs w:val="16"/>
                <w:b w:val="1"/>
                <w:bCs w:val="1"/>
                <w:color w:val="auto"/>
                <w:w w:val="99"/>
              </w:rPr>
              <w:t>Level 1</w:t>
            </w:r>
          </w:p>
        </w:tc>
        <w:tc>
          <w:tcPr>
            <w:tcW w:w="1120" w:type="dxa"/>
            <w:vAlign w:val="bottom"/>
            <w:tcBorders>
              <w:bottom w:val="single" w:sz="8" w:color="auto"/>
            </w:tcBorders>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4"/>
            <w:shd w:val="clear" w:color="auto" w:fill="CCEEFF"/>
          </w:tcPr>
          <w:p>
            <w:pPr>
              <w:jc w:val="center"/>
              <w:ind w:right="159"/>
              <w:spacing w:after="0"/>
              <w:rPr>
                <w:sz w:val="20"/>
                <w:szCs w:val="20"/>
                <w:color w:val="auto"/>
              </w:rPr>
            </w:pPr>
            <w:r>
              <w:rPr>
                <w:rFonts w:ascii="Arial" w:cs="Arial" w:eastAsia="Arial" w:hAnsi="Arial"/>
                <w:sz w:val="16"/>
                <w:szCs w:val="16"/>
                <w:b w:val="1"/>
                <w:bCs w:val="1"/>
                <w:color w:val="auto"/>
                <w:w w:val="99"/>
              </w:rPr>
              <w:t>(in thousands)</w:t>
            </w:r>
          </w:p>
        </w:tc>
      </w:tr>
      <w:tr>
        <w:trPr>
          <w:trHeight w:val="170"/>
        </w:trPr>
        <w:tc>
          <w:tcPr>
            <w:tcW w:w="20" w:type="dxa"/>
            <w:vAlign w:val="bottom"/>
          </w:tcPr>
          <w:p>
            <w:pPr>
              <w:spacing w:after="0"/>
              <w:rPr>
                <w:sz w:val="14"/>
                <w:szCs w:val="14"/>
                <w:color w:val="auto"/>
              </w:rPr>
            </w:pPr>
          </w:p>
        </w:tc>
        <w:tc>
          <w:tcPr>
            <w:tcW w:w="8300" w:type="dxa"/>
            <w:vAlign w:val="bottom"/>
            <w:gridSpan w:val="3"/>
          </w:tcPr>
          <w:p>
            <w:pPr>
              <w:spacing w:after="0" w:line="170" w:lineRule="exact"/>
              <w:rPr>
                <w:sz w:val="20"/>
                <w:szCs w:val="20"/>
                <w:color w:val="auto"/>
              </w:rPr>
            </w:pPr>
            <w:r>
              <w:rPr>
                <w:rFonts w:ascii="Arial" w:cs="Arial" w:eastAsia="Arial" w:hAnsi="Arial"/>
                <w:sz w:val="16"/>
                <w:szCs w:val="16"/>
                <w:color w:val="auto"/>
              </w:rPr>
              <w:t>Cash</w:t>
            </w:r>
          </w:p>
        </w:tc>
        <w:tc>
          <w:tcPr>
            <w:tcW w:w="240" w:type="dxa"/>
            <w:vAlign w:val="bottom"/>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162</w:t>
            </w:r>
          </w:p>
        </w:tc>
        <w:tc>
          <w:tcPr>
            <w:tcW w:w="340" w:type="dxa"/>
            <w:vAlign w:val="bottom"/>
          </w:tcPr>
          <w:p>
            <w:pPr>
              <w:jc w:val="right"/>
              <w:ind w:right="139"/>
              <w:spacing w:after="0" w:line="170"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0" w:lineRule="exact"/>
              <w:rPr>
                <w:sz w:val="20"/>
                <w:szCs w:val="20"/>
                <w:color w:val="auto"/>
              </w:rPr>
            </w:pPr>
            <w:r>
              <w:rPr>
                <w:rFonts w:ascii="Arial" w:cs="Arial" w:eastAsia="Arial" w:hAnsi="Arial"/>
                <w:sz w:val="16"/>
                <w:szCs w:val="16"/>
                <w:color w:val="auto"/>
              </w:rPr>
              <w:t>11</w:t>
            </w: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rPr>
              <w:t>Fixed Income Securities</w:t>
            </w:r>
          </w:p>
        </w:tc>
        <w:tc>
          <w:tcPr>
            <w:tcW w:w="6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L&amp;G Life GPBF All World Equity Index Fund</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8,743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7,460</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L&amp;G Life DC Active Corporate Bond</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Stone Harbor High Yield Bond Fund</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6,965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6,861</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Ninety One Global Total Return Credit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Stone Harbor Multi Asset Credit Portfolio</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3,359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83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Barings European Loan Fund Buy &amp; Hold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6,622</w:t>
            </w:r>
          </w:p>
        </w:tc>
      </w:tr>
      <w:tr>
        <w:trPr>
          <w:trHeight w:val="209"/>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36,198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34,612</w:t>
            </w:r>
          </w:p>
        </w:tc>
      </w:tr>
      <w:tr>
        <w:trPr>
          <w:trHeight w:val="23"/>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8320" w:type="dxa"/>
            <w:vAlign w:val="bottom"/>
            <w:gridSpan w:val="4"/>
          </w:tcPr>
          <w:p>
            <w:pPr>
              <w:spacing w:after="0"/>
              <w:rPr>
                <w:sz w:val="20"/>
                <w:szCs w:val="20"/>
                <w:color w:val="auto"/>
              </w:rPr>
            </w:pPr>
            <w:r>
              <w:rPr>
                <w:rFonts w:ascii="Arial" w:cs="Arial" w:eastAsia="Arial" w:hAnsi="Arial"/>
                <w:sz w:val="16"/>
                <w:szCs w:val="16"/>
                <w:b w:val="1"/>
                <w:bCs w:val="1"/>
                <w:color w:val="auto"/>
              </w:rPr>
              <w:t>Cash Flows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3"/>
          </w:tcPr>
          <w:p>
            <w:pPr>
              <w:ind w:left="260"/>
              <w:spacing w:after="0"/>
              <w:rPr>
                <w:sz w:val="20"/>
                <w:szCs w:val="20"/>
                <w:color w:val="auto"/>
              </w:rPr>
            </w:pPr>
            <w:r>
              <w:rPr>
                <w:rFonts w:ascii="Arial" w:cs="Arial" w:eastAsia="Arial" w:hAnsi="Arial"/>
                <w:sz w:val="16"/>
                <w:szCs w:val="16"/>
                <w:color w:val="auto"/>
              </w:rPr>
              <w:t>The Company expects to contribute $0.1 million to the pension fund in the year ending December 31, 2022.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60" w:type="dxa"/>
            <w:vAlign w:val="bottom"/>
            <w:gridSpan w:val="5"/>
          </w:tcPr>
          <w:p>
            <w:pPr>
              <w:ind w:left="26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80" w:type="dxa"/>
            <w:vAlign w:val="bottom"/>
            <w:gridSpan w:val="3"/>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99"/>
              </w:rPr>
              <w:t>(in thousands)</w:t>
            </w:r>
          </w:p>
        </w:tc>
      </w:tr>
      <w:tr>
        <w:trPr>
          <w:trHeight w:val="206"/>
        </w:trPr>
        <w:tc>
          <w:tcPr>
            <w:tcW w:w="40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13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36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3"/>
        </w:trPr>
        <w:tc>
          <w:tcPr>
            <w:tcW w:w="40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13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36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4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13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83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Years 2027 - 2031</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withdrawals or commutation of pension for cash.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color w:val="auto"/>
        </w:rPr>
        <w:t>Aptiv Solutions pension plan</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May 7, 2014 the Company acquired 100% of the common stock of Aptiv Solutions ("Aptiv"). The acquisition of Aptiv was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2021 and December 31, 2020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w:t>
            </w:r>
          </w:p>
        </w:tc>
        <w:tc>
          <w:tcPr>
            <w:tcW w:w="3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w:t>
            </w:r>
          </w:p>
        </w:tc>
      </w:tr>
      <w:tr>
        <w:trPr>
          <w:trHeight w:val="213"/>
        </w:trPr>
        <w:tc>
          <w:tcPr>
            <w:tcW w:w="5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1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9)</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3"/>
        </w:trPr>
        <w:tc>
          <w:tcPr>
            <w:tcW w:w="54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Transferred balances</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1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8,620</w:t>
            </w:r>
          </w:p>
        </w:tc>
      </w:tr>
      <w:tr>
        <w:trPr>
          <w:trHeight w:val="23"/>
        </w:trPr>
        <w:tc>
          <w:tcPr>
            <w:tcW w:w="5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7,601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6,014</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Scheme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Transferred balances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w:t>
            </w:r>
          </w:p>
        </w:tc>
      </w:tr>
      <w:tr>
        <w:trPr>
          <w:trHeight w:val="24"/>
        </w:trPr>
        <w:tc>
          <w:tcPr>
            <w:tcW w:w="5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t>PRA Switzerland AG pension plan</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July 1, 2021, the Company completed the Acquisition of PRA. PRA Switzerland AG, a subsidiary of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2021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6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9)</w:t>
            </w:r>
          </w:p>
        </w:tc>
        <w:tc>
          <w:tcPr>
            <w:tcW w:w="3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3"/>
        </w:trPr>
        <w:tc>
          <w:tcPr>
            <w:tcW w:w="6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6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33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60"/>
        </w:trPr>
        <w:tc>
          <w:tcPr>
            <w:tcW w:w="6360" w:type="dxa"/>
            <w:vAlign w:val="bottom"/>
            <w:tcBorders>
              <w:bottom w:val="single" w:sz="8" w:color="auto"/>
            </w:tcBorders>
            <w:shd w:val="clear" w:color="auto" w:fill="CCEEFF"/>
          </w:tcPr>
          <w:p>
            <w:pPr>
              <w:spacing w:after="0"/>
              <w:rPr>
                <w:sz w:val="13"/>
                <w:szCs w:val="13"/>
                <w:color w:val="auto"/>
              </w:rPr>
            </w:pPr>
          </w:p>
        </w:tc>
        <w:tc>
          <w:tcPr>
            <w:tcW w:w="33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as at July 1, 2021</w:t>
            </w:r>
          </w:p>
        </w:tc>
        <w:tc>
          <w:tcPr>
            <w:tcW w:w="3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Transferred benefits paid</w:t>
            </w:r>
          </w:p>
        </w:tc>
        <w:tc>
          <w:tcPr>
            <w:tcW w:w="3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3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3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3"/>
        </w:trPr>
        <w:tc>
          <w:tcPr>
            <w:tcW w:w="6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6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63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Fair value of plan assets at as at July 1, 2021</w:t>
            </w:r>
          </w:p>
        </w:tc>
        <w:tc>
          <w:tcPr>
            <w:tcW w:w="3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3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Scheme contributions</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3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Transferred benefits paid</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6"/>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3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3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4"/>
        </w:trPr>
        <w:tc>
          <w:tcPr>
            <w:tcW w:w="6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11. Equity Incentive Schemes and Stock Compensation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from 2018 vest over 12 months and expire eight years from the date of grant.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Legacy PRA Equity Incentive Plans</w:t>
      </w:r>
    </w:p>
    <w:p>
      <w:pPr>
        <w:spacing w:after="0" w:line="26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represent the legacy PRA equity incentive plans, which still have equity outstanding but have been terminated as of July 1, 2021, as to grants of future awards.</w:t>
      </w:r>
    </w:p>
    <w:p>
      <w:pPr>
        <w:spacing w:after="0" w:line="209"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6"/>
          <w:szCs w:val="16"/>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21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PRA Health Sciences, Inc. 2020 Stock Incentive Plan was amended and restated and assumed by the Registrant effective as of July 1, 2021. The 2020 Stock Incentive Plan (“the 2020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2,500,000 shares of common stock plus all shares that remained available under the prior plan on May 18, 2020.</w:t>
      </w:r>
    </w:p>
    <w:p>
      <w:pPr>
        <w:spacing w:after="0" w:line="21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PRA Health Sciences, Inc. 2018 Stock Incentive Plan was amended and restated and assumed by the Company effective as of July 1, 2021. 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2,000,000 shares of common stock plus all shares that remained available under the 2014 Plan on May 31, 2018 (which included shares carried over from the 2013 Plan).</w:t>
      </w:r>
    </w:p>
    <w:p>
      <w:pPr>
        <w:spacing w:after="0" w:line="21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6"/>
          <w:szCs w:val="16"/>
          <w:color w:val="auto"/>
        </w:rPr>
        <w:t>The PRA Health Sciences, Inc. 2014 Omnibus Incentive Plan was amended and restated and assumed by the Company effective as of July 1, 2021 (the “2014 Plan”). On November 23, 2014, the PRA Health Sciences, Inc. Board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8" w:name="page139"/>
    <w:bookmarkEnd w:id="138"/>
    <w:p>
      <w:pPr>
        <w:jc w:val="both"/>
        <w:spacing w:after="0" w:line="232" w:lineRule="auto"/>
        <w:rPr>
          <w:sz w:val="20"/>
          <w:szCs w:val="20"/>
          <w:color w:val="auto"/>
        </w:rPr>
      </w:pPr>
      <w:r>
        <w:rPr>
          <w:rFonts w:ascii="Arial" w:cs="Arial" w:eastAsia="Arial" w:hAnsi="Arial"/>
          <w:sz w:val="16"/>
          <w:szCs w:val="16"/>
          <w:color w:val="auto"/>
        </w:rPr>
        <w:t>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1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2013 Stock Incentive Plan for Key Employees of PRA Health Sciences and its Subsidiaries was amended and restated and assumed by the Registrant effective as of July 1, 2021 (the “2013 Plan”). On September 23, 2013, the PRA Health Sciences, Inc. Board of Directors approved the formation of the 2013 Plan for Key Employees of Pinnacle Holdco Parent, Inc. and its subsidiaries. The 2013 Plan allowed for the issuance of stock options and other stock-based awards as permitted by applicable laws. The number of shares available for grant under the 2013 Plan was 12.5% of the outstanding shares at closing on a fully diluted basis. The 2013 Plan authorized the issuance of 2,052,909 shares of common stock.</w:t>
      </w:r>
    </w:p>
    <w:p>
      <w:pPr>
        <w:spacing w:after="0" w:line="227"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2021, December 31, 2020 and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shd w:val="clear" w:color="auto" w:fill="CCEEFF"/>
          </w:tcPr>
          <w:p>
            <w:pPr>
              <w:spacing w:after="0"/>
              <w:rPr>
                <w:sz w:val="16"/>
                <w:szCs w:val="16"/>
                <w:color w:val="auto"/>
              </w:rPr>
            </w:pPr>
          </w:p>
        </w:tc>
        <w:tc>
          <w:tcPr>
            <w:tcW w:w="3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 Granted</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223"/>
        </w:trPr>
        <w:tc>
          <w:tcPr>
            <w:tcW w:w="5740" w:type="dxa"/>
            <w:vAlign w:val="bottom"/>
            <w:tcBorders>
              <w:bottom w:val="single" w:sz="8" w:color="auto"/>
            </w:tcBorders>
            <w:shd w:val="clear" w:color="auto" w:fill="CCEEFF"/>
          </w:tcPr>
          <w:p>
            <w:pPr>
              <w:spacing w:after="0"/>
              <w:rPr>
                <w:sz w:val="19"/>
                <w:szCs w:val="19"/>
                <w:color w:val="auto"/>
              </w:rPr>
            </w:pP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Under Plans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2018</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920,746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w:t>
            </w:r>
          </w:p>
        </w:tc>
      </w:tr>
      <w:tr>
        <w:trPr>
          <w:trHeight w:val="216"/>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3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97,112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140.13</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3580" w:type="dxa"/>
            <w:vAlign w:val="bottom"/>
          </w:tcPr>
          <w:p>
            <w:pPr>
              <w:jc w:val="right"/>
              <w:spacing w:after="0"/>
              <w:rPr>
                <w:sz w:val="20"/>
                <w:szCs w:val="20"/>
                <w:color w:val="auto"/>
              </w:rPr>
            </w:pPr>
            <w:r>
              <w:rPr>
                <w:rFonts w:ascii="Arial" w:cs="Arial" w:eastAsia="Arial" w:hAnsi="Arial"/>
                <w:sz w:val="16"/>
                <w:szCs w:val="16"/>
                <w:color w:val="auto"/>
              </w:rPr>
              <w:t>(329,870)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65.54</w:t>
            </w:r>
          </w:p>
        </w:tc>
      </w:tr>
      <w:tr>
        <w:trPr>
          <w:trHeight w:val="226"/>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2019</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656,107</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87.80</w:t>
            </w:r>
          </w:p>
        </w:tc>
      </w:tr>
      <w:tr>
        <w:trPr>
          <w:trHeight w:val="216"/>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3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107,737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159.83</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3580" w:type="dxa"/>
            <w:vAlign w:val="bottom"/>
          </w:tcPr>
          <w:p>
            <w:pPr>
              <w:jc w:val="right"/>
              <w:spacing w:after="0"/>
              <w:rPr>
                <w:sz w:val="20"/>
                <w:szCs w:val="20"/>
                <w:color w:val="auto"/>
              </w:rPr>
            </w:pPr>
            <w:r>
              <w:rPr>
                <w:rFonts w:ascii="Arial" w:cs="Arial" w:eastAsia="Arial" w:hAnsi="Arial"/>
                <w:sz w:val="16"/>
                <w:szCs w:val="16"/>
                <w:color w:val="auto"/>
              </w:rPr>
              <w:t>(193,417)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68.19</w:t>
            </w:r>
          </w:p>
        </w:tc>
      </w:tr>
      <w:tr>
        <w:trPr>
          <w:trHeight w:val="226"/>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Canceled/expired</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(16,681)</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92.21</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2020</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553,746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w:t>
            </w:r>
          </w:p>
        </w:tc>
      </w:tr>
      <w:tr>
        <w:trPr>
          <w:trHeight w:val="216"/>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Assumed through business combinations *</w:t>
            </w:r>
          </w:p>
        </w:tc>
        <w:tc>
          <w:tcPr>
            <w:tcW w:w="3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2,177,130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Granted</w:t>
            </w:r>
          </w:p>
        </w:tc>
        <w:tc>
          <w:tcPr>
            <w:tcW w:w="3580" w:type="dxa"/>
            <w:vAlign w:val="bottom"/>
          </w:tcPr>
          <w:p>
            <w:pPr>
              <w:jc w:val="right"/>
              <w:spacing w:after="0"/>
              <w:rPr>
                <w:sz w:val="20"/>
                <w:szCs w:val="20"/>
                <w:color w:val="auto"/>
              </w:rPr>
            </w:pPr>
            <w:r>
              <w:rPr>
                <w:rFonts w:ascii="Arial" w:cs="Arial" w:eastAsia="Arial" w:hAnsi="Arial"/>
                <w:sz w:val="16"/>
                <w:szCs w:val="16"/>
                <w:color w:val="auto"/>
              </w:rPr>
              <w:t>100,299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177.76</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3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(1,065,529)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111.29</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Canceled/expired</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128.46</w:t>
            </w:r>
          </w:p>
        </w:tc>
      </w:tr>
      <w:tr>
        <w:trPr>
          <w:trHeight w:val="223"/>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2021</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1,695,460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104.79</w:t>
            </w:r>
          </w:p>
        </w:tc>
      </w:tr>
      <w:tr>
        <w:trPr>
          <w:trHeight w:val="22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Vested and exercisable at December 31, 2021</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989,419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91.70</w:t>
            </w:r>
          </w:p>
        </w:tc>
      </w:tr>
    </w:tbl>
    <w:p>
      <w:pPr>
        <w:spacing w:after="0" w:line="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*Represents stock options issued as replacement awards in connection with the Merger.</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weighted average remaining contractual life of options outstanding and options exercisable at December 31, 2021, was 5.39 years and 4.55 years respectively (2020: 4.86 years and 3.60 years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and exercisable share options: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2"/>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80" w:type="dxa"/>
            <w:vAlign w:val="bottom"/>
            <w:tcBorders>
              <w:bottom w:val="single" w:sz="8" w:color="auto"/>
            </w:tcBorders>
            <w:gridSpan w:val="3"/>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Options Exercisable</w:t>
            </w:r>
          </w:p>
        </w:tc>
      </w:tr>
      <w:tr>
        <w:trPr>
          <w:trHeight w:val="155"/>
        </w:trPr>
        <w:tc>
          <w:tcPr>
            <w:tcW w:w="234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rPr>
              <w:t>Range Exercise</w:t>
            </w:r>
          </w:p>
        </w:tc>
        <w:tc>
          <w:tcPr>
            <w:tcW w:w="164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Number of</w:t>
            </w: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c>
          <w:tcPr>
            <w:tcW w:w="160" w:type="dxa"/>
            <w:vAlign w:val="bottom"/>
          </w:tcPr>
          <w:p>
            <w:pPr>
              <w:spacing w:after="0"/>
              <w:rPr>
                <w:sz w:val="13"/>
                <w:szCs w:val="13"/>
                <w:color w:val="auto"/>
              </w:rPr>
            </w:pPr>
          </w:p>
        </w:tc>
        <w:tc>
          <w:tcPr>
            <w:tcW w:w="1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r>
      <w:tr>
        <w:trPr>
          <w:trHeight w:val="162"/>
        </w:trPr>
        <w:tc>
          <w:tcPr>
            <w:tcW w:w="2340" w:type="dxa"/>
            <w:vAlign w:val="bottom"/>
          </w:tcPr>
          <w:p>
            <w:pPr>
              <w:jc w:val="right"/>
              <w:ind w:right="439"/>
              <w:spacing w:after="0" w:line="162" w:lineRule="exact"/>
              <w:rPr>
                <w:sz w:val="20"/>
                <w:szCs w:val="20"/>
                <w:color w:val="auto"/>
              </w:rPr>
            </w:pPr>
            <w:r>
              <w:rPr>
                <w:rFonts w:ascii="Arial" w:cs="Arial" w:eastAsia="Arial" w:hAnsi="Arial"/>
                <w:sz w:val="16"/>
                <w:szCs w:val="16"/>
                <w:b w:val="1"/>
                <w:bCs w:val="1"/>
                <w:color w:val="auto"/>
              </w:rPr>
              <w:t>Price</w:t>
            </w:r>
          </w:p>
        </w:tc>
        <w:tc>
          <w:tcPr>
            <w:tcW w:w="164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60" w:type="dxa"/>
            <w:vAlign w:val="bottom"/>
          </w:tcPr>
          <w:p>
            <w:pPr>
              <w:spacing w:after="0"/>
              <w:rPr>
                <w:sz w:val="14"/>
                <w:szCs w:val="14"/>
                <w:color w:val="auto"/>
              </w:rPr>
            </w:pPr>
          </w:p>
        </w:tc>
        <w:tc>
          <w:tcPr>
            <w:tcW w:w="1740" w:type="dxa"/>
            <w:vAlign w:val="bottom"/>
            <w:gridSpan w:val="2"/>
          </w:tcPr>
          <w:p>
            <w:pPr>
              <w:jc w:val="right"/>
              <w:ind w:right="180"/>
              <w:spacing w:after="0" w:line="162" w:lineRule="exact"/>
              <w:rPr>
                <w:sz w:val="20"/>
                <w:szCs w:val="20"/>
                <w:color w:val="auto"/>
              </w:rPr>
            </w:pPr>
            <w:r>
              <w:rPr>
                <w:rFonts w:ascii="Arial" w:cs="Arial" w:eastAsia="Arial" w:hAnsi="Arial"/>
                <w:sz w:val="16"/>
                <w:szCs w:val="16"/>
                <w:b w:val="1"/>
                <w:bCs w:val="1"/>
                <w:color w:val="auto"/>
              </w:rPr>
              <w:t>Exercise Price</w:t>
            </w:r>
          </w:p>
        </w:tc>
        <w:tc>
          <w:tcPr>
            <w:tcW w:w="18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r>
      <w:tr>
        <w:trPr>
          <w:trHeight w:val="162"/>
        </w:trPr>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5"/>
        </w:trPr>
        <w:tc>
          <w:tcPr>
            <w:tcW w:w="2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7"/>
        </w:trPr>
        <w:tc>
          <w:tcPr>
            <w:tcW w:w="2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14.80 - 97.30</w:t>
            </w: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638,118</w:t>
            </w:r>
          </w:p>
        </w:tc>
        <w:tc>
          <w:tcPr>
            <w:tcW w:w="1560" w:type="dxa"/>
            <w:vAlign w:val="bottom"/>
          </w:tcPr>
          <w:p>
            <w:pPr>
              <w:jc w:val="right"/>
              <w:spacing w:after="0"/>
              <w:rPr>
                <w:sz w:val="20"/>
                <w:szCs w:val="20"/>
                <w:color w:val="auto"/>
              </w:rPr>
            </w:pPr>
            <w:r>
              <w:rPr>
                <w:rFonts w:ascii="Arial" w:cs="Arial" w:eastAsia="Arial" w:hAnsi="Arial"/>
                <w:sz w:val="16"/>
                <w:szCs w:val="16"/>
                <w:color w:val="auto"/>
              </w:rPr>
              <w:t>3.45</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605,624</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103.81 - 124.00</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320,310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130,920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125.74 - 147.26</w:t>
            </w: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540,296</w:t>
            </w:r>
          </w:p>
        </w:tc>
        <w:tc>
          <w:tcPr>
            <w:tcW w:w="1560" w:type="dxa"/>
            <w:vAlign w:val="bottom"/>
          </w:tcPr>
          <w:p>
            <w:pPr>
              <w:jc w:val="right"/>
              <w:spacing w:after="0"/>
              <w:rPr>
                <w:sz w:val="20"/>
                <w:szCs w:val="20"/>
                <w:color w:val="auto"/>
              </w:rPr>
            </w:pPr>
            <w:r>
              <w:rPr>
                <w:rFonts w:ascii="Arial" w:cs="Arial" w:eastAsia="Arial" w:hAnsi="Arial"/>
                <w:sz w:val="16"/>
                <w:szCs w:val="16"/>
                <w:color w:val="auto"/>
              </w:rPr>
              <w:t>6.56</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235,808</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159.33 - 231.08</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196,736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17,067</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42"/>
        </w:trPr>
        <w:tc>
          <w:tcPr>
            <w:tcW w:w="2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r>
      <w:tr>
        <w:trPr>
          <w:trHeight w:val="223"/>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14.80 - 231.08</w:t>
            </w:r>
          </w:p>
        </w:tc>
        <w:tc>
          <w:tcPr>
            <w:tcW w:w="16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1,695,460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104.79</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989,419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39" w:name="page140"/>
    <w:bookmarkEnd w:id="139"/>
    <w:p>
      <w:pPr>
        <w:jc w:val="both"/>
        <w:ind w:right="20" w:firstLine="648"/>
        <w:spacing w:after="0" w:line="260" w:lineRule="auto"/>
        <w:rPr>
          <w:sz w:val="20"/>
          <w:szCs w:val="20"/>
          <w:color w:val="auto"/>
        </w:rPr>
      </w:pPr>
      <w:r>
        <w:rPr>
          <w:rFonts w:ascii="Arial" w:cs="Arial" w:eastAsia="Arial" w:hAnsi="Arial"/>
          <w:sz w:val="16"/>
          <w:szCs w:val="16"/>
          <w:color w:val="auto"/>
        </w:rPr>
        <w:t>Options outstanding include both vested and unvested options as at December 31, 2021. Options exercisable represent options which have vested at December 31, 2021. From the date of grant, substantially all options vest over a five to eight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weighted average fair value of options granted during the years ended December 31, 2021, December 31, 2020 and December 31, 2019 was calculated using the Black-Scholes option pricing model. The weighted average fair values and assumptions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6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7"/>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43.43</w:t>
            </w:r>
          </w:p>
        </w:tc>
      </w:tr>
      <w:tr>
        <w:trPr>
          <w:trHeight w:val="239"/>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0.78 %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0.57 %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2.55 %</w:t>
            </w:r>
          </w:p>
        </w:tc>
      </w:tr>
      <w:tr>
        <w:trPr>
          <w:trHeight w:val="226"/>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r>
    </w:tbl>
    <w:p>
      <w:pPr>
        <w:spacing w:after="0" w:line="3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weighted average fair value of options assumed on the date of the Merger was calculated using the Black-Scholes option pricing model. The weighted average fair values on the date of the Merger and assumptions used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1, 2021</w:t>
            </w:r>
          </w:p>
        </w:tc>
      </w:tr>
      <w:tr>
        <w:trPr>
          <w:trHeight w:val="207"/>
        </w:trPr>
        <w:tc>
          <w:tcPr>
            <w:tcW w:w="2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Weighted average grant date fair value</w:t>
            </w:r>
          </w:p>
        </w:tc>
        <w:tc>
          <w:tcPr>
            <w:tcW w:w="3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107.21</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9"/>
              </w:rPr>
              <w:t>Assumptions:</w:t>
            </w:r>
          </w:p>
        </w:tc>
        <w:tc>
          <w:tcPr>
            <w:tcW w:w="524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0.56 %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Expected life</w:t>
            </w:r>
          </w:p>
        </w:tc>
        <w:tc>
          <w:tcPr>
            <w:tcW w:w="38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years</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and 2021 vest over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0" w:name="page141"/>
    <w:bookmarkEnd w:id="140"/>
    <w:p>
      <w:pPr>
        <w:ind w:firstLine="648"/>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PSU</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4620" w:type="dxa"/>
            <w:vAlign w:val="bottom"/>
            <w:shd w:val="clear" w:color="auto" w:fill="CCEEFF"/>
          </w:tcPr>
          <w:p>
            <w:pPr>
              <w:spacing w:after="0"/>
              <w:rPr>
                <w:sz w:val="14"/>
                <w:szCs w:val="14"/>
                <w:color w:val="auto"/>
              </w:rPr>
            </w:pPr>
          </w:p>
        </w:tc>
        <w:tc>
          <w:tcPr>
            <w:tcW w:w="26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Weighted</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4620" w:type="dxa"/>
            <w:vAlign w:val="bottom"/>
            <w:shd w:val="clear" w:color="auto" w:fill="CCEEFF"/>
          </w:tcPr>
          <w:p>
            <w:pPr>
              <w:spacing w:after="0"/>
              <w:rPr>
                <w:sz w:val="14"/>
                <w:szCs w:val="14"/>
                <w:color w:val="auto"/>
              </w:rPr>
            </w:pPr>
          </w:p>
        </w:tc>
        <w:tc>
          <w:tcPr>
            <w:tcW w:w="26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Average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439"/>
              <w:spacing w:after="0" w:line="162" w:lineRule="exact"/>
              <w:rPr>
                <w:sz w:val="20"/>
                <w:szCs w:val="20"/>
                <w:color w:val="auto"/>
              </w:rPr>
            </w:pPr>
            <w:r>
              <w:rPr>
                <w:rFonts w:ascii="Arial" w:cs="Arial" w:eastAsia="Arial" w:hAnsi="Arial"/>
                <w:sz w:val="16"/>
                <w:szCs w:val="16"/>
                <w:b w:val="1"/>
                <w:bCs w:val="1"/>
                <w:color w:val="auto"/>
              </w:rPr>
              <w:t>Average</w:t>
            </w:r>
          </w:p>
        </w:tc>
      </w:tr>
      <w:tr>
        <w:trPr>
          <w:trHeight w:val="162"/>
        </w:trPr>
        <w:tc>
          <w:tcPr>
            <w:tcW w:w="4620" w:type="dxa"/>
            <w:vAlign w:val="bottom"/>
            <w:shd w:val="clear" w:color="auto" w:fill="CCEEFF"/>
          </w:tcPr>
          <w:p>
            <w:pPr>
              <w:spacing w:after="0"/>
              <w:rPr>
                <w:sz w:val="14"/>
                <w:szCs w:val="14"/>
                <w:color w:val="auto"/>
              </w:rPr>
            </w:pPr>
          </w:p>
        </w:tc>
        <w:tc>
          <w:tcPr>
            <w:tcW w:w="26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r>
      <w:tr>
        <w:trPr>
          <w:trHeight w:val="215"/>
        </w:trPr>
        <w:tc>
          <w:tcPr>
            <w:tcW w:w="462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Fair Value</w:t>
            </w: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color w:val="auto"/>
              </w:rPr>
              <w:t>Outstanding at December 31, 2020</w:t>
            </w:r>
          </w:p>
        </w:tc>
        <w:tc>
          <w:tcPr>
            <w:tcW w:w="2620" w:type="dxa"/>
            <w:vAlign w:val="bottom"/>
          </w:tcPr>
          <w:p>
            <w:pPr>
              <w:jc w:val="right"/>
              <w:spacing w:after="0"/>
              <w:rPr>
                <w:sz w:val="20"/>
                <w:szCs w:val="20"/>
                <w:color w:val="auto"/>
              </w:rPr>
            </w:pPr>
            <w:r>
              <w:rPr>
                <w:rFonts w:ascii="Arial" w:cs="Arial" w:eastAsia="Arial" w:hAnsi="Arial"/>
                <w:sz w:val="16"/>
                <w:szCs w:val="16"/>
                <w:color w:val="auto"/>
              </w:rPr>
              <w:t>159,641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137.64</w:t>
            </w:r>
          </w:p>
        </w:tc>
        <w:tc>
          <w:tcPr>
            <w:tcW w:w="1160" w:type="dxa"/>
            <w:vAlign w:val="bottom"/>
          </w:tcPr>
          <w:p>
            <w:pPr>
              <w:jc w:val="right"/>
              <w:spacing w:after="0"/>
              <w:rPr>
                <w:sz w:val="20"/>
                <w:szCs w:val="20"/>
                <w:color w:val="auto"/>
              </w:rPr>
            </w:pPr>
            <w:r>
              <w:rPr>
                <w:rFonts w:ascii="Arial" w:cs="Arial" w:eastAsia="Arial" w:hAnsi="Arial"/>
                <w:sz w:val="16"/>
                <w:szCs w:val="16"/>
                <w:color w:val="auto"/>
              </w:rPr>
              <w:t>341,424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145.77</w:t>
            </w:r>
          </w:p>
        </w:tc>
      </w:tr>
      <w:tr>
        <w:trPr>
          <w:trHeight w:val="259"/>
        </w:trPr>
        <w:tc>
          <w:tcPr>
            <w:tcW w:w="4620" w:type="dxa"/>
            <w:vAlign w:val="bottom"/>
            <w:shd w:val="clear" w:color="auto" w:fill="CCEEFF"/>
          </w:tcPr>
          <w:p>
            <w:pPr>
              <w:spacing w:after="0"/>
              <w:rPr>
                <w:sz w:val="22"/>
                <w:szCs w:val="22"/>
                <w:color w:val="auto"/>
              </w:rPr>
            </w:pPr>
          </w:p>
        </w:tc>
        <w:tc>
          <w:tcPr>
            <w:tcW w:w="2900" w:type="dxa"/>
            <w:vAlign w:val="bottom"/>
            <w:gridSpan w:val="2"/>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Assumed through business combination*</w:t>
            </w:r>
          </w:p>
        </w:tc>
        <w:tc>
          <w:tcPr>
            <w:tcW w:w="290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589,517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206.71</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177.77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214.36</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Shares vested **</w:t>
            </w:r>
          </w:p>
        </w:tc>
        <w:tc>
          <w:tcPr>
            <w:tcW w:w="2620" w:type="dxa"/>
            <w:vAlign w:val="bottom"/>
          </w:tcPr>
          <w:p>
            <w:pPr>
              <w:jc w:val="right"/>
              <w:spacing w:after="0"/>
              <w:rPr>
                <w:sz w:val="20"/>
                <w:szCs w:val="20"/>
                <w:color w:val="auto"/>
              </w:rPr>
            </w:pPr>
            <w:r>
              <w:rPr>
                <w:rFonts w:ascii="Arial" w:cs="Arial" w:eastAsia="Arial" w:hAnsi="Arial"/>
                <w:sz w:val="16"/>
                <w:szCs w:val="16"/>
                <w:color w:val="auto"/>
              </w:rPr>
              <w:t>(44,132)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115.61</w:t>
            </w:r>
          </w:p>
        </w:tc>
        <w:tc>
          <w:tcPr>
            <w:tcW w:w="1160" w:type="dxa"/>
            <w:vAlign w:val="bottom"/>
          </w:tcPr>
          <w:p>
            <w:pPr>
              <w:jc w:val="right"/>
              <w:spacing w:after="0"/>
              <w:rPr>
                <w:sz w:val="20"/>
                <w:szCs w:val="20"/>
                <w:color w:val="auto"/>
              </w:rPr>
            </w:pPr>
            <w:r>
              <w:rPr>
                <w:rFonts w:ascii="Arial" w:cs="Arial" w:eastAsia="Arial" w:hAnsi="Arial"/>
                <w:sz w:val="16"/>
                <w:szCs w:val="16"/>
                <w:color w:val="auto"/>
              </w:rPr>
              <w:t>(446,404)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186.99</w:t>
            </w:r>
          </w:p>
        </w:tc>
      </w:tr>
      <w:tr>
        <w:trPr>
          <w:trHeight w:val="22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(16,763)</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141.36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188.49</w:t>
            </w:r>
          </w:p>
        </w:tc>
      </w:tr>
      <w:tr>
        <w:trPr>
          <w:trHeight w:val="243"/>
        </w:trPr>
        <w:tc>
          <w:tcPr>
            <w:tcW w:w="4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154,190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572,785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191.20</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right="4340" w:firstLine="8"/>
        <w:spacing w:after="0" w:line="260" w:lineRule="auto"/>
        <w:tabs>
          <w:tab w:leader="none" w:pos="108"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restricted stock units issued as replacement awards in connection with the Merger. ** Includes 161,389 RSU's which vested on the date of the Merger.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year ended December 31, 2021 totaled $83.5 million (2020: $14.3 million). The share price range for the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$115.11 - $206.71 (2020: $83.47 - $156.21).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year ended December 31, 2021 totaled $5.1 million (2020: $5.3 million). The share price range for the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$115.11 - $125.74 (2020: $83.47 - $90.03).</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PSUs vest based on service and specified EPS targets over the period 2019 – 2021, 2020 – 2022 and 2021 – 2023. Depending on the actual amount of EPS from 2019 to 2023, up to an additional 71,890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from operations for the year ended December 31, 2021 is stated after charging $133.8 million in respect of non-cash stock compensation expense. Non-cash stock compensation expense has been allocated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18,551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8,557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14,777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12,042</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and integration related *</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73,836</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26,819</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Represents the post combination portion of the accelerated vesting of awards following the completion of the Merger</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income tax expense for the year ended December 31, 2021 reflects a net income tax benefit of $22.7 million in connection with stock compensation (including excess tax benefits) and the total tax benefit in connection with stock options exercised during 2021 was $23.9 million. The income tax expense for the year ended December 31, 2020 reflects a net income tax benefit of $6.9 million in connection with stock compensation (including excess tax benefits) and the total tax benefit in connection with stock options exercised during 2020 was $2.5 million. The income tax expense for the year ended December 31, 2019 reflects a net income tax benefit of $8.2 million in connection with stock compensation (including excess tax benefits) and the total tax benefit realized in connection with stock options exercised during 2019 was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12. Fair Value</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29"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Recurring Fair Value Measurements</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classifies its interests in investments in equity-long term having considered the nature of its investment, the extent of influence over operating and financial decisions and the availability of readily determinable fair values. The Company determined that the interests in funds at December 31, 2021 and December 31, 2020 meet the definition of equity securities without readily determinable fair values. The Company concluded that the interests held at December 31, 2021 and December 31, 2020 qualify for the Net Asset Value (NAV) practical expedient in ASC 820 'Fair value measurements and disclosures'. Any increases or decreases in fair value are recognized in net income in the period. These are therefore measured at Level 3 of the fair value hierarchy. There was an increase in fair value of $3.2 million (December 31, 2020: $2.5 million) recognized in net income during the year bringing the carrying value of the subscriptions to $22.6 million at December 31, 2021 (December 31, 2020: $15.8 million).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Certain assets and liabilities are carried on the accompanying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December 31, 2021, assets carried on the balance sheet and not re-measured to fair value on a recurring basis totaled approximately $13,748.8 million and are identified as Level 3 assets. These assets are comprised of goodwill of $9,037.9 million and identifiable intangible assets, net of $4,710.8 million. Refer to </w:t>
      </w:r>
      <w:r>
        <w:rPr>
          <w:rFonts w:ascii="Arial" w:cs="Arial" w:eastAsia="Arial" w:hAnsi="Arial"/>
          <w:sz w:val="16"/>
          <w:szCs w:val="16"/>
          <w:i w:val="1"/>
          <w:iCs w:val="1"/>
          <w:color w:val="auto"/>
        </w:rPr>
        <w:t>note 24 - Non-current bank credit lines and loan facilities</w:t>
      </w:r>
      <w:r>
        <w:rPr>
          <w:rFonts w:ascii="Arial" w:cs="Arial" w:eastAsia="Arial" w:hAnsi="Arial"/>
          <w:sz w:val="16"/>
          <w:szCs w:val="16"/>
          <w:color w:val="auto"/>
        </w:rPr>
        <w:t xml:space="preserve"> for additional information regarding the fair value of long-term debt balances.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Company completed the Acquisition of PRA. In accordance with the terms of the Merger Agreement, the Company issued 27,372,427 shares of the Company’s ordinary share capital at par value in exchange for all outstanding PRA shares of common stock.</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2021, 1,065,529 options were exercised by employees at an average exercise price of $111.29 per share for total proceeds of $118.6 million. During the year ended December 31, 2021, 446,404 ordinary shares were issued in respect of certain RSUs and 44,132 ordinary shares were issued in respect of PSUs previously awarded by the Company.</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2020, 193,417 options were exercised by employees at an average exercise price of $68.19 per share for total proceeds of $13.2 million. During the year ended December 31, 2020, 144,172 ordinary shares were issued in respect of certain RSUs and 63,516 ordinary shares were issued in respect of PSUs previously awarded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2" w:name="page143"/>
    <w:bookmarkEnd w:id="142"/>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2019, 329,870 options were exercised by employees at an average exercise price of $65.54 per share for total proceeds of $21.6 million. During the year ended December 31, 2019, 237,119 ordinary shares were issued in respect of certain RSUs and 118,611 ordinary shares were issued in respect of PSUs previously awarded by the Company.</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  Share Repurchase Program</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share buybacks in the year ended December 31, 2021.</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July 23, 2019, July 21, 2020 and July 20, 2021. On October 3, 2016, the Company commenced a share buyback program of up to $400 million. The share buyback program was completed during the year ended December 31, 2018 with a total of 4,026,576 ordinary shares redeemed for a total consideration of $372.1 million. On January 8, 2019, the Company commenced a further share buyback program of up to 1.0 million ordinary shares which was completed during the year ended December 31, 2019. These shares were redeemed by the Company for a total consideration of $141.6 million. On October 22, 2019, the Company commenced a further share buyback program. At December 31, 2019, 35,100 ordinary shares were redeemed by the Company for a total consideration of $5.3 million. During the year ended December 31, 2020, 1,235,218 ordinary shares were redeemed by the Company under this buyback program for a total consideration of $175.0 million.</w:t>
      </w:r>
    </w:p>
    <w:p>
      <w:pPr>
        <w:spacing w:after="0" w:line="2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Income Taxes</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ind w:left="660"/>
              <w:spacing w:after="0"/>
              <w:rPr>
                <w:sz w:val="20"/>
                <w:szCs w:val="20"/>
                <w:color w:val="auto"/>
              </w:rPr>
            </w:pPr>
            <w:r>
              <w:rPr>
                <w:rFonts w:ascii="Arial" w:cs="Arial" w:eastAsia="Arial" w:hAnsi="Arial"/>
                <w:sz w:val="16"/>
                <w:szCs w:val="16"/>
                <w:color w:val="auto"/>
              </w:rPr>
              <w:t>The components of income before income tax expense are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399"/>
              <w:spacing w:after="0"/>
              <w:rPr>
                <w:sz w:val="20"/>
                <w:szCs w:val="20"/>
                <w:color w:val="auto"/>
              </w:rPr>
            </w:pPr>
            <w:r>
              <w:rPr>
                <w:rFonts w:ascii="Arial" w:cs="Arial" w:eastAsia="Arial" w:hAnsi="Arial"/>
                <w:sz w:val="16"/>
                <w:szCs w:val="16"/>
                <w:color w:val="auto"/>
              </w:rPr>
              <w:t>231,893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280,310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323,726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9"/>
              </w:rPr>
              <w:t>(278,413)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21,073</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243,200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82,190</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rPr>
              <w:t>196,680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381,205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426,989</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95"/>
        </w:trPr>
        <w:tc>
          <w:tcPr>
            <w:tcW w:w="6900" w:type="dxa"/>
            <w:vAlign w:val="bottom"/>
          </w:tcPr>
          <w:p>
            <w:pPr>
              <w:ind w:left="660"/>
              <w:spacing w:after="0"/>
              <w:rPr>
                <w:sz w:val="20"/>
                <w:szCs w:val="20"/>
                <w:color w:val="auto"/>
              </w:rPr>
            </w:pPr>
            <w:r>
              <w:rPr>
                <w:rFonts w:ascii="Arial" w:cs="Arial" w:eastAsia="Arial" w:hAnsi="Arial"/>
                <w:sz w:val="16"/>
                <w:szCs w:val="16"/>
                <w:color w:val="auto"/>
              </w:rPr>
              <w:t>The components of income tax expense are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18,469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28,963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35,955</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r>
      <w:tr>
        <w:trPr>
          <w:trHeight w:val="37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52,670</w:t>
            </w:r>
          </w:p>
        </w:tc>
      </w:tr>
      <w:tr>
        <w:trPr>
          <w:trHeight w:val="257"/>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(benefit)/expense: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38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(benefit)/expense</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(60,616)</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43"/>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allocated to continuing operations</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51,133</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7"/>
        </w:trPr>
        <w:tc>
          <w:tcPr>
            <w:tcW w:w="6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Income tax expense was allocated to the following components of other comprehensive</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impact on long term funding</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3"/>
        </w:trPr>
        <w:tc>
          <w:tcPr>
            <w:tcW w:w="69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Ireland's statutory income tax rate is 12.5%. The Company's consolidated reported income tax expense differed from the amount that would result from applying the Irish statutory rate as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Taxes at Irish statutory rate of 12.5% (2021:12.5%; 2020:12.5%)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24,586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47,651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53,374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and other income taxed at higher rates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Research &amp; development tax incentives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in valuation allowance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Effects of change in tax rates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unrecognized tax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Impact of stock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(9,083)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(5,150)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(7,383)</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51,133</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6"/>
          <w:szCs w:val="16"/>
          <w:color w:val="auto"/>
        </w:rPr>
        <w:t>The tax effects of temporary differences that give rise to significant portions of deferred tax assets and deferred tax liabilities are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76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19,606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1,359</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33,354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31,629</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1,201,086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13,398</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r>
      <w:tr>
        <w:trPr>
          <w:trHeight w:val="378"/>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liabilities recognized</w:t>
            </w:r>
          </w:p>
        </w:tc>
        <w:tc>
          <w:tcPr>
            <w:tcW w:w="28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1,289,256</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56,797</w:t>
            </w:r>
          </w:p>
        </w:tc>
      </w:tr>
      <w:tr>
        <w:trPr>
          <w:trHeight w:val="256"/>
        </w:trPr>
        <w:tc>
          <w:tcPr>
            <w:tcW w:w="57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Operating loss and tax credits carryforwards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86,893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42,794</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36,106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9,394</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Accrued expenses and unbilled revenue</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69,198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24,368</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3,184</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297,167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91,864</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(32,768)</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recognized</w:t>
            </w:r>
          </w:p>
        </w:tc>
        <w:tc>
          <w:tcPr>
            <w:tcW w:w="2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251,672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59,096</w:t>
            </w:r>
          </w:p>
        </w:tc>
      </w:tr>
      <w:tr>
        <w:trPr>
          <w:trHeight w:val="37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Overall net deferred tax asset/(liability)</w:t>
            </w:r>
          </w:p>
        </w:tc>
        <w:tc>
          <w:tcPr>
            <w:tcW w:w="2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(1,037,584)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r>
      <w:tr>
        <w:trPr>
          <w:trHeight w:val="23"/>
        </w:trPr>
        <w:tc>
          <w:tcPr>
            <w:tcW w:w="5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December 31, 2021 Ireland subsidiaries had tax credit carryforwards for income tax purposes that may be carried forward indefinitely, available for offset against future tax liabilities, if any, of $14.0 million.</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At December 31, 2021 U.S. subsidiaries had U.S. federal and state net operating loss ("NOL") carryforwards of approximately $10.3 million and $297.0 million, respectively. These NOLs are available for offset against future taxable income and the expiry dates are shown in the table below. Of the $10.3 million U.S. federal NOLs, approximately $5.0 million is available for offset against future U.S. federal taxable income in 2022. The subsidiaries' ability to use the remaining U.S. federal and state NOL carryforwards is limited on an annual basis due to change of ownership in 2014, 2017, and 2019, as defined by Section 382 of the Internal Revenue Code of 1986, as amended. Of the U.S. federal NOLs, $10.3 million are limited by Section 382 as follows: $10.2 million for the years 2022 - 2035 and $0.1 million in 2036 - 2040. As at December 31, 2021, U.S subsidiaries also had disallowed interest carryforwards of $145.7 million that can be carried forward indefinitely. These carryforwards are available for offset against future taxable income in the event that the U.S subsidiaries have excess capacity for interest deductions in future years.</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At December 31, 2021 other than those in the U.S. and Ireland, we had operating loss carryforwards for income tax purposes that may be carried forward indefinitely, available to offset against future taxable income, if any, of approximately $42.3 million. At December 31, 2021 those subsidiaries also had additional operating loss carryforwards of $19.9 million which are due to expire between 2022 and 2028 and operating loss carryforwards of $19.9 million which are due to expire between 2029 and 2038. In addition, at December 31, 2021 those subsidiaries had tax credit carryforwards for income tax purposes that may be carried forward indefinitely, available to offset against future tax liabilities, if any, of $5.3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5" w:name="page146"/>
    <w:bookmarkEnd w:id="145"/>
    <w:p>
      <w:pPr>
        <w:ind w:left="180"/>
        <w:spacing w:after="0"/>
        <w:rPr>
          <w:sz w:val="20"/>
          <w:szCs w:val="20"/>
          <w:color w:val="auto"/>
        </w:rPr>
      </w:pPr>
      <w:r>
        <w:rPr>
          <w:rFonts w:ascii="Arial" w:cs="Arial" w:eastAsia="Arial" w:hAnsi="Arial"/>
          <w:sz w:val="16"/>
          <w:szCs w:val="16"/>
          <w:color w:val="auto"/>
        </w:rPr>
        <w:t>The expected expiry dates of these US losses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Federal</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State</w:t>
            </w:r>
          </w:p>
        </w:tc>
      </w:tr>
      <w:tr>
        <w:trPr>
          <w:trHeight w:val="215"/>
        </w:trPr>
        <w:tc>
          <w:tcPr>
            <w:tcW w:w="4580" w:type="dxa"/>
            <w:vAlign w:val="bottom"/>
            <w:tcBorders>
              <w:bottom w:val="single" w:sz="8" w:color="auto"/>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r>
      <w:tr>
        <w:trPr>
          <w:trHeight w:val="210"/>
        </w:trPr>
        <w:tc>
          <w:tcPr>
            <w:tcW w:w="4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2022-2035</w:t>
            </w:r>
          </w:p>
        </w:tc>
        <w:tc>
          <w:tcPr>
            <w:tcW w:w="4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227,538</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2036-2040</w:t>
            </w:r>
          </w:p>
        </w:tc>
        <w:tc>
          <w:tcPr>
            <w:tcW w:w="4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25,073</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44,370</w:t>
            </w:r>
          </w:p>
        </w:tc>
      </w:tr>
      <w:tr>
        <w:trPr>
          <w:trHeight w:val="240"/>
        </w:trPr>
        <w:tc>
          <w:tcPr>
            <w:tcW w:w="4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4580" w:type="dxa"/>
            <w:vAlign w:val="bottom"/>
            <w:tcBorders>
              <w:bottom w:val="single" w:sz="8" w:color="auto"/>
            </w:tcBorders>
            <w:shd w:val="clear" w:color="auto" w:fill="CCEEFF"/>
          </w:tcPr>
          <w:p>
            <w:pPr>
              <w:spacing w:after="0"/>
              <w:rPr>
                <w:sz w:val="20"/>
                <w:szCs w:val="20"/>
                <w:color w:val="auto"/>
              </w:rPr>
            </w:pPr>
          </w:p>
        </w:tc>
        <w:tc>
          <w:tcPr>
            <w:tcW w:w="4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296,981</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we also have general business tax credit carryforwards of approximately $0.8 million that are available to reduce future U.S. federal and state income taxes. The general business tax credits are non-refundable and are due to expire between the years 2026-2038.</w:t>
      </w:r>
    </w:p>
    <w:p>
      <w:pPr>
        <w:spacing w:after="0" w:line="22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The valuation allowance at December 31, 2021 was approximately $45.5 million. The valuation allowance for deferred tax assets as of December 31, 2020 and December 31, 2019 was $32.8 million and $27.7 million respectively. The net change in the total valuation allowance was an increase of $12.8 million during 2021 and an increase of $5.1 million during 2020. Of the total increase of $12.8 million in 2021, $9.3 million was in respect of acquired entity, $4.4 million was recognized within income tax expense and a decrease of $0.9 million was recognized in Other Comprehensive Income. Of the total increase of $5.1 million in 2020, $3.6 million resulted in a current year income tax expense, and $1.5 million was recognized in Other Comprehensive Income.</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valuation allowances at December 31, 2021 and December 31, 2020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loss utilization, projected future taxable income and mitigation strategies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recognized a deferred tax liability of $0.8 million (2020: $0.9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total unrecognized tax benefits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0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start of year</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21,433</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Increase related to acquired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170,047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prior year tax positions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Decrease related to prior year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current year tax positions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2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20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37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20,156</w:t>
            </w:r>
          </w:p>
        </w:tc>
      </w:tr>
      <w:tr>
        <w:trPr>
          <w:trHeight w:val="23"/>
        </w:trPr>
        <w:tc>
          <w:tcPr>
            <w:tcW w:w="50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relevant statute of limitations for unrecognized tax benefits totaling $38.8 million could potentially expire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6" w:name="page147"/>
    <w:bookmarkEnd w:id="146"/>
    <w:p>
      <w:pPr>
        <w:jc w:val="both"/>
        <w:ind w:right="20" w:firstLine="648"/>
        <w:spacing w:after="0" w:line="251" w:lineRule="auto"/>
        <w:rPr>
          <w:sz w:val="20"/>
          <w:szCs w:val="20"/>
          <w:color w:val="auto"/>
        </w:rPr>
      </w:pPr>
      <w:r>
        <w:rPr>
          <w:rFonts w:ascii="Arial" w:cs="Arial" w:eastAsia="Arial" w:hAnsi="Arial"/>
          <w:sz w:val="16"/>
          <w:szCs w:val="16"/>
          <w:color w:val="auto"/>
        </w:rPr>
        <w:t>Included in the balance of total unrecognized tax benefits at December 31, 2021 were potential benefits of $202.1 million, which if recognized, would affect the effective rate on income tax from continuing operations. The balance of total unrecognized tax benefits at December 31, 2020 and December 31, 2019 included potential benefits which, if recognized, would affect the effective rate of income tax from continuing operations of $19.1 million and $20.2 million respectively.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and penalties recognized during the year ended December 31, 2021 amounted to a net charge of $1.9 million (2020: ($0.6 million), 2019: Nil) and are included within the income tax expense. Total accrued interest and penalties as of December 31, 2021 and December 31, 2020 were $15.5 million and $0.5 million respectively and are included in closing income taxes payable at those dates.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major tax jurisdictions are Ireland and the United States. We may potentially be subjected to tax audits in both our major jurisdictions. In Ireland, tax periods open to audit include the years ended December 31, 2017, December 31, 2018, December 31, 2019, December 31, 2020 and December 31, 2021. In the United States, tax periods open to audit include the years ended December 31, 2016, December 31, 2017, December 31, 2018, December 31, 2019, December 31, 2020 and December 31, 2021. During such audits, local tax authorities may challenge the positions taken by us in our tax returns.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Restructuring charges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 restructuring charge of $31.1 million was recognized during the year ended December 31, 2021 under a restructuring plan adopted following a review of operations. The restructuring plan reflected resource rationalization across the business to improve employee utilization and an office consolidation program to optimize the Company's office footprint. The restructuring plan resulted in a charge of $4.8 million relating to workforce reductions, an impairment of ROU assets and associated unavoidable costs totaling $21.9 million and fixed asset impairment of $4.4 million.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December 31, 2021, a total liability of $28.4 million was on the Consolidated Balance Sheet relating to restructuring activities. The total liability included $23.2 million from lease and lease related liabilities of which $10.4 million is included within other liabilities and $12.8 million is included within non-current operating lease liabilities. The remaining provision of $5.2 million relates to workforce reduction and is included within other liabilities.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10"/>
        </w:trPr>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70"/>
        </w:trPr>
        <w:tc>
          <w:tcPr>
            <w:tcW w:w="6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Additional provision in the year</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26,674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18,089</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(9,069)</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(4,782)</w:t>
            </w: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r>
      <w:tr>
        <w:trPr>
          <w:trHeight w:val="24"/>
        </w:trPr>
        <w:tc>
          <w:tcPr>
            <w:tcW w:w="6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i w:val="1"/>
          <w:iCs w:val="1"/>
          <w:color w:val="auto"/>
        </w:rPr>
        <w:t>Operating Leases</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several non-cancelable operating leases, primarily for facilities, that expire over the next twelve years. These leases generally contain renewal options and require the Company to pay all executory costs such as maintenance and insurance. See </w:t>
      </w:r>
      <w:r>
        <w:rPr>
          <w:rFonts w:ascii="Arial" w:cs="Arial" w:eastAsia="Arial" w:hAnsi="Arial"/>
          <w:sz w:val="16"/>
          <w:szCs w:val="16"/>
          <w:i w:val="1"/>
          <w:iCs w:val="1"/>
          <w:color w:val="auto"/>
        </w:rPr>
        <w:t>note 23 - Operating leases</w:t>
      </w:r>
      <w:r>
        <w:rPr>
          <w:rFonts w:ascii="Arial" w:cs="Arial" w:eastAsia="Arial" w:hAnsi="Arial"/>
          <w:sz w:val="16"/>
          <w:szCs w:val="16"/>
          <w:color w:val="auto"/>
        </w:rPr>
        <w:t xml:space="preserve"> for rental expense pursuant to ASC 842 for the years ended December 31, 2021 and December 31, 2020 and future minimum rental commitments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Disaggregation of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ind w:left="660"/>
              <w:spacing w:after="0"/>
              <w:rPr>
                <w:sz w:val="20"/>
                <w:szCs w:val="20"/>
                <w:color w:val="auto"/>
              </w:rPr>
            </w:pPr>
            <w:r>
              <w:rPr>
                <w:rFonts w:ascii="Arial" w:cs="Arial" w:eastAsia="Arial" w:hAnsi="Arial"/>
                <w:sz w:val="16"/>
                <w:szCs w:val="16"/>
                <w:color w:val="auto"/>
              </w:rPr>
              <w:t>Revenue disaggregated by customer profile is as follows: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7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156"/>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7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7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Top client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441,173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337,904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350,287</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1,291,946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754,906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704,963</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752,325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350,865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347,832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1,077,073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501,643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529,713</w:t>
            </w:r>
          </w:p>
        </w:tc>
      </w:tr>
      <w:tr>
        <w:trPr>
          <w:trHeight w:val="21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1,918,309</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851,970</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873,044</w:t>
            </w:r>
          </w:p>
        </w:tc>
      </w:tr>
      <w:tr>
        <w:trPr>
          <w:trHeight w:val="234"/>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$5,480,826</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$2,797,288</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$2,805,839</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customers have similar profiles and economic characteristics, and therefore have similar degrees of risk and growth opportunities.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Accounts receivable, unbilled revenue (contract assets) and unearned revenue or payments on account (contract liabilities)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 and unbilled revenue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Billed services (accounts receivable)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1,349,851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722,420</w:t>
            </w:r>
          </w:p>
        </w:tc>
      </w:tr>
      <w:tr>
        <w:trPr>
          <w:trHeight w:val="213"/>
        </w:trPr>
        <w:tc>
          <w:tcPr>
            <w:tcW w:w="5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Allowance for credit losses (note 19)</w:t>
            </w:r>
          </w:p>
        </w:tc>
        <w:tc>
          <w:tcPr>
            <w:tcW w:w="2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r>
      <w:tr>
        <w:trPr>
          <w:trHeight w:val="213"/>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1,342,770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715,271</w:t>
            </w:r>
          </w:p>
        </w:tc>
      </w:tr>
      <w:tr>
        <w:trPr>
          <w:trHeight w:val="213"/>
        </w:trPr>
        <w:tc>
          <w:tcPr>
            <w:tcW w:w="5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Unbilled services (unbilled revenue)</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623,121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428,684</w:t>
            </w:r>
          </w:p>
        </w:tc>
      </w:tr>
      <w:tr>
        <w:trPr>
          <w:trHeight w:val="235"/>
        </w:trPr>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1,965,891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1,143,955</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 Change</w:t>
            </w: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623,121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428,684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194,437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Unearned revenue (payments on account)</w:t>
            </w:r>
          </w:p>
        </w:tc>
        <w:tc>
          <w:tcPr>
            <w:tcW w:w="1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(1,323,961)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(660,883)</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(663,078)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100.3 %</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Net balance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(232,199)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(468,641)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8" w:name="page149"/>
    <w:bookmarkEnd w:id="148"/>
    <w:p>
      <w:pPr>
        <w:jc w:val="both"/>
        <w:ind w:firstLine="648"/>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at December 31, 2021 and December 31, 2020 were $323.6 million and $138.2 million (see </w:t>
      </w:r>
      <w:r>
        <w:rPr>
          <w:rFonts w:ascii="Arial" w:cs="Arial" w:eastAsia="Arial" w:hAnsi="Arial"/>
          <w:sz w:val="16"/>
          <w:szCs w:val="16"/>
          <w:i w:val="1"/>
          <w:iCs w:val="1"/>
          <w:color w:val="auto"/>
        </w:rPr>
        <w:t>note 8 - Other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Unbilled services as at December 31, 2021 increased by $194.4 million as compared to December 31, 2020. Unearned revenue increased by $663.1 million over the same period resulting in a increase of $468.6 million in the net balance of unbilled services and unearned revenue or payments on account between December 31, 2020 and December 31, 2021. These fluctuations are primarily due to the completion of the Merger on July 1, 2021 but are also partially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recognized exceeds the amount billed to the customer.</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credit loss expense recognized on the Group's receivables and unbilled services was $0.9 million and $2.9 million for the twelve months ended December 31, 2021 and 2020, respectively.</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2021 approximately $13.3 billion of revenue is expected to be recognized in the future in respect of unsatisfied performance obligations. The Company expects to recognize revenue on approximately 48% of the unrealized performance obligation over the next twelve months, with the remainder recognized thereafter over the duration of the customer contracts.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Provision for Credit Losses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business with most major international pharmaceutical companies. Provision for credit losses at December 31, 2021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comprises: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3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used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(2,561)</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provided during the year</w:t>
            </w:r>
          </w:p>
        </w:tc>
        <w:tc>
          <w:tcPr>
            <w:tcW w:w="3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released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2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w:t>
            </w:r>
          </w:p>
        </w:tc>
        <w:tc>
          <w:tcPr>
            <w:tcW w:w="3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37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Closing provision</w:t>
            </w:r>
          </w:p>
        </w:tc>
        <w:tc>
          <w:tcPr>
            <w:tcW w:w="3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r>
      <w:tr>
        <w:trPr>
          <w:trHeight w:val="23"/>
        </w:trPr>
        <w:tc>
          <w:tcPr>
            <w:tcW w:w="5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Business Segment and Geographical Information</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operates as one business segment, which is the provision of outsourced development services on a global basis to the pharmaceutical, biotechnology and medical devices industries.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49" w:name="page150"/>
    <w:bookmarkEnd w:id="149"/>
    <w:p>
      <w:pPr>
        <w:jc w:val="both"/>
        <w:ind w:firstLine="648"/>
        <w:spacing w:after="0" w:line="260"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 The integration of entities acquired through the Merger into the global transfer pricing model remains ongoing and these entities were not substantially part of the Group's cost plus arrangement in the year ended December 31, 2021.</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 Republic, France, Germany, Hungary, Italy, Latvia, Poland, Portugal, Romania, Russia, Serbia, Spain, Sweden, The Netherlands, Turkey, Ukraine, Canada, Argentina, Brazil, Chile, Colombia, Mexico, Peru, China (including Hong Kong), India, Israel, Japan, Singapore, South Korea, The Philippines, Taiwan, Thailand, Australia, New Zealand, South Africa, Belarus, Bermuda, British Virgin Islands, Costa Rica, Croatia, Denmark, Egypt, Estonia, Finland, Georgia, Greece, Guatemala, Iceland, Jersey, Kenya, Lithuania, Luxembourg, Malaysia, Norway, Panama, Puerto Rico, Slovakia, Switzerland and Uruguay.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changes to the basis of segmentation or the measurement basis for the segment results since the prior year.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Reportable segment and geographic information at December 31, 2021 and December 31, 2020 and for the years ended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December 31, 2019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1,365,909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1,181,292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1,252,834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416,884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388,916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2,581,007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925,563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892,497</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358,395</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273,549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271,592</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5,480,826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2,797,288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2,805,839</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 xml:space="preserve">b) The distribution of income from operations, </w:t>
      </w:r>
      <w:r>
        <w:rPr>
          <w:rFonts w:ascii="Arial" w:cs="Arial" w:eastAsia="Arial" w:hAnsi="Arial"/>
          <w:sz w:val="16"/>
          <w:szCs w:val="16"/>
          <w:u w:val="single" w:color="auto"/>
          <w:color w:val="auto"/>
        </w:rPr>
        <w:t>excluding restructuring, transaction and integration related expenses</w:t>
      </w:r>
      <w:r>
        <w:rPr>
          <w:rFonts w:ascii="Arial" w:cs="Arial" w:eastAsia="Arial" w:hAnsi="Arial"/>
          <w:sz w:val="16"/>
          <w:szCs w:val="16"/>
          <w:color w:val="auto"/>
        </w:rPr>
        <w:t>, by geographical area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161,862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295,360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314,287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183,436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231,971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56,921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60,272</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607,897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408,830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433,406</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ind w:firstLine="8"/>
        <w:spacing w:after="0" w:line="260" w:lineRule="auto"/>
        <w:tabs>
          <w:tab w:leader="none" w:pos="12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the full amount of the amortization charge associated with the intangible asset acquired in the Merger. These assets have been provisionally allocated to Ireland.</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Income from operations, excluding restructuring, transaction and integration related expenses of $607.9 million was earned during the year ended December 31, 2021 having added back restructuring expenses of $31.1 million (see </w:t>
      </w:r>
      <w:r>
        <w:rPr>
          <w:rFonts w:ascii="Arial" w:cs="Arial" w:eastAsia="Arial" w:hAnsi="Arial"/>
          <w:sz w:val="16"/>
          <w:szCs w:val="16"/>
          <w:i w:val="1"/>
          <w:iCs w:val="1"/>
          <w:color w:val="auto"/>
        </w:rPr>
        <w:t>note 15 Restructuring charges</w:t>
      </w:r>
      <w:r>
        <w:rPr>
          <w:rFonts w:ascii="Arial" w:cs="Arial" w:eastAsia="Arial" w:hAnsi="Arial"/>
          <w:sz w:val="16"/>
          <w:szCs w:val="16"/>
          <w:color w:val="auto"/>
        </w:rPr>
        <w:t xml:space="preserve">) and transaction and integration related expenses of $198.3 million (see </w:t>
      </w:r>
      <w:r>
        <w:rPr>
          <w:rFonts w:ascii="Arial" w:cs="Arial" w:eastAsia="Arial" w:hAnsi="Arial"/>
          <w:sz w:val="16"/>
          <w:szCs w:val="16"/>
          <w:i w:val="1"/>
          <w:iCs w:val="1"/>
          <w:color w:val="auto"/>
        </w:rPr>
        <w:t>note 6 Business Combinations</w:t>
      </w:r>
      <w:r>
        <w:rPr>
          <w:rFonts w:ascii="Arial" w:cs="Arial" w:eastAsia="Arial" w:hAnsi="Arial"/>
          <w:sz w:val="16"/>
          <w:szCs w:val="16"/>
          <w:color w:val="auto"/>
        </w:rPr>
        <w:t>) to income from operations of $378.5 million as presented in the Consolidated Statement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74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4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118,253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118,361</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121,174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36,723</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65,152</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38,668</w:t>
            </w:r>
          </w:p>
        </w:tc>
      </w:tr>
      <w:tr>
        <w:trPr>
          <w:trHeight w:val="40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534,567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258,904</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20"/>
                <w:szCs w:val="20"/>
                <w:color w:val="auto"/>
              </w:rPr>
            </w:pPr>
            <w:r>
              <w:rPr>
                <w:rFonts w:ascii="Arial" w:cs="Arial" w:eastAsia="Arial" w:hAnsi="Arial"/>
                <w:sz w:val="16"/>
                <w:szCs w:val="16"/>
                <w:b w:val="1"/>
                <w:bCs w:val="1"/>
                <w:color w:val="auto"/>
              </w:rPr>
              <w:t>21. Supplemental Disclosure of Cash Flow Information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74"/>
        </w:trPr>
        <w:tc>
          <w:tcPr>
            <w:tcW w:w="6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r>
        <w:trPr>
          <w:trHeight w:val="224"/>
        </w:trPr>
        <w:tc>
          <w:tcPr>
            <w:tcW w:w="6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13,059</w:t>
            </w: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29,836</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20"/>
                <w:szCs w:val="20"/>
                <w:color w:val="auto"/>
              </w:rPr>
            </w:pPr>
            <w:r>
              <w:rPr>
                <w:rFonts w:ascii="Arial" w:cs="Arial" w:eastAsia="Arial" w:hAnsi="Arial"/>
                <w:sz w:val="16"/>
                <w:szCs w:val="16"/>
                <w:b w:val="1"/>
                <w:bCs w:val="1"/>
                <w:color w:val="auto"/>
              </w:rPr>
              <w:t>22. Accumulated Other Comprehensive Income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8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4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Currency translation adjustments</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(75,986)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impact on long term funding</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Actuarial loss on defined benefit pension plan (note 10)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interest rate hedge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Amortization of gain on interest rate hedge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interest rate hedge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loss on interest rate hedge</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(90,937)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8320" w:type="dxa"/>
            <w:vAlign w:val="bottom"/>
          </w:tcPr>
          <w:p>
            <w:pPr>
              <w:spacing w:after="0"/>
              <w:rPr>
                <w:sz w:val="20"/>
                <w:szCs w:val="20"/>
                <w:color w:val="auto"/>
              </w:rPr>
            </w:pPr>
            <w:r>
              <w:rPr>
                <w:rFonts w:ascii="Arial" w:cs="Arial" w:eastAsia="Arial" w:hAnsi="Arial"/>
                <w:sz w:val="16"/>
                <w:szCs w:val="16"/>
                <w:b w:val="1"/>
                <w:bCs w:val="1"/>
                <w:color w:val="auto"/>
              </w:rPr>
              <w:t>23. Operating leases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20" w:type="dxa"/>
            <w:vAlign w:val="bottom"/>
          </w:tcPr>
          <w:p>
            <w:pPr>
              <w:ind w:left="660"/>
              <w:spacing w:after="0"/>
              <w:rPr>
                <w:sz w:val="20"/>
                <w:szCs w:val="20"/>
                <w:color w:val="auto"/>
              </w:rPr>
            </w:pPr>
            <w:r>
              <w:rPr>
                <w:rFonts w:ascii="Arial" w:cs="Arial" w:eastAsia="Arial" w:hAnsi="Arial"/>
                <w:sz w:val="16"/>
                <w:szCs w:val="16"/>
                <w:color w:val="auto"/>
              </w:rPr>
              <w:t>Lease costs recorded under operating leases were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4"/>
            <w:shd w:val="clear" w:color="auto" w:fill="CCEEFF"/>
          </w:tcPr>
          <w:p>
            <w:pPr>
              <w:ind w:left="7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56"/>
        </w:trPr>
        <w:tc>
          <w:tcPr>
            <w:tcW w:w="8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6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51,200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from sub-leases</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8"/>
              </w:rPr>
              <w:t>(1,338)</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operating lease costs</w:t>
            </w:r>
          </w:p>
        </w:tc>
        <w:tc>
          <w:tcPr>
            <w:tcW w:w="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49,862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Of the total cost of $49.9 million incurred in the year ended December 31, 2021, $47.5 million is recorded within selling, general and administration costs and $2.4 million is recorded within direct costs. Of the total cost of $30.1 million incurred in the year ended December 31, 2020, $27.6 million is recorded within selling, general and administration costs and $2.5 million is recorded within direct costs.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years ended December 31, 2021 and December 31, 2020, the Group did not incur any costs related to variable lease payments.</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Right-of-use assets obtained, in exchange for lease obligations, net of early termination options now reasonably certain to be exercised, during the years ended December 31, 2021 and December 31, 2020 totaled $10.2 million and $12.1 million, respectively. During the year ended December 31, 2021, office consolidations resulted in the recognition of an impairment of ROU assets. The right-of-use assets related to these offices have been impaired and a charge of $15.4 million was recorded (see </w:t>
      </w:r>
      <w:r>
        <w:rPr>
          <w:rFonts w:ascii="Arial" w:cs="Arial" w:eastAsia="Arial" w:hAnsi="Arial"/>
          <w:sz w:val="16"/>
          <w:szCs w:val="16"/>
          <w:i w:val="1"/>
          <w:iCs w:val="1"/>
          <w:color w:val="auto"/>
        </w:rPr>
        <w:t>note 15 - Restructuring charges</w:t>
      </w:r>
      <w:r>
        <w:rPr>
          <w:rFonts w:ascii="Arial" w:cs="Arial" w:eastAsia="Arial" w:hAnsi="Arial"/>
          <w:sz w:val="16"/>
          <w:szCs w:val="16"/>
          <w:color w:val="auto"/>
        </w:rPr>
        <w:t>). An impairment charge of $5.4 million was recognized during the year ended December 31,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December 31, 2021 were 6.91 years and 2.51%,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and weighted-average discount rate at December 31, 2020 were 4.45 years and 2.53%,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2" w:name="page153"/>
    <w:bookmarkEnd w:id="152"/>
    <w:tbl>
      <w:tblPr>
        <w:tblLayout w:type="fixed"/>
        <w:tblInd w:w="40" w:type="dxa"/>
        <w:tblCellMar>
          <w:top w:w="0" w:type="dxa"/>
          <w:left w:w="0" w:type="dxa"/>
          <w:bottom w:w="0" w:type="dxa"/>
          <w:right w:w="0" w:type="dxa"/>
        </w:tblCellMar>
      </w:tblPr>
      <w:tr>
        <w:trPr>
          <w:trHeight w:val="195"/>
        </w:trPr>
        <w:tc>
          <w:tcPr>
            <w:tcW w:w="8580" w:type="dxa"/>
            <w:vAlign w:val="bottom"/>
          </w:tcPr>
          <w:p>
            <w:pPr>
              <w:ind w:left="620"/>
              <w:spacing w:after="0"/>
              <w:rPr>
                <w:sz w:val="20"/>
                <w:szCs w:val="20"/>
                <w:color w:val="auto"/>
              </w:rPr>
            </w:pPr>
            <w:r>
              <w:rPr>
                <w:rFonts w:ascii="Arial" w:cs="Arial" w:eastAsia="Arial" w:hAnsi="Arial"/>
                <w:sz w:val="16"/>
                <w:szCs w:val="16"/>
                <w:color w:val="auto"/>
              </w:rPr>
              <w:t>Future minimum lease payments under non-cancelable leases as of December 31, 2021 were as follows:</w:t>
            </w:r>
          </w:p>
        </w:tc>
        <w:tc>
          <w:tcPr>
            <w:tcW w:w="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76"/>
        </w:trPr>
        <w:tc>
          <w:tcPr>
            <w:tcW w:w="8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8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5"/>
        </w:trPr>
        <w:tc>
          <w:tcPr>
            <w:tcW w:w="8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8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2022</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54,292</w:t>
            </w: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7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45,469</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2024</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29,607</w:t>
            </w: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7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20,758</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2026</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17,714</w:t>
            </w:r>
          </w:p>
        </w:tc>
      </w:tr>
      <w:tr>
        <w:trPr>
          <w:trHeight w:val="226"/>
        </w:trPr>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7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59,858</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Total future minimum lease payments</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227,698</w:t>
            </w:r>
          </w:p>
        </w:tc>
      </w:tr>
      <w:tr>
        <w:trPr>
          <w:trHeight w:val="226"/>
        </w:trPr>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Lease imputed interest</w:t>
            </w:r>
          </w:p>
        </w:tc>
        <w:tc>
          <w:tcPr>
            <w:tcW w:w="7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(18,266)</w:t>
            </w:r>
          </w:p>
        </w:tc>
      </w:tr>
      <w:tr>
        <w:trPr>
          <w:trHeight w:val="213"/>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209,432</w:t>
            </w:r>
          </w:p>
        </w:tc>
      </w:tr>
      <w:tr>
        <w:trPr>
          <w:trHeight w:val="23"/>
        </w:trPr>
        <w:tc>
          <w:tcPr>
            <w:tcW w:w="8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1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$49.9 million and $24.3 million have been included in other liabilities as at December 31, 2021 and December 31, 2020, respectively.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Non-current bank credit lines and loan facilities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December 31, 2021 and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3"/>
            <w:shd w:val="clear" w:color="auto" w:fill="CCEEFF"/>
          </w:tcPr>
          <w:p>
            <w:pPr>
              <w:ind w:left="820"/>
              <w:spacing w:after="0"/>
              <w:rPr>
                <w:sz w:val="20"/>
                <w:szCs w:val="20"/>
                <w:color w:val="auto"/>
              </w:rPr>
            </w:pPr>
            <w:r>
              <w:rPr>
                <w:rFonts w:ascii="Arial" w:cs="Arial" w:eastAsia="Arial" w:hAnsi="Arial"/>
                <w:sz w:val="16"/>
                <w:szCs w:val="16"/>
                <w:b w:val="1"/>
                <w:bCs w:val="1"/>
                <w:color w:val="auto"/>
              </w:rPr>
              <w:t>Principal amount</w:t>
            </w:r>
          </w:p>
        </w:tc>
        <w:tc>
          <w:tcPr>
            <w:tcW w:w="1880" w:type="dxa"/>
            <w:vAlign w:val="bottom"/>
            <w:shd w:val="clear" w:color="auto" w:fill="CCEEFF"/>
          </w:tcPr>
          <w:p>
            <w:pPr>
              <w:spacing w:after="0"/>
              <w:rPr>
                <w:sz w:val="18"/>
                <w:szCs w:val="18"/>
                <w:color w:val="auto"/>
              </w:rPr>
            </w:pPr>
          </w:p>
        </w:tc>
      </w:tr>
      <w:tr>
        <w:trPr>
          <w:trHeight w:val="209"/>
        </w:trPr>
        <w:tc>
          <w:tcPr>
            <w:tcW w:w="3560" w:type="dxa"/>
            <w:vAlign w:val="bottom"/>
          </w:tcPr>
          <w:p>
            <w:pPr>
              <w:spacing w:after="0"/>
              <w:rPr>
                <w:sz w:val="18"/>
                <w:szCs w:val="18"/>
                <w:color w:val="auto"/>
              </w:rPr>
            </w:pPr>
          </w:p>
        </w:tc>
        <w:tc>
          <w:tcPr>
            <w:tcW w:w="246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Interest rate as of</w:t>
            </w:r>
          </w:p>
        </w:tc>
        <w:tc>
          <w:tcPr>
            <w:tcW w:w="200" w:type="dxa"/>
            <w:vAlign w:val="bottom"/>
          </w:tcPr>
          <w:p>
            <w:pPr>
              <w:spacing w:after="0"/>
              <w:rPr>
                <w:sz w:val="18"/>
                <w:szCs w:val="18"/>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880" w:type="dxa"/>
            <w:vAlign w:val="bottom"/>
          </w:tcPr>
          <w:p>
            <w:pPr>
              <w:spacing w:after="0"/>
              <w:rPr>
                <w:sz w:val="18"/>
                <w:szCs w:val="18"/>
                <w:color w:val="auto"/>
              </w:rPr>
            </w:pP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2660" w:type="dxa"/>
            <w:vAlign w:val="bottom"/>
            <w:tcBorders>
              <w:bottom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6"/>
                <w:szCs w:val="16"/>
                <w:b w:val="1"/>
                <w:bCs w:val="1"/>
                <w:color w:val="auto"/>
              </w:rPr>
              <w:t>December 31, 2021</w:t>
            </w:r>
          </w:p>
        </w:tc>
        <w:tc>
          <w:tcPr>
            <w:tcW w:w="14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Maturity Date</w:t>
            </w:r>
          </w:p>
        </w:tc>
      </w:tr>
      <w:tr>
        <w:trPr>
          <w:trHeight w:val="207"/>
        </w:trPr>
        <w:tc>
          <w:tcPr>
            <w:tcW w:w="356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2.75 %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July 2028</w:t>
            </w: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460" w:type="dxa"/>
            <w:vAlign w:val="bottom"/>
          </w:tcPr>
          <w:p>
            <w:pPr>
              <w:jc w:val="right"/>
              <w:spacing w:after="0"/>
              <w:rPr>
                <w:sz w:val="20"/>
                <w:szCs w:val="20"/>
                <w:color w:val="auto"/>
              </w:rPr>
            </w:pPr>
            <w:r>
              <w:rPr>
                <w:rFonts w:ascii="Arial" w:cs="Arial" w:eastAsia="Arial" w:hAnsi="Arial"/>
                <w:sz w:val="16"/>
                <w:szCs w:val="16"/>
                <w:color w:val="auto"/>
              </w:rPr>
              <w:t>2.875 %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ind w:left="1160"/>
              <w:spacing w:after="0"/>
              <w:rPr>
                <w:sz w:val="20"/>
                <w:szCs w:val="20"/>
                <w:color w:val="auto"/>
              </w:rPr>
            </w:pPr>
            <w:r>
              <w:rPr>
                <w:rFonts w:ascii="Arial" w:cs="Arial" w:eastAsia="Arial" w:hAnsi="Arial"/>
                <w:sz w:val="16"/>
                <w:szCs w:val="16"/>
                <w:color w:val="auto"/>
              </w:rPr>
              <w:t>July 2026</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Senior Notes: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13"/>
        </w:trPr>
        <w:tc>
          <w:tcPr>
            <w:tcW w:w="3560" w:type="dxa"/>
            <w:vAlign w:val="bottom"/>
          </w:tcPr>
          <w:p>
            <w:pPr>
              <w:ind w:left="240"/>
              <w:spacing w:after="0"/>
              <w:rPr>
                <w:sz w:val="20"/>
                <w:szCs w:val="20"/>
                <w:color w:val="auto"/>
              </w:rPr>
            </w:pPr>
            <w:r>
              <w:rPr>
                <w:rFonts w:ascii="Arial" w:cs="Arial" w:eastAsia="Arial" w:hAnsi="Arial"/>
                <w:sz w:val="16"/>
                <w:szCs w:val="16"/>
                <w:color w:val="auto"/>
              </w:rPr>
              <w:t>Series A notes</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275,000</w:t>
            </w:r>
          </w:p>
        </w:tc>
        <w:tc>
          <w:tcPr>
            <w:tcW w:w="1880" w:type="dxa"/>
            <w:vAlign w:val="bottom"/>
          </w:tcPr>
          <w:p>
            <w:pPr>
              <w:spacing w:after="0"/>
              <w:rPr>
                <w:sz w:val="18"/>
                <w:szCs w:val="18"/>
                <w:color w:val="auto"/>
              </w:rPr>
            </w:pPr>
          </w:p>
        </w:tc>
      </w:tr>
      <w:tr>
        <w:trPr>
          <w:trHeight w:val="216"/>
        </w:trPr>
        <w:tc>
          <w:tcPr>
            <w:tcW w:w="3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Series B notes</w:t>
            </w:r>
          </w:p>
        </w:tc>
        <w:tc>
          <w:tcPr>
            <w:tcW w:w="2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5,501,213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350,000</w:t>
            </w:r>
          </w:p>
        </w:tc>
        <w:tc>
          <w:tcPr>
            <w:tcW w:w="1880" w:type="dxa"/>
            <w:vAlign w:val="bottom"/>
          </w:tcPr>
          <w:p>
            <w:pPr>
              <w:spacing w:after="0"/>
              <w:rPr>
                <w:sz w:val="18"/>
                <w:szCs w:val="18"/>
                <w:color w:val="auto"/>
              </w:rPr>
            </w:pP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(55,150)</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5,446,063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350,000</w:t>
            </w:r>
          </w:p>
        </w:tc>
        <w:tc>
          <w:tcPr>
            <w:tcW w:w="1880" w:type="dxa"/>
            <w:vAlign w:val="bottom"/>
          </w:tcPr>
          <w:p>
            <w:pPr>
              <w:spacing w:after="0"/>
              <w:rPr>
                <w:sz w:val="18"/>
                <w:szCs w:val="18"/>
                <w:color w:val="auto"/>
              </w:rPr>
            </w:pP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2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(64,901)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long-term debt, net</w:t>
            </w:r>
          </w:p>
        </w:tc>
        <w:tc>
          <w:tcPr>
            <w:tcW w:w="2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5,381,162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348,477</w:t>
            </w:r>
          </w:p>
        </w:tc>
        <w:tc>
          <w:tcPr>
            <w:tcW w:w="1880" w:type="dxa"/>
            <w:vAlign w:val="bottom"/>
            <w:tcBorders>
              <w:bottom w:val="single" w:sz="8" w:color="auto"/>
            </w:tcBorders>
          </w:tcPr>
          <w:p>
            <w:pPr>
              <w:spacing w:after="0"/>
              <w:rPr>
                <w:sz w:val="18"/>
                <w:szCs w:val="18"/>
                <w:color w:val="auto"/>
              </w:rPr>
            </w:pPr>
          </w:p>
        </w:tc>
      </w:tr>
      <w:tr>
        <w:trPr>
          <w:trHeight w:val="23"/>
        </w:trPr>
        <w:tc>
          <w:tcPr>
            <w:tcW w:w="3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incurred interest costs from various financing arrangements during the years ended December 31, 2021, December 31, 2020 and December 31, 2019 as set out in the table below. These costs have been charged in the interest expense line of the Consolidated Statement of Operations. In the year ended December 31, 2021, the Company incurred $86.7 million transaction related financing costs (inclusive of the amortization of financing fees which were previously capitalized) associated with the debt facilities used to finance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r>
      <w:tr>
        <w:trPr>
          <w:trHeight w:val="209"/>
        </w:trPr>
        <w:tc>
          <w:tcPr>
            <w:tcW w:w="45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9"/>
        </w:trPr>
        <w:tc>
          <w:tcPr>
            <w:tcW w:w="45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r>
      <w:tr>
        <w:trPr>
          <w:trHeight w:val="251"/>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drawn facilities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13,659</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Amortization of financing costs</w:t>
            </w:r>
          </w:p>
        </w:tc>
        <w:tc>
          <w:tcPr>
            <w:tcW w:w="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12,890</w:t>
            </w:r>
          </w:p>
        </w:tc>
        <w:tc>
          <w:tcPr>
            <w:tcW w:w="3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523</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one time financing costs</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75,391</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costs/(credits)</w:t>
            </w: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235"/>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financing costs</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182,423</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13,276</w:t>
            </w:r>
          </w:p>
        </w:tc>
      </w:tr>
      <w:tr>
        <w:trPr>
          <w:trHeight w:val="20"/>
        </w:trPr>
        <w:tc>
          <w:tcPr>
            <w:tcW w:w="8980" w:type="dxa"/>
            <w:vAlign w:val="bottom"/>
            <w:tcBorders>
              <w:top w:val="single" w:sz="8" w:color="CCEEFF"/>
              <w:bottom w:val="single" w:sz="8" w:color="auto"/>
            </w:tcBorders>
            <w:gridSpan w:val="5"/>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8980" w:type="dxa"/>
            <w:vAlign w:val="bottom"/>
            <w:gridSpan w:val="5"/>
          </w:tcPr>
          <w:p>
            <w:pPr>
              <w:ind w:left="660"/>
              <w:spacing w:after="0"/>
              <w:rPr>
                <w:sz w:val="20"/>
                <w:szCs w:val="20"/>
                <w:color w:val="auto"/>
              </w:rPr>
            </w:pPr>
            <w:r>
              <w:rPr>
                <w:rFonts w:ascii="Arial" w:cs="Arial" w:eastAsia="Arial" w:hAnsi="Arial"/>
                <w:sz w:val="16"/>
                <w:szCs w:val="16"/>
                <w:color w:val="auto"/>
              </w:rPr>
              <w:t>As of December 31, 2021, the contractual maturities of the Company's debt obligations were as follows:</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2"/>
        </w:trPr>
        <w:tc>
          <w:tcPr>
            <w:tcW w:w="4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2022</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2026 and thereafter</w:t>
            </w: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5,280,613</w:t>
            </w:r>
          </w:p>
        </w:tc>
      </w:tr>
      <w:tr>
        <w:trPr>
          <w:trHeight w:val="237"/>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5,501,213</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 On November 10, 2021, the Company achieved a net leverage ratio of less than 4 times and the margin applicable to the senior secured term loan was reduced by 0.25% with the overall rate reducing from 3.0% to 2.75%.</w:t>
      </w:r>
    </w:p>
    <w:p>
      <w:pPr>
        <w:spacing w:after="0" w:line="21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of under the revolving loan facility are entitled to commitment fees as a percentage of the applicable margin at the time of drawing and utilization fees dependent on the proportion of the facility drawn. At December 31, 2021, no amounts have been drawn under the revolving loan facility with the exception of $4.1 million letters of credit given to landlords to guarantee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54" w:name="page155"/>
    <w:bookmarkEnd w:id="154"/>
    <w:p>
      <w:pPr>
        <w:jc w:val="both"/>
        <w:ind w:firstLine="648"/>
        <w:spacing w:after="0" w:line="252" w:lineRule="auto"/>
        <w:rPr>
          <w:sz w:val="20"/>
          <w:szCs w:val="20"/>
          <w:color w:val="auto"/>
        </w:rPr>
      </w:pPr>
      <w:r>
        <w:rPr>
          <w:rFonts w:ascii="Arial" w:cs="Arial" w:eastAsia="Arial" w:hAnsi="Arial"/>
          <w:sz w:val="16"/>
          <w:szCs w:val="16"/>
          <w:color w:val="auto"/>
        </w:rPr>
        <w:t>We continue to monitor the phasing out of LIBOR. We have engaged with our lenders on the implications of the change and will continue to discuss with them as replacement rates for LIBOR become more prevalent in the syndicated lending market. The Company is therefore subject to interest rate volatility in respect of the senior secured term loan facility, any future draw down on the Revolving Credit Facility or in respect of any future issuances of debt.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 Our long-term debt arrangements contain customary restrictive covenants and, as of December 31, 2021, we were in compliance with our restrictive covenants in all material respects.</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 On December 29, 2021, the Company repaid $500.0 million of the senior secured term loan facility and made a quarterly interest payment of $40.8 million. These repayments resulted in an additional charge associated with previously capitalized fees of $5.6 million. The Company is permitted to make prepayments on the senior secured term loan without penalty.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5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“Offering”). The Senior Secured Notes will mature on July 15,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 that guarantee the Senior Secured Credit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Senior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was fixed at 2.41%.</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the Merger,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The 2020 Senior Notes were repaid on July 1, 2021 inclusive of early repayment charges. The total repayment on July 1, 2021 was $364.0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estimated fair value of the Company’s debt was $5,507.2 million at December 31, 2021. The fair values of the Senior Secured Credit Facilities and Senior Secured Notes were determined based on Level 2 inputs, which are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b w:val="1"/>
          <w:bCs w:val="1"/>
          <w:color w:val="auto"/>
        </w:rPr>
        <w:t>25. Impact of New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2021 (or previously)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combinations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The amendments in this ASU require that an entity (acquirer) recognize and measure contract assets and contract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a business combination in accordance with Topic 606. At the acquisition date, an acquirer should account for the related revenue contracts in accordance with Topic 606 as if it had originated the contracts. For public business entities, the amendments in this ASU are effective for fiscal years beginning after December 15, 2022, including interim periods within those fiscal years.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has taken the option to early adopt the amendments in this ASU for year ended December 31, 2021 and apply the amendments to interim periods from the beginning of the fiscal year. The Company has applied the amendments of this ASU to the Merger with PRA, completed on July 1, 2021. The application of these amendments has resulted in a $16.0 million increase in goodwill and corresponding $16.0 million increase to unearned revenue compared to the Company's Balance Sheet at September 30, 2021. Since July 1, 2021, the Company had amortized $4.0 million of the unearned revenue adjustment through the revenue line in the Consolidated Statement of Comprehensive Income. This amortization has been reversed in December 2021 resulting in a net nil impact on revenue for the year ended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accounting pronouncements adopted during fiscal year ended December 31, 2021</w:t>
      </w:r>
    </w:p>
    <w:p>
      <w:pPr>
        <w:spacing w:after="0" w:line="18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adopted the amendments in this ASU on a prospective basis, except where the required method of adoption is retrospective or modified retrospective. ASU 2019-12 is effective for the Company for the year ended December 31, 2021. The adoption of this ASU did not have a significant impact on the financial statements.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the Company for the year ended December 31, 2021, and has been applied on a prospective basis. The adoption of this ASU did not have a significant impact on the financial statements.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The ASU is effective for the Company for the year ended December 31, 2021. The adoption of this ASU did not have a significant impact on the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new accounting pronouncements which will be adopted during fiscal year ended December 31, 2022</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significant impact on the Company’s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Related Parties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$30,000 (December 31, 2020: $321,000) from DS Biopharma Limited (formerly Dignity Sciences Limited) during the year. Dr. John Climax is Executive Chairman and a Director and shareholder of DS Biopharma Limited. $12,000 was recorded as due from DS Biopharma Limited at December 31, 2021 (December 31, 2020: $41,000).</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$551,000 (December 31, 2020: $9,000) from Afimmune Limited during the year. Dr. John Climax is Chief Executive Officer and a Director and shareholder of Afimmune Limited. $197,000 was recorded as due from Afimmune Limited at December 31, 2021 (December 31, 2020: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6" w:name="page157"/>
    <w:bookmarkEnd w:id="156"/>
    <w:p>
      <w:pPr>
        <w:jc w:val="both"/>
        <w:ind w:firstLine="648"/>
        <w:spacing w:after="0" w:line="249"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The Company provided corporate support services to Oncacare to the value of $465,000 during the year ended December 31, 2021. $264,000 was recorded as due from Oncacare at December 31, 2021. During the year ended December 31, 2021, the Company provided a loan of $10 million to Oncacare in order to fund the continued start up of the business' operations. The loan accrues annual interest at 1.6% and the loan is repayable on June 30, 2025. The full amount of this loan remains outstanding at December 31, 2021 along with accrued interest of $23,000.</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in Oncacare has the right to sell the 51% majority voting share capital exclusively to the Company in an eighteen month period, commencing January 1, 2023 and ICON also has the right to acquire the 51% majority voting share capital from August 1, 2025.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Net income per ordinary share</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and diluted net income per ordinary share attributable to the Group for the years ended December 31, 2020 and December 31, 2019 include the adjustment to reflect the accretion of the noncontrolling interest in MeDiNova to its redemption value. The noncontrolling interest was acquired in the year ended December 31, 2020 and therefore no adjustment has been required in the year ended December 31,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 2021</w:t>
            </w: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2020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171"/>
        </w:trPr>
        <w:tc>
          <w:tcPr>
            <w:tcW w:w="5560" w:type="dxa"/>
            <w:vAlign w:val="bottom"/>
          </w:tcPr>
          <w:p>
            <w:pPr>
              <w:ind w:left="20"/>
              <w:spacing w:after="0" w:line="171"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8"/>
        </w:trPr>
        <w:tc>
          <w:tcPr>
            <w:tcW w:w="5560" w:type="dxa"/>
            <w:vAlign w:val="bottom"/>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67,110,186</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52,859,911</w:t>
            </w:r>
          </w:p>
        </w:tc>
        <w:tc>
          <w:tcPr>
            <w:tcW w:w="1700" w:type="dxa"/>
            <w:vAlign w:val="bottom"/>
          </w:tcPr>
          <w:p>
            <w:pPr>
              <w:jc w:val="right"/>
              <w:spacing w:after="0"/>
              <w:rPr>
                <w:sz w:val="20"/>
                <w:szCs w:val="20"/>
                <w:color w:val="auto"/>
              </w:rPr>
            </w:pPr>
            <w:r>
              <w:rPr>
                <w:rFonts w:ascii="Arial" w:cs="Arial" w:eastAsia="Arial" w:hAnsi="Arial"/>
                <w:sz w:val="16"/>
                <w:szCs w:val="16"/>
                <w:color w:val="auto"/>
              </w:rPr>
              <w:t>53,859,537</w:t>
            </w:r>
          </w:p>
        </w:tc>
      </w:tr>
      <w:tr>
        <w:trPr>
          <w:trHeight w:val="22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2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958,125</w:t>
            </w:r>
          </w:p>
        </w:tc>
        <w:tc>
          <w:tcPr>
            <w:tcW w:w="1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423,674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473,924</w:t>
            </w:r>
          </w:p>
        </w:tc>
      </w:tr>
      <w:tr>
        <w:trPr>
          <w:trHeight w:val="177"/>
        </w:trPr>
        <w:tc>
          <w:tcPr>
            <w:tcW w:w="556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2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68,068,311</w:t>
            </w: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53,283,585</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54,333,461</w:t>
            </w:r>
          </w:p>
        </w:tc>
      </w:tr>
      <w:tr>
        <w:trPr>
          <w:trHeight w:val="24"/>
        </w:trPr>
        <w:tc>
          <w:tcPr>
            <w:tcW w:w="5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reconciliation between net income attributable to the Group per the Consolidated Statement of Operations and the net income used to calculate net income per ordinary share attributable to the Group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9"/>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153,185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332,331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373,986</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7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r>
      <w:tr>
        <w:trPr>
          <w:trHeight w:val="177"/>
        </w:trPr>
        <w:tc>
          <w:tcPr>
            <w:tcW w:w="50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income attributable to the Group (including NCI redemption</w:t>
            </w:r>
          </w:p>
        </w:tc>
        <w:tc>
          <w:tcPr>
            <w:tcW w:w="7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7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153,185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327,809</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368,938</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155"/>
        </w:trPr>
        <w:tc>
          <w:tcPr>
            <w:tcW w:w="53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Net income per Ordinary Share attributable to the Group (including</w:t>
            </w:r>
          </w:p>
        </w:tc>
        <w:tc>
          <w:tcPr>
            <w:tcW w:w="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NCI redemption adjustment):</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66"/>
        </w:trPr>
        <w:tc>
          <w:tcPr>
            <w:tcW w:w="5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28. Subsequent Events</w:t>
      </w:r>
    </w:p>
    <w:p>
      <w:pPr>
        <w:spacing w:after="0" w:line="2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Company has evaluated subsequent events from the Balance Sheet date through March 1, 2022, the date at which the consolidated financial statements were available to be issued.</w:t>
      </w:r>
    </w:p>
    <w:p>
      <w:pPr>
        <w:spacing w:after="0" w:line="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On February 18, 2022, the Company's Board of Directors authorized a new buyback program of up to $100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 At March 1, 2022, the Company has repurchased $80.9 million of ordinary shares of the Company since December 31, 2021.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determined that there are no other items to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40" w:type="dxa"/>
            <w:vAlign w:val="bottom"/>
          </w:tcPr>
          <w:p>
            <w:pPr>
              <w:ind w:left="31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Exhibit</w:t>
            </w:r>
          </w:p>
        </w:tc>
        <w:tc>
          <w:tcPr>
            <w:tcW w:w="9640" w:type="dxa"/>
            <w:vAlign w:val="bottom"/>
            <w:vMerge w:val="restart"/>
            <w:shd w:val="clear" w:color="auto" w:fill="CCEEFF"/>
          </w:tcPr>
          <w:p>
            <w:pPr>
              <w:ind w:left="3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28">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CCEEFF"/>
            </w:tcBorders>
            <w:shd w:val="clear" w:color="auto" w:fill="CCEEFF"/>
          </w:tcPr>
          <w:p>
            <w:pPr>
              <w:ind w:left="360"/>
              <w:spacing w:after="0" w:line="144" w:lineRule="exact"/>
              <w:rPr>
                <w:sz w:val="20"/>
                <w:szCs w:val="20"/>
                <w:color w:val="auto"/>
              </w:rPr>
            </w:pPr>
            <w:r>
              <w:rPr>
                <w:rFonts w:ascii="Arial" w:cs="Arial" w:eastAsia="Arial" w:hAnsi="Arial"/>
                <w:sz w:val="16"/>
                <w:szCs w:val="16"/>
                <w:color w:val="auto"/>
              </w:rPr>
              <w:t>Sub, Inc and PRA Health Sciences, Inc. (incorporated by reference to exhibit 2.1 to the Form 6K (file No. 333-08704) filed on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February 24, 2021.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40" w:type="dxa"/>
            <w:vAlign w:val="bottom"/>
            <w:gridSpan w:val="4"/>
            <w:shd w:val="clear" w:color="auto" w:fill="CCEEFF"/>
          </w:tcPr>
          <w:p>
            <w:pPr>
              <w:ind w:left="20"/>
              <w:spacing w:after="0" w:line="175" w:lineRule="exact"/>
              <w:rPr>
                <w:rFonts w:ascii="Arial" w:cs="Arial" w:eastAsia="Arial" w:hAnsi="Arial"/>
                <w:sz w:val="16"/>
                <w:szCs w:val="16"/>
                <w:color w:val="0000FF"/>
              </w:rPr>
            </w:pPr>
            <w:hyperlink w:anchor="page161">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Securities Registered Under Section 12 of the Exchange Act.</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29">
              <w:r>
                <w:rPr>
                  <w:rFonts w:ascii="Arial" w:cs="Arial" w:eastAsia="Arial" w:hAnsi="Arial"/>
                  <w:sz w:val="16"/>
                  <w:szCs w:val="16"/>
                  <w:color w:val="0000FF"/>
                </w:rPr>
                <w:t>2.</w:t>
              </w:r>
              <w:r>
                <w:rPr>
                  <w:rFonts w:ascii="Arial" w:cs="Arial" w:eastAsia="Arial" w:hAnsi="Arial"/>
                  <w:sz w:val="16"/>
                  <w:szCs w:val="16"/>
                  <w:u w:val="single" w:color="auto"/>
                  <w:color w:val="0000FF"/>
                </w:rPr>
                <w:t>3</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Credit Agreement, dated as of July 1, 2021, by and among ICON Luxembourg, S.À R.L., ICON Clinical Investments, LLC, Indigo</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71" w:lineRule="exact"/>
              <w:rPr>
                <w:sz w:val="20"/>
                <w:szCs w:val="20"/>
                <w:color w:val="auto"/>
              </w:rPr>
            </w:pPr>
            <w:r>
              <w:rPr>
                <w:rFonts w:ascii="Arial" w:cs="Arial" w:eastAsia="Arial" w:hAnsi="Arial"/>
                <w:sz w:val="16"/>
                <w:szCs w:val="16"/>
                <w:color w:val="auto"/>
              </w:rPr>
              <w:t>Merger Sub, Inc. (which, after giving effect to the Merger on the Closing Date was succeeded by PRA Health Sciences, Inc.),</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ICON Public Limited Company, the other borrowers party thereto from time to time, the subsidiary guarantors party thereto from</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time to time, lenders party thereto Citibank, N.A., as administrative agent, and Citibank, N.A., London Branch, as collateral agent</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99.1 to the Form 6K (File No. 333-08704) filed on July 1, 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30">
              <w:r>
                <w:rPr>
                  <w:rFonts w:ascii="Arial" w:cs="Arial" w:eastAsia="Arial" w:hAnsi="Arial"/>
                  <w:sz w:val="16"/>
                  <w:szCs w:val="16"/>
                  <w:color w:val="0000FF"/>
                </w:rPr>
                <w:t>2.</w:t>
              </w:r>
              <w:r>
                <w:rPr>
                  <w:rFonts w:ascii="Arial" w:cs="Arial" w:eastAsia="Arial" w:hAnsi="Arial"/>
                  <w:sz w:val="16"/>
                  <w:szCs w:val="16"/>
                  <w:u w:val="single" w:color="auto"/>
                  <w:color w:val="0000FF"/>
                </w:rPr>
                <w:t>4</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Indenture, dated as of July 1, 2021, by and among Indigo Merger Sub, Inc., PRA Health Sciences, Inc., the guarantors party</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71" w:lineRule="exact"/>
              <w:rPr>
                <w:sz w:val="20"/>
                <w:szCs w:val="20"/>
                <w:color w:val="auto"/>
              </w:rPr>
            </w:pPr>
            <w:r>
              <w:rPr>
                <w:rFonts w:ascii="Arial" w:cs="Arial" w:eastAsia="Arial" w:hAnsi="Arial"/>
                <w:sz w:val="16"/>
                <w:szCs w:val="16"/>
                <w:color w:val="auto"/>
              </w:rPr>
              <w:t>thereto and Citibank, N.A., London Branch as trustee, notes collateral agent, paying agent, transfer agent and registrar</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99.2 to the Form 6K (File No. 333-08704) filed on July 1, 2021).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31">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filed on July 25, 2016).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3">
              <w:r>
                <w:rPr>
                  <w:rFonts w:ascii="Arial" w:cs="Arial" w:eastAsia="Arial" w:hAnsi="Arial"/>
                  <w:sz w:val="16"/>
                  <w:szCs w:val="16"/>
                  <w:color w:val="0000FF"/>
                </w:rPr>
                <w:t>12.</w:t>
              </w:r>
              <w:r>
                <w:rPr>
                  <w:rFonts w:ascii="Arial" w:cs="Arial" w:eastAsia="Arial" w:hAnsi="Arial"/>
                  <w:sz w:val="16"/>
                  <w:szCs w:val="16"/>
                  <w:u w:val="single" w:color="auto"/>
                  <w:color w:val="0000FF"/>
                </w:rPr>
                <w:t>1*</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302 certifications.</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5">
              <w:r>
                <w:rPr>
                  <w:rFonts w:ascii="Arial" w:cs="Arial" w:eastAsia="Arial" w:hAnsi="Arial"/>
                  <w:sz w:val="16"/>
                  <w:szCs w:val="16"/>
                  <w:color w:val="0000FF"/>
                </w:rPr>
                <w:t>12.</w:t>
              </w:r>
              <w:r>
                <w:rPr>
                  <w:rFonts w:ascii="Arial" w:cs="Arial" w:eastAsia="Arial" w:hAnsi="Arial"/>
                  <w:sz w:val="16"/>
                  <w:szCs w:val="16"/>
                  <w:u w:val="single" w:color="auto"/>
                  <w:color w:val="0000FF"/>
                </w:rPr>
                <w:t>2*</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906 certifications.</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0" w:type="dxa"/>
            <w:vAlign w:val="bottom"/>
            <w:gridSpan w:val="5"/>
            <w:shd w:val="clear" w:color="auto" w:fill="CCEEFF"/>
          </w:tcPr>
          <w:p>
            <w:pPr>
              <w:ind w:left="2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List of Subsidiaries (incorporated by reference to Item 4 of Form 20-F filed herewith).</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580" w:type="dxa"/>
            <w:vAlign w:val="bottom"/>
            <w:gridSpan w:val="6"/>
            <w:shd w:val="clear" w:color="auto" w:fill="CCEEFF"/>
          </w:tcPr>
          <w:p>
            <w:pPr>
              <w:ind w:left="20"/>
              <w:spacing w:after="0" w:line="175" w:lineRule="exact"/>
              <w:rPr>
                <w:rFonts w:ascii="Arial" w:cs="Arial" w:eastAsia="Arial" w:hAnsi="Arial"/>
                <w:sz w:val="16"/>
                <w:szCs w:val="16"/>
                <w:color w:val="0000FF"/>
              </w:rPr>
            </w:pPr>
            <w:hyperlink w:anchor="page167">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Consent of KPMG, Independent Registered Public Accounting Firm.</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101.1*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Interactive Data Files (XBRL – Related Documents).</w:t>
            </w:r>
          </w:p>
        </w:tc>
        <w:tc>
          <w:tcPr>
            <w:tcW w:w="0" w:type="dxa"/>
            <w:vAlign w:val="bottom"/>
          </w:tcPr>
          <w:p>
            <w:pPr>
              <w:spacing w:after="0"/>
              <w:rPr>
                <w:sz w:val="1"/>
                <w:szCs w:val="1"/>
                <w:color w:val="auto"/>
              </w:rPr>
            </w:pPr>
          </w:p>
        </w:tc>
      </w:tr>
      <w:tr>
        <w:trPr>
          <w:trHeight w:val="278"/>
        </w:trPr>
        <w:tc>
          <w:tcPr>
            <w:tcW w:w="1580" w:type="dxa"/>
            <w:vAlign w:val="bottom"/>
            <w:gridSpan w:val="6"/>
          </w:tcPr>
          <w:p>
            <w:pPr>
              <w:spacing w:after="0"/>
              <w:rPr>
                <w:sz w:val="20"/>
                <w:szCs w:val="20"/>
                <w:color w:val="auto"/>
              </w:rPr>
            </w:pPr>
            <w:r>
              <w:rPr>
                <w:rFonts w:ascii="Arial" w:cs="Arial" w:eastAsia="Arial" w:hAnsi="Arial"/>
                <w:sz w:val="16"/>
                <w:szCs w:val="16"/>
                <w:color w:val="auto"/>
              </w:rPr>
              <w:t>*  Filed herewith</w:t>
            </w:r>
          </w:p>
        </w:tc>
        <w:tc>
          <w:tcPr>
            <w:tcW w:w="9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10795</wp:posOffset>
            </wp:positionV>
            <wp:extent cx="30346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3034665" cy="17145"/>
                    </a:xfrm>
                    <a:prstGeom prst="rect">
                      <a:avLst/>
                    </a:prstGeom>
                    <a:noFill/>
                  </pic:spPr>
                </pic:pic>
              </a:graphicData>
            </a:graphic>
          </wp:anchor>
        </w:drawing>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Chief Financial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2022</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20"/>
          </w:cols>
          <w:pgMar w:left="320" w:top="891" w:right="3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Under Section 12 of the Exchange Act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ICON plc (“we,” “us,” and “our”) had the following series of securities registered pursuant to Section 12(b) of the Exchange Act: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340" w:type="dxa"/>
            <w:vAlign w:val="bottom"/>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w:t>
            </w:r>
          </w:p>
        </w:tc>
        <w:tc>
          <w:tcPr>
            <w:tcW w:w="340" w:type="dxa"/>
            <w:vAlign w:val="bottom"/>
          </w:tcPr>
          <w:p>
            <w:pPr>
              <w:spacing w:after="0"/>
              <w:rPr>
                <w:sz w:val="18"/>
                <w:szCs w:val="18"/>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01"/>
        </w:trPr>
        <w:tc>
          <w:tcPr>
            <w:tcW w:w="4300" w:type="dxa"/>
            <w:vAlign w:val="bottom"/>
            <w:gridSpan w:val="2"/>
          </w:tcPr>
          <w:p>
            <w:pPr>
              <w:ind w:left="20"/>
              <w:spacing w:after="0"/>
              <w:rPr>
                <w:sz w:val="20"/>
                <w:szCs w:val="20"/>
                <w:color w:val="auto"/>
              </w:rPr>
            </w:pPr>
            <w:r>
              <w:rPr>
                <w:rFonts w:ascii="Arial" w:cs="Arial" w:eastAsia="Arial" w:hAnsi="Arial"/>
                <w:sz w:val="16"/>
                <w:szCs w:val="16"/>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ICLR</w:t>
            </w:r>
          </w:p>
        </w:tc>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Ordinary Shares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10.General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10.A.1. Limitations or qualifications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10.A.2. Other rights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10.A.3. Type and class of securities</w:t>
      </w:r>
    </w:p>
    <w:p>
      <w:pPr>
        <w:spacing w:after="0" w:line="79"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Each ICON plc share has nominal value of €0.06 per share. The respective number of shares that have been issued as of December 31, 2021 is given in the Consolidated Balance Sheet of the annual report on Form 20-F for the fiscal year ended December 31, 2021. All ICON shares have equal voting rights and carry equal entitlements to dividends. No participation certificates, non-voting equity securities or profit-sharing certificates have been issued.</w:t>
      </w:r>
    </w:p>
    <w:p>
      <w:pPr>
        <w:spacing w:after="0" w:line="19"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Item 10.A.4. Pre-emptive rights</w:t>
      </w:r>
    </w:p>
    <w:p>
      <w:pPr>
        <w:spacing w:after="0" w:line="79"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10.B Memorandum and articles of association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10.B.1 Shareholder Rights, Preferences and Dividends Attaching to Shares</w:t>
      </w:r>
    </w:p>
    <w:p>
      <w:pPr>
        <w:spacing w:after="0" w:line="79"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10.B.2. Action Necessary to Change the Rights of Shareholders</w:t>
      </w:r>
    </w:p>
    <w:p>
      <w:pPr>
        <w:spacing w:after="0" w:line="79" w:lineRule="exact"/>
        <w:rPr>
          <w:sz w:val="20"/>
          <w:szCs w:val="20"/>
          <w:color w:val="auto"/>
        </w:rPr>
      </w:pPr>
    </w:p>
    <w:p>
      <w:pPr>
        <w:jc w:val="both"/>
        <w:ind w:right="20" w:firstLine="275"/>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10.B.3 Annual and General Meetings</w:t>
      </w:r>
    </w:p>
    <w:p>
      <w:pPr>
        <w:spacing w:after="0" w:line="79" w:lineRule="exact"/>
        <w:rPr>
          <w:sz w:val="20"/>
          <w:szCs w:val="20"/>
          <w:color w:val="auto"/>
        </w:rPr>
      </w:pPr>
    </w:p>
    <w:p>
      <w:pPr>
        <w:jc w:val="both"/>
        <w:ind w:firstLine="191"/>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91" w:right="339" w:bottom="1440" w:gutter="0" w:footer="0" w:header="0"/>
        </w:sectPr>
      </w:pPr>
    </w:p>
    <w:bookmarkStart w:id="161" w:name="page162"/>
    <w:bookmarkEnd w:id="161"/>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10.B.4 Limitations on the Right to Own Shares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 Disclosure of Share Ownership</w:t>
      </w:r>
    </w:p>
    <w:p>
      <w:pPr>
        <w:spacing w:after="0" w:line="79"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Brendan Brennan, certify that:</w:t>
      </w:r>
    </w:p>
    <w:p>
      <w:pPr>
        <w:spacing w:after="0" w:line="248"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18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409"/>
        <w:spacing w:after="0" w:line="253" w:lineRule="auto"/>
        <w:tabs>
          <w:tab w:leader="none" w:pos="6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409"/>
        <w:spacing w:after="0" w:line="253" w:lineRule="auto"/>
        <w:tabs>
          <w:tab w:leader="none" w:pos="588"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409"/>
        <w:spacing w:after="0" w:line="260" w:lineRule="auto"/>
        <w:tabs>
          <w:tab w:leader="none" w:pos="742"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right="20" w:hanging="409"/>
        <w:spacing w:after="0" w:line="260" w:lineRule="auto"/>
        <w:tabs>
          <w:tab w:leader="none" w:pos="6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22" w:lineRule="exact"/>
        <w:rPr>
          <w:rFonts w:ascii="Arial" w:cs="Arial" w:eastAsia="Arial" w:hAnsi="Arial"/>
          <w:sz w:val="16"/>
          <w:szCs w:val="16"/>
          <w:color w:val="auto"/>
        </w:rPr>
      </w:pPr>
    </w:p>
    <w:p>
      <w:pPr>
        <w:ind w:firstLine="8"/>
        <w:spacing w:after="0" w:line="260" w:lineRule="auto"/>
        <w:tabs>
          <w:tab w:leader="none" w:pos="20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sz w:val="20"/>
          <w:szCs w:val="20"/>
          <w:color w:val="auto"/>
        </w:rPr>
      </w:pPr>
    </w:p>
    <w:p>
      <w:pPr>
        <w:ind w:firstLine="8"/>
        <w:spacing w:after="0" w:line="260" w:lineRule="auto"/>
        <w:tabs>
          <w:tab w:leader="none" w:pos="2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firstLine="8"/>
        <w:spacing w:after="0" w:line="260" w:lineRule="auto"/>
        <w:tabs>
          <w:tab w:leader="none" w:pos="2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Dated: March 1, 2022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891"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Steve Cutler, certify that:</w:t>
      </w:r>
    </w:p>
    <w:p>
      <w:pPr>
        <w:spacing w:after="0" w:line="248"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18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409"/>
        <w:spacing w:after="0" w:line="253" w:lineRule="auto"/>
        <w:tabs>
          <w:tab w:leader="none" w:pos="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409"/>
        <w:spacing w:after="0" w:line="253" w:lineRule="auto"/>
        <w:tabs>
          <w:tab w:leader="none" w:pos="588"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409"/>
        <w:spacing w:after="0" w:line="260" w:lineRule="auto"/>
        <w:tabs>
          <w:tab w:leader="none" w:pos="742"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right="20" w:hanging="409"/>
        <w:spacing w:after="0" w:line="260" w:lineRule="auto"/>
        <w:tabs>
          <w:tab w:leader="none" w:pos="606"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22" w:lineRule="exact"/>
        <w:rPr>
          <w:rFonts w:ascii="Arial" w:cs="Arial" w:eastAsia="Arial" w:hAnsi="Arial"/>
          <w:sz w:val="16"/>
          <w:szCs w:val="16"/>
          <w:color w:val="auto"/>
        </w:rPr>
      </w:pPr>
    </w:p>
    <w:p>
      <w:pPr>
        <w:ind w:firstLine="8"/>
        <w:spacing w:after="0" w:line="260" w:lineRule="auto"/>
        <w:tabs>
          <w:tab w:leader="none" w:pos="20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sz w:val="20"/>
          <w:szCs w:val="20"/>
          <w:color w:val="auto"/>
        </w:rPr>
      </w:pPr>
    </w:p>
    <w:p>
      <w:pPr>
        <w:ind w:firstLine="8"/>
        <w:spacing w:after="0" w:line="260" w:lineRule="auto"/>
        <w:tabs>
          <w:tab w:leader="none" w:pos="204"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firstLine="8"/>
        <w:spacing w:after="0" w:line="260" w:lineRule="auto"/>
        <w:tabs>
          <w:tab w:leader="none" w:pos="21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Dated: March 1,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Steve Cutler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89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2021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28"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840" w:firstLine="8"/>
        <w:spacing w:after="0" w:line="577" w:lineRule="auto"/>
        <w:tabs>
          <w:tab w:leader="none" w:pos="2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March 1, 2022</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28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2021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22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840" w:firstLine="8"/>
        <w:spacing w:after="0" w:line="577" w:lineRule="auto"/>
        <w:tabs>
          <w:tab w:leader="none" w:pos="24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March 1, 2022</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Steve Cutler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66" w:name="page167"/>
    <w:bookmarkEnd w:id="166"/>
    <w:p>
      <w:pPr>
        <w:ind w:left="10300"/>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00" w:lineRule="exact"/>
        <w:rPr>
          <w:sz w:val="20"/>
          <w:szCs w:val="20"/>
          <w:color w:val="auto"/>
        </w:rPr>
      </w:pPr>
    </w:p>
    <w:p>
      <w:pPr>
        <w:spacing w:after="0" w:line="27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consent to the incorporation by reference in the registration statement(s) (No. 333-231527, 333-204153, 333-190068, 333-152802, 333-257578 and 333-254891) each on Form S-8 of ICON plc of our reports dated March 1, 2022 with respect to the consolidated financial statements of ICON plc and the effectiveness of internal control over financial reporting.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
      <w:numFmt w:val="bullet"/>
      <w:start w:val="1"/>
    </w:lvl>
  </w:abstractNum>
  <w:abstractNum w:abstractNumId="1">
    <w:nsid w:val="725A06FB"/>
    <w:multiLevelType w:val="hybridMultilevel"/>
    <w:lvl w:ilvl="0">
      <w:lvlJc w:val="left"/>
      <w:lvlText w:val="☐"/>
      <w:numFmt w:val="bullet"/>
      <w:start w:val="1"/>
    </w:lvl>
    <w:lvl w:ilvl="1">
      <w:lvlJc w:val="left"/>
      <w:lvlText w:val="☐"/>
      <w:numFmt w:val="bullet"/>
      <w:start w:val="1"/>
    </w:lvl>
  </w:abstractNum>
  <w:abstractNum w:abstractNumId="2">
    <w:nsid w:val="2CD89A32"/>
    <w:multiLevelType w:val="hybridMultilevel"/>
    <w:lvl w:ilvl="0">
      <w:lvlJc w:val="left"/>
      <w:lvlText w:val="(%1)"/>
      <w:numFmt w:val="lowerRoman"/>
      <w:start w:val="2"/>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upperLetter"/>
      <w:start w:val="1"/>
    </w:lvl>
    <w:lvl w:ilvl="1">
      <w:lvlJc w:val="left"/>
      <w:lvlText w:val="•"/>
      <w:numFmt w:val="bullet"/>
      <w:start w:val="1"/>
    </w:lvl>
  </w:abstractNum>
  <w:abstractNum w:abstractNumId="21">
    <w:nsid w:val="374A3FE6"/>
    <w:multiLevelType w:val="hybridMultilevel"/>
    <w:lvl w:ilvl="0">
      <w:lvlJc w:val="left"/>
      <w:lvlText w:val="%1"/>
      <w:numFmt w:val="upperLetter"/>
      <w:start w:val="6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lvl w:ilvl="1">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upperLetter"/>
      <w:start w:val="1"/>
    </w:lvl>
  </w:abstractNum>
  <w:abstractNum w:abstractNumId="36">
    <w:nsid w:val="3F6AB60F"/>
    <w:multiLevelType w:val="hybridMultilevel"/>
    <w:lvl w:ilvl="0">
      <w:lvlJc w:val="left"/>
      <w:lvlText w:val="%1."/>
      <w:numFmt w:val="upperLetter"/>
      <w:start w:val="2"/>
    </w:lvl>
  </w:abstractNum>
  <w:abstractNum w:abstractNumId="37">
    <w:nsid w:val="61574095"/>
    <w:multiLevelType w:val="hybridMultilevel"/>
    <w:lvl w:ilvl="0">
      <w:lvlJc w:val="left"/>
      <w:lvlText w:val="%1."/>
      <w:numFmt w:val="upperLetter"/>
      <w:start w:val="3"/>
    </w:lvl>
  </w:abstractNum>
  <w:abstractNum w:abstractNumId="38">
    <w:nsid w:val="7E0C57B1"/>
    <w:multiLevelType w:val="hybridMultilevel"/>
    <w:lvl w:ilvl="0">
      <w:lvlJc w:val="left"/>
      <w:lvlText w:val="%1."/>
      <w:numFmt w:val="upperLetter"/>
      <w:start w:val="4"/>
    </w:lvl>
  </w:abstractNum>
  <w:abstractNum w:abstractNumId="39">
    <w:nsid w:val="77AE35EB"/>
    <w:multiLevelType w:val="hybridMultilevel"/>
    <w:lvl w:ilvl="0">
      <w:lvlJc w:val="left"/>
      <w:lvlText w:val="%1."/>
      <w:numFmt w:val="upperLetter"/>
      <w:start w:val="5"/>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upperLetter"/>
      <w:start w:val="2"/>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upperLetter"/>
      <w:start w:val="5"/>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3"/>
    </w:lvl>
  </w:abstractNum>
  <w:abstractNum w:abstractNumId="48">
    <w:nsid w:val="1381823A"/>
    <w:multiLevelType w:val="hybridMultilevel"/>
    <w:lvl w:ilvl="0">
      <w:lvlJc w:val="left"/>
      <w:lvlText w:val="%1."/>
      <w:numFmt w:val="upperLetter"/>
      <w:start w:val="1"/>
    </w:lvl>
  </w:abstractNum>
  <w:abstractNum w:abstractNumId="49">
    <w:nsid w:val="5DB70AE5"/>
    <w:multiLevelType w:val="hybridMultilevel"/>
    <w:lvl w:ilvl="0">
      <w:lvlJc w:val="left"/>
      <w:lvlText w:val="%1."/>
      <w:numFmt w:val="upperLetter"/>
      <w:start w:val="1"/>
    </w:lvl>
  </w:abstractNum>
  <w:abstractNum w:abstractNumId="50">
    <w:nsid w:val="100F8FCA"/>
    <w:multiLevelType w:val="hybridMultilevel"/>
    <w:lvl w:ilvl="0">
      <w:lvlJc w:val="left"/>
      <w:lvlText w:val="%1."/>
      <w:numFmt w:val="upperLetter"/>
      <w:start w:val="2"/>
    </w:lvl>
  </w:abstractNum>
  <w:abstractNum w:abstractNumId="51">
    <w:nsid w:val="6590700B"/>
    <w:multiLevelType w:val="hybridMultilevel"/>
    <w:lvl w:ilvl="0">
      <w:lvlJc w:val="left"/>
      <w:lvlText w:val="%1."/>
      <w:numFmt w:val="upperLetter"/>
      <w:start w:val="1"/>
    </w:lvl>
  </w:abstractNum>
  <w:abstractNum w:abstractNumId="52">
    <w:nsid w:val="15014ACB"/>
    <w:multiLevelType w:val="hybridMultilevel"/>
    <w:lvl w:ilvl="0">
      <w:lvlJc w:val="left"/>
      <w:lvlText w:val="%1"/>
      <w:numFmt w:val="upperLetter"/>
      <w:start w:val="1"/>
    </w:lvl>
    <w:lvl w:ilvl="1">
      <w:lvlJc w:val="left"/>
      <w:lvlText w:val="(%2)"/>
      <w:numFmt w:val="lowerRoman"/>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lowerRoman"/>
      <w:start w:val="2"/>
    </w:lvl>
  </w:abstractNum>
  <w:abstractNum w:abstractNumId="55">
    <w:nsid w:val="799D0247"/>
    <w:multiLevelType w:val="hybridMultilevel"/>
    <w:lvl w:ilvl="0">
      <w:lvlJc w:val="left"/>
      <w:lvlText w:val="%1."/>
      <w:numFmt w:val="upperLetter"/>
      <w:start w:val="5"/>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upperLetter"/>
      <w:start w:val="6"/>
    </w:lvl>
  </w:abstractNum>
  <w:abstractNum w:abstractNumId="64">
    <w:nsid w:val="51D9C564"/>
    <w:multiLevelType w:val="hybridMultilevel"/>
    <w:lvl w:ilvl="0">
      <w:lvlJc w:val="left"/>
      <w:lvlText w:val="%1."/>
      <w:numFmt w:val="upperLetter"/>
      <w:start w:val="9"/>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upperLetter"/>
      <w:start w:val="2"/>
    </w:lvl>
  </w:abstractNum>
  <w:abstractNum w:abstractNumId="68">
    <w:nsid w:val="42963E5A"/>
    <w:multiLevelType w:val="hybridMultilevel"/>
    <w:lvl w:ilvl="0">
      <w:lvlJc w:val="left"/>
      <w:lvlText w:val="(%1)"/>
      <w:numFmt w:val="decimal"/>
      <w:start w:val="2"/>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Letter"/>
      <w:start w:val="2"/>
    </w:lvl>
  </w:abstractNum>
  <w:abstractNum w:abstractNumId="72">
    <w:nsid w:val="3B0FD379"/>
    <w:multiLevelType w:val="hybridMultilevel"/>
    <w:lvl w:ilvl="0">
      <w:lvlJc w:val="left"/>
      <w:lvlText w:val="(%1)"/>
      <w:numFmt w:val="lowerLetter"/>
      <w:start w:val="3"/>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decimal"/>
      <w:start w:val="1"/>
    </w:lvl>
    <w:lvl w:ilvl="1">
      <w:lvlJc w:val="left"/>
      <w:lvlText w:val="%2)"/>
      <w:numFmt w:val="lowerLetter"/>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128" Type="http://schemas.openxmlformats.org/officeDocument/2006/relationships/hyperlink" Target="https://www.sec.gov/Archives/edgar/data/0001060955/000114036121006002/nc10020781x8_ex2-1.htm" TargetMode="External"/><Relationship Id="rId129" Type="http://schemas.openxmlformats.org/officeDocument/2006/relationships/hyperlink" Target="https://www.sec.gov/Archives/edgar/data/0001060955/000114036121023058/nt10026444x8_ex99-1.htm" TargetMode="External"/><Relationship Id="rId130" Type="http://schemas.openxmlformats.org/officeDocument/2006/relationships/hyperlink" Target="https://www.sec.gov/Archives/edgar/data/0001060955/000114036121023058/nt10026444x8_ex99-2.htm" TargetMode="External"/><Relationship Id="rId131"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2022-03-01T23:18:51Z</dcterms:created>
  <dcterms:modified xsi:type="dcterms:W3CDTF">2022-03-01T23:18:51Z</dcterms:modified>
</cp:coreProperties>
</file>