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2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For the month of January 2023</w:t>
      </w:r>
    </w:p>
    <w:p>
      <w:pPr>
        <w:spacing w:after="0" w:line="200" w:lineRule="exact"/>
        <w:rPr>
          <w:sz w:val="24"/>
          <w:szCs w:val="24"/>
          <w:color w:val="auto"/>
        </w:rPr>
      </w:pP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ICON plc</w:t>
      </w:r>
    </w:p>
    <w:p>
      <w:pPr>
        <w:spacing w:after="0" w:line="4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500"/>
        <w:spacing w:after="0"/>
        <w:tabs>
          <w:tab w:leader="none" w:pos="674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500"/>
        <w:spacing w:after="0"/>
        <w:tabs>
          <w:tab w:leader="none" w:pos="674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500"/>
        <w:spacing w:after="0"/>
        <w:tabs>
          <w:tab w:leader="none" w:pos="674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09" w:right="1440" w:bottom="1440" w:gutter="0" w:footer="0" w:header="0"/>
        </w:sectPr>
      </w:pPr>
    </w:p>
    <w:bookmarkStart w:id="1" w:name="page2"/>
    <w:bookmarkEnd w:id="1"/>
    <w:p>
      <w:pPr>
        <w:jc w:val="right"/>
        <w:ind w:right="389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LIST</w:t>
      </w:r>
    </w:p>
    <w:p>
      <w:pPr>
        <w:spacing w:after="0" w:line="22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ICON Issues Financial Guidance for Full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68"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Brendan Brennan</w:t>
      </w:r>
    </w:p>
    <w:p>
      <w:pPr>
        <w:spacing w:after="0" w:line="27" w:lineRule="exact"/>
        <w:rPr>
          <w:sz w:val="20"/>
          <w:szCs w:val="20"/>
          <w:color w:val="auto"/>
        </w:rPr>
      </w:pPr>
    </w:p>
    <w:p>
      <w:pPr>
        <w:ind w:left="6760" w:right="1900" w:hanging="6749"/>
        <w:spacing w:after="0" w:line="290" w:lineRule="auto"/>
        <w:tabs>
          <w:tab w:leader="none" w:pos="6740" w:val="left"/>
        </w:tabs>
        <w:rPr>
          <w:sz w:val="20"/>
          <w:szCs w:val="20"/>
          <w:color w:val="auto"/>
        </w:rPr>
      </w:pPr>
      <w:r>
        <w:rPr>
          <w:rFonts w:ascii="Times New Roman" w:cs="Times New Roman" w:eastAsia="Times New Roman" w:hAnsi="Times New Roman"/>
          <w:sz w:val="18"/>
          <w:szCs w:val="18"/>
          <w:color w:val="auto"/>
        </w:rPr>
        <w:t>Date: January 10, 2023</w:t>
      </w:r>
      <w:r>
        <w:rPr>
          <w:sz w:val="20"/>
          <w:szCs w:val="20"/>
          <w:color w:val="auto"/>
        </w:rPr>
        <w:tab/>
      </w:r>
      <w:r>
        <w:rPr>
          <w:rFonts w:ascii="Times New Roman" w:cs="Times New Roman" w:eastAsia="Times New Roman" w:hAnsi="Times New Roman"/>
          <w:sz w:val="17"/>
          <w:szCs w:val="17"/>
          <w:color w:val="auto"/>
        </w:rPr>
        <w:t>Brendan Brennan Chief Financial Officer</w:t>
      </w:r>
    </w:p>
    <w:p>
      <w:pPr>
        <w:sectPr>
          <w:pgSz w:w="11900" w:h="16838" w:orient="portrait"/>
          <w:cols w:equalWidth="0" w:num="1">
            <w:col w:w="10340"/>
          </w:cols>
          <w:pgMar w:left="320" w:top="333" w:right="1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ICON Issues Financial Guidance for Full Year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85" w:lineRule="exact"/>
        <w:rPr>
          <w:sz w:val="20"/>
          <w:szCs w:val="20"/>
          <w:color w:val="auto"/>
        </w:rPr>
      </w:pPr>
    </w:p>
    <w:p>
      <w:pPr>
        <w:ind w:left="540" w:right="80"/>
        <w:spacing w:after="0" w:line="256" w:lineRule="auto"/>
        <w:rPr>
          <w:sz w:val="20"/>
          <w:szCs w:val="20"/>
          <w:color w:val="auto"/>
        </w:rPr>
      </w:pPr>
      <w:r>
        <w:rPr>
          <w:rFonts w:ascii="Times New Roman" w:cs="Times New Roman" w:eastAsia="Times New Roman" w:hAnsi="Times New Roman"/>
          <w:sz w:val="18"/>
          <w:szCs w:val="18"/>
          <w:b w:val="1"/>
          <w:bCs w:val="1"/>
          <w:color w:val="auto"/>
        </w:rPr>
        <w:t>Full Year 2023 Revenue guidance in the range of $7,940 - $8,340 million, representing growth of 3.3% – 6.8% over Full Year 2022 Revenue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-226695</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40"/>
        <w:spacing w:after="0" w:line="191" w:lineRule="auto"/>
        <w:rPr>
          <w:sz w:val="20"/>
          <w:szCs w:val="20"/>
          <w:color w:val="auto"/>
        </w:rPr>
      </w:pPr>
      <w:r>
        <w:rPr>
          <w:rFonts w:ascii="Times New Roman" w:cs="Times New Roman" w:eastAsia="Times New Roman" w:hAnsi="Times New Roman"/>
          <w:sz w:val="18"/>
          <w:szCs w:val="18"/>
          <w:b w:val="1"/>
          <w:bCs w:val="1"/>
          <w:color w:val="auto"/>
        </w:rPr>
        <w:t>Full Year 2023 adjusted earnings per share</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guidance in the range of $12.40 - $13.05, representing growth of 6.4% – 10.1% over Full Year 2022 adjusted earnings per share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-226060</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40"/>
        <w:spacing w:after="0" w:line="197" w:lineRule="auto"/>
        <w:rPr>
          <w:sz w:val="20"/>
          <w:szCs w:val="20"/>
          <w:color w:val="auto"/>
        </w:rPr>
      </w:pPr>
      <w:r>
        <w:rPr>
          <w:rFonts w:ascii="Times New Roman" w:cs="Times New Roman" w:eastAsia="Times New Roman" w:hAnsi="Times New Roman"/>
          <w:sz w:val="18"/>
          <w:szCs w:val="18"/>
          <w:b w:val="1"/>
          <w:bCs w:val="1"/>
          <w:color w:val="auto"/>
        </w:rPr>
        <w:t>Reaffirming Full Year 2022 guidance of revenue in the range of $7,690 - $7,810 million and adjusted earnings per share</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in the range of $11.65 – $11.85.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18"/>
          <w:szCs w:val="18"/>
          <w:color w:val="auto"/>
        </w:rPr>
        <w:t>DUBLIN--(BUSINESS WIRE)--January 10, 2023--</w:t>
      </w:r>
      <w:r>
        <w:rPr>
          <w:rFonts w:ascii="Times New Roman" w:cs="Times New Roman" w:eastAsia="Times New Roman" w:hAnsi="Times New Roman"/>
          <w:sz w:val="18"/>
          <w:szCs w:val="18"/>
          <w:b w:val="1"/>
          <w:bCs w:val="1"/>
          <w:color w:val="auto"/>
        </w:rPr>
        <w:t>ICON plc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(NASDAQ: ICLR),</w:t>
      </w:r>
      <w:r>
        <w:rPr>
          <w:rFonts w:ascii="Times New Roman" w:cs="Times New Roman" w:eastAsia="Times New Roman" w:hAnsi="Times New Roman"/>
          <w:sz w:val="18"/>
          <w:szCs w:val="18"/>
          <w:color w:val="auto"/>
        </w:rPr>
        <w:t xml:space="preserve"> a world-leading clinical research organization powered by healthcare intelligence, today announced its financial guidance for the year ending December 31, 2023. For the full year 2023, revenue is expected to be in the range of $7,940 - $8,340 million, representing growth of 3.3% – 6.8%, and adjusted earnings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is expected to be in the range of $12.40 – $13.05, representing growth of 6.4% – 10.1%, over Full Year 2022 revenue and adjusted earnings per share guidance, respectively.</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CEO Steve Cutler commented, </w:t>
      </w:r>
      <w:r>
        <w:rPr>
          <w:rFonts w:ascii="Times New Roman" w:cs="Times New Roman" w:eastAsia="Times New Roman" w:hAnsi="Times New Roman"/>
          <w:sz w:val="18"/>
          <w:szCs w:val="18"/>
          <w:i w:val="1"/>
          <w:iCs w:val="1"/>
          <w:color w:val="auto"/>
        </w:rPr>
        <w:t>“ICON’s achievements in advancing the speed and efficiency of clinical development continue to progress as we support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ever-growing number of customer partnerships, and we are pleased with our strong operational delivery and cost management in 2022. Our outlook for 2023 reflects a continued solid demand environment albeit with persistent macroeconomic challenges, resulting in full year revenue guidance in the range of $7,940 - $8,340 million and adjusted earnings per share</w:t>
      </w: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xml:space="preserve"> guidance in the range of $12.40 - $13.05.”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year 2023 financial guidance assumptions: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 effective tax rate of circa 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Circa $1.1 billion of free cash flow and capital expenditures of circa $200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Interest expense in the range of $280 – $300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Hedging solution finalized resulting in proportion of fixed debt amounting to circa 60% of 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Excludes any potential share repurchase or M&amp;A activity in the above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6"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color w:val="auto"/>
        </w:rPr>
        <w:t>With respect to full year 2022, the company reaffirmed its current guidance of revenue in the range of $7,690 - $7,810 million and adjusted earnings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the range of $11.65 - $11.85.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41,150 employees in 113 locations in 53 countries as at September 30, 2022. For further information about ICON, visit: </w:t>
      </w:r>
      <w:r>
        <w:rPr>
          <w:rFonts w:ascii="Times New Roman" w:cs="Times New Roman" w:eastAsia="Times New Roman" w:hAnsi="Times New Roman"/>
          <w:sz w:val="18"/>
          <w:szCs w:val="18"/>
          <w:u w:val="single" w:color="auto"/>
          <w:color w:val="auto"/>
        </w:rPr>
        <w:t>www.iconplc.com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2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regarding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6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addition to the financial measures prepared in accordance with generally accepted accounting principles (GAAP), this press release contains certain non-GAAP financial measures, including adjusted earnings per share. Adjusted earnings per share excludes amortization, stock compensation, foreign exchange gains and losses, and restructuring and transaction-related / integration-related adjustments. While non-GAAP financial measures are not superior to or a substitute for the comparable GAAP measures, ICON believes certain non-GAAP information is useful to investors for historical comparison purposes.</w:t>
      </w:r>
    </w:p>
    <w:p>
      <w:pPr>
        <w:spacing w:after="0" w:line="124" w:lineRule="exact"/>
        <w:rPr>
          <w:sz w:val="20"/>
          <w:szCs w:val="20"/>
          <w:color w:val="auto"/>
        </w:rPr>
      </w:pPr>
    </w:p>
    <w:p>
      <w:pPr>
        <w:ind w:right="60" w:firstLine="8"/>
        <w:spacing w:after="0" w:line="210" w:lineRule="auto"/>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full-year 2022 and 2023 guidance adjusted earnings per share measures are provided on a non-GAAP basis because the company is unable to predict with a reasonable degree of certainty certain items contained in the GAAP measures without unreasonable efforts. For the same reasons, the company is unable to address the probable significance of the unavailable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+1 888 381 7923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Brendan Brennan Chief Financial Officer + 353 1 291 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Haven Vice President Investor Relations +1 888 381 7923</w:t>
      </w:r>
    </w:p>
    <w:sectPr>
      <w:pgSz w:w="11900" w:h="16838" w:orient="portrait"/>
      <w:cols w:equalWidth="0" w:num="1">
        <w:col w:w="11220"/>
      </w:cols>
      <w:pgMar w:left="320" w:top="29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2023-01-10T08:05:33Z</dcterms:created>
  <dcterms:modified xsi:type="dcterms:W3CDTF">2023-01-10T08:05:33Z</dcterms:modified>
</cp:coreProperties>
</file>