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November,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dated November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November 16,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ICON Announces Publication of EGM Circular in Respect of Proposed Conversion to Direct Listing of its Shares on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NASDAQ</w:t>
      </w:r>
    </w:p>
    <w:p>
      <w:pPr>
        <w:spacing w:after="0" w:line="18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DUBLIN--(BUSINESS WIRE)--November 16, 2012--</w:t>
      </w:r>
      <w:r>
        <w:rPr>
          <w:rFonts w:ascii="Arial" w:cs="Arial" w:eastAsia="Arial" w:hAnsi="Arial"/>
          <w:sz w:val="22"/>
          <w:szCs w:val="22"/>
          <w:b w:val="1"/>
          <w:bCs w:val="1"/>
          <w:color w:val="auto"/>
        </w:rPr>
        <w:t>ICON plc, (NASDAQ: ICLR) (ISIN:IE0005711209),</w:t>
      </w:r>
      <w:r>
        <w:rPr>
          <w:rFonts w:ascii="Arial" w:cs="Arial" w:eastAsia="Arial" w:hAnsi="Arial"/>
          <w:sz w:val="22"/>
          <w:szCs w:val="22"/>
          <w:color w:val="auto"/>
        </w:rPr>
        <w:t xml:space="preserve"> a global provider of outsourced development services to the pharmaceutical, biotechnology and medical device industries, today announced the publication and filing of a circular to shareholders convening an extraordinary general meeting to be held at 3.00 p.m. on December 17, 2012 at ICON plc Headquarters, South County Business Park, Leopardstown, Dublin 18, Ireland at which resolutions in connection with the proposed replacement of ICON’s NASDAQ listing for ADSs with a direct NASDAQ listing for ICON Shares will be considered and voted 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expected timetable in respect of the proposals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20"/>
                <w:szCs w:val="20"/>
                <w:color w:val="auto"/>
              </w:rPr>
            </w:pPr>
            <w:r>
              <w:rPr>
                <w:rFonts w:ascii="Arial" w:cs="Arial" w:eastAsia="Arial" w:hAnsi="Arial"/>
                <w:sz w:val="14"/>
                <w:szCs w:val="14"/>
                <w:color w:val="auto"/>
              </w:rPr>
              <w:t>Latest time and date for receipt of Forms of Proxy for Ordinary Shareholders for Extraordinary General Meeting</w:t>
            </w:r>
          </w:p>
        </w:tc>
        <w:tc>
          <w:tcPr>
            <w:tcW w:w="1300" w:type="dxa"/>
            <w:vAlign w:val="bottom"/>
          </w:tcPr>
          <w:p>
            <w:pPr>
              <w:ind w:left="1140"/>
              <w:spacing w:after="0"/>
              <w:rPr>
                <w:sz w:val="20"/>
                <w:szCs w:val="20"/>
                <w:color w:val="auto"/>
              </w:rPr>
            </w:pPr>
            <w:r>
              <w:rPr>
                <w:rFonts w:ascii="Arial" w:cs="Arial" w:eastAsia="Arial" w:hAnsi="Arial"/>
                <w:sz w:val="14"/>
                <w:szCs w:val="14"/>
                <w:color w:val="auto"/>
                <w:w w:val="89"/>
              </w:rPr>
              <w:t>13</w:t>
            </w:r>
          </w:p>
        </w:tc>
        <w:tc>
          <w:tcPr>
            <w:tcW w:w="1780" w:type="dxa"/>
            <w:vAlign w:val="bottom"/>
          </w:tcPr>
          <w:p>
            <w:pPr>
              <w:ind w:left="20"/>
              <w:spacing w:after="0"/>
              <w:rPr>
                <w:sz w:val="20"/>
                <w:szCs w:val="20"/>
                <w:color w:val="auto"/>
              </w:rPr>
            </w:pPr>
            <w:r>
              <w:rPr>
                <w:rFonts w:ascii="Arial" w:cs="Arial" w:eastAsia="Arial" w:hAnsi="Arial"/>
                <w:sz w:val="14"/>
                <w:szCs w:val="14"/>
                <w:color w:val="auto"/>
              </w:rPr>
              <w:t>December 2012</w:t>
            </w:r>
          </w:p>
        </w:tc>
      </w:tr>
      <w:tr>
        <w:trPr>
          <w:trHeight w:val="176"/>
        </w:trPr>
        <w:tc>
          <w:tcPr>
            <w:tcW w:w="7620" w:type="dxa"/>
            <w:vAlign w:val="bottom"/>
          </w:tcPr>
          <w:p>
            <w:pPr>
              <w:spacing w:after="0"/>
              <w:rPr>
                <w:sz w:val="15"/>
                <w:szCs w:val="15"/>
                <w:color w:val="auto"/>
              </w:rPr>
            </w:pPr>
          </w:p>
        </w:tc>
        <w:tc>
          <w:tcPr>
            <w:tcW w:w="3080" w:type="dxa"/>
            <w:vAlign w:val="bottom"/>
            <w:gridSpan w:val="2"/>
          </w:tcPr>
          <w:p>
            <w:pPr>
              <w:ind w:left="1140"/>
              <w:spacing w:after="0"/>
              <w:rPr>
                <w:sz w:val="20"/>
                <w:szCs w:val="20"/>
                <w:color w:val="auto"/>
              </w:rPr>
            </w:pPr>
            <w:r>
              <w:rPr>
                <w:rFonts w:ascii="Arial" w:cs="Arial" w:eastAsia="Arial" w:hAnsi="Arial"/>
                <w:sz w:val="14"/>
                <w:szCs w:val="14"/>
                <w:color w:val="auto"/>
              </w:rPr>
              <w:t>(6 p.m. GMT)</w:t>
            </w:r>
          </w:p>
        </w:tc>
      </w:tr>
      <w:tr>
        <w:trPr>
          <w:trHeight w:val="176"/>
        </w:trPr>
        <w:tc>
          <w:tcPr>
            <w:tcW w:w="7620" w:type="dxa"/>
            <w:vAlign w:val="bottom"/>
          </w:tcPr>
          <w:p>
            <w:pPr>
              <w:spacing w:after="0"/>
              <w:rPr>
                <w:sz w:val="20"/>
                <w:szCs w:val="20"/>
                <w:color w:val="auto"/>
              </w:rPr>
            </w:pPr>
            <w:r>
              <w:rPr>
                <w:rFonts w:ascii="Arial" w:cs="Arial" w:eastAsia="Arial" w:hAnsi="Arial"/>
                <w:sz w:val="14"/>
                <w:szCs w:val="14"/>
                <w:color w:val="auto"/>
              </w:rPr>
              <w:t>Extraordinary General Meeting</w:t>
            </w:r>
          </w:p>
        </w:tc>
        <w:tc>
          <w:tcPr>
            <w:tcW w:w="1300" w:type="dxa"/>
            <w:vAlign w:val="bottom"/>
          </w:tcPr>
          <w:p>
            <w:pPr>
              <w:ind w:left="1140"/>
              <w:spacing w:after="0"/>
              <w:rPr>
                <w:sz w:val="20"/>
                <w:szCs w:val="20"/>
                <w:color w:val="auto"/>
              </w:rPr>
            </w:pPr>
            <w:r>
              <w:rPr>
                <w:rFonts w:ascii="Arial" w:cs="Arial" w:eastAsia="Arial" w:hAnsi="Arial"/>
                <w:sz w:val="14"/>
                <w:szCs w:val="14"/>
                <w:color w:val="auto"/>
                <w:w w:val="89"/>
              </w:rPr>
              <w:t>17</w:t>
            </w:r>
          </w:p>
        </w:tc>
        <w:tc>
          <w:tcPr>
            <w:tcW w:w="1780" w:type="dxa"/>
            <w:vAlign w:val="bottom"/>
          </w:tcPr>
          <w:p>
            <w:pPr>
              <w:ind w:left="20"/>
              <w:spacing w:after="0"/>
              <w:rPr>
                <w:sz w:val="20"/>
                <w:szCs w:val="20"/>
                <w:color w:val="auto"/>
              </w:rPr>
            </w:pPr>
            <w:r>
              <w:rPr>
                <w:rFonts w:ascii="Arial" w:cs="Arial" w:eastAsia="Arial" w:hAnsi="Arial"/>
                <w:sz w:val="14"/>
                <w:szCs w:val="14"/>
                <w:color w:val="auto"/>
                <w:w w:val="93"/>
              </w:rPr>
              <w:t>December 2012 (3 p.m. GMT)</w:t>
            </w:r>
          </w:p>
        </w:tc>
      </w:tr>
      <w:tr>
        <w:trPr>
          <w:trHeight w:val="176"/>
        </w:trPr>
        <w:tc>
          <w:tcPr>
            <w:tcW w:w="7620" w:type="dxa"/>
            <w:vAlign w:val="bottom"/>
          </w:tcPr>
          <w:p>
            <w:pPr>
              <w:spacing w:after="0"/>
              <w:rPr>
                <w:sz w:val="20"/>
                <w:szCs w:val="20"/>
                <w:color w:val="auto"/>
              </w:rPr>
            </w:pPr>
            <w:r>
              <w:rPr>
                <w:rFonts w:ascii="Arial" w:cs="Arial" w:eastAsia="Arial" w:hAnsi="Arial"/>
                <w:sz w:val="14"/>
                <w:szCs w:val="14"/>
                <w:color w:val="auto"/>
              </w:rPr>
              <w:t>Expected last day of dealings in Shares on Irish Stock Exchange</w:t>
            </w:r>
          </w:p>
        </w:tc>
        <w:tc>
          <w:tcPr>
            <w:tcW w:w="1300" w:type="dxa"/>
            <w:vAlign w:val="bottom"/>
          </w:tcPr>
          <w:p>
            <w:pPr>
              <w:ind w:left="1140"/>
              <w:spacing w:after="0"/>
              <w:rPr>
                <w:sz w:val="20"/>
                <w:szCs w:val="20"/>
                <w:color w:val="auto"/>
              </w:rPr>
            </w:pPr>
            <w:r>
              <w:rPr>
                <w:rFonts w:ascii="Arial" w:cs="Arial" w:eastAsia="Arial" w:hAnsi="Arial"/>
                <w:sz w:val="14"/>
                <w:szCs w:val="14"/>
                <w:color w:val="auto"/>
                <w:w w:val="89"/>
              </w:rPr>
              <w:t>29</w:t>
            </w:r>
          </w:p>
        </w:tc>
        <w:tc>
          <w:tcPr>
            <w:tcW w:w="1780" w:type="dxa"/>
            <w:vAlign w:val="bottom"/>
          </w:tcPr>
          <w:p>
            <w:pPr>
              <w:ind w:left="20"/>
              <w:spacing w:after="0"/>
              <w:rPr>
                <w:sz w:val="20"/>
                <w:szCs w:val="20"/>
                <w:color w:val="auto"/>
              </w:rPr>
            </w:pPr>
            <w:r>
              <w:rPr>
                <w:rFonts w:ascii="Arial" w:cs="Arial" w:eastAsia="Arial" w:hAnsi="Arial"/>
                <w:sz w:val="14"/>
                <w:szCs w:val="14"/>
                <w:color w:val="auto"/>
              </w:rPr>
              <w:t>January 2013</w:t>
            </w:r>
          </w:p>
        </w:tc>
      </w:tr>
      <w:tr>
        <w:trPr>
          <w:trHeight w:val="176"/>
        </w:trPr>
        <w:tc>
          <w:tcPr>
            <w:tcW w:w="7620" w:type="dxa"/>
            <w:vAlign w:val="bottom"/>
          </w:tcPr>
          <w:p>
            <w:pPr>
              <w:spacing w:after="0"/>
              <w:rPr>
                <w:sz w:val="20"/>
                <w:szCs w:val="20"/>
                <w:color w:val="auto"/>
              </w:rPr>
            </w:pPr>
            <w:r>
              <w:rPr>
                <w:rFonts w:ascii="Arial" w:cs="Arial" w:eastAsia="Arial" w:hAnsi="Arial"/>
                <w:sz w:val="14"/>
                <w:szCs w:val="14"/>
                <w:color w:val="auto"/>
              </w:rPr>
              <w:t>Expected date of Irish Stock Exchange Delisting with effect from 6.30 a.m. (GMT)</w:t>
            </w:r>
          </w:p>
        </w:tc>
        <w:tc>
          <w:tcPr>
            <w:tcW w:w="1300" w:type="dxa"/>
            <w:vAlign w:val="bottom"/>
          </w:tcPr>
          <w:p>
            <w:pPr>
              <w:ind w:left="1140"/>
              <w:spacing w:after="0"/>
              <w:rPr>
                <w:sz w:val="20"/>
                <w:szCs w:val="20"/>
                <w:color w:val="auto"/>
              </w:rPr>
            </w:pPr>
            <w:r>
              <w:rPr>
                <w:rFonts w:ascii="Arial" w:cs="Arial" w:eastAsia="Arial" w:hAnsi="Arial"/>
                <w:sz w:val="14"/>
                <w:szCs w:val="14"/>
                <w:color w:val="auto"/>
                <w:w w:val="89"/>
              </w:rPr>
              <w:t>30</w:t>
            </w:r>
          </w:p>
        </w:tc>
        <w:tc>
          <w:tcPr>
            <w:tcW w:w="1780" w:type="dxa"/>
            <w:vAlign w:val="bottom"/>
          </w:tcPr>
          <w:p>
            <w:pPr>
              <w:ind w:left="20"/>
              <w:spacing w:after="0"/>
              <w:rPr>
                <w:sz w:val="20"/>
                <w:szCs w:val="20"/>
                <w:color w:val="auto"/>
              </w:rPr>
            </w:pPr>
            <w:r>
              <w:rPr>
                <w:rFonts w:ascii="Arial" w:cs="Arial" w:eastAsia="Arial" w:hAnsi="Arial"/>
                <w:sz w:val="14"/>
                <w:szCs w:val="14"/>
                <w:color w:val="auto"/>
              </w:rPr>
              <w:t>January 2013</w:t>
            </w:r>
          </w:p>
        </w:tc>
      </w:tr>
      <w:tr>
        <w:trPr>
          <w:trHeight w:val="182"/>
        </w:trPr>
        <w:tc>
          <w:tcPr>
            <w:tcW w:w="7620" w:type="dxa"/>
            <w:vAlign w:val="bottom"/>
          </w:tcPr>
          <w:p>
            <w:pPr>
              <w:spacing w:after="0"/>
              <w:rPr>
                <w:sz w:val="20"/>
                <w:szCs w:val="20"/>
                <w:color w:val="auto"/>
              </w:rPr>
            </w:pPr>
            <w:r>
              <w:rPr>
                <w:rFonts w:ascii="Arial" w:cs="Arial" w:eastAsia="Arial" w:hAnsi="Arial"/>
                <w:sz w:val="14"/>
                <w:szCs w:val="14"/>
                <w:color w:val="auto"/>
              </w:rPr>
              <w:t>Expected date of commencement of direct trading of Shares on NASDAQ</w:t>
            </w:r>
          </w:p>
        </w:tc>
        <w:tc>
          <w:tcPr>
            <w:tcW w:w="3080" w:type="dxa"/>
            <w:vAlign w:val="bottom"/>
            <w:gridSpan w:val="2"/>
          </w:tcPr>
          <w:p>
            <w:pPr>
              <w:ind w:left="1140"/>
              <w:spacing w:after="0"/>
              <w:rPr>
                <w:sz w:val="20"/>
                <w:szCs w:val="20"/>
                <w:color w:val="auto"/>
              </w:rPr>
            </w:pPr>
            <w:r>
              <w:rPr>
                <w:rFonts w:ascii="Arial" w:cs="Arial" w:eastAsia="Arial" w:hAnsi="Arial"/>
                <w:sz w:val="14"/>
                <w:szCs w:val="14"/>
                <w:color w:val="auto"/>
              </w:rPr>
              <w:t>4 February 2013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 copy of the Circular is available in the investor relations section of ICON’s website at </w:t>
      </w:r>
      <w:r>
        <w:rPr>
          <w:rFonts w:ascii="Arial" w:cs="Arial" w:eastAsia="Arial" w:hAnsi="Arial"/>
          <w:sz w:val="19"/>
          <w:szCs w:val="19"/>
          <w:u w:val="single" w:color="auto"/>
          <w:color w:val="auto"/>
        </w:rPr>
        <w:t>http://investor.iconplc.com/proxy.cfm</w:t>
      </w: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A copy of the Circular is also being submitted to the Irish Stock Exchange, and will shortly be available for inspection at: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Company Announcements Office,</w:t>
      </w:r>
    </w:p>
    <w:p>
      <w:pPr>
        <w:spacing w:after="0" w:line="238" w:lineRule="auto"/>
        <w:rPr>
          <w:sz w:val="20"/>
          <w:szCs w:val="20"/>
          <w:color w:val="auto"/>
        </w:rPr>
      </w:pPr>
      <w:r>
        <w:rPr>
          <w:rFonts w:ascii="Arial" w:cs="Arial" w:eastAsia="Arial" w:hAnsi="Arial"/>
          <w:sz w:val="22"/>
          <w:szCs w:val="22"/>
          <w:color w:val="auto"/>
        </w:rPr>
        <w:t>Irish Stock Exchange,</w:t>
      </w:r>
    </w:p>
    <w:p>
      <w:pPr>
        <w:spacing w:after="0" w:line="230" w:lineRule="auto"/>
        <w:rPr>
          <w:sz w:val="20"/>
          <w:szCs w:val="20"/>
          <w:color w:val="auto"/>
        </w:rPr>
      </w:pPr>
      <w:r>
        <w:rPr>
          <w:rFonts w:ascii="Arial" w:cs="Arial" w:eastAsia="Arial" w:hAnsi="Arial"/>
          <w:sz w:val="22"/>
          <w:szCs w:val="22"/>
          <w:color w:val="auto"/>
        </w:rPr>
        <w:t>28 Anglesea Street,</w:t>
      </w:r>
    </w:p>
    <w:p>
      <w:pPr>
        <w:spacing w:after="0" w:line="231" w:lineRule="auto"/>
        <w:rPr>
          <w:sz w:val="20"/>
          <w:szCs w:val="20"/>
          <w:color w:val="auto"/>
        </w:rPr>
      </w:pPr>
      <w:r>
        <w:rPr>
          <w:rFonts w:ascii="Arial" w:cs="Arial" w:eastAsia="Arial" w:hAnsi="Arial"/>
          <w:sz w:val="22"/>
          <w:szCs w:val="22"/>
          <w:color w:val="auto"/>
        </w:rPr>
        <w:t>Dublin 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Defined terms used in this announcement have the same meaning as in the Circular unless otherwise stated.</w:t>
      </w:r>
    </w:p>
    <w:p>
      <w:pPr>
        <w:spacing w:after="0" w:line="214" w:lineRule="exact"/>
        <w:rPr>
          <w:sz w:val="20"/>
          <w:szCs w:val="20"/>
          <w:color w:val="auto"/>
        </w:rPr>
      </w:pPr>
    </w:p>
    <w:p>
      <w:pPr>
        <w:spacing w:after="0" w:line="215" w:lineRule="auto"/>
        <w:rPr>
          <w:sz w:val="20"/>
          <w:szCs w:val="20"/>
          <w:color w:val="auto"/>
        </w:rPr>
      </w:pPr>
      <w:r>
        <w:rPr>
          <w:rFonts w:ascii="Arial" w:cs="Arial" w:eastAsia="Arial" w:hAnsi="Arial"/>
          <w:sz w:val="22"/>
          <w:szCs w:val="22"/>
          <w:color w:val="auto"/>
        </w:rPr>
        <w:t>The information contained in this release is as of November 16</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2012. ICON assumes no obligation to update forward-looking statements contained in this release. A description of risks and uncertainties relating to ICON and its business can be found in ICON’s Annual Report and Form 20-F for the fiscal year ended December 31, 2011 and in its Reports of Foreign Issuer on Form 6-K filed with the US Securities and Exchange Commission.</w:t>
      </w:r>
    </w:p>
    <w:p>
      <w:pPr>
        <w:spacing w:after="0" w:line="185" w:lineRule="exact"/>
        <w:rPr>
          <w:sz w:val="20"/>
          <w:szCs w:val="20"/>
          <w:color w:val="auto"/>
        </w:rPr>
      </w:pPr>
    </w:p>
    <w:p>
      <w:pPr>
        <w:ind w:right="52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82 locations in 40 countries and has approximately 9,430 employees. Further information is available at </w:t>
      </w:r>
      <w:r>
        <w:rPr>
          <w:rFonts w:ascii="Arial" w:cs="Arial" w:eastAsia="Arial" w:hAnsi="Arial"/>
          <w:sz w:val="22"/>
          <w:szCs w:val="22"/>
          <w:u w:val="single" w:color="auto"/>
          <w:color w:val="auto"/>
        </w:rPr>
        <w:t>http://www.iconplc.com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Contact:</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70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w:t>
      </w:r>
    </w:p>
    <w:p>
      <w:pPr>
        <w:spacing w:after="0" w:line="230" w:lineRule="auto"/>
        <w:rPr>
          <w:rFonts w:ascii="Arial" w:cs="Arial" w:eastAsia="Arial" w:hAnsi="Arial"/>
          <w:sz w:val="22"/>
          <w:szCs w:val="22"/>
          <w:color w:val="auto"/>
        </w:rPr>
      </w:pPr>
      <w:r>
        <w:rPr>
          <w:rFonts w:ascii="Arial" w:cs="Arial" w:eastAsia="Arial" w:hAnsi="Arial"/>
          <w:sz w:val="22"/>
          <w:szCs w:val="22"/>
          <w:color w:val="auto"/>
        </w:rPr>
        <w:t>VP Investor Relations</w:t>
      </w:r>
    </w:p>
    <w:p>
      <w:pPr>
        <w:ind w:right="9700" w:firstLine="8"/>
        <w:spacing w:after="0" w:line="256" w:lineRule="auto"/>
        <w:tabs>
          <w:tab w:leader="none" w:pos="176" w:val="left"/>
        </w:tabs>
        <w:numPr>
          <w:ilvl w:val="0"/>
          <w:numId w:val="1"/>
        </w:numPr>
        <w:rPr>
          <w:rFonts w:ascii="Arial" w:cs="Arial" w:eastAsia="Arial" w:hAnsi="Arial"/>
          <w:sz w:val="21"/>
          <w:szCs w:val="21"/>
          <w:color w:val="auto"/>
        </w:rPr>
      </w:pPr>
      <w:r>
        <w:rPr>
          <w:rFonts w:ascii="Arial" w:cs="Arial" w:eastAsia="Arial" w:hAnsi="Arial"/>
          <w:sz w:val="21"/>
          <w:szCs w:val="21"/>
          <w:color w:val="auto"/>
        </w:rPr>
        <w:t>353 –1-291-2000 All at ICON.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2019-12-09T13:07:10Z</dcterms:created>
  <dcterms:modified xsi:type="dcterms:W3CDTF">2019-12-09T13:07:10Z</dcterms:modified>
</cp:coreProperties>
</file>