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right="2459" w:hanging="4553"/>
        <w:spacing w:after="0" w:line="248" w:lineRule="auto"/>
        <w:rPr>
          <w:sz w:val="20"/>
          <w:szCs w:val="20"/>
          <w:color w:val="auto"/>
        </w:rPr>
      </w:pPr>
      <w:r>
        <w:rPr>
          <w:rFonts w:ascii="Courier New" w:cs="Courier New" w:eastAsia="Courier New" w:hAnsi="Courier New"/>
          <w:sz w:val="16"/>
          <w:szCs w:val="16"/>
          <w:color w:val="auto"/>
        </w:rPr>
        <w:t>AS FILED WITH THE SECURITIES AND EXCHANGE COMMISSION ON MAY 9, 2003 REGISTRATION NO. 333-102893</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AMENDMENT NO. 2 TO</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F-3</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9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ICON PUBLIC LIMITED COMPANY</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1" w:right="1440" w:bottom="0" w:gutter="0" w:footer="0" w:header="0"/>
        </w:sectPr>
      </w:pPr>
    </w:p>
    <w:p>
      <w:pPr>
        <w:spacing w:after="0" w:line="378" w:lineRule="exact"/>
        <w:rPr>
          <w:sz w:val="24"/>
          <w:szCs w:val="24"/>
          <w:color w:val="auto"/>
        </w:rPr>
      </w:pPr>
    </w:p>
    <w:p>
      <w:pPr>
        <w:ind w:left="184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or organization)</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Number)</w:t>
      </w:r>
    </w:p>
    <w:p>
      <w:pPr>
        <w:spacing w:after="0" w:line="200" w:lineRule="exact"/>
        <w:rPr>
          <w:sz w:val="24"/>
          <w:szCs w:val="24"/>
          <w:color w:val="auto"/>
        </w:rPr>
      </w:pPr>
    </w:p>
    <w:p>
      <w:pPr>
        <w:sectPr>
          <w:pgSz w:w="11900" w:h="16838" w:orient="portrait"/>
          <w:cols w:equalWidth="0" w:num="2">
            <w:col w:w="4360" w:space="380"/>
            <w:col w:w="5479"/>
          </w:cols>
          <w:pgMar w:left="240" w:top="241" w:right="1440" w:bottom="0" w:gutter="0" w:footer="0" w:header="0"/>
          <w:type w:val="continuous"/>
        </w:sectPr>
      </w:pPr>
    </w:p>
    <w:p>
      <w:pPr>
        <w:spacing w:after="0" w:line="178" w:lineRule="exact"/>
        <w:rPr>
          <w:sz w:val="24"/>
          <w:szCs w:val="24"/>
          <w:color w:val="auto"/>
        </w:rPr>
      </w:pPr>
    </w:p>
    <w:p>
      <w:pPr>
        <w:ind w:left="164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LEOPARDSTOWN, DUBLIN 18,</w:t>
      </w:r>
    </w:p>
    <w:p>
      <w:pPr>
        <w:spacing w:after="0" w:line="5"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(353) 1-216-1100</w:t>
      </w:r>
    </w:p>
    <w:p>
      <w:pPr>
        <w:spacing w:after="0" w:line="5"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(Address and telephone number of</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CT CORPORATION SYSTEM</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111 EIGHTH AVENUE</w:t>
      </w:r>
    </w:p>
    <w:p>
      <w:pPr>
        <w:spacing w:after="0" w:line="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NEW YORK, NEW YORK 10011</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(212) 894-8581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address and telephone number</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of agent for service)</w:t>
      </w:r>
    </w:p>
    <w:p>
      <w:pPr>
        <w:spacing w:after="0" w:line="191" w:lineRule="exact"/>
        <w:rPr>
          <w:sz w:val="24"/>
          <w:szCs w:val="24"/>
          <w:color w:val="auto"/>
        </w:rPr>
      </w:pPr>
    </w:p>
    <w:p>
      <w:pPr>
        <w:sectPr>
          <w:pgSz w:w="11900" w:h="16838" w:orient="portrait"/>
          <w:cols w:equalWidth="0" w:num="2">
            <w:col w:w="4060" w:space="300"/>
            <w:col w:w="5859"/>
          </w:cols>
          <w:pgMar w:left="240" w:top="241" w:right="1440" w:bottom="0" w:gutter="0" w:footer="0" w:header="0"/>
          <w:type w:val="continuous"/>
        </w:sect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COPIES TO:</w:t>
      </w:r>
    </w:p>
    <w:p>
      <w:pPr>
        <w:sectPr>
          <w:pgSz w:w="11900" w:h="16838" w:orient="portrait"/>
          <w:cols w:equalWidth="0" w:num="1">
            <w:col w:w="10219"/>
          </w:cols>
          <w:pgMar w:left="240" w:top="241" w:right="1440" w:bottom="0" w:gutter="0" w:footer="0" w:header="0"/>
          <w:type w:val="continuous"/>
        </w:sectPr>
      </w:pPr>
    </w:p>
    <w:p>
      <w:pPr>
        <w:spacing w:after="0" w:line="200" w:lineRule="exact"/>
        <w:rPr>
          <w:sz w:val="24"/>
          <w:szCs w:val="24"/>
          <w:color w:val="auto"/>
        </w:rPr>
      </w:pPr>
    </w:p>
    <w:p>
      <w:pPr>
        <w:spacing w:after="0" w:line="36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CHIEF FINANCIAL OFFICER ICON PLC</w:t>
      </w:r>
    </w:p>
    <w:p>
      <w:pPr>
        <w:spacing w:after="0" w:line="5"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LEOPARDSTOWN, DUBLIN 18, IRELAND</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(353) 1-216-1100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WILLIAM M. HARTNETT,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CAHILL GORDON &amp; REINDEL LLP</w:t>
      </w:r>
    </w:p>
    <w:p>
      <w:pPr>
        <w:spacing w:after="0" w:line="5"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80 PINE STREET</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NEW YORK, NEW YORK 10005</w:t>
      </w:r>
    </w:p>
    <w:p>
      <w:pPr>
        <w:spacing w:after="0" w:line="5"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(212) 701-3000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KATHRYN A. CAMPBELL, ESQ.</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SULLIVAN &amp; CROMWELL LLP</w:t>
      </w:r>
    </w:p>
    <w:p>
      <w:pPr>
        <w:spacing w:after="0" w:line="5"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1 NEW FETTER LANE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LONDON EC4A 1AN, ENGLAND</w:t>
      </w:r>
    </w:p>
    <w:p>
      <w:pPr>
        <w:spacing w:after="0" w:line="5"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(44 20) 7959 8900</w:t>
      </w:r>
    </w:p>
    <w:p>
      <w:pPr>
        <w:spacing w:after="0" w:line="200" w:lineRule="exact"/>
        <w:rPr>
          <w:sz w:val="24"/>
          <w:szCs w:val="24"/>
          <w:color w:val="auto"/>
        </w:rPr>
      </w:pPr>
    </w:p>
    <w:p>
      <w:pPr>
        <w:sectPr>
          <w:pgSz w:w="11900" w:h="16838" w:orient="portrait"/>
          <w:cols w:equalWidth="0" w:num="3">
            <w:col w:w="3100" w:space="300"/>
            <w:col w:w="2600" w:space="400"/>
            <w:col w:w="3819"/>
          </w:cols>
          <w:pgMar w:left="240" w:top="241" w:right="1440" w:bottom="0" w:gutter="0" w:footer="0" w:header="0"/>
          <w:type w:val="continuous"/>
        </w:sectPr>
      </w:pPr>
    </w:p>
    <w:p>
      <w:pPr>
        <w:spacing w:after="0" w:line="178"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hereof.</w:t>
      </w:r>
    </w:p>
    <w:p>
      <w:pPr>
        <w:spacing w:after="0" w:line="184" w:lineRule="exact"/>
        <w:rPr>
          <w:sz w:val="24"/>
          <w:szCs w:val="24"/>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6" w:lineRule="exact"/>
        <w:rPr>
          <w:sz w:val="24"/>
          <w:szCs w:val="24"/>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pacing w:after="0" w:line="186" w:lineRule="exact"/>
        <w:rPr>
          <w:sz w:val="24"/>
          <w:szCs w:val="24"/>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86" w:lineRule="exact"/>
        <w:rPr>
          <w:sz w:val="24"/>
          <w:szCs w:val="24"/>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6" w:lineRule="exact"/>
        <w:rPr>
          <w:sz w:val="24"/>
          <w:szCs w:val="24"/>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4"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REGISTRANT HEREBY AMENDS THIS REGISTRATION STATEMENT ON SUCH DATE OR DATES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AS MAY BE NECESSARY TO DELAY ITS EFFECTIVE DATE UNTIL THE REGISTRANT SHALL</w:t>
      </w:r>
    </w:p>
    <w:p>
      <w:pPr>
        <w:spacing w:after="0" w:line="5" w:lineRule="exact"/>
        <w:rPr>
          <w:sz w:val="24"/>
          <w:szCs w:val="24"/>
          <w:color w:val="auto"/>
        </w:rPr>
      </w:pPr>
    </w:p>
    <w:p>
      <w:pPr>
        <w:ind w:left="300" w:right="2659" w:firstLine="678"/>
        <w:spacing w:after="0" w:line="246" w:lineRule="auto"/>
        <w:rPr>
          <w:sz w:val="20"/>
          <w:szCs w:val="20"/>
          <w:color w:val="auto"/>
        </w:rPr>
      </w:pPr>
      <w:r>
        <w:rPr>
          <w:rFonts w:ascii="Courier New" w:cs="Courier New" w:eastAsia="Courier New" w:hAnsi="Courier New"/>
          <w:sz w:val="16"/>
          <w:szCs w:val="16"/>
          <w:color w:val="auto"/>
        </w:rPr>
        <w:t>FILE A FURTHER AMENDMENT WHICH SPECIFICALLY STATES THAT THIS REGISTRATION STATEMENT SHALL THEREAFTER BECOME EFFECTIVE IN ACCORDANCE WITH</w:t>
      </w:r>
    </w:p>
    <w:p>
      <w:pPr>
        <w:spacing w:after="0" w:line="1" w:lineRule="exact"/>
        <w:rPr>
          <w:sz w:val="24"/>
          <w:szCs w:val="24"/>
          <w:color w:val="auto"/>
        </w:rPr>
      </w:pPr>
    </w:p>
    <w:p>
      <w:pPr>
        <w:jc w:val="center"/>
        <w:ind w:left="340" w:right="100"/>
        <w:spacing w:after="0" w:line="247" w:lineRule="auto"/>
        <w:rPr>
          <w:sz w:val="20"/>
          <w:szCs w:val="20"/>
          <w:color w:val="auto"/>
        </w:rPr>
      </w:pPr>
      <w:r>
        <w:rPr>
          <w:rFonts w:ascii="Courier New" w:cs="Courier New" w:eastAsia="Courier New" w:hAnsi="Courier New"/>
          <w:sz w:val="16"/>
          <w:szCs w:val="16"/>
          <w:color w:val="auto"/>
        </w:rPr>
        <w:t>SECTION 8(A) OF THE SECURITIES ACT OF 1933, AS AMENDED, OR UNTIL THE REGISTRATION STATEMENT SHALL BECOME EFFECTIVE ON SUCH DATE AS THE COMMISSION, ACTING PURSUANT TO SECTION 8(A), MAY DETERMINE</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1" w:right="1440" w:bottom="0" w:gutter="0" w:footer="0" w:header="0"/>
          <w:type w:val="continuous"/>
        </w:sectPr>
      </w:pPr>
    </w:p>
    <w:bookmarkStart w:id="1" w:name="page2"/>
    <w:bookmarkEnd w:id="1"/>
    <w:p>
      <w:pPr>
        <w:ind w:right="2459"/>
        <w:spacing w:after="0" w:line="247" w:lineRule="auto"/>
        <w:rPr>
          <w:sz w:val="20"/>
          <w:szCs w:val="20"/>
          <w:color w:val="auto"/>
        </w:rPr>
      </w:pPr>
      <w:r>
        <w:rPr>
          <w:rFonts w:ascii="Courier New" w:cs="Courier New" w:eastAsia="Courier New" w:hAnsi="Courier New"/>
          <w:sz w:val="16"/>
          <w:szCs w:val="16"/>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72"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3300" w:type="dxa"/>
            <w:vAlign w:val="bottom"/>
          </w:tcPr>
          <w:p>
            <w:pPr>
              <w:spacing w:after="0"/>
              <w:rPr>
                <w:sz w:val="20"/>
                <w:szCs w:val="20"/>
                <w:color w:val="auto"/>
              </w:rPr>
            </w:pPr>
            <w:r>
              <w:rPr>
                <w:rFonts w:ascii="Courier New" w:cs="Courier New" w:eastAsia="Courier New" w:hAnsi="Courier New"/>
                <w:sz w:val="16"/>
                <w:szCs w:val="16"/>
                <w:color w:val="auto"/>
              </w:rPr>
              <w:t>Subject to Completion. Dated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2003.</w:t>
            </w:r>
          </w:p>
        </w:tc>
      </w:tr>
    </w:tbl>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[LOGO OMITTED]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ADSs are quoted on The Nasdaq National Market under the symbol "ICLR." On May 7, 2003, the last reported sale price of our ADSs on The Nasdaq National Market was $26.29 per ADS. Our ordinary shares are listed on the Official List of the Irish Stock Exchange.</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A copy of this document, together with the consents referred to on page 51, has been delivered to the Registrar of Companies in Ireland in accordance with Section 47 of the Companies Act, 1963.</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p>
      <w:pPr>
        <w:spacing w:after="0" w:line="378"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6"/>
          <w:szCs w:val="16"/>
          <w:color w:val="auto"/>
        </w:rPr>
        <w:t>Per ADS</w:t>
      </w:r>
    </w:p>
    <w:p>
      <w:pPr>
        <w:spacing w:after="0" w:line="5"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7700" w:space="720"/>
            <w:col w:w="179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Initial price to public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Underwriting discount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Proceeds, before expenses, to ICON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Proceeds, before expenses, to the selling shareholders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000" w:space="400"/>
            <w:col w:w="1020" w:space="720"/>
            <w:col w:w="2079"/>
          </w:cols>
          <w:pgMar w:left="240" w:top="514" w:right="1440" w:bottom="1440" w:gutter="0" w:footer="0" w:header="0"/>
          <w:type w:val="continuous"/>
        </w:sectPr>
      </w:pPr>
    </w:p>
    <w:p>
      <w:pPr>
        <w:spacing w:after="0" w:line="178"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To the extent that the underwriters sell more than 3,000,000 ADSs, the underwriters have the option to purchase up to an additional 450,000 ADSs from the selling shareholders at the initial price to public less the underwriting discount.</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The underwriters expect to deliver the ADSs against payment in New York, New York on , 2003.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DAVY STOCKBROKERS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type w:val="continuous"/>
        </w:sectPr>
      </w:pP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2003.</w:t>
      </w:r>
    </w:p>
    <w:p>
      <w:pPr>
        <w:sectPr>
          <w:pgSz w:w="11900" w:h="16838" w:orient="portrait"/>
          <w:cols w:equalWidth="0" w:num="2">
            <w:col w:w="3980" w:space="680"/>
            <w:col w:w="5559"/>
          </w:cols>
          <w:pgMar w:left="240" w:top="514" w:right="1440" w:bottom="1440" w:gutter="0" w:footer="0" w:header="0"/>
          <w:type w:val="continuous"/>
        </w:sectPr>
      </w:pPr>
    </w:p>
    <w:bookmarkStart w:id="2" w:name="page3"/>
    <w:bookmarkEnd w:id="2"/>
    <w:p>
      <w:pPr>
        <w:jc w:val="center"/>
        <w:ind w:right="2359"/>
        <w:spacing w:after="0"/>
        <w:rPr>
          <w:sz w:val="20"/>
          <w:szCs w:val="20"/>
          <w:color w:val="auto"/>
        </w:rPr>
      </w:pPr>
      <w:r>
        <w:rPr>
          <w:rFonts w:ascii="Courier New" w:cs="Courier New" w:eastAsia="Courier New" w:hAnsi="Courier New"/>
          <w:sz w:val="16"/>
          <w:szCs w:val="16"/>
          <w:color w:val="auto"/>
        </w:rPr>
        <w:t>SUMMARY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38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ICON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2,300 employees and operations in 28 locations in 16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2" w:right="1440" w:bottom="1440" w:gutter="0" w:footer="0" w:header="0"/>
        </w:sectPr>
      </w:pPr>
    </w:p>
    <w:bookmarkStart w:id="3" w:name="page4"/>
    <w:bookmarkEnd w:id="3"/>
    <w:p>
      <w:pPr>
        <w:ind w:right="2459"/>
        <w:spacing w:after="0" w:line="247"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1-216-1100. Our principal offices in the United States are located at 212 Church Road, North Wales, PA 19454.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THE OFFERING</w:t>
            </w:r>
          </w:p>
        </w:tc>
        <w:tc>
          <w:tcPr>
            <w:tcW w:w="3200" w:type="dxa"/>
            <w:vAlign w:val="bottom"/>
          </w:tcPr>
          <w:p>
            <w:pPr>
              <w:spacing w:after="0"/>
              <w:rPr>
                <w:sz w:val="15"/>
                <w:szCs w:val="15"/>
                <w:color w:val="auto"/>
              </w:rPr>
            </w:pP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Offering price ..................</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U.S.$</w:t>
            </w:r>
          </w:p>
        </w:tc>
        <w:tc>
          <w:tcPr>
            <w:tcW w:w="3200" w:type="dxa"/>
            <w:vAlign w:val="bottom"/>
          </w:tcPr>
          <w:p>
            <w:pPr>
              <w:ind w:left="100"/>
              <w:spacing w:after="0"/>
              <w:rPr>
                <w:sz w:val="20"/>
                <w:szCs w:val="20"/>
                <w:color w:val="auto"/>
              </w:rPr>
            </w:pPr>
            <w:r>
              <w:rPr>
                <w:rFonts w:ascii="Courier New" w:cs="Courier New" w:eastAsia="Courier New" w:hAnsi="Courier New"/>
                <w:sz w:val="16"/>
                <w:szCs w:val="16"/>
                <w:color w:val="auto"/>
              </w:rPr>
              <w:t>per ADS</w:t>
            </w: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ADSs offered by us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13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86"/>
        </w:trPr>
        <w:tc>
          <w:tcPr>
            <w:tcW w:w="324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Dr. Ronan Lambe and Dr. John Climax through</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Wineberry Limited, a company controlled by</w:t>
            </w:r>
          </w:p>
        </w:tc>
      </w:tr>
      <w:tr>
        <w:trPr>
          <w:trHeight w:val="186"/>
        </w:trPr>
        <w:tc>
          <w:tcPr>
            <w:tcW w:w="3240" w:type="dxa"/>
            <w:vAlign w:val="bottom"/>
          </w:tcPr>
          <w:p>
            <w:pPr>
              <w:spacing w:after="0"/>
              <w:rPr>
                <w:sz w:val="16"/>
                <w:szCs w:val="16"/>
                <w:color w:val="auto"/>
              </w:rPr>
            </w:pP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him.</w:t>
            </w:r>
          </w:p>
        </w:tc>
        <w:tc>
          <w:tcPr>
            <w:tcW w:w="3200" w:type="dxa"/>
            <w:vAlign w:val="bottom"/>
          </w:tcPr>
          <w:p>
            <w:pPr>
              <w:spacing w:after="0"/>
              <w:rPr>
                <w:sz w:val="16"/>
                <w:szCs w:val="16"/>
                <w:color w:val="auto"/>
              </w:rPr>
            </w:pP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13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86"/>
        </w:trPr>
        <w:tc>
          <w:tcPr>
            <w:tcW w:w="324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 ......</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13,328,217</w:t>
            </w:r>
          </w:p>
        </w:tc>
        <w:tc>
          <w:tcPr>
            <w:tcW w:w="3200" w:type="dxa"/>
            <w:vAlign w:val="bottom"/>
          </w:tcPr>
          <w:p>
            <w:pPr>
              <w:spacing w:after="0"/>
              <w:rPr>
                <w:sz w:val="16"/>
                <w:szCs w:val="16"/>
                <w:color w:val="auto"/>
              </w:rPr>
            </w:pP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Ordinary shares per ADS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One. The ADSs are issued pursuant to the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Deposit Agreement with The Bank of New York</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dated as of May 20, 1998.</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Option to purchase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additional ADSs If the underwriters exercise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option to purchase additional ADSs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described under the heading "Underwriting",</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selling shareholders may sell up to an</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additional 450,000 ADSs.</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Lock-up arrangements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We have agreed with the underwriters,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subject to certain exceptions, not to</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dispose of or hedge any of our ordinary</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shares, ADSs or securities convertible into</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or exchangeable for ordinary shares or ADSs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during the period from the date of this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prospectus continuing through the date 90</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days after the date of this prospectus,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except with the prior written consent of</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Goldman, Sachs &amp; Co. The selling</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shareholders have agreed with the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underwriters, subject to certain exceptions,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not to dispose of or hedge any of our</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ordinary shares, ADSs or securities</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convertible into or exchangeable for</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ordinary shares or ADSs during the period</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from the date of this prospectus continuing</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through the date 180 days after the date of</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this prospectus, except with the prior</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written consent of Goldman, Sachs &amp; Co.</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We estimate that the net proceeds to us from</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this offering, after deducting underwriting</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discounts and the estimated offering</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expenses payable by us, will be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approximately $ million. We will not receive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any of the proceeds from the sale of ADSs by</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selling shareholders. We intend to use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net proceeds from this offering,</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together with our existing cash, cash</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equivalents, short-term investments and cash</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generated from operations, for general</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corporate purposes, including, but not</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limited to funding the continued growth and</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development of the business, opportunistic</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acquisitions, and working capital</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requirements.</w:t>
            </w:r>
          </w:p>
        </w:tc>
      </w:tr>
      <w:tr>
        <w:trPr>
          <w:trHeight w:val="373"/>
        </w:trPr>
        <w:tc>
          <w:tcPr>
            <w:tcW w:w="3240" w:type="dxa"/>
            <w:vAlign w:val="bottom"/>
          </w:tcPr>
          <w:p>
            <w:pPr>
              <w:spacing w:after="0"/>
              <w:rPr>
                <w:sz w:val="24"/>
                <w:szCs w:val="24"/>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Please refer to "Use of Proceeds" for</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further discussion of how we intend to use</w:t>
            </w:r>
          </w:p>
        </w:tc>
      </w:tr>
      <w:tr>
        <w:trPr>
          <w:trHeight w:val="186"/>
        </w:trPr>
        <w:tc>
          <w:tcPr>
            <w:tcW w:w="3240" w:type="dxa"/>
            <w:vAlign w:val="bottom"/>
          </w:tcPr>
          <w:p>
            <w:pPr>
              <w:spacing w:after="0"/>
              <w:rPr>
                <w:sz w:val="16"/>
                <w:szCs w:val="16"/>
                <w:color w:val="auto"/>
              </w:rPr>
            </w:pP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net proceeds from this offering.</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Nasdaq symbol ...................</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ICLR</w:t>
            </w:r>
          </w:p>
        </w:tc>
        <w:tc>
          <w:tcPr>
            <w:tcW w:w="3200" w:type="dxa"/>
            <w:vAlign w:val="bottom"/>
          </w:tcPr>
          <w:p>
            <w:pPr>
              <w:spacing w:after="0"/>
              <w:rPr>
                <w:sz w:val="24"/>
                <w:szCs w:val="24"/>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right="2759" w:hanging="481"/>
        <w:spacing w:after="0" w:line="247"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February 28, 2003. The number of ordinary shares to be outstanding after this offering does not include 1,215,065 ordinary shares reserved for issuance upon the exercise of stock options outstanding on February 28, 2003.</w:t>
      </w:r>
    </w:p>
    <w:p>
      <w:pPr>
        <w:sectPr>
          <w:pgSz w:w="11900" w:h="16838" w:orient="portrait"/>
          <w:cols w:equalWidth="0" w:num="1">
            <w:col w:w="10220"/>
          </w:cols>
          <w:pgMar w:left="239" w:top="676" w:right="1440" w:bottom="130" w:gutter="0" w:footer="0" w:header="0"/>
        </w:sectPr>
      </w:pPr>
    </w:p>
    <w:bookmarkStart w:id="5" w:name="page6"/>
    <w:bookmarkEnd w:id="5"/>
    <w:p>
      <w:pPr>
        <w:ind w:left="2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28" w:right="1440" w:bottom="1440" w:gutter="0" w:footer="0" w:header="0"/>
        </w:sectPr>
      </w:pPr>
    </w:p>
    <w:bookmarkStart w:id="6" w:name="page7"/>
    <w:bookmarkEnd w:id="6"/>
    <w:p>
      <w:pPr>
        <w:ind w:left="164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378" w:lineRule="exact"/>
        <w:rPr>
          <w:sz w:val="20"/>
          <w:szCs w:val="20"/>
          <w:color w:val="auto"/>
        </w:rPr>
      </w:pPr>
    </w:p>
    <w:p>
      <w:pPr>
        <w:ind w:right="3680" w:firstLine="581"/>
        <w:spacing w:after="0" w:line="246"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197" w:lineRule="exact"/>
        <w:rPr>
          <w:sz w:val="20"/>
          <w:szCs w:val="20"/>
          <w:color w:val="auto"/>
        </w:rPr>
      </w:pPr>
    </w:p>
    <w:p>
      <w:pPr>
        <w:ind w:right="3680" w:firstLine="581"/>
        <w:spacing w:after="0" w:line="246"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191" w:lineRule="exact"/>
        <w:rPr>
          <w:sz w:val="20"/>
          <w:szCs w:val="20"/>
          <w:color w:val="auto"/>
        </w:rPr>
      </w:pPr>
    </w:p>
    <w:p>
      <w:pPr>
        <w:ind w:right="3880" w:firstLine="581"/>
        <w:spacing w:after="0" w:line="247"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MAY 31,</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34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4"/>
                <w:szCs w:val="4"/>
                <w:color w:val="auto"/>
                <w:w w:val="73"/>
              </w:rPr>
              <w: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1998</w:t>
            </w:r>
          </w:p>
        </w:tc>
        <w:tc>
          <w:tcPr>
            <w:tcW w:w="24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1999</w:t>
            </w:r>
          </w:p>
        </w:tc>
        <w:tc>
          <w:tcPr>
            <w:tcW w:w="2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2001</w:t>
            </w:r>
          </w:p>
        </w:tc>
        <w:tc>
          <w:tcPr>
            <w:tcW w:w="28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gridSpan w:val="9"/>
          </w:tcPr>
          <w:p>
            <w:pPr>
              <w:jc w:val="right"/>
              <w:ind w:right="559"/>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3"/>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67,743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98,910</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115,087</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151,832</w:t>
            </w:r>
          </w:p>
        </w:tc>
        <w:tc>
          <w:tcPr>
            <w:tcW w:w="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218,842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153,356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236,270</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(22,549)</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(39,003)</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(34,320)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(35,669)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45,194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59,907</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80,767</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116,163</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156,555</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113,558</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159,705</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23,697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31,662</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42,007</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63,800</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83,371</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60,446</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87,507</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administrative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14,037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19,200</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27,348</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36,312</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48,951</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35,550</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49,481</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Merger costs (2)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1,617</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2,066</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3,264</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4,975</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6,020</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4,416</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5,017</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Total costs and expenses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38,930</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52,928</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74,236</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105,087</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138,342</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100,412</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142,005</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6,264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6,979</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6,531</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11,076</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18,213</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13,146</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17,700</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189</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2,631</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2,659</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2,519</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1,116</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864</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before provision for</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2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6,453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9,610</w:t>
            </w:r>
          </w:p>
        </w:tc>
        <w:tc>
          <w:tcPr>
            <w:tcW w:w="26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9,190</w:t>
            </w:r>
          </w:p>
        </w:tc>
        <w:tc>
          <w:tcPr>
            <w:tcW w:w="34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13,595</w:t>
            </w:r>
          </w:p>
        </w:tc>
        <w:tc>
          <w:tcPr>
            <w:tcW w:w="2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19,329</w:t>
            </w:r>
          </w:p>
        </w:tc>
        <w:tc>
          <w:tcPr>
            <w:tcW w:w="2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14,010</w:t>
            </w:r>
          </w:p>
        </w:tc>
        <w:tc>
          <w:tcPr>
            <w:tcW w:w="2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18,079</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(2,110)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(1,557)</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(3,122)</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 (3) ...................</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4,343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8,053</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6,068</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10,978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 PER ORDINARY</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0.56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0.74</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0.55</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0.97</w:t>
            </w:r>
          </w:p>
        </w:tc>
        <w:tc>
          <w:tcPr>
            <w:tcW w:w="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Diluted ..........................</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0.49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0.68</w:t>
            </w:r>
          </w:p>
        </w:tc>
        <w:tc>
          <w:tcPr>
            <w:tcW w:w="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0.51</w:t>
            </w:r>
          </w:p>
        </w:tc>
        <w:tc>
          <w:tcPr>
            <w:tcW w:w="3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0.92</w:t>
            </w:r>
          </w:p>
        </w:tc>
        <w:tc>
          <w:tcPr>
            <w:tcW w:w="2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ORDINARY SHARES OUTSTANDING (4):</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7,788,349</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10,908,409</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11,050,556</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11,292,610</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11,656,153</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11,576,692</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11,804,576</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Diluted ..........................</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8,805,567</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11,917,605</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11,824,359</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11,943,849</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12,241,820</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12,224,383</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12,169,875</w:t>
            </w:r>
          </w:p>
        </w:tc>
      </w:tr>
      <w:tr>
        <w:trPr>
          <w:trHeight w:val="186"/>
        </w:trPr>
        <w:tc>
          <w:tcPr>
            <w:tcW w:w="340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440"/>
          </w:cols>
          <w:pgMar w:left="240" w:top="676" w:right="219" w:bottom="135" w:gutter="0" w:footer="0" w:header="0"/>
        </w:sectPr>
      </w:pPr>
    </w:p>
    <w:bookmarkStart w:id="7" w:name="page8"/>
    <w:bookmarkEnd w:id="7"/>
    <w:p>
      <w:pPr>
        <w:ind w:left="25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28" w:right="1440" w:bottom="1440" w:gutter="0" w:footer="0" w:header="0"/>
        </w:sectPr>
      </w:pPr>
    </w:p>
    <w:bookmarkStart w:id="8" w:name="page9"/>
    <w:bookmarkEnd w:id="8"/>
    <w:p>
      <w:pPr>
        <w:spacing w:after="0" w:line="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AS OF</w:t>
            </w:r>
          </w:p>
        </w:tc>
        <w:tc>
          <w:tcPr>
            <w:tcW w:w="760" w:type="dxa"/>
            <w:vAlign w:val="bottom"/>
          </w:tcPr>
          <w:p>
            <w:pPr>
              <w:spacing w:after="0"/>
              <w:rPr>
                <w:sz w:val="15"/>
                <w:szCs w:val="15"/>
                <w:color w:val="auto"/>
              </w:rPr>
            </w:pPr>
          </w:p>
        </w:tc>
      </w:tr>
      <w:tr>
        <w:trPr>
          <w:trHeight w:val="186"/>
        </w:trPr>
        <w:tc>
          <w:tcPr>
            <w:tcW w:w="3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AS OF MAY 31,</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FEBRUARY 28,</w:t>
            </w:r>
          </w:p>
        </w:tc>
      </w:tr>
      <w:tr>
        <w:trPr>
          <w:trHeight w:val="186"/>
        </w:trPr>
        <w:tc>
          <w:tcPr>
            <w:tcW w:w="300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000" w:type="dxa"/>
            <w:vAlign w:val="bottom"/>
          </w:tcPr>
          <w:p>
            <w:pPr>
              <w:spacing w:after="0"/>
              <w:rPr>
                <w:sz w:val="16"/>
                <w:szCs w:val="16"/>
                <w:color w:val="auto"/>
              </w:rPr>
            </w:pPr>
          </w:p>
        </w:tc>
        <w:tc>
          <w:tcPr>
            <w:tcW w:w="126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3"/>
              </w:rPr>
              <w:t>2003</w:t>
            </w:r>
          </w:p>
        </w:tc>
      </w:tr>
      <w:tr>
        <w:trPr>
          <w:trHeight w:val="186"/>
        </w:trPr>
        <w:tc>
          <w:tcPr>
            <w:tcW w:w="30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$54,384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$12,353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$26,552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$11,179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36,291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21,862</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(available for sale)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35,936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21,405</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18,551</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Working capital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57,886</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56,944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57,962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72,923</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50,451</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Total assets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89,981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95,758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100,118</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165,794</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215,044</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Total debt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1,312</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3,514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11,745</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10,503</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Government grants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705</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533</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476</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962</w:t>
            </w:r>
          </w:p>
        </w:tc>
        <w:tc>
          <w:tcPr>
            <w:tcW w:w="3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1,079</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Shareholders' equity .........</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$64,074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$71,633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$77,053</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$86,580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107,561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126,350</w:t>
            </w:r>
          </w:p>
        </w:tc>
      </w:tr>
    </w:tbl>
    <w:p>
      <w:pPr>
        <w:spacing w:after="0" w:line="200" w:lineRule="exact"/>
        <w:rPr>
          <w:sz w:val="20"/>
          <w:szCs w:val="20"/>
          <w:color w:val="auto"/>
        </w:rPr>
      </w:pPr>
    </w:p>
    <w:p>
      <w:pPr>
        <w:spacing w:after="0" w:line="363"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3380" w:hanging="384"/>
        <w:spacing w:after="0" w:line="248"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184" w:lineRule="exact"/>
        <w:rPr>
          <w:rFonts w:ascii="Courier New" w:cs="Courier New" w:eastAsia="Courier New" w:hAnsi="Courier New"/>
          <w:sz w:val="16"/>
          <w:szCs w:val="16"/>
          <w:color w:val="auto"/>
        </w:rPr>
      </w:pPr>
    </w:p>
    <w:p>
      <w:pPr>
        <w:ind w:left="481" w:right="348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185" w:lineRule="exact"/>
        <w:rPr>
          <w:rFonts w:ascii="Courier New" w:cs="Courier New" w:eastAsia="Courier New" w:hAnsi="Courier New"/>
          <w:sz w:val="16"/>
          <w:szCs w:val="16"/>
          <w:color w:val="auto"/>
        </w:rPr>
      </w:pPr>
    </w:p>
    <w:p>
      <w:pPr>
        <w:ind w:left="481" w:right="328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161"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80" w:type="dxa"/>
            <w:vAlign w:val="bottom"/>
            <w:gridSpan w:val="3"/>
          </w:tcPr>
          <w:p>
            <w:pPr>
              <w:jc w:val="right"/>
              <w:ind w:right="879"/>
              <w:spacing w:after="0"/>
              <w:rPr>
                <w:sz w:val="20"/>
                <w:szCs w:val="20"/>
                <w:color w:val="auto"/>
              </w:rPr>
            </w:pPr>
            <w:r>
              <w:rPr>
                <w:rFonts w:ascii="Courier New" w:cs="Courier New" w:eastAsia="Courier New" w:hAnsi="Courier New"/>
                <w:sz w:val="16"/>
                <w:szCs w:val="16"/>
                <w:color w:val="auto"/>
              </w:rPr>
              <w:t>YEAR ENDED MAY 31,</w:t>
            </w:r>
          </w:p>
        </w:tc>
        <w:tc>
          <w:tcPr>
            <w:tcW w:w="9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5"/>
              </w:rPr>
              <w:t>-------------------------------------------------------</w:t>
            </w: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0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50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(IN THOUSANDS, EXCEPT PER SHARE DATA)</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3"/>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4,343</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$8,053</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$6,068</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$10,978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$14,200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Adjusted net</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4,343</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$8,053</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$6,106</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$11,188</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$14,200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28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per ordinary</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share reported ........</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$ 0.74</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$ 0.55</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$ 0.97</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$ 1.22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$ 0.90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$ 1.10</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$ 0.02</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Adjusted basic net</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per</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ordinary share ........</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$ 0.74</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$ 0.55</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$ 0.99</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$ 1.22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$ 0.90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$ 1.10</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Diluted net income</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per ordinary</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share reported ........</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0.49</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$ 0.68</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$ 0.51</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$ 0.92</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$ 1.16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$ 1.07</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 ..........</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$ 0.02</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Adjusted diluted</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net income per</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ordinary share ........</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0.49</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$ 0.68</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$ 0.51</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$ 0.94</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$ 1.16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$ 1.07</w:t>
            </w:r>
          </w:p>
        </w:tc>
      </w:tr>
      <w:tr>
        <w:trPr>
          <w:trHeight w:val="186"/>
        </w:trPr>
        <w:tc>
          <w:tcPr>
            <w:tcW w:w="2280" w:type="dxa"/>
            <w:vAlign w:val="bottom"/>
          </w:tcPr>
          <w:p>
            <w:pPr>
              <w:spacing w:after="0"/>
              <w:rPr>
                <w:sz w:val="16"/>
                <w:szCs w:val="16"/>
                <w:color w:val="auto"/>
              </w:rPr>
            </w:pP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81" w:right="3380" w:hanging="384"/>
        <w:spacing w:after="0" w:line="24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 to include potential ordinary shares from the exercise of options</w:t>
      </w:r>
    </w:p>
    <w:p>
      <w:pPr>
        <w:sectPr>
          <w:pgSz w:w="11900" w:h="16903" w:orient="portrait"/>
          <w:cols w:equalWidth="0" w:num="1">
            <w:col w:w="11041"/>
          </w:cols>
          <w:pgMar w:left="239" w:top="1235" w:right="619" w:bottom="0"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514" w:right="1440" w:bottom="1440" w:gutter="0" w:footer="0" w:header="0"/>
        </w:sectPr>
      </w:pPr>
    </w:p>
    <w:bookmarkStart w:id="10" w:name="page11"/>
    <w:bookmarkEnd w:id="10"/>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RISKS RELATED TO OUR BUSINESS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9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193"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85" w:lineRule="exact"/>
        <w:rPr>
          <w:sz w:val="20"/>
          <w:szCs w:val="20"/>
          <w:color w:val="auto"/>
        </w:rPr>
      </w:pPr>
    </w:p>
    <w:p>
      <w:pPr>
        <w:ind w:left="1160" w:right="2659" w:hanging="579"/>
        <w:spacing w:after="0" w:line="248" w:lineRule="auto"/>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1" w:name="page12"/>
    <w:bookmarkEnd w:id="11"/>
    <w:p>
      <w:pPr>
        <w:ind w:right="2459" w:firstLine="581"/>
        <w:spacing w:after="0" w:line="248"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Quintiles Transnational Corporation, Covance, Inc., PAREXEL International Corp., Kendle International Inc., Ingenix Inc. (United Health), Omnicare, Inc., PRA Inc., MDS Inc., Inveresk Research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192"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18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93"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2" w:name="page13"/>
    <w:bookmarkEnd w:id="12"/>
    <w:p>
      <w:pPr>
        <w:ind w:right="2559"/>
        <w:spacing w:after="0" w:line="247"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85" w:lineRule="exact"/>
        <w:rPr>
          <w:sz w:val="20"/>
          <w:szCs w:val="20"/>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184"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3" w:name="page14"/>
    <w:bookmarkEnd w:id="13"/>
    <w:p>
      <w:pPr>
        <w:jc w:val="center"/>
        <w:ind w:right="245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37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13,328,217 and purchasers of ADSs in this offering will experience an immediate and substantial dilution in the net tangible book value per ordinary share of $ (based on the sale of the ADSs at the public offering price set forth on the cover page of this prospectus).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4" w:name="page15"/>
    <w:bookmarkEnd w:id="14"/>
    <w:p>
      <w:pPr>
        <w:ind w:left="164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5" w:name="page16"/>
    <w:bookmarkEnd w:id="15"/>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378"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 expenses payable by us, will be approximately $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37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6" w:name="page17"/>
    <w:bookmarkEnd w:id="16"/>
    <w:p>
      <w:pPr>
        <w:ind w:left="204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378"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11,828,217 ordinary shares were issued and outstanding as of February 28,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ADSS</w:t>
            </w:r>
          </w:p>
        </w:tc>
      </w:tr>
      <w:tr>
        <w:trPr>
          <w:trHeight w:val="186"/>
        </w:trPr>
        <w:tc>
          <w:tcPr>
            <w:tcW w:w="446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NASDAQ</w:t>
            </w:r>
          </w:p>
        </w:tc>
      </w:tr>
      <w:tr>
        <w:trPr>
          <w:trHeight w:val="186"/>
        </w:trPr>
        <w:tc>
          <w:tcPr>
            <w:tcW w:w="446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HIGH</w:t>
            </w:r>
          </w:p>
        </w:tc>
        <w:tc>
          <w:tcPr>
            <w:tcW w:w="17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LOW</w:t>
            </w:r>
          </w:p>
        </w:tc>
      </w:tr>
      <w:tr>
        <w:trPr>
          <w:trHeight w:val="186"/>
        </w:trPr>
        <w:tc>
          <w:tcPr>
            <w:tcW w:w="446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LAST SIX MONTHS:</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April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$25.90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March,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$23.50</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February,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$22.86</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January, 2003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$26.78</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December, 2002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$27.41</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November, 2002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$22.00</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LAST ELEVEN QUARTERS:</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$18.99</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$34.49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$23.87</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$25.13</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$35.69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$26.74</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$18.38</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Third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Second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$20.13</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First Quarter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LAST FIVE FISCAL YEARS:</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2002 .....................................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2001 .....................................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2000 .....................................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1999 .....................................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6"/>
        </w:trPr>
        <w:tc>
          <w:tcPr>
            <w:tcW w:w="4460" w:type="dxa"/>
            <w:vAlign w:val="bottom"/>
          </w:tcPr>
          <w:p>
            <w:pPr>
              <w:ind w:left="200"/>
              <w:spacing w:after="0"/>
              <w:rPr>
                <w:sz w:val="20"/>
                <w:szCs w:val="20"/>
                <w:color w:val="auto"/>
              </w:rPr>
            </w:pPr>
            <w:r>
              <w:rPr>
                <w:rFonts w:ascii="Courier New" w:cs="Courier New" w:eastAsia="Courier New" w:hAnsi="Courier New"/>
                <w:sz w:val="16"/>
                <w:szCs w:val="16"/>
                <w:color w:val="auto"/>
              </w:rPr>
              <w:t>1998 .....................................</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$25.68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$23.56</w:t>
            </w:r>
          </w:p>
        </w:tc>
      </w:tr>
    </w:tbl>
    <w:p>
      <w:pPr>
        <w:spacing w:after="0" w:line="377"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7" w:name="page18"/>
    <w:bookmarkEnd w:id="17"/>
    <w:p>
      <w:pPr>
        <w:ind w:left="3201"/>
        <w:spacing w:after="0"/>
        <w:rPr>
          <w:sz w:val="20"/>
          <w:szCs w:val="20"/>
          <w:color w:val="auto"/>
        </w:rPr>
      </w:pPr>
      <w:r>
        <w:rPr>
          <w:rFonts w:ascii="Courier New" w:cs="Courier New" w:eastAsia="Courier New" w:hAnsi="Courier New"/>
          <w:sz w:val="16"/>
          <w:szCs w:val="16"/>
          <w:color w:val="auto"/>
        </w:rPr>
        <w:t>CAPITALIZATION</w:t>
      </w:r>
    </w:p>
    <w:p>
      <w:pPr>
        <w:spacing w:after="0" w:line="378" w:lineRule="exact"/>
        <w:rPr>
          <w:sz w:val="20"/>
          <w:szCs w:val="20"/>
          <w:color w:val="auto"/>
        </w:rPr>
      </w:pPr>
    </w:p>
    <w:p>
      <w:pPr>
        <w:ind w:left="1" w:right="2459" w:firstLine="581"/>
        <w:spacing w:after="0" w:line="248" w:lineRule="auto"/>
        <w:rPr>
          <w:sz w:val="20"/>
          <w:szCs w:val="20"/>
          <w:color w:val="auto"/>
        </w:rPr>
      </w:pPr>
      <w:r>
        <w:rPr>
          <w:rFonts w:ascii="Courier New" w:cs="Courier New" w:eastAsia="Courier New" w:hAnsi="Courier New"/>
          <w:sz w:val="16"/>
          <w:szCs w:val="16"/>
          <w:color w:val="auto"/>
        </w:rPr>
        <w:t>The following table sets forth, as of February 28, 2003, our cash and cash equivalents, short-term investments, short-term debt and capitalization:</w:t>
      </w:r>
    </w:p>
    <w:p>
      <w:pPr>
        <w:spacing w:after="0" w:line="371" w:lineRule="exact"/>
        <w:rPr>
          <w:sz w:val="20"/>
          <w:szCs w:val="20"/>
          <w:color w:val="auto"/>
        </w:rPr>
      </w:pPr>
    </w:p>
    <w:p>
      <w:pPr>
        <w:ind w:left="1161" w:hanging="579"/>
        <w:spacing w:after="0"/>
        <w:tabs>
          <w:tab w:leader="none" w:pos="11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w:t>
      </w:r>
    </w:p>
    <w:p>
      <w:pPr>
        <w:spacing w:after="0" w:line="377" w:lineRule="exact"/>
        <w:rPr>
          <w:rFonts w:ascii="Courier New" w:cs="Courier New" w:eastAsia="Courier New" w:hAnsi="Courier New"/>
          <w:sz w:val="16"/>
          <w:szCs w:val="16"/>
          <w:color w:val="auto"/>
        </w:rPr>
      </w:pPr>
    </w:p>
    <w:p>
      <w:pPr>
        <w:ind w:left="1" w:right="2459" w:firstLine="581"/>
        <w:spacing w:after="0" w:line="247"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give effect to the issuance and sale of 1,500,000 ADSs by us in this offering at an assumed offering price of $26.29 (based on the last reported sale price of our ADSs on May 7, 2003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AS OF</w:t>
            </w:r>
          </w:p>
        </w:tc>
        <w:tc>
          <w:tcPr>
            <w:tcW w:w="820" w:type="dxa"/>
            <w:vAlign w:val="bottom"/>
          </w:tcPr>
          <w:p>
            <w:pPr>
              <w:spacing w:after="0"/>
              <w:rPr>
                <w:sz w:val="15"/>
                <w:szCs w:val="15"/>
                <w:color w:val="auto"/>
              </w:rPr>
            </w:pP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FEBRUARY 28, 2003</w:t>
            </w: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ACTUAL</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820" w:type="dxa"/>
            <w:vAlign w:val="bottom"/>
          </w:tcPr>
          <w:p>
            <w:pPr>
              <w:spacing w:after="0"/>
              <w:rPr>
                <w:sz w:val="16"/>
                <w:szCs w:val="16"/>
                <w:color w:val="auto"/>
              </w:rPr>
            </w:pP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21,862</w:t>
            </w:r>
          </w:p>
        </w:tc>
      </w:tr>
      <w:tr>
        <w:trPr>
          <w:trHeight w:val="186"/>
        </w:trPr>
        <w:tc>
          <w:tcPr>
            <w:tcW w:w="70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Short-term investments (available for sale)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36,056</w:t>
            </w:r>
          </w:p>
        </w:tc>
      </w:tr>
      <w:tr>
        <w:trPr>
          <w:trHeight w:val="186"/>
        </w:trPr>
        <w:tc>
          <w:tcPr>
            <w:tcW w:w="70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Total short-term debt (1)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10,503</w:t>
            </w:r>
          </w:p>
        </w:tc>
      </w:tr>
      <w:tr>
        <w:trPr>
          <w:trHeight w:val="186"/>
        </w:trPr>
        <w:tc>
          <w:tcPr>
            <w:tcW w:w="70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Ordinary shares, par value (euro)0.06 per share: 20,000,000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shares authorized; 11,828,217 fully-paid shares issued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and outstanding (actual); 13,328,217 fully-paid shares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issued and outstanding (as adjusted)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840</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937</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Additional paid-in capital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60,865</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96,824</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2,821</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2,821</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Merger reserve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Retained earnings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61,777</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61,777</w:t>
            </w:r>
          </w:p>
        </w:tc>
      </w:tr>
      <w:tr>
        <w:trPr>
          <w:trHeight w:val="186"/>
        </w:trPr>
        <w:tc>
          <w:tcPr>
            <w:tcW w:w="70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Total shareholders' equity .............................................</w:t>
            </w:r>
          </w:p>
        </w:tc>
        <w:tc>
          <w:tcPr>
            <w:tcW w:w="1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126,350</w:t>
            </w:r>
          </w:p>
        </w:tc>
        <w:tc>
          <w:tcPr>
            <w:tcW w:w="10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162,406</w:t>
            </w:r>
          </w:p>
        </w:tc>
      </w:tr>
      <w:tr>
        <w:trPr>
          <w:trHeight w:val="186"/>
        </w:trPr>
        <w:tc>
          <w:tcPr>
            <w:tcW w:w="70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Total capitalization ...................................................</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$ 136,853</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$ 172,909</w:t>
            </w:r>
          </w:p>
        </w:tc>
      </w:tr>
      <w:tr>
        <w:trPr>
          <w:trHeight w:val="186"/>
        </w:trPr>
        <w:tc>
          <w:tcPr>
            <w:tcW w:w="70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759" w:hanging="384"/>
        <w:spacing w:after="0" w:line="247" w:lineRule="auto"/>
        <w:tabs>
          <w:tab w:leader="none" w:pos="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discussion of our indebtedness, see "Management's Discussion and Analysis of Financial Condition and Results of Operations--Liquidity and Capital Resources".</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8" w:name="page19"/>
    <w:bookmarkEnd w:id="18"/>
    <w:tbl>
      <w:tblPr>
        <w:tblLayout w:type="fixed"/>
        <w:tblInd w:w="1" w:type="dxa"/>
        <w:tblCellMar>
          <w:top w:w="0" w:type="dxa"/>
          <w:left w:w="0" w:type="dxa"/>
          <w:bottom w:w="0" w:type="dxa"/>
          <w:right w:w="0" w:type="dxa"/>
        </w:tblCellMar>
      </w:tblPr>
      <w:tr>
        <w:trPr>
          <w:trHeight w:val="183"/>
        </w:trPr>
        <w:tc>
          <w:tcPr>
            <w:tcW w:w="3440" w:type="dxa"/>
            <w:vAlign w:val="bottom"/>
          </w:tcPr>
          <w:p>
            <w:pPr>
              <w:spacing w:after="0"/>
              <w:rPr>
                <w:sz w:val="15"/>
                <w:szCs w:val="15"/>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DILUTION</w:t>
            </w: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559"/>
        </w:trPr>
        <w:tc>
          <w:tcPr>
            <w:tcW w:w="9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As of February 28, 2003, our net tangible book value was $84.4 million, or</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$7.13 per ordinary share. Net tangible book value per ordinary share represents</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by the aggregate number of ordinary</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shares outstanding. After giving effect to</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our sale of the ADSs in this offering, at an assumed public offering price of</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$26.29 per ADS, and after deducting</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estimated underwriting discounts and</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estimated offering expenses payable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by us, our pro forma net tangible book value</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as of February 28, 2003, would have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been approximately $120.4 million, or $9.04</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per ordinary share. This represents</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an immediate increase in pro forma net</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9100" w:type="dxa"/>
            <w:vAlign w:val="bottom"/>
            <w:gridSpan w:val="2"/>
          </w:tcPr>
          <w:p>
            <w:pPr>
              <w:spacing w:after="0"/>
              <w:rPr>
                <w:sz w:val="20"/>
                <w:szCs w:val="20"/>
                <w:color w:val="auto"/>
              </w:rPr>
            </w:pPr>
            <w:r>
              <w:rPr>
                <w:rFonts w:ascii="Courier New" w:cs="Courier New" w:eastAsia="Courier New" w:hAnsi="Courier New"/>
                <w:sz w:val="16"/>
                <w:szCs w:val="16"/>
                <w:color w:val="auto"/>
              </w:rPr>
              <w:t>tangible book value to existing stockholders of $1.91 per ordinary share and an</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immediate dilution to new investors</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$17.25 per ordinary share.</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559"/>
        </w:trPr>
        <w:tc>
          <w:tcPr>
            <w:tcW w:w="9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32"/>
        </w:trPr>
        <w:tc>
          <w:tcPr>
            <w:tcW w:w="3440" w:type="dxa"/>
            <w:vAlign w:val="bottom"/>
          </w:tcPr>
          <w:p>
            <w:pPr>
              <w:ind w:left="380"/>
              <w:spacing w:after="0"/>
              <w:rPr>
                <w:sz w:val="20"/>
                <w:szCs w:val="20"/>
                <w:color w:val="auto"/>
              </w:rPr>
            </w:pPr>
            <w:r>
              <w:rPr>
                <w:rFonts w:ascii="Courier New" w:cs="Courier New" w:eastAsia="Courier New" w:hAnsi="Courier New"/>
                <w:sz w:val="16"/>
                <w:szCs w:val="16"/>
                <w:color w:val="auto"/>
              </w:rPr>
              <w:t>Public offering price per ADS</w:t>
            </w:r>
          </w:p>
        </w:tc>
        <w:tc>
          <w:tcPr>
            <w:tcW w:w="5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26.29</w:t>
            </w:r>
          </w:p>
        </w:tc>
      </w:tr>
      <w:tr>
        <w:trPr>
          <w:trHeight w:val="186"/>
        </w:trPr>
        <w:tc>
          <w:tcPr>
            <w:tcW w:w="9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Net tangible book value per ordinary share as of February 28, 2003 (1)</w:t>
            </w: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7.13</w:t>
            </w:r>
          </w:p>
        </w:tc>
        <w:tc>
          <w:tcPr>
            <w:tcW w:w="580" w:type="dxa"/>
            <w:vAlign w:val="bottom"/>
          </w:tcPr>
          <w:p>
            <w:pPr>
              <w:spacing w:after="0"/>
              <w:rPr>
                <w:sz w:val="16"/>
                <w:szCs w:val="16"/>
                <w:color w:val="auto"/>
              </w:rPr>
            </w:pPr>
          </w:p>
        </w:tc>
      </w:tr>
      <w:tr>
        <w:trPr>
          <w:trHeight w:val="186"/>
        </w:trPr>
        <w:tc>
          <w:tcPr>
            <w:tcW w:w="9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Increase in net tangible book value per ordinary share attributable</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440" w:type="dxa"/>
            <w:vAlign w:val="bottom"/>
          </w:tcPr>
          <w:p>
            <w:pPr>
              <w:ind w:left="580"/>
              <w:spacing w:after="0"/>
              <w:rPr>
                <w:sz w:val="20"/>
                <w:szCs w:val="20"/>
                <w:color w:val="auto"/>
              </w:rPr>
            </w:pPr>
            <w:r>
              <w:rPr>
                <w:rFonts w:ascii="Courier New" w:cs="Courier New" w:eastAsia="Courier New" w:hAnsi="Courier New"/>
                <w:sz w:val="16"/>
                <w:szCs w:val="16"/>
                <w:color w:val="auto"/>
              </w:rPr>
              <w:t>to this offering</w:t>
            </w:r>
          </w:p>
        </w:tc>
        <w:tc>
          <w:tcPr>
            <w:tcW w:w="566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1.91</w:t>
            </w:r>
          </w:p>
        </w:tc>
        <w:tc>
          <w:tcPr>
            <w:tcW w:w="580" w:type="dxa"/>
            <w:vAlign w:val="bottom"/>
          </w:tcPr>
          <w:p>
            <w:pPr>
              <w:spacing w:after="0"/>
              <w:rPr>
                <w:sz w:val="16"/>
                <w:szCs w:val="16"/>
                <w:color w:val="auto"/>
              </w:rPr>
            </w:pPr>
          </w:p>
        </w:tc>
      </w:tr>
      <w:tr>
        <w:trPr>
          <w:trHeight w:val="186"/>
        </w:trPr>
        <w:tc>
          <w:tcPr>
            <w:tcW w:w="34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84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r>
      <w:tr>
        <w:trPr>
          <w:trHeight w:val="186"/>
        </w:trPr>
        <w:tc>
          <w:tcPr>
            <w:tcW w:w="9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9.04</w:t>
            </w:r>
          </w:p>
        </w:tc>
      </w:tr>
      <w:tr>
        <w:trPr>
          <w:trHeight w:val="186"/>
        </w:trPr>
        <w:tc>
          <w:tcPr>
            <w:tcW w:w="34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Dilution in net tangible book value</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per ordinary share to new investors (2)</w:t>
            </w: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17.25</w:t>
            </w:r>
          </w:p>
        </w:tc>
      </w:tr>
      <w:tr>
        <w:trPr>
          <w:trHeight w:val="186"/>
        </w:trPr>
        <w:tc>
          <w:tcPr>
            <w:tcW w:w="34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right="3860" w:firstLine="581"/>
        <w:spacing w:after="0" w:line="247" w:lineRule="auto"/>
        <w:rPr>
          <w:sz w:val="20"/>
          <w:szCs w:val="20"/>
          <w:color w:val="auto"/>
        </w:rPr>
      </w:pPr>
      <w:r>
        <w:rPr>
          <w:rFonts w:ascii="Courier New" w:cs="Courier New" w:eastAsia="Courier New" w:hAnsi="Courier New"/>
          <w:sz w:val="16"/>
          <w:szCs w:val="16"/>
          <w:color w:val="auto"/>
        </w:rPr>
        <w:t>As of February 28, 2003, there were options outstanding to purchase a total of 1,215,065 ordinary shares. To the extent that any of these options are exercised or shares are issued, there will be further dilution to new public investors</w:t>
      </w:r>
    </w:p>
    <w:p>
      <w:pPr>
        <w:spacing w:after="0" w:line="186"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3860" w:hanging="384"/>
        <w:spacing w:after="0" w:line="248"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February 28, 2003 were $42.0 million, or $3.55 per ordinary share.</w:t>
      </w:r>
    </w:p>
    <w:p>
      <w:pPr>
        <w:spacing w:after="0" w:line="370" w:lineRule="exact"/>
        <w:rPr>
          <w:rFonts w:ascii="Courier New" w:cs="Courier New" w:eastAsia="Courier New" w:hAnsi="Courier New"/>
          <w:sz w:val="16"/>
          <w:szCs w:val="16"/>
          <w:color w:val="auto"/>
        </w:rPr>
      </w:pPr>
    </w:p>
    <w:p>
      <w:pPr>
        <w:ind w:left="481" w:right="3760" w:hanging="384"/>
        <w:spacing w:after="0" w:line="247"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521"/>
          </w:cols>
          <w:pgMar w:left="239" w:top="676" w:right="139" w:bottom="1440" w:gutter="0" w:footer="0" w:header="0"/>
        </w:sectPr>
      </w:pPr>
    </w:p>
    <w:bookmarkStart w:id="19" w:name="page20"/>
    <w:bookmarkEnd w:id="19"/>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2,300 employees and operations in 28 locations in 16 countries. Our main regions of operations are the United States, Europe and the Rest of the World. For the nine months ended February 28, 2003, we derived approximately 71.0%, 26.4% and</w:t>
      </w:r>
    </w:p>
    <w:p>
      <w:pPr>
        <w:spacing w:after="0" w:line="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37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 PRAI, a San Francisco based company that specializes in data management, statistical analysis and medical and regulatory consulting, was acquired on January 28, 2000 for approximately $14.4 million;</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 YRCR Limited, or YRCR, a regulatory consulting company based in the United Kingdom, was acquired on January 27, 2000 for approximately sterling 2.1 million;</w:t>
      </w:r>
    </w:p>
    <w:p>
      <w:pPr>
        <w:spacing w:after="0" w:line="18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 Protocole SAS, or Protocole, a clinical research organization specializing in the execution of veterinary trials based in Paris, France, was acquired on March 14, 2000 for approximately $586,000;</w:t>
      </w:r>
    </w:p>
    <w:p>
      <w:pPr>
        <w:spacing w:after="0" w:line="186"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o UCT (U.S.), Inc., or UCT, a central laboratory organization based in New York, New York, was acquired on June 8, 2000 for approximately $7.0 million;</w:t>
      </w:r>
    </w:p>
    <w:p>
      <w:pPr>
        <w:spacing w:after="0" w:line="37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 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 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068" w:gutter="0" w:footer="0" w:header="0"/>
        </w:sectPr>
      </w:pPr>
    </w:p>
    <w:bookmarkStart w:id="20" w:name="page21"/>
    <w:bookmarkEnd w:id="20"/>
    <w:p>
      <w:pPr>
        <w:ind w:right="2559"/>
        <w:spacing w:after="0" w:line="247" w:lineRule="auto"/>
        <w:rPr>
          <w:sz w:val="20"/>
          <w:szCs w:val="20"/>
          <w:color w:val="auto"/>
        </w:rPr>
      </w:pPr>
      <w:r>
        <w:rPr>
          <w:rFonts w:ascii="Courier New" w:cs="Courier New" w:eastAsia="Courier New" w:hAnsi="Courier New"/>
          <w:sz w:val="16"/>
          <w:szCs w:val="16"/>
          <w:color w:val="auto"/>
        </w:rPr>
        <w:t>deducted from gross revenue to arrive at net revenue. As no profit is earned on these costs, which vary from contract to contract, we view net revenue as our primary measure of revenue growth.</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19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378"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RESULTS OF OPERATIONS</w:t>
      </w:r>
    </w:p>
    <w:p>
      <w:pPr>
        <w:spacing w:after="0" w:line="378"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40" w:type="dxa"/>
            <w:vAlign w:val="bottom"/>
          </w:tcPr>
          <w:p>
            <w:pPr>
              <w:spacing w:after="0"/>
              <w:rPr>
                <w:sz w:val="15"/>
                <w:szCs w:val="15"/>
                <w:color w:val="auto"/>
              </w:rPr>
            </w:pPr>
          </w:p>
        </w:tc>
        <w:tc>
          <w:tcPr>
            <w:tcW w:w="276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tcPr>
          <w:p>
            <w:pPr>
              <w:spacing w:after="0"/>
              <w:rPr>
                <w:sz w:val="15"/>
                <w:szCs w:val="15"/>
                <w:color w:val="auto"/>
              </w:rPr>
            </w:pPr>
          </w:p>
        </w:tc>
      </w:tr>
      <w:tr>
        <w:trPr>
          <w:trHeight w:val="186"/>
        </w:trPr>
        <w:tc>
          <w:tcPr>
            <w:tcW w:w="4740" w:type="dxa"/>
            <w:vAlign w:val="bottom"/>
          </w:tcPr>
          <w:p>
            <w:pPr>
              <w:spacing w:after="0"/>
              <w:rPr>
                <w:sz w:val="16"/>
                <w:szCs w:val="16"/>
                <w:color w:val="auto"/>
              </w:rPr>
            </w:pP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FEBRUARY 28,</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FEBRUARY 28,</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74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2003</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74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186"/>
        </w:trPr>
        <w:tc>
          <w:tcPr>
            <w:tcW w:w="4740" w:type="dxa"/>
            <w:vAlign w:val="bottom"/>
          </w:tcPr>
          <w:p>
            <w:pPr>
              <w:spacing w:after="0"/>
              <w:rPr>
                <w:sz w:val="16"/>
                <w:szCs w:val="16"/>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PERCENTAGE INCREASE</w:t>
            </w:r>
          </w:p>
        </w:tc>
      </w:tr>
      <w:tr>
        <w:trPr>
          <w:trHeight w:val="186"/>
        </w:trPr>
        <w:tc>
          <w:tcPr>
            <w:tcW w:w="4740" w:type="dxa"/>
            <w:vAlign w:val="bottom"/>
          </w:tcPr>
          <w:p>
            <w:pPr>
              <w:spacing w:after="0"/>
              <w:rPr>
                <w:sz w:val="16"/>
                <w:szCs w:val="16"/>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373"/>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Net revenue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49.9%</w:t>
            </w:r>
          </w:p>
        </w:tc>
      </w:tr>
      <w:tr>
        <w:trPr>
          <w:trHeight w:val="186"/>
        </w:trPr>
        <w:tc>
          <w:tcPr>
            <w:tcW w:w="4740" w:type="dxa"/>
            <w:vAlign w:val="bottom"/>
          </w:tcPr>
          <w:p>
            <w:pPr>
              <w:jc w:val="right"/>
              <w:ind w:right="2819"/>
              <w:spacing w:after="0"/>
              <w:rPr>
                <w:sz w:val="20"/>
                <w:szCs w:val="20"/>
                <w:color w:val="auto"/>
              </w:rPr>
            </w:pPr>
            <w:r>
              <w:rPr>
                <w:rFonts w:ascii="Courier New" w:cs="Courier New" w:eastAsia="Courier New" w:hAnsi="Courier New"/>
                <w:sz w:val="16"/>
                <w:szCs w:val="16"/>
                <w:color w:val="auto"/>
                <w:w w:val="99"/>
              </w:rPr>
              <w:t>Costs and expenses:</w:t>
            </w: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Direct costs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56.3%</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52.9%</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59.4%</w:t>
            </w: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30.2%</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43.6%</w:t>
            </w: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21.5%</w:t>
            </w:r>
          </w:p>
        </w:tc>
      </w:tr>
      <w:tr>
        <w:trPr>
          <w:trHeight w:val="18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Income from operations .........................</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10.4%</w:t>
            </w:r>
          </w:p>
        </w:tc>
        <w:tc>
          <w:tcPr>
            <w:tcW w:w="13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9"/>
              </w:rPr>
              <w:t>33.4%</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19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881" w:gutter="0" w:footer="0" w:header="0"/>
        </w:sectPr>
      </w:pPr>
    </w:p>
    <w:bookmarkStart w:id="22" w:name="page23"/>
    <w:bookmarkEnd w:id="22"/>
    <w:p>
      <w:pPr>
        <w:ind w:right="2559"/>
        <w:spacing w:after="0" w:line="246" w:lineRule="auto"/>
        <w:rPr>
          <w:sz w:val="20"/>
          <w:szCs w:val="20"/>
          <w:color w:val="auto"/>
        </w:rPr>
      </w:pPr>
      <w:r>
        <w:rPr>
          <w:rFonts w:ascii="Courier New" w:cs="Courier New" w:eastAsia="Courier New" w:hAnsi="Courier New"/>
          <w:sz w:val="16"/>
          <w:szCs w:val="16"/>
          <w:color w:val="auto"/>
        </w:rPr>
        <w:t>effect of acquisitions, income from operations decreased from 11.7% for 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NINE</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MONTHS ENDED</w:t>
            </w:r>
          </w:p>
        </w:tc>
        <w:tc>
          <w:tcPr>
            <w:tcW w:w="1940" w:type="dxa"/>
            <w:vAlign w:val="bottom"/>
          </w:tcPr>
          <w:p>
            <w:pPr>
              <w:spacing w:after="0"/>
              <w:rPr>
                <w:sz w:val="15"/>
                <w:szCs w:val="15"/>
                <w:color w:val="auto"/>
              </w:rPr>
            </w:pPr>
          </w:p>
        </w:tc>
      </w:tr>
      <w:tr>
        <w:trPr>
          <w:trHeight w:val="186"/>
        </w:trPr>
        <w:tc>
          <w:tcPr>
            <w:tcW w:w="524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FEBRUARY</w:t>
            </w:r>
          </w:p>
        </w:tc>
        <w:tc>
          <w:tcPr>
            <w:tcW w:w="1740" w:type="dxa"/>
            <w:vAlign w:val="bottom"/>
          </w:tcPr>
          <w:p>
            <w:pPr>
              <w:spacing w:after="0"/>
              <w:rPr>
                <w:sz w:val="20"/>
                <w:szCs w:val="20"/>
                <w:color w:val="auto"/>
              </w:rPr>
            </w:pPr>
            <w:r>
              <w:rPr>
                <w:rFonts w:ascii="Courier New" w:cs="Courier New" w:eastAsia="Courier New" w:hAnsi="Courier New"/>
                <w:sz w:val="16"/>
                <w:szCs w:val="16"/>
                <w:color w:val="auto"/>
              </w:rPr>
              <w:t>28,  FEBRUARY 28,</w:t>
            </w:r>
          </w:p>
        </w:tc>
        <w:tc>
          <w:tcPr>
            <w:tcW w:w="19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5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2003</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524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w w:val="74"/>
              </w:rPr>
              <w:t>------------</w:t>
            </w:r>
          </w:p>
        </w:tc>
        <w:tc>
          <w:tcPr>
            <w:tcW w:w="1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16"/>
                <w:szCs w:val="16"/>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PERCENTAGE OF NET REVENUE</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PERCENTAGE INCREASE</w:t>
            </w:r>
          </w:p>
        </w:tc>
      </w:tr>
      <w:tr>
        <w:trPr>
          <w:trHeight w:val="186"/>
        </w:trPr>
        <w:tc>
          <w:tcPr>
            <w:tcW w:w="5240" w:type="dxa"/>
            <w:vAlign w:val="bottom"/>
          </w:tcPr>
          <w:p>
            <w:pPr>
              <w:spacing w:after="0"/>
              <w:rPr>
                <w:sz w:val="16"/>
                <w:szCs w:val="16"/>
                <w:color w:val="auto"/>
              </w:rPr>
            </w:pPr>
          </w:p>
        </w:tc>
        <w:tc>
          <w:tcPr>
            <w:tcW w:w="2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revenue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40.6%</w:t>
            </w:r>
          </w:p>
        </w:tc>
      </w:tr>
      <w:tr>
        <w:trPr>
          <w:trHeight w:val="186"/>
        </w:trPr>
        <w:tc>
          <w:tcPr>
            <w:tcW w:w="5240" w:type="dxa"/>
            <w:vAlign w:val="bottom"/>
          </w:tcPr>
          <w:p>
            <w:pPr>
              <w:jc w:val="right"/>
              <w:ind w:right="3319"/>
              <w:spacing w:after="0"/>
              <w:rPr>
                <w:sz w:val="20"/>
                <w:szCs w:val="20"/>
                <w:color w:val="auto"/>
              </w:rPr>
            </w:pPr>
            <w:r>
              <w:rPr>
                <w:rFonts w:ascii="Courier New" w:cs="Courier New" w:eastAsia="Courier New" w:hAnsi="Courier New"/>
                <w:sz w:val="16"/>
                <w:szCs w:val="16"/>
                <w:color w:val="auto"/>
                <w:w w:val="99"/>
              </w:rPr>
              <w:t>Costs and expenses:</w:t>
            </w:r>
          </w:p>
        </w:tc>
        <w:tc>
          <w:tcPr>
            <w:tcW w:w="1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Direct costs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54.8%</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53.2%</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44.8%</w:t>
            </w: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Selling, general and administrative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31.0%</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31.3%</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39.2%</w:t>
            </w: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Depreciation and amortization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3.9%</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13.6%</w:t>
            </w:r>
          </w:p>
        </w:tc>
      </w:tr>
      <w:tr>
        <w:trPr>
          <w:trHeight w:val="186"/>
        </w:trPr>
        <w:tc>
          <w:tcPr>
            <w:tcW w:w="52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Income from operations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c>
          <w:tcPr>
            <w:tcW w:w="17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11.6%</w:t>
            </w:r>
          </w:p>
        </w:tc>
        <w:tc>
          <w:tcPr>
            <w:tcW w:w="19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34.6%</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9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62" w:right="1440" w:bottom="1440" w:gutter="0" w:footer="0" w:header="0"/>
        </w:sectPr>
      </w:pPr>
    </w:p>
    <w:bookmarkStart w:id="23" w:name="page24"/>
    <w:bookmarkEnd w:id="23"/>
    <w:p>
      <w:pPr>
        <w:ind w:right="2800"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191"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191"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Operating margins for our clinical research segment increased from 11.0% in the nine months ended February 28, 2002 to 12.4% for the nine months ended February 28, 2003 primarily due to improved staff utilization.</w:t>
      </w:r>
    </w:p>
    <w:p>
      <w:pPr>
        <w:spacing w:after="0" w:line="194" w:lineRule="exact"/>
        <w:rPr>
          <w:sz w:val="20"/>
          <w:szCs w:val="20"/>
          <w:color w:val="auto"/>
        </w:rPr>
      </w:pPr>
    </w:p>
    <w:p>
      <w:pPr>
        <w:ind w:right="2900" w:firstLine="581"/>
        <w:spacing w:after="0" w:line="246"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0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TO 2001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508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PERCENTAGE INCREASE/</w:t>
            </w:r>
          </w:p>
        </w:tc>
      </w:tr>
      <w:tr>
        <w:trPr>
          <w:trHeight w:val="186"/>
        </w:trPr>
        <w:tc>
          <w:tcPr>
            <w:tcW w:w="5080" w:type="dxa"/>
            <w:vAlign w:val="bottom"/>
          </w:tcPr>
          <w:p>
            <w:pPr>
              <w:spacing w:after="0"/>
              <w:rPr>
                <w:sz w:val="16"/>
                <w:szCs w:val="16"/>
                <w:color w:val="auto"/>
              </w:rPr>
            </w:pPr>
          </w:p>
        </w:tc>
        <w:tc>
          <w:tcPr>
            <w:tcW w:w="330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PERCENTAGE OF NET REVENUE</w:t>
            </w:r>
          </w:p>
        </w:tc>
        <w:tc>
          <w:tcPr>
            <w:tcW w:w="2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(DECREASE)</w:t>
            </w:r>
          </w:p>
        </w:tc>
      </w:tr>
      <w:tr>
        <w:trPr>
          <w:trHeight w:val="186"/>
        </w:trPr>
        <w:tc>
          <w:tcPr>
            <w:tcW w:w="508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1060" w:type="dxa"/>
            <w:vAlign w:val="bottom"/>
          </w:tcPr>
          <w:p>
            <w:pPr>
              <w:spacing w:after="0"/>
              <w:rPr>
                <w:sz w:val="16"/>
                <w:szCs w:val="16"/>
                <w:color w:val="auto"/>
              </w:rPr>
            </w:pP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revenue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5080" w:type="dxa"/>
            <w:vAlign w:val="bottom"/>
          </w:tcPr>
          <w:p>
            <w:pPr>
              <w:jc w:val="right"/>
              <w:ind w:right="3159"/>
              <w:spacing w:after="0"/>
              <w:rPr>
                <w:sz w:val="20"/>
                <w:szCs w:val="20"/>
                <w:color w:val="auto"/>
              </w:rPr>
            </w:pPr>
            <w:r>
              <w:rPr>
                <w:rFonts w:ascii="Courier New" w:cs="Courier New" w:eastAsia="Courier New" w:hAnsi="Courier New"/>
                <w:sz w:val="16"/>
                <w:szCs w:val="16"/>
                <w:color w:val="auto"/>
                <w:w w:val="99"/>
              </w:rPr>
              <w:t>Costs and expenses:</w:t>
            </w: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Direct costs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54.9%</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30.7%</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Selling, general and administrative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33.9%</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Depreciation and amortization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21.0%</w:t>
            </w:r>
          </w:p>
        </w:tc>
      </w:tr>
      <w:tr>
        <w:trPr>
          <w:trHeight w:val="186"/>
        </w:trPr>
        <w:tc>
          <w:tcPr>
            <w:tcW w:w="5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Income from operations ............................</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9.5%</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64.4%</w:t>
            </w:r>
          </w:p>
        </w:tc>
      </w:tr>
    </w:tbl>
    <w:p>
      <w:pPr>
        <w:spacing w:after="0" w:line="377" w:lineRule="exact"/>
        <w:rPr>
          <w:sz w:val="20"/>
          <w:szCs w:val="20"/>
          <w:color w:val="auto"/>
        </w:rPr>
      </w:pPr>
    </w:p>
    <w:p>
      <w:pPr>
        <w:ind w:right="3000" w:firstLine="581"/>
        <w:spacing w:after="0" w:line="247"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 million, or 27.4% in fiscal 2002 compared to fiscal 2001. Of the total increase, revenues in the United States and Europe/Rest of the World grew by 31.3% and 43.2%, respectively.</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560"/>
          </w:cols>
          <w:pgMar w:left="240" w:top="862" w:right="1099" w:bottom="1440" w:gutter="0" w:footer="0" w:header="0"/>
        </w:sectPr>
      </w:pPr>
    </w:p>
    <w:bookmarkStart w:id="24" w:name="page25"/>
    <w:bookmarkEnd w:id="24"/>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 twelve months to May 31, 2000, to 54.9% in the equivalent period in fiscal 2001. Excluding acquisitions, direct costs were 53.3% of net revenues in the twelve months to May 31, 2001.</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5" w:name="page26"/>
    <w:bookmarkEnd w:id="25"/>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LIQUIDITY AND CAPITAL RESOURCES</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38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6" w:name="page27"/>
    <w:bookmarkEnd w:id="26"/>
    <w:p>
      <w:pPr>
        <w:ind w:right="2459" w:firstLine="581"/>
        <w:spacing w:after="0" w:line="246"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194"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62" w:right="1440" w:bottom="1440" w:gutter="0" w:footer="0" w:header="0"/>
        </w:sectPr>
      </w:pPr>
    </w:p>
    <w:bookmarkStart w:id="27" w:name="page28"/>
    <w:bookmarkEnd w:id="27"/>
    <w:p>
      <w:pPr>
        <w:ind w:right="2659"/>
        <w:spacing w:after="0" w:line="247"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378"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7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PAYMENTS DUE BY PERIOD</w:t>
            </w:r>
          </w:p>
        </w:tc>
        <w:tc>
          <w:tcPr>
            <w:tcW w:w="1100" w:type="dxa"/>
            <w:vAlign w:val="bottom"/>
          </w:tcPr>
          <w:p>
            <w:pPr>
              <w:spacing w:after="0"/>
              <w:rPr>
                <w:sz w:val="15"/>
                <w:szCs w:val="15"/>
                <w:color w:val="auto"/>
              </w:rPr>
            </w:pPr>
          </w:p>
        </w:tc>
      </w:tr>
      <w:tr>
        <w:trPr>
          <w:trHeight w:val="186"/>
        </w:trPr>
        <w:tc>
          <w:tcPr>
            <w:tcW w:w="4700" w:type="dxa"/>
            <w:vAlign w:val="bottom"/>
          </w:tcPr>
          <w:p>
            <w:pPr>
              <w:spacing w:after="0"/>
              <w:rPr>
                <w:sz w:val="16"/>
                <w:szCs w:val="16"/>
                <w:color w:val="auto"/>
              </w:rPr>
            </w:pPr>
          </w:p>
        </w:tc>
        <w:tc>
          <w:tcPr>
            <w:tcW w:w="5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LESS THAN</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 TO 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AFTER 5</w:t>
            </w:r>
          </w:p>
        </w:tc>
      </w:tr>
      <w:tr>
        <w:trPr>
          <w:trHeight w:val="186"/>
        </w:trPr>
        <w:tc>
          <w:tcPr>
            <w:tcW w:w="4700" w:type="dxa"/>
            <w:vAlign w:val="bottom"/>
          </w:tcPr>
          <w:p>
            <w:pPr>
              <w:spacing w:after="0"/>
              <w:rPr>
                <w:sz w:val="16"/>
                <w:szCs w:val="16"/>
                <w:color w:val="auto"/>
              </w:rPr>
            </w:pP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TOTAL</w:t>
            </w:r>
          </w:p>
        </w:tc>
        <w:tc>
          <w:tcPr>
            <w:tcW w:w="13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 YEAR</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YEARS</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YEARS</w:t>
            </w:r>
          </w:p>
        </w:tc>
      </w:tr>
      <w:tr>
        <w:trPr>
          <w:trHeight w:val="186"/>
        </w:trPr>
        <w:tc>
          <w:tcPr>
            <w:tcW w:w="470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60" w:type="dxa"/>
            <w:vAlign w:val="bottom"/>
            <w:gridSpan w:val="2"/>
          </w:tcPr>
          <w:p>
            <w:pPr>
              <w:jc w:val="right"/>
              <w:ind w:right="759"/>
              <w:spacing w:after="0"/>
              <w:rPr>
                <w:sz w:val="20"/>
                <w:szCs w:val="20"/>
                <w:color w:val="auto"/>
              </w:rPr>
            </w:pPr>
            <w:r>
              <w:rPr>
                <w:rFonts w:ascii="Courier New" w:cs="Courier New" w:eastAsia="Courier New" w:hAnsi="Courier New"/>
                <w:sz w:val="16"/>
                <w:szCs w:val="16"/>
                <w:color w:val="auto"/>
              </w:rPr>
              <w:t>(IN THOUSANDS)</w:t>
            </w:r>
          </w:p>
        </w:tc>
        <w:tc>
          <w:tcPr>
            <w:tcW w:w="1100" w:type="dxa"/>
            <w:vAlign w:val="bottom"/>
          </w:tcPr>
          <w:p>
            <w:pPr>
              <w:spacing w:after="0"/>
              <w:rPr>
                <w:sz w:val="16"/>
                <w:szCs w:val="16"/>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$121,579</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$ 7,359</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$50,406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10,503</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10,503</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contingent consideration (1) ................</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13,460</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4,120</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9,340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$145,542</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$21,982</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$59,746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470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This cash is payable under earn-out clauses included in acquisitions.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38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INFLATION</w:t>
      </w:r>
    </w:p>
    <w:p>
      <w:pPr>
        <w:spacing w:after="0" w:line="191"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62" w:right="1440" w:bottom="695" w:gutter="0" w:footer="0" w:header="0"/>
        </w:sectPr>
      </w:pPr>
    </w:p>
    <w:bookmarkStart w:id="28" w:name="page29"/>
    <w:bookmarkEnd w:id="28"/>
    <w:p>
      <w:pPr>
        <w:ind w:left="2520"/>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186" w:lineRule="exact"/>
        <w:rPr>
          <w:sz w:val="20"/>
          <w:szCs w:val="20"/>
          <w:color w:val="auto"/>
        </w:rPr>
      </w:pPr>
    </w:p>
    <w:p>
      <w:pPr>
        <w:ind w:left="1160" w:right="2959" w:hanging="579"/>
        <w:spacing w:after="0" w:line="248" w:lineRule="auto"/>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NEW ACCOUNTING PRONOUNCEMENTS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29" w:name="page30"/>
    <w:bookmarkEnd w:id="29"/>
    <w:p>
      <w:pPr>
        <w:ind w:right="2459"/>
        <w:spacing w:after="0" w:line="246" w:lineRule="auto"/>
        <w:rPr>
          <w:sz w:val="20"/>
          <w:szCs w:val="20"/>
          <w:color w:val="auto"/>
        </w:rPr>
      </w:pPr>
      <w:r>
        <w:rPr>
          <w:rFonts w:ascii="Courier New" w:cs="Courier New" w:eastAsia="Courier New" w:hAnsi="Courier New"/>
          <w:sz w:val="16"/>
          <w:szCs w:val="16"/>
          <w:color w:val="auto"/>
        </w:rPr>
        <w:t>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92"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YEAR ENDED MAY 31,</w:t>
            </w:r>
          </w:p>
        </w:tc>
      </w:tr>
      <w:tr>
        <w:trPr>
          <w:trHeight w:val="186"/>
        </w:trPr>
        <w:tc>
          <w:tcPr>
            <w:tcW w:w="48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339"/>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(IN THOUSANDS,</w:t>
            </w:r>
          </w:p>
        </w:tc>
        <w:tc>
          <w:tcPr>
            <w:tcW w:w="720" w:type="dxa"/>
            <w:vAlign w:val="bottom"/>
          </w:tcPr>
          <w:p>
            <w:pPr>
              <w:spacing w:after="0"/>
              <w:rPr>
                <w:sz w:val="16"/>
                <w:szCs w:val="16"/>
                <w:color w:val="auto"/>
              </w:rPr>
            </w:pPr>
          </w:p>
        </w:tc>
      </w:tr>
      <w:tr>
        <w:trPr>
          <w:trHeight w:val="186"/>
        </w:trPr>
        <w:tc>
          <w:tcPr>
            <w:tcW w:w="4800" w:type="dxa"/>
            <w:vAlign w:val="bottom"/>
          </w:tcPr>
          <w:p>
            <w:pPr>
              <w:spacing w:after="0"/>
              <w:rPr>
                <w:sz w:val="16"/>
                <w:szCs w:val="16"/>
                <w:color w:val="auto"/>
              </w:rPr>
            </w:pPr>
          </w:p>
        </w:tc>
        <w:tc>
          <w:tcPr>
            <w:tcW w:w="2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EXCEPT PER SHARE DATA)</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Reported net income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$6,068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38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Adjusted net income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$6,106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2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$ 0.55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$ 0.55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2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$ 0.51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Adjusted diluted net income per share ..........</w:t>
            </w: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$ 0.51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r>
      <w:tr>
        <w:trPr>
          <w:trHeight w:val="186"/>
        </w:trPr>
        <w:tc>
          <w:tcPr>
            <w:tcW w:w="4800" w:type="dxa"/>
            <w:vAlign w:val="bottom"/>
          </w:tcPr>
          <w:p>
            <w:pPr>
              <w:spacing w:after="0"/>
              <w:rPr>
                <w:sz w:val="16"/>
                <w:szCs w:val="16"/>
                <w:color w:val="auto"/>
              </w:rPr>
            </w:pPr>
          </w:p>
        </w:tc>
        <w:tc>
          <w:tcPr>
            <w:tcW w:w="20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sectPr>
      </w:pPr>
    </w:p>
    <w:bookmarkStart w:id="30" w:name="page31"/>
    <w:bookmarkEnd w:id="30"/>
    <w:p>
      <w:pPr>
        <w:ind w:right="2559" w:firstLine="581"/>
        <w:spacing w:after="0" w:line="246"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9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1" w:name="page32"/>
    <w:bookmarkEnd w:id="31"/>
    <w:p>
      <w:pPr>
        <w:ind w:left="3480"/>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2,300 employees and operations in 28 locations in 16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19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32" w:name="page33"/>
    <w:bookmarkEnd w:id="32"/>
    <w:p>
      <w:pPr>
        <w:ind w:right="2459"/>
        <w:spacing w:after="0" w:line="246"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33" w:name="page34"/>
    <w:bookmarkEnd w:id="33"/>
    <w:p>
      <w:pPr>
        <w:ind w:right="2459" w:firstLine="581"/>
        <w:spacing w:after="0" w:line="247"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28 offices in 16 countries and intend to continue expanding into regions that have the potential to increase our client base or increase our investigator and patient populations.</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1"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4" w:name="page35"/>
    <w:bookmarkEnd w:id="34"/>
    <w:p>
      <w:pPr>
        <w:ind w:right="2459" w:firstLine="581"/>
        <w:spacing w:after="0" w:line="246"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38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COUNTRY OF INCORPORATION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80" w:type="dxa"/>
            <w:vAlign w:val="bottom"/>
          </w:tcPr>
          <w:p>
            <w:pPr>
              <w:spacing w:after="0"/>
              <w:rPr>
                <w:sz w:val="16"/>
                <w:szCs w:val="16"/>
                <w:color w:val="auto"/>
              </w:rPr>
            </w:pPr>
          </w:p>
        </w:tc>
        <w:tc>
          <w:tcPr>
            <w:tcW w:w="2720" w:type="dxa"/>
            <w:vAlign w:val="bottom"/>
          </w:tcPr>
          <w:p>
            <w:pPr>
              <w:ind w:left="40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S.A.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Argentina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Pty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Australia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(Canada)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Canada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SARL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Protocole SAS</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GmbH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Germany</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Israel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Israel</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ICON Japan K.K</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Japan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Republic of Ireland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Pte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Singapore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South Africa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(UK)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Medeval Group</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YRCR Limited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ICON Laboratories,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SYSTEMS</w:t>
      </w:r>
    </w:p>
    <w:p>
      <w:pPr>
        <w:spacing w:after="0" w:line="191"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35" w:name="page36"/>
    <w:bookmarkEnd w:id="35"/>
    <w:p>
      <w:pPr>
        <w:ind w:right="2659" w:firstLine="581"/>
        <w:spacing w:after="0" w:line="247"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37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193"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1"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36" w:name="page37"/>
    <w:bookmarkEnd w:id="36"/>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372"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w:t>
      </w:r>
    </w:p>
    <w:p>
      <w:pPr>
        <w:spacing w:after="0" w:line="3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37" w:name="page38"/>
    <w:bookmarkEnd w:id="37"/>
    <w:p>
      <w:pPr>
        <w:ind w:right="2659"/>
        <w:spacing w:after="0" w:line="248"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85" w:lineRule="exact"/>
        <w:rPr>
          <w:sz w:val="20"/>
          <w:szCs w:val="20"/>
          <w:color w:val="auto"/>
        </w:rPr>
      </w:pPr>
    </w:p>
    <w:p>
      <w:pPr>
        <w:ind w:left="580" w:right="2559"/>
        <w:spacing w:after="0" w:line="247"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38" w:name="page39"/>
    <w:bookmarkEnd w:id="38"/>
    <w:p>
      <w:pPr>
        <w:ind w:left="580" w:right="2559"/>
        <w:spacing w:after="0" w:line="248"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CLINICAL TRIALS (3.5 TO 6 YEARS)</w:t>
      </w:r>
    </w:p>
    <w:p>
      <w:pPr>
        <w:spacing w:after="0" w:line="191" w:lineRule="exact"/>
        <w:rPr>
          <w:sz w:val="20"/>
          <w:szCs w:val="20"/>
          <w:color w:val="auto"/>
        </w:rPr>
      </w:pPr>
    </w:p>
    <w:p>
      <w:pPr>
        <w:ind w:left="1160" w:right="2559"/>
        <w:spacing w:after="0" w:line="247"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85"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186"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85"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91" w:lineRule="exact"/>
        <w:rPr>
          <w:sz w:val="20"/>
          <w:szCs w:val="20"/>
          <w:color w:val="auto"/>
        </w:rPr>
      </w:pPr>
    </w:p>
    <w:p>
      <w:pPr>
        <w:jc w:val="both"/>
        <w:ind w:left="580" w:right="2559"/>
        <w:spacing w:after="0" w:line="247"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86"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86"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862" w:right="1440" w:bottom="1440" w:gutter="0" w:footer="0" w:header="0"/>
        </w:sectPr>
      </w:pPr>
    </w:p>
    <w:bookmarkStart w:id="39" w:name="page40"/>
    <w:bookmarkEnd w:id="39"/>
    <w:p>
      <w:pPr>
        <w:ind w:right="2459"/>
        <w:spacing w:after="0" w:line="247"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and Riga, Latvia. Our Rest of World offices are located in Tokyo, Japan; Sydney, Australia; Bangalore, India; Buenos Aires, Argentina; Johannesburg, South Africa; Montreal, Canada and Singapore.</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40" w:name="page41"/>
    <w:bookmarkEnd w:id="40"/>
    <w:p>
      <w:pPr>
        <w:jc w:val="center"/>
        <w:ind w:right="2459"/>
        <w:spacing w:after="0"/>
        <w:rPr>
          <w:sz w:val="20"/>
          <w:szCs w:val="20"/>
          <w:color w:val="auto"/>
        </w:rPr>
      </w:pPr>
      <w:r>
        <w:rPr>
          <w:rFonts w:ascii="Courier New" w:cs="Courier New" w:eastAsia="Courier New" w:hAnsi="Courier New"/>
          <w:sz w:val="16"/>
          <w:szCs w:val="16"/>
          <w:color w:val="auto"/>
        </w:rPr>
        <w:t>MANAGEMENT</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4600" w:type="dxa"/>
            <w:vAlign w:val="bottom"/>
          </w:tcPr>
          <w:p>
            <w:pPr>
              <w:ind w:left="160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6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John Climax(1)(2)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50</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Chairman of the Board</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 Director</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32</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Financial Officer and Secretary</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62</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68</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Lee Jones(2)(3)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47</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Medical Officer, Director ICON Clinical</w:t>
            </w:r>
          </w:p>
        </w:tc>
      </w:tr>
      <w:tr>
        <w:trPr>
          <w:trHeight w:val="186"/>
        </w:trPr>
        <w:tc>
          <w:tcPr>
            <w:tcW w:w="2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Research (UK) Limited</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William Taaffe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54</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 and President, ICON</w:t>
            </w:r>
          </w:p>
        </w:tc>
      </w:tr>
      <w:tr>
        <w:trPr>
          <w:trHeight w:val="186"/>
        </w:trPr>
        <w:tc>
          <w:tcPr>
            <w:tcW w:w="2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Clinical</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Research - U.S.</w:t>
            </w:r>
          </w:p>
        </w:tc>
        <w:tc>
          <w:tcPr>
            <w:tcW w:w="58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Thomas Frey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50</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Operating Officer, Europe</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Markus Weissbach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47</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President of ICON Clinical Research - Europe</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49</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President of ICON Laboratories</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Chief Operating Officer, ICON Clinical</w:t>
            </w:r>
          </w:p>
        </w:tc>
      </w:tr>
      <w:tr>
        <w:trPr>
          <w:trHeight w:val="186"/>
        </w:trPr>
        <w:tc>
          <w:tcPr>
            <w:tcW w:w="2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Research - U.S.</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Josephine Coyle ..........</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44</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Vice President for Corporate Quality</w:t>
            </w:r>
          </w:p>
        </w:tc>
      </w:tr>
      <w:tr>
        <w:trPr>
          <w:trHeight w:val="186"/>
        </w:trPr>
        <w:tc>
          <w:tcPr>
            <w:tcW w:w="2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rPr>
              <w:t>Assurance</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91" w:lineRule="exact"/>
        <w:rPr>
          <w:sz w:val="20"/>
          <w:szCs w:val="20"/>
          <w:color w:val="auto"/>
        </w:rPr>
      </w:pPr>
    </w:p>
    <w:p>
      <w:pPr>
        <w:ind w:left="1" w:right="2559" w:firstLine="581"/>
        <w:spacing w:after="0" w:line="246"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91"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191" w:lineRule="exact"/>
        <w:rPr>
          <w:sz w:val="20"/>
          <w:szCs w:val="20"/>
          <w:color w:val="auto"/>
        </w:rPr>
      </w:pPr>
    </w:p>
    <w:p>
      <w:pPr>
        <w:ind w:left="1" w:right="2659" w:firstLine="581"/>
        <w:spacing w:after="0" w:line="247"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85"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490" w:right="1440" w:bottom="1440" w:gutter="0" w:footer="0" w:header="0"/>
        </w:sectPr>
      </w:pPr>
    </w:p>
    <w:bookmarkStart w:id="41" w:name="page42"/>
    <w:bookmarkEnd w:id="41"/>
    <w:p>
      <w:pPr>
        <w:ind w:right="2459" w:firstLine="581"/>
        <w:spacing w:after="0" w:line="247"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DR. MARKUS WEISSBACH served as President of ICON Clinical Research GmbH from 1996 to 1999 and currently holds the position of President of ICON Clinical Research Europe. Dr. Weissbach was the head of the Cardiovascular department of Takeda Euro R&amp;D center from January 1994 to December 1996 and the Associate Director of Clinical Cardiology/Nephrology at BASF Pharmaceuticals from January 1990 to January 1994. Dr. Weissbach received his degree in medicine from the University of Freiburg in 1982.</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862" w:right="1440" w:bottom="1440" w:gutter="0" w:footer="0" w:header="0"/>
        </w:sectPr>
      </w:pPr>
    </w:p>
    <w:bookmarkStart w:id="42" w:name="page43"/>
    <w:bookmarkEnd w:id="42"/>
    <w:p>
      <w:pPr>
        <w:ind w:right="2859" w:firstLine="581"/>
        <w:spacing w:after="0" w:line="247"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1"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As of February 28, 2003, we had 2,291 employees worldwide. There were 2,059 employees working in our clinical research segment and 232 employees in our central laboratory segment. Globally, there were 1,390 employees in the United States, 519 employees in Europe, 300 employees in Ireland and 82 employees in the Rest of the World.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862" w:right="1440" w:bottom="1440" w:gutter="0" w:footer="0" w:header="0"/>
        </w:sectPr>
      </w:pPr>
    </w:p>
    <w:bookmarkStart w:id="43" w:name="page44"/>
    <w:bookmarkEnd w:id="43"/>
    <w:p>
      <w:pPr>
        <w:ind w:left="2901"/>
        <w:spacing w:after="0"/>
        <w:rPr>
          <w:sz w:val="20"/>
          <w:szCs w:val="20"/>
          <w:color w:val="auto"/>
        </w:rPr>
      </w:pPr>
      <w:r>
        <w:rPr>
          <w:rFonts w:ascii="Courier New" w:cs="Courier New" w:eastAsia="Courier New" w:hAnsi="Courier New"/>
          <w:sz w:val="16"/>
          <w:szCs w:val="16"/>
          <w:color w:val="auto"/>
        </w:rPr>
        <w:t>SELLING SHAREHOLDERS</w:t>
      </w:r>
    </w:p>
    <w:p>
      <w:pPr>
        <w:spacing w:after="0" w:line="191" w:lineRule="exact"/>
        <w:rPr>
          <w:sz w:val="20"/>
          <w:szCs w:val="20"/>
          <w:color w:val="auto"/>
        </w:rPr>
      </w:pPr>
    </w:p>
    <w:p>
      <w:pPr>
        <w:ind w:left="1" w:right="4060" w:firstLine="581"/>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December 31, 2002 by the selling shareholders in this offering.</w:t>
      </w:r>
    </w:p>
    <w:p>
      <w:pPr>
        <w:sectPr>
          <w:pgSz w:w="11900" w:h="16838" w:orient="portrait"/>
          <w:cols w:equalWidth="0" w:num="1">
            <w:col w:w="11241"/>
          </w:cols>
          <w:pgMar w:left="239" w:top="86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1" w:right="240"/>
        <w:spacing w:after="0" w:line="247" w:lineRule="auto"/>
        <w:rPr>
          <w:sz w:val="20"/>
          <w:szCs w:val="20"/>
          <w:color w:val="auto"/>
        </w:rPr>
      </w:pPr>
      <w:r>
        <w:rPr>
          <w:rFonts w:ascii="Courier New" w:cs="Courier New" w:eastAsia="Courier New" w:hAnsi="Courier New"/>
          <w:sz w:val="16"/>
          <w:szCs w:val="16"/>
          <w:color w:val="auto"/>
        </w:rPr>
        <w:t>NAME AND ADDRESS OF SELLING SHAREHOLDER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OWNED</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PRIOR TO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BEING</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SOLD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OWNED AFTER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(ASSUMING NO</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EXERCISE OF THE</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UNDERWRITERS'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 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BENEFICIALLY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OWNED AFTER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OFFERING(1) (ASSUMING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EXERCISE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OPTION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5">
            <w:col w:w="2381" w:space="720"/>
            <w:col w:w="1840" w:space="480"/>
            <w:col w:w="1260" w:space="200"/>
            <w:col w:w="1840" w:space="380"/>
            <w:col w:w="2140"/>
          </w:cols>
          <w:pgMar w:left="239" w:top="862"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Dr. Ronan Lambe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2,408,720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1,183,720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8.6%</w:t>
      </w:r>
    </w:p>
    <w:p>
      <w:pPr>
        <w:spacing w:after="0" w:line="16" w:lineRule="exact"/>
        <w:rPr>
          <w:sz w:val="20"/>
          <w:szCs w:val="20"/>
          <w:color w:val="auto"/>
        </w:rPr>
      </w:pPr>
    </w:p>
    <w:p>
      <w:pPr>
        <w:sectPr>
          <w:pgSz w:w="11900" w:h="16838" w:orient="portrait"/>
          <w:cols w:equalWidth="0" w:num="8">
            <w:col w:w="2801" w:space="300"/>
            <w:col w:w="880" w:space="580"/>
            <w:col w:w="480" w:space="580"/>
            <w:col w:w="880" w:space="380"/>
            <w:col w:w="880" w:space="580"/>
            <w:col w:w="480" w:space="380"/>
            <w:col w:w="880" w:space="680"/>
            <w:col w:w="480"/>
          </w:cols>
          <w:pgMar w:left="239" w:top="862"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ectPr>
          <w:pgSz w:w="11900" w:h="16838" w:orient="portrait"/>
          <w:cols w:equalWidth="0" w:num="1">
            <w:col w:w="11241"/>
          </w:cols>
          <w:pgMar w:left="239" w:top="862" w:right="419" w:bottom="1440" w:gutter="0" w:footer="0" w:header="0"/>
          <w:type w:val="continuous"/>
        </w:sectPr>
      </w:pP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Dr. John Climax(2)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22.4%</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1,914,120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13.9%</w:t>
      </w:r>
    </w:p>
    <w:p>
      <w:pPr>
        <w:spacing w:after="0" w:line="5" w:lineRule="exact"/>
        <w:rPr>
          <w:sz w:val="20"/>
          <w:szCs w:val="20"/>
          <w:color w:val="auto"/>
        </w:rPr>
      </w:pPr>
    </w:p>
    <w:p>
      <w:pPr>
        <w:sectPr>
          <w:pgSz w:w="11900" w:h="16838" w:orient="portrait"/>
          <w:cols w:equalWidth="0" w:num="8">
            <w:col w:w="2801" w:space="300"/>
            <w:col w:w="880" w:space="580"/>
            <w:col w:w="480" w:space="680"/>
            <w:col w:w="680" w:space="480"/>
            <w:col w:w="880" w:space="580"/>
            <w:col w:w="480" w:space="380"/>
            <w:col w:w="880" w:space="580"/>
            <w:col w:w="580"/>
          </w:cols>
          <w:pgMar w:left="239" w:top="862"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ectPr>
          <w:pgSz w:w="11900" w:h="16838" w:orient="portrait"/>
          <w:cols w:equalWidth="0" w:num="1">
            <w:col w:w="11241"/>
          </w:cols>
          <w:pgMar w:left="239" w:top="862" w:right="419" w:bottom="1440" w:gutter="0" w:footer="0" w:header="0"/>
          <w:type w:val="continuous"/>
        </w:sectPr>
      </w:pP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480" w:hanging="481"/>
        <w:spacing w:after="0" w:line="247"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85" w:lineRule="exact"/>
        <w:rPr>
          <w:rFonts w:ascii="Courier New" w:cs="Courier New" w:eastAsia="Courier New" w:hAnsi="Courier New"/>
          <w:sz w:val="16"/>
          <w:szCs w:val="16"/>
          <w:color w:val="auto"/>
        </w:rPr>
      </w:pPr>
    </w:p>
    <w:p>
      <w:pPr>
        <w:ind w:left="481" w:right="3880" w:hanging="481"/>
        <w:spacing w:after="0" w:line="247"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241"/>
          </w:cols>
          <w:pgMar w:left="239" w:top="862" w:right="419" w:bottom="1440" w:gutter="0" w:footer="0" w:header="0"/>
          <w:type w:val="continuous"/>
        </w:sectPr>
      </w:pPr>
    </w:p>
    <w:bookmarkStart w:id="44" w:name="page45"/>
    <w:bookmarkEnd w:id="44"/>
    <w:p>
      <w:pPr>
        <w:ind w:left="2520"/>
        <w:spacing w:after="0"/>
        <w:rPr>
          <w:sz w:val="20"/>
          <w:szCs w:val="20"/>
          <w:color w:val="auto"/>
        </w:rPr>
      </w:pPr>
      <w:r>
        <w:rPr>
          <w:rFonts w:ascii="Courier New" w:cs="Courier New" w:eastAsia="Courier New" w:hAnsi="Courier New"/>
          <w:sz w:val="16"/>
          <w:szCs w:val="16"/>
          <w:color w:val="auto"/>
        </w:rPr>
        <w:t>U.S.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19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197"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185" w:lineRule="exact"/>
        <w:rPr>
          <w:sz w:val="20"/>
          <w:szCs w:val="20"/>
          <w:color w:val="auto"/>
        </w:rPr>
      </w:pPr>
    </w:p>
    <w:p>
      <w:pPr>
        <w:ind w:left="960" w:right="2559" w:hanging="379"/>
        <w:spacing w:after="0" w:line="247"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185" w:lineRule="exact"/>
        <w:rPr>
          <w:rFonts w:ascii="Courier New" w:cs="Courier New" w:eastAsia="Courier New" w:hAnsi="Courier New"/>
          <w:sz w:val="16"/>
          <w:szCs w:val="16"/>
          <w:color w:val="auto"/>
        </w:rPr>
      </w:pPr>
    </w:p>
    <w:p>
      <w:pPr>
        <w:ind w:left="960" w:right="3239" w:hanging="379"/>
        <w:spacing w:after="0" w:line="24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184"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6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2003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46" w:name="page47"/>
    <w:bookmarkEnd w:id="46"/>
    <w:p>
      <w:pPr>
        <w:ind w:right="2659"/>
        <w:spacing w:after="0" w:line="247"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200" w:lineRule="exact"/>
        <w:rPr>
          <w:sz w:val="20"/>
          <w:szCs w:val="20"/>
          <w:color w:val="auto"/>
        </w:rPr>
      </w:pPr>
    </w:p>
    <w:p>
      <w:pPr>
        <w:spacing w:after="0" w:line="3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86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186" w:lineRule="exact"/>
        <w:rPr>
          <w:sz w:val="20"/>
          <w:szCs w:val="20"/>
          <w:color w:val="auto"/>
        </w:rPr>
      </w:pPr>
    </w:p>
    <w:p>
      <w:pPr>
        <w:ind w:left="880" w:right="2659" w:hanging="299"/>
        <w:spacing w:after="0" w:line="248" w:lineRule="auto"/>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spacing w:after="0" w:line="184" w:lineRule="exact"/>
        <w:rPr>
          <w:rFonts w:ascii="Courier New" w:cs="Courier New" w:eastAsia="Courier New" w:hAnsi="Courier New"/>
          <w:sz w:val="16"/>
          <w:szCs w:val="16"/>
          <w:color w:val="auto"/>
        </w:rPr>
      </w:pPr>
    </w:p>
    <w:p>
      <w:pPr>
        <w:ind w:left="880" w:right="2459" w:hanging="299"/>
        <w:spacing w:after="0" w:line="247" w:lineRule="auto"/>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18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880" w:hanging="299"/>
        <w:spacing w:after="0"/>
        <w:tabs>
          <w:tab w:leader="none" w:pos="8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1" w:lineRule="exact"/>
        <w:rPr>
          <w:rFonts w:ascii="Courier New" w:cs="Courier New" w:eastAsia="Courier New" w:hAnsi="Courier New"/>
          <w:sz w:val="16"/>
          <w:szCs w:val="16"/>
          <w:color w:val="auto"/>
        </w:rPr>
      </w:pPr>
    </w:p>
    <w:p>
      <w:pPr>
        <w:ind w:left="880" w:right="2759" w:hanging="299"/>
        <w:spacing w:after="0" w:line="248" w:lineRule="auto"/>
        <w:tabs>
          <w:tab w:leader="none" w:pos="8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184" w:lineRule="exact"/>
        <w:rPr>
          <w:rFonts w:ascii="Courier New" w:cs="Courier New" w:eastAsia="Courier New" w:hAnsi="Courier New"/>
          <w:sz w:val="16"/>
          <w:szCs w:val="16"/>
          <w:color w:val="auto"/>
        </w:rPr>
      </w:pPr>
    </w:p>
    <w:p>
      <w:pPr>
        <w:ind w:left="880" w:right="2759" w:hanging="299"/>
        <w:spacing w:after="0" w:line="247" w:lineRule="auto"/>
        <w:tabs>
          <w:tab w:leader="none" w:pos="8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862" w:right="1440" w:bottom="1440" w:gutter="0" w:footer="0" w:header="0"/>
        </w:sectPr>
      </w:pPr>
    </w:p>
    <w:bookmarkStart w:id="48" w:name="page49"/>
    <w:bookmarkEnd w:id="48"/>
    <w:p>
      <w:pPr>
        <w:ind w:left="880" w:right="2759" w:hanging="299"/>
        <w:spacing w:after="0" w:line="247" w:lineRule="auto"/>
        <w:tabs>
          <w:tab w:leader="none" w:pos="8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86" w:lineRule="exact"/>
        <w:rPr>
          <w:sz w:val="20"/>
          <w:szCs w:val="20"/>
          <w:color w:val="auto"/>
        </w:rPr>
      </w:pPr>
    </w:p>
    <w:p>
      <w:pPr>
        <w:ind w:left="880" w:right="2559" w:hanging="299"/>
        <w:spacing w:after="0" w:line="247"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185"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184" w:lineRule="exact"/>
        <w:rPr>
          <w:rFonts w:ascii="Courier New" w:cs="Courier New" w:eastAsia="Courier New" w:hAnsi="Courier New"/>
          <w:sz w:val="16"/>
          <w:szCs w:val="16"/>
          <w:color w:val="auto"/>
        </w:rPr>
      </w:pPr>
    </w:p>
    <w:p>
      <w:pPr>
        <w:ind w:left="880" w:right="2559" w:hanging="299"/>
        <w:spacing w:after="0" w:line="247"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186" w:lineRule="exact"/>
        <w:rPr>
          <w:sz w:val="20"/>
          <w:szCs w:val="20"/>
          <w:color w:val="auto"/>
        </w:rPr>
      </w:pPr>
    </w:p>
    <w:p>
      <w:pPr>
        <w:ind w:left="880" w:hanging="299"/>
        <w:spacing w:after="0"/>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1"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184" w:lineRule="exact"/>
        <w:rPr>
          <w:rFonts w:ascii="Courier New" w:cs="Courier New" w:eastAsia="Courier New" w:hAnsi="Courier New"/>
          <w:sz w:val="16"/>
          <w:szCs w:val="16"/>
          <w:color w:val="auto"/>
        </w:rPr>
      </w:pPr>
    </w:p>
    <w:p>
      <w:pPr>
        <w:ind w:left="880" w:right="2759" w:hanging="299"/>
        <w:spacing w:after="0" w:line="24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85" w:lineRule="exact"/>
        <w:rPr>
          <w:rFonts w:ascii="Courier New" w:cs="Courier New" w:eastAsia="Courier New" w:hAnsi="Courier New"/>
          <w:sz w:val="16"/>
          <w:szCs w:val="16"/>
          <w:color w:val="auto"/>
        </w:rPr>
      </w:pPr>
    </w:p>
    <w:p>
      <w:pPr>
        <w:ind w:left="880" w:right="2559" w:hanging="299"/>
        <w:spacing w:after="0" w:line="24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185" w:lineRule="exact"/>
        <w:rPr>
          <w:rFonts w:ascii="Courier New" w:cs="Courier New" w:eastAsia="Courier New" w:hAnsi="Courier New"/>
          <w:sz w:val="16"/>
          <w:szCs w:val="16"/>
          <w:color w:val="auto"/>
        </w:rPr>
      </w:pPr>
    </w:p>
    <w:p>
      <w:pPr>
        <w:ind w:left="880" w:right="2459" w:hanging="299"/>
        <w:spacing w:after="0" w:line="247" w:lineRule="auto"/>
        <w:tabs>
          <w:tab w:leader="none" w:pos="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49" w:name="page50"/>
    <w:bookmarkEnd w:id="49"/>
    <w:p>
      <w:pPr>
        <w:ind w:right="2559"/>
        <w:spacing w:after="0" w:line="248"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193" w:lineRule="exact"/>
        <w:rPr>
          <w:sz w:val="20"/>
          <w:szCs w:val="20"/>
          <w:color w:val="auto"/>
        </w:rPr>
      </w:pPr>
    </w:p>
    <w:p>
      <w:pPr>
        <w:ind w:left="880" w:hanging="299"/>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1" w:lineRule="exact"/>
        <w:rPr>
          <w:rFonts w:ascii="Courier New" w:cs="Courier New" w:eastAsia="Courier New" w:hAnsi="Courier New"/>
          <w:sz w:val="16"/>
          <w:szCs w:val="16"/>
          <w:color w:val="auto"/>
        </w:rPr>
      </w:pPr>
    </w:p>
    <w:p>
      <w:pPr>
        <w:ind w:left="880" w:hanging="299"/>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880" w:hanging="299"/>
        <w:spacing w:after="0"/>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880" w:right="3819" w:hanging="299"/>
        <w:spacing w:after="0" w:line="248" w:lineRule="auto"/>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pacing w:after="0" w:line="184"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4500,000.</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412.50 (the nominal rate) will apply.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862" w:right="1440" w:bottom="1440" w:gutter="0" w:footer="0" w:header="0"/>
        </w:sectPr>
      </w:pPr>
    </w:p>
    <w:bookmarkStart w:id="50" w:name="page51"/>
    <w:bookmarkEnd w:id="50"/>
    <w:p>
      <w:pPr>
        <w:ind w:right="2459"/>
        <w:spacing w:after="0" w:line="247"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412.50 applies.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862" w:right="1440" w:bottom="1440" w:gutter="0" w:footer="0" w:header="0"/>
        </w:sectPr>
      </w:pPr>
    </w:p>
    <w:bookmarkStart w:id="51" w:name="page52"/>
    <w:bookmarkEnd w:id="51"/>
    <w:p>
      <w:pPr>
        <w:ind w:left="3300"/>
        <w:spacing w:after="0"/>
        <w:rPr>
          <w:sz w:val="20"/>
          <w:szCs w:val="20"/>
          <w:color w:val="auto"/>
        </w:rPr>
      </w:pPr>
      <w:r>
        <w:rPr>
          <w:rFonts w:ascii="Courier New" w:cs="Courier New" w:eastAsia="Courier New" w:hAnsi="Courier New"/>
          <w:sz w:val="16"/>
          <w:szCs w:val="16"/>
          <w:color w:val="auto"/>
        </w:rPr>
        <w:t>UNDERWRITING</w:t>
      </w:r>
    </w:p>
    <w:p>
      <w:pPr>
        <w:spacing w:after="0" w:line="191" w:lineRule="exact"/>
        <w:rPr>
          <w:sz w:val="20"/>
          <w:szCs w:val="20"/>
          <w:color w:val="auto"/>
        </w:rPr>
      </w:pPr>
    </w:p>
    <w:p>
      <w:pPr>
        <w:ind w:right="860" w:firstLine="581"/>
        <w:spacing w:after="0" w:line="247"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186" w:lineRule="exact"/>
        <w:rPr>
          <w:sz w:val="20"/>
          <w:szCs w:val="20"/>
          <w:color w:val="auto"/>
        </w:rPr>
      </w:pPr>
    </w:p>
    <w:p>
      <w:pPr>
        <w:ind w:left="3300"/>
        <w:spacing w:after="0"/>
        <w:tabs>
          <w:tab w:leader="none" w:pos="6280" w:val="left"/>
        </w:tabs>
        <w:rPr>
          <w:sz w:val="20"/>
          <w:szCs w:val="20"/>
          <w:color w:val="auto"/>
        </w:rPr>
      </w:pPr>
      <w:r>
        <w:rPr>
          <w:rFonts w:ascii="Courier New" w:cs="Courier New" w:eastAsia="Courier New" w:hAnsi="Courier New"/>
          <w:sz w:val="16"/>
          <w:szCs w:val="16"/>
          <w:color w:val="auto"/>
        </w:rPr>
        <w:t>Underwriters</w:t>
      </w:r>
      <w:r>
        <w:rPr>
          <w:sz w:val="20"/>
          <w:szCs w:val="20"/>
          <w:color w:val="auto"/>
        </w:rPr>
        <w:tab/>
      </w:r>
      <w:r>
        <w:rPr>
          <w:rFonts w:ascii="Courier New" w:cs="Courier New" w:eastAsia="Courier New" w:hAnsi="Courier New"/>
          <w:sz w:val="16"/>
          <w:szCs w:val="16"/>
          <w:color w:val="auto"/>
        </w:rPr>
        <w:t>Number of ADSs</w:t>
      </w:r>
    </w:p>
    <w:p>
      <w:pPr>
        <w:spacing w:after="0" w:line="5" w:lineRule="exact"/>
        <w:rPr>
          <w:sz w:val="20"/>
          <w:szCs w:val="20"/>
          <w:color w:val="auto"/>
        </w:rPr>
      </w:pPr>
    </w:p>
    <w:p>
      <w:pPr>
        <w:ind w:left="3300"/>
        <w:spacing w:after="0"/>
        <w:tabs>
          <w:tab w:leader="none" w:pos="6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Goldman, Sachs &amp; Co.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Blair &amp; Company, L.L.C.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Bear, Stearns &amp; Co. Inc.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J&amp;E Davy (trading as Davy Stockbrokers) ..............</w:t>
      </w:r>
    </w:p>
    <w:p>
      <w:pPr>
        <w:spacing w:after="0" w:line="5"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spacing w:after="0"/>
        <w:tabs>
          <w:tab w:leader="none" w:pos="656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3,000,000</w:t>
      </w:r>
    </w:p>
    <w:p>
      <w:pPr>
        <w:spacing w:after="0" w:line="5"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1060" w:firstLine="581"/>
        <w:spacing w:after="0" w:line="247"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186" w:lineRule="exact"/>
        <w:rPr>
          <w:sz w:val="20"/>
          <w:szCs w:val="20"/>
          <w:color w:val="auto"/>
        </w:rPr>
      </w:pPr>
    </w:p>
    <w:p>
      <w:pPr>
        <w:ind w:right="960" w:firstLine="581"/>
        <w:spacing w:after="0" w:line="247"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185" w:lineRule="exact"/>
        <w:rPr>
          <w:sz w:val="20"/>
          <w:szCs w:val="20"/>
          <w:color w:val="auto"/>
        </w:rPr>
      </w:pPr>
    </w:p>
    <w:p>
      <w:pPr>
        <w:ind w:right="860" w:firstLine="581"/>
        <w:spacing w:after="0" w:line="247"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372" w:lineRule="exact"/>
        <w:rPr>
          <w:sz w:val="20"/>
          <w:szCs w:val="20"/>
          <w:color w:val="auto"/>
        </w:rPr>
      </w:pPr>
    </w:p>
    <w:p>
      <w:pPr>
        <w:jc w:val="right"/>
        <w:ind w:right="200"/>
        <w:spacing w:after="0"/>
        <w:tabs>
          <w:tab w:leader="none" w:pos="124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5" w:lineRule="exact"/>
        <w:rPr>
          <w:sz w:val="20"/>
          <w:szCs w:val="20"/>
          <w:color w:val="auto"/>
        </w:rPr>
      </w:pPr>
    </w:p>
    <w:p>
      <w:pPr>
        <w:ind w:left="1360"/>
        <w:spacing w:after="0"/>
        <w:tabs>
          <w:tab w:leader="none" w:pos="7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tabs>
          <w:tab w:leader="none" w:pos="724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tabs>
          <w:tab w:leader="none" w:pos="724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right="860" w:firstLine="581"/>
        <w:spacing w:after="0" w:line="246" w:lineRule="auto"/>
        <w:rPr>
          <w:sz w:val="20"/>
          <w:szCs w:val="20"/>
          <w:color w:val="auto"/>
        </w:rPr>
      </w:pPr>
      <w:r>
        <w:rPr>
          <w:rFonts w:ascii="Courier New" w:cs="Courier New" w:eastAsia="Courier New" w:hAnsi="Courier New"/>
          <w:sz w:val="16"/>
          <w:szCs w:val="16"/>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 a discount of up to $ per ADS from the initial price to public. If all the ADSs are not sold at the initial price to public, the underwriters may change this offering price and the other selling terms.</w:t>
      </w:r>
    </w:p>
    <w:p>
      <w:pPr>
        <w:spacing w:after="0" w:line="191" w:lineRule="exact"/>
        <w:rPr>
          <w:sz w:val="20"/>
          <w:szCs w:val="20"/>
          <w:color w:val="auto"/>
        </w:rPr>
      </w:pPr>
    </w:p>
    <w:p>
      <w:pPr>
        <w:ind w:right="1160" w:firstLine="581"/>
        <w:spacing w:after="0" w:line="248"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184" w:lineRule="exact"/>
        <w:rPr>
          <w:sz w:val="20"/>
          <w:szCs w:val="20"/>
          <w:color w:val="auto"/>
        </w:rPr>
      </w:pPr>
    </w:p>
    <w:p>
      <w:pPr>
        <w:ind w:right="860" w:firstLine="581"/>
        <w:spacing w:after="0" w:line="246" w:lineRule="auto"/>
        <w:rPr>
          <w:sz w:val="20"/>
          <w:szCs w:val="20"/>
          <w:color w:val="auto"/>
        </w:rPr>
      </w:pPr>
      <w:r>
        <w:rPr>
          <w:rFonts w:ascii="Courier New" w:cs="Courier New" w:eastAsia="Courier New" w:hAnsi="Courier New"/>
          <w:sz w:val="16"/>
          <w:szCs w:val="16"/>
          <w:color w:val="auto"/>
        </w:rPr>
        <w:t>We, and our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193" w:lineRule="exact"/>
        <w:rPr>
          <w:sz w:val="20"/>
          <w:szCs w:val="20"/>
          <w:color w:val="auto"/>
        </w:rPr>
      </w:pPr>
    </w:p>
    <w:p>
      <w:pPr>
        <w:ind w:right="860" w:firstLine="581"/>
        <w:spacing w:after="0" w:line="247"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620" w:space="480"/>
            <w:col w:w="1360"/>
          </w:cols>
          <w:pgMar w:left="240" w:top="862" w:right="1199" w:bottom="1440" w:gutter="0" w:footer="0" w:header="0"/>
        </w:sectPr>
      </w:pPr>
    </w:p>
    <w:bookmarkStart w:id="52" w:name="page53"/>
    <w:bookmarkEnd w:id="52"/>
    <w:p>
      <w:pPr>
        <w:ind w:right="2459"/>
        <w:spacing w:after="0" w:line="246"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1" w:lineRule="exact"/>
        <w:rPr>
          <w:sz w:val="20"/>
          <w:szCs w:val="20"/>
          <w:color w:val="auto"/>
        </w:rPr>
      </w:pPr>
    </w:p>
    <w:p>
      <w:pPr>
        <w:ind w:left="880" w:right="2759" w:hanging="299"/>
        <w:spacing w:after="0" w:line="247" w:lineRule="auto"/>
        <w:tabs>
          <w:tab w:leader="none" w:pos="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185" w:lineRule="exact"/>
        <w:rPr>
          <w:rFonts w:ascii="Courier New" w:cs="Courier New" w:eastAsia="Courier New" w:hAnsi="Courier New"/>
          <w:sz w:val="16"/>
          <w:szCs w:val="16"/>
          <w:color w:val="auto"/>
        </w:rPr>
      </w:pPr>
    </w:p>
    <w:p>
      <w:pPr>
        <w:ind w:left="880" w:right="2459" w:hanging="299"/>
        <w:spacing w:after="0" w:line="247" w:lineRule="auto"/>
        <w:tabs>
          <w:tab w:leader="none" w:pos="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862" w:right="1440" w:bottom="1440" w:gutter="0" w:footer="0" w:header="0"/>
        </w:sectPr>
      </w:pPr>
    </w:p>
    <w:bookmarkStart w:id="53" w:name="page54"/>
    <w:bookmarkEnd w:id="53"/>
    <w:p>
      <w:pPr>
        <w:ind w:right="3239"/>
        <w:spacing w:after="0" w:line="248"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185"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186" w:lineRule="exact"/>
        <w:rPr>
          <w:sz w:val="20"/>
          <w:szCs w:val="20"/>
          <w:color w:val="auto"/>
        </w:rPr>
      </w:pPr>
    </w:p>
    <w:p>
      <w:pPr>
        <w:ind w:right="3039" w:firstLine="581"/>
        <w:spacing w:after="0" w:line="247"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862" w:right="1440" w:bottom="1440" w:gutter="0" w:footer="0" w:header="0"/>
        </w:sectPr>
      </w:pPr>
    </w:p>
    <w:bookmarkStart w:id="54" w:name="page55"/>
    <w:bookmarkEnd w:id="54"/>
    <w:p>
      <w:pPr>
        <w:ind w:right="2459" w:firstLine="581"/>
        <w:spacing w:after="0" w:line="247"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18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9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consolidated financial statements of ICON plc as of May 31, 2002 and 2001 and for each of the years in the three-year period ended May 31, 2002, have been incorporated by reference herein in reliance upon the report of KPMG, independent chartered accountants, incorporated by reference herein, and upon the authority of said firm as experts in accounting and auditing.</w:t>
      </w:r>
    </w:p>
    <w:p>
      <w:pPr>
        <w:spacing w:after="0" w:line="185" w:lineRule="exact"/>
        <w:rPr>
          <w:sz w:val="20"/>
          <w:szCs w:val="20"/>
          <w:color w:val="auto"/>
        </w:rPr>
      </w:pPr>
    </w:p>
    <w:p>
      <w:pPr>
        <w:jc w:val="both"/>
        <w:ind w:right="2959" w:firstLine="581"/>
        <w:spacing w:after="0" w:line="247"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862" w:right="1440" w:bottom="1440" w:gutter="0" w:footer="0" w:header="0"/>
        </w:sectPr>
      </w:pPr>
    </w:p>
    <w:bookmarkStart w:id="55" w:name="page56"/>
    <w:bookmarkEnd w:id="55"/>
    <w:p>
      <w:pPr>
        <w:ind w:left="214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Nasdaq National Market fees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Legal fees and expenses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475,000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Accounting fees and expenses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Printing expenses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Transfer and Registrar fee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Miscellaneous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Subtotal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1,557,055</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Capital duty (Company only)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431,550</w:t>
            </w:r>
          </w:p>
        </w:tc>
      </w:tr>
      <w:tr>
        <w:trPr>
          <w:trHeight w:val="186"/>
        </w:trPr>
        <w:tc>
          <w:tcPr>
            <w:tcW w:w="6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1,988,605</w:t>
            </w:r>
          </w:p>
        </w:tc>
      </w:tr>
    </w:tbl>
    <w:p>
      <w:pPr>
        <w:spacing w:after="0" w:line="19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199"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37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186" w:lineRule="exact"/>
        <w:rPr>
          <w:sz w:val="20"/>
          <w:szCs w:val="20"/>
          <w:color w:val="auto"/>
        </w:rPr>
      </w:pPr>
    </w:p>
    <w:p>
      <w:pPr>
        <w:ind w:right="3239" w:firstLine="581"/>
        <w:spacing w:after="0" w:line="248"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185" w:lineRule="exact"/>
        <w:rPr>
          <w:sz w:val="20"/>
          <w:szCs w:val="20"/>
          <w:color w:val="auto"/>
        </w:rPr>
      </w:pPr>
    </w:p>
    <w:p>
      <w:pPr>
        <w:jc w:val="both"/>
        <w:ind w:right="2459" w:firstLine="581"/>
        <w:spacing w:after="0" w:line="246"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2"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18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862" w:right="1440" w:bottom="1440" w:gutter="0" w:footer="0" w:header="0"/>
        </w:sectPr>
      </w:pPr>
    </w:p>
    <w:bookmarkStart w:id="57" w:name="page58"/>
    <w:bookmarkEnd w:id="57"/>
    <w:p>
      <w:pPr>
        <w:jc w:val="center"/>
        <w:ind w:right="235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185" w:lineRule="exact"/>
        <w:rPr>
          <w:sz w:val="20"/>
          <w:szCs w:val="20"/>
          <w:color w:val="auto"/>
        </w:rPr>
      </w:pPr>
    </w:p>
    <w:p>
      <w:pPr>
        <w:ind w:left="880" w:hanging="299"/>
        <w:spacing w:after="0"/>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spacing w:after="0" w:line="191" w:lineRule="exact"/>
        <w:rPr>
          <w:rFonts w:ascii="Courier New" w:cs="Courier New" w:eastAsia="Courier New" w:hAnsi="Courier New"/>
          <w:sz w:val="16"/>
          <w:szCs w:val="16"/>
          <w:color w:val="auto"/>
        </w:rPr>
      </w:pPr>
    </w:p>
    <w:p>
      <w:pPr>
        <w:ind w:left="880" w:right="29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spacing w:after="0" w:line="184" w:lineRule="exact"/>
        <w:rPr>
          <w:rFonts w:ascii="Courier New" w:cs="Courier New" w:eastAsia="Courier New" w:hAnsi="Courier New"/>
          <w:sz w:val="16"/>
          <w:szCs w:val="16"/>
          <w:color w:val="auto"/>
        </w:rPr>
      </w:pPr>
    </w:p>
    <w:p>
      <w:pPr>
        <w:ind w:left="880" w:right="29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spacing w:after="0" w:line="184" w:lineRule="exact"/>
        <w:rPr>
          <w:rFonts w:ascii="Courier New" w:cs="Courier New" w:eastAsia="Courier New" w:hAnsi="Courier New"/>
          <w:sz w:val="16"/>
          <w:szCs w:val="16"/>
          <w:color w:val="auto"/>
        </w:rPr>
      </w:pPr>
    </w:p>
    <w:p>
      <w:pPr>
        <w:ind w:left="880" w:right="26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spacing w:after="0" w:line="184" w:lineRule="exact"/>
        <w:rPr>
          <w:rFonts w:ascii="Courier New" w:cs="Courier New" w:eastAsia="Courier New" w:hAnsi="Courier New"/>
          <w:sz w:val="16"/>
          <w:szCs w:val="16"/>
          <w:color w:val="auto"/>
        </w:rPr>
      </w:pPr>
    </w:p>
    <w:p>
      <w:pPr>
        <w:ind w:left="880" w:right="27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880" w:right="27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880" w:right="26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spacing w:after="0" w:line="184"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880" w:right="2559" w:hanging="299"/>
        <w:spacing w:after="0" w:line="247"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186"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1-216-1100.</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86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r>
      <w:tr>
        <w:trPr>
          <w:trHeight w:val="932"/>
        </w:trPr>
        <w:tc>
          <w:tcPr>
            <w:tcW w:w="5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r>
      <w:tr>
        <w:trPr>
          <w:trHeight w:val="373"/>
        </w:trPr>
        <w:tc>
          <w:tcPr>
            <w:tcW w:w="5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5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tcPr>
          <w:p>
            <w:pPr>
              <w:spacing w:after="0"/>
              <w:rPr>
                <w:sz w:val="16"/>
                <w:szCs w:val="16"/>
                <w:color w:val="auto"/>
              </w:rPr>
            </w:pP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[Graphic Omitted]</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62" w:right="1440" w:bottom="322" w:gutter="0" w:footer="0" w:header="0"/>
        </w:sectPr>
      </w:pPr>
    </w:p>
    <w:bookmarkStart w:id="59" w:name="page60"/>
    <w:bookmarkEnd w:id="59"/>
    <w:p>
      <w:pPr>
        <w:ind w:left="2900"/>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60" w:name="page61"/>
    <w:bookmarkEnd w:id="60"/>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8.INDEMNIFICATION OF DIRECTORS AND OFFICERS.</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Paragraph 139 of the Articles of Association of ICON provides as follows:</w:t>
      </w:r>
    </w:p>
    <w:p>
      <w:pPr>
        <w:spacing w:after="0" w:line="191" w:lineRule="exact"/>
        <w:rPr>
          <w:sz w:val="20"/>
          <w:szCs w:val="20"/>
          <w:color w:val="auto"/>
        </w:rPr>
      </w:pPr>
    </w:p>
    <w:p>
      <w:pPr>
        <w:ind w:left="1741" w:right="2459" w:firstLine="581"/>
        <w:spacing w:after="0" w:line="246" w:lineRule="auto"/>
        <w:rPr>
          <w:sz w:val="20"/>
          <w:szCs w:val="20"/>
          <w:color w:val="auto"/>
        </w:rPr>
      </w:pPr>
      <w:r>
        <w:rPr>
          <w:rFonts w:ascii="Courier New" w:cs="Courier New" w:eastAsia="Courier New" w:hAnsi="Courier New"/>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5" w:lineRule="exact"/>
        <w:rPr>
          <w:sz w:val="20"/>
          <w:szCs w:val="20"/>
          <w:color w:val="auto"/>
        </w:rPr>
      </w:pPr>
    </w:p>
    <w:p>
      <w:pPr>
        <w:ind w:left="1741" w:right="2459" w:firstLine="581"/>
        <w:spacing w:after="0" w:line="247" w:lineRule="auto"/>
        <w:rPr>
          <w:sz w:val="20"/>
          <w:szCs w:val="20"/>
          <w:color w:val="auto"/>
        </w:rPr>
      </w:pPr>
      <w:r>
        <w:rPr>
          <w:rFonts w:ascii="Courier New" w:cs="Courier New" w:eastAsia="Courier New" w:hAnsi="Courier New"/>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85"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9.EXHIBITS.</w:t>
      </w:r>
    </w:p>
    <w:p>
      <w:pPr>
        <w:spacing w:after="0" w:line="191" w:lineRule="exact"/>
        <w:rPr>
          <w:sz w:val="20"/>
          <w:szCs w:val="20"/>
          <w:color w:val="auto"/>
        </w:rPr>
      </w:pPr>
    </w:p>
    <w:p>
      <w:pPr>
        <w:ind w:left="1" w:right="2859" w:hanging="1"/>
        <w:spacing w:after="0" w:line="248" w:lineRule="auto"/>
        <w:tabs>
          <w:tab w:leader="none" w:pos="4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filed herewith, or incorporated by reference herein:</w:t>
      </w:r>
    </w:p>
    <w:p>
      <w:pPr>
        <w:sectPr>
          <w:pgSz w:w="11900" w:h="16838" w:orient="portrait"/>
          <w:cols w:equalWidth="0" w:num="1">
            <w:col w:w="10220"/>
          </w:cols>
          <w:pgMar w:left="239" w:top="862" w:right="1440" w:bottom="1079" w:gutter="0" w:footer="0" w:header="0"/>
        </w:sectPr>
      </w:pP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881" w:space="280"/>
            <w:col w:w="9059"/>
          </w:cols>
          <w:pgMar w:left="239" w:top="862" w:right="1440" w:bottom="1079"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Underwriting Agreement</w:t>
      </w:r>
    </w:p>
    <w:p>
      <w:pPr>
        <w:spacing w:after="0" w:line="191" w:lineRule="exact"/>
        <w:rPr>
          <w:sz w:val="20"/>
          <w:szCs w:val="20"/>
          <w:color w:val="auto"/>
        </w:rPr>
      </w:pPr>
    </w:p>
    <w:p>
      <w:pPr>
        <w:sectPr>
          <w:pgSz w:w="11900" w:h="16838" w:orient="portrait"/>
          <w:cols w:equalWidth="0" w:num="2">
            <w:col w:w="441" w:space="720"/>
            <w:col w:w="9059"/>
          </w:cols>
          <w:pgMar w:left="239" w:top="862" w:right="1440" w:bottom="1079"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ind w:right="2759"/>
        <w:spacing w:after="0" w:line="247" w:lineRule="auto"/>
        <w:rPr>
          <w:sz w:val="20"/>
          <w:szCs w:val="20"/>
          <w:color w:val="auto"/>
        </w:rPr>
      </w:pPr>
      <w:r>
        <w:rPr>
          <w:rFonts w:ascii="Courier New" w:cs="Courier New" w:eastAsia="Courier New" w:hAnsi="Courier New"/>
          <w:sz w:val="16"/>
          <w:szCs w:val="16"/>
          <w:color w:val="auto"/>
        </w:rPr>
        <w:t>Deposit Agreement, dated as of May 20, 1998, between the Company, The Bank of New York and the holders from time to time of the Company's ADRs</w:t>
      </w:r>
    </w:p>
    <w:p>
      <w:pPr>
        <w:spacing w:after="0" w:line="186" w:lineRule="exact"/>
        <w:rPr>
          <w:sz w:val="20"/>
          <w:szCs w:val="20"/>
          <w:color w:val="auto"/>
        </w:rPr>
      </w:pPr>
    </w:p>
    <w:p>
      <w:pPr>
        <w:sectPr>
          <w:pgSz w:w="11900" w:h="16838" w:orient="portrait"/>
          <w:cols w:equalWidth="0" w:num="2">
            <w:col w:w="481" w:space="680"/>
            <w:col w:w="9059"/>
          </w:cols>
          <w:pgMar w:left="239" w:top="862" w:right="1440" w:bottom="1079"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Ordinary Share certificate.</w:t>
      </w:r>
    </w:p>
    <w:p>
      <w:pPr>
        <w:spacing w:after="0" w:line="191" w:lineRule="exact"/>
        <w:rPr>
          <w:sz w:val="20"/>
          <w:szCs w:val="20"/>
          <w:color w:val="auto"/>
        </w:rPr>
      </w:pPr>
    </w:p>
    <w:p>
      <w:pPr>
        <w:sectPr>
          <w:pgSz w:w="11900" w:h="16838" w:orient="portrait"/>
          <w:cols w:equalWidth="0" w:num="2">
            <w:col w:w="481" w:space="680"/>
            <w:col w:w="9059"/>
          </w:cols>
          <w:pgMar w:left="239" w:top="862" w:right="1440" w:bottom="1079"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ADR certificate (included in Exhibit 4.1).</w:t>
      </w:r>
    </w:p>
    <w:p>
      <w:pPr>
        <w:spacing w:after="0" w:line="191" w:lineRule="exact"/>
        <w:rPr>
          <w:sz w:val="20"/>
          <w:szCs w:val="20"/>
          <w:color w:val="auto"/>
        </w:rPr>
      </w:pPr>
    </w:p>
    <w:p>
      <w:pPr>
        <w:sectPr>
          <w:pgSz w:w="11900" w:h="16838" w:orient="portrait"/>
          <w:cols w:equalWidth="0" w:num="2">
            <w:col w:w="481" w:space="680"/>
            <w:col w:w="9059"/>
          </w:cols>
          <w:pgMar w:left="239" w:top="862" w:right="1440" w:bottom="1079"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Registration Rights Agreement, dated as of December 12, 1997.</w:t>
      </w:r>
    </w:p>
    <w:p>
      <w:pPr>
        <w:spacing w:after="0" w:line="200" w:lineRule="exact"/>
        <w:rPr>
          <w:sz w:val="20"/>
          <w:szCs w:val="20"/>
          <w:color w:val="auto"/>
        </w:rPr>
      </w:pPr>
    </w:p>
    <w:p>
      <w:pPr>
        <w:sectPr>
          <w:pgSz w:w="11900" w:h="16838" w:orient="portrait"/>
          <w:cols w:equalWidth="0" w:num="2">
            <w:col w:w="481" w:space="680"/>
            <w:col w:w="9059"/>
          </w:cols>
          <w:pgMar w:left="239" w:top="862" w:right="1440" w:bottom="107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1"/>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0"/>
          </w:cols>
          <w:pgMar w:left="239" w:top="862" w:right="1440" w:bottom="1079" w:gutter="0" w:footer="0" w:header="0"/>
          <w:type w:val="continuous"/>
        </w:sectPr>
      </w:pPr>
    </w:p>
    <w:bookmarkStart w:id="61" w:name="page62"/>
    <w:bookmarkEnd w:id="61"/>
    <w:tbl>
      <w:tblPr>
        <w:tblLayout w:type="fixed"/>
        <w:tblInd w:w="1" w:type="dxa"/>
        <w:tblCellMar>
          <w:top w:w="0" w:type="dxa"/>
          <w:left w:w="0" w:type="dxa"/>
          <w:bottom w:w="0" w:type="dxa"/>
          <w:right w:w="0" w:type="dxa"/>
        </w:tblCellMar>
      </w:tblPr>
      <w:tr>
        <w:trPr>
          <w:trHeight w:val="183"/>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40" w:type="dxa"/>
            <w:vAlign w:val="bottom"/>
          </w:tcPr>
          <w:p>
            <w:pPr>
              <w:spacing w:after="0"/>
              <w:rPr>
                <w:sz w:val="15"/>
                <w:szCs w:val="15"/>
                <w:color w:val="auto"/>
              </w:rPr>
            </w:pPr>
          </w:p>
        </w:tc>
      </w:t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0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matters and the validity of the ordinary shares.</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Cahill Gordon &amp; Reindel LLP as to certain matters of U.S.</w:t>
            </w:r>
          </w:p>
        </w:tc>
      </w:tr>
      <w:tr>
        <w:trPr>
          <w:trHeight w:val="186"/>
        </w:trPr>
        <w:tc>
          <w:tcPr>
            <w:tcW w:w="10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020" w:type="dxa"/>
            <w:vAlign w:val="bottom"/>
          </w:tcPr>
          <w:p>
            <w:pPr>
              <w:spacing w:after="0"/>
              <w:rPr>
                <w:sz w:val="16"/>
                <w:szCs w:val="16"/>
                <w:color w:val="auto"/>
              </w:rPr>
            </w:pP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0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tcPr>
          <w:p>
            <w:pPr>
              <w:ind w:left="1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161" w:hanging="1161"/>
        <w:spacing w:after="0"/>
        <w:tabs>
          <w:tab w:leader="none" w:pos="11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191" w:lineRule="exact"/>
        <w:rPr>
          <w:sz w:val="20"/>
          <w:szCs w:val="20"/>
          <w:color w:val="auto"/>
        </w:rPr>
      </w:pPr>
    </w:p>
    <w:p>
      <w:pPr>
        <w:ind w:left="1161" w:right="2759" w:hanging="1161"/>
        <w:spacing w:after="0" w:line="247" w:lineRule="auto"/>
        <w:tabs>
          <w:tab w:leader="none" w:pos="11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5" w:lineRule="exact"/>
        <w:rPr>
          <w:rFonts w:ascii="Courier New" w:cs="Courier New" w:eastAsia="Courier New" w:hAnsi="Courier New"/>
          <w:sz w:val="16"/>
          <w:szCs w:val="16"/>
          <w:color w:val="auto"/>
        </w:rPr>
      </w:pPr>
    </w:p>
    <w:p>
      <w:pPr>
        <w:ind w:left="1361" w:hanging="1361"/>
        <w:spacing w:after="0"/>
        <w:tabs>
          <w:tab w:leader="none" w:pos="13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10.UNDERTAKINGS.</w:t>
      </w:r>
    </w:p>
    <w:p>
      <w:pPr>
        <w:spacing w:after="0" w:line="191" w:lineRule="exact"/>
        <w:rPr>
          <w:sz w:val="20"/>
          <w:szCs w:val="20"/>
          <w:color w:val="auto"/>
        </w:rPr>
      </w:pPr>
    </w:p>
    <w:p>
      <w:pPr>
        <w:ind w:left="481" w:hanging="481"/>
        <w:spacing w:after="0"/>
        <w:tabs>
          <w:tab w:leader="none" w:pos="4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961" w:right="2659" w:hanging="379"/>
        <w:spacing w:after="0" w:line="247"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961" w:right="2459" w:hanging="379"/>
        <w:spacing w:after="0" w:line="246"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91" w:lineRule="exact"/>
        <w:rPr>
          <w:rFonts w:ascii="Courier New" w:cs="Courier New" w:eastAsia="Courier New" w:hAnsi="Courier New"/>
          <w:sz w:val="16"/>
          <w:szCs w:val="16"/>
          <w:color w:val="auto"/>
        </w:rPr>
      </w:pPr>
    </w:p>
    <w:p>
      <w:pPr>
        <w:ind w:left="961" w:right="2659" w:hanging="379"/>
        <w:spacing w:after="0" w:line="246"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192" w:lineRule="exact"/>
        <w:rPr>
          <w:rFonts w:ascii="Courier New" w:cs="Courier New" w:eastAsia="Courier New" w:hAnsi="Courier New"/>
          <w:sz w:val="16"/>
          <w:szCs w:val="16"/>
          <w:color w:val="auto"/>
        </w:rPr>
      </w:pPr>
    </w:p>
    <w:p>
      <w:pPr>
        <w:ind w:left="961" w:right="2459" w:hanging="379"/>
        <w:spacing w:after="0" w:line="247" w:lineRule="auto"/>
        <w:tabs>
          <w:tab w:leader="none" w:pos="96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w:t>
      </w:r>
    </w:p>
    <w:p>
      <w:pPr>
        <w:spacing w:after="0" w:line="372"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862" w:right="1440" w:bottom="1440" w:gutter="0" w:footer="0" w:header="0"/>
        </w:sectPr>
      </w:pPr>
    </w:p>
    <w:bookmarkStart w:id="62" w:name="page63"/>
    <w:bookmarkEnd w:id="62"/>
    <w:p>
      <w:pPr>
        <w:ind w:left="960" w:right="2859"/>
        <w:spacing w:after="0" w:line="248" w:lineRule="auto"/>
        <w:rPr>
          <w:sz w:val="20"/>
          <w:szCs w:val="20"/>
          <w:color w:val="auto"/>
        </w:rPr>
      </w:pPr>
      <w:r>
        <w:rPr>
          <w:rFonts w:ascii="Courier New" w:cs="Courier New" w:eastAsia="Courier New" w:hAnsi="Courier New"/>
          <w:sz w:val="16"/>
          <w:szCs w:val="16"/>
          <w:color w:val="auto"/>
        </w:rPr>
        <w:t>the Securities Act shall be deemed to be part of this registration statement as of the time it was declared effective.</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76" w:right="1440" w:bottom="1440" w:gutter="0" w:footer="0" w:header="0"/>
        </w:sectPr>
      </w:pPr>
    </w:p>
    <w:bookmarkStart w:id="63" w:name="page64"/>
    <w:bookmarkEnd w:id="63"/>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Pursuant to the requirements of the Securities Act of 1933, the registrant</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20" w:type="dxa"/>
            <w:vAlign w:val="bottom"/>
          </w:tcPr>
          <w:p>
            <w:pPr>
              <w:spacing w:after="0"/>
              <w:rPr>
                <w:sz w:val="20"/>
                <w:szCs w:val="20"/>
                <w:color w:val="auto"/>
              </w:rPr>
            </w:pPr>
            <w:r>
              <w:rPr>
                <w:rFonts w:ascii="Courier New" w:cs="Courier New" w:eastAsia="Courier New" w:hAnsi="Courier New"/>
                <w:sz w:val="16"/>
                <w:szCs w:val="16"/>
                <w:color w:val="auto"/>
              </w:rPr>
              <w:t>certifies</w:t>
            </w:r>
          </w:p>
        </w:tc>
        <w:tc>
          <w:tcPr>
            <w:tcW w:w="3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that it has reasonable grounds to</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believe that it meets all of the</w:t>
            </w:r>
          </w:p>
        </w:tc>
      </w:tr>
      <w:tr>
        <w:trPr>
          <w:trHeight w:val="186"/>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requirements for filing on Form F-3 and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has</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duly caused this Registration</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Statement</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to be signed on its</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behalf by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undersigned, thereunto duly</w:t>
            </w:r>
          </w:p>
        </w:tc>
      </w:tr>
      <w:tr>
        <w:trPr>
          <w:trHeight w:val="186"/>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authorized, on the 9th day of</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May, 2003.</w:t>
            </w:r>
          </w:p>
        </w:tc>
        <w:tc>
          <w:tcPr>
            <w:tcW w:w="3140" w:type="dxa"/>
            <w:vAlign w:val="bottom"/>
          </w:tcPr>
          <w:p>
            <w:pPr>
              <w:spacing w:after="0"/>
              <w:rPr>
                <w:sz w:val="16"/>
                <w:szCs w:val="16"/>
                <w:color w:val="auto"/>
              </w:rPr>
            </w:pPr>
          </w:p>
        </w:tc>
      </w:tr>
    </w:tbl>
    <w:p>
      <w:pPr>
        <w:spacing w:after="0" w:line="190" w:lineRule="exact"/>
        <w:rPr>
          <w:sz w:val="20"/>
          <w:szCs w:val="20"/>
          <w:color w:val="auto"/>
        </w:rPr>
      </w:pPr>
    </w:p>
    <w:p>
      <w:pPr>
        <w:ind w:left="4161"/>
        <w:spacing w:after="0"/>
        <w:rPr>
          <w:sz w:val="20"/>
          <w:szCs w:val="20"/>
          <w:color w:val="auto"/>
        </w:rPr>
      </w:pPr>
      <w:r>
        <w:rPr>
          <w:rFonts w:ascii="Courier New" w:cs="Courier New" w:eastAsia="Courier New" w:hAnsi="Courier New"/>
          <w:sz w:val="16"/>
          <w:szCs w:val="16"/>
          <w:color w:val="auto"/>
        </w:rPr>
        <w:t>ICON PLC</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By:/s/ Sean Leech</w:t>
      </w:r>
    </w:p>
    <w:p>
      <w:pPr>
        <w:spacing w:after="0" w:line="5" w:lineRule="exact"/>
        <w:rPr>
          <w:sz w:val="20"/>
          <w:szCs w:val="20"/>
          <w:color w:val="auto"/>
        </w:rPr>
      </w:pPr>
    </w:p>
    <w:p>
      <w:pPr>
        <w:ind w:left="44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Chief Financial Officer</w:t>
      </w:r>
    </w:p>
    <w:p>
      <w:pPr>
        <w:spacing w:after="0" w:line="191" w:lineRule="exact"/>
        <w:rPr>
          <w:sz w:val="20"/>
          <w:szCs w:val="20"/>
          <w:color w:val="auto"/>
        </w:rPr>
      </w:pPr>
    </w:p>
    <w:p>
      <w:pPr>
        <w:ind w:left="1" w:right="323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their respective capacities on the 9th day of May, 2003.</w:t>
      </w:r>
    </w:p>
    <w:p>
      <w:pPr>
        <w:sectPr>
          <w:pgSz w:w="11900" w:h="16838" w:orient="portrait"/>
          <w:cols w:equalWidth="0" w:num="1">
            <w:col w:w="10220"/>
          </w:cols>
          <w:pgMar w:left="239" w:top="862" w:right="1440" w:bottom="1440" w:gutter="0" w:footer="0" w:header="0"/>
        </w:sectPr>
      </w:pP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2" w:lineRule="exact"/>
        <w:rPr>
          <w:sz w:val="20"/>
          <w:szCs w:val="20"/>
          <w:color w:val="auto"/>
        </w:rPr>
      </w:pPr>
    </w:p>
    <w:p>
      <w:pPr>
        <w:sectPr>
          <w:pgSz w:w="11900" w:h="16838" w:orient="portrait"/>
          <w:cols w:equalWidth="0" w:num="2">
            <w:col w:w="4321" w:space="720"/>
            <w:col w:w="5179"/>
          </w:cols>
          <w:pgMar w:left="239" w:top="862"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Director</w:t>
      </w:r>
    </w:p>
    <w:p>
      <w:pPr>
        <w:spacing w:after="0" w:line="5" w:lineRule="exact"/>
        <w:rPr>
          <w:sz w:val="20"/>
          <w:szCs w:val="20"/>
          <w:color w:val="auto"/>
        </w:rPr>
      </w:pPr>
    </w:p>
    <w:p>
      <w:pPr>
        <w:sectPr>
          <w:pgSz w:w="11900" w:h="16838" w:orient="portrait"/>
          <w:cols w:equalWidth="0" w:num="2">
            <w:col w:w="3641" w:space="720"/>
            <w:col w:w="5859"/>
          </w:cols>
          <w:pgMar w:left="239" w:top="862" w:right="1440" w:bottom="1440" w:gutter="0" w:footer="0" w:header="0"/>
          <w:type w:val="continuous"/>
        </w:sectPr>
      </w:pPr>
    </w:p>
    <w:p>
      <w:pPr>
        <w:ind w:left="201" w:hanging="201"/>
        <w:spacing w:after="0"/>
        <w:tabs>
          <w:tab w:leader="none" w:pos="2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John Climax</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15"/>
                <w:szCs w:val="15"/>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Chief Executive Officer, Director</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Peter Gray</w:t>
            </w:r>
          </w:p>
        </w:tc>
        <w:tc>
          <w:tcPr>
            <w:tcW w:w="3540" w:type="dxa"/>
            <w:vAlign w:val="bottom"/>
          </w:tcPr>
          <w:p>
            <w:pPr>
              <w:spacing w:after="0"/>
              <w:rPr>
                <w:sz w:val="16"/>
                <w:szCs w:val="16"/>
                <w:color w:val="auto"/>
              </w:rPr>
            </w:pPr>
          </w:p>
        </w:tc>
      </w:tr>
      <w:tr>
        <w:trPr>
          <w:trHeight w:val="559"/>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Sean Leech</w:t>
            </w: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Chief Financial Officer, Chief</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ind w:left="540"/>
              <w:spacing w:after="0"/>
              <w:rPr>
                <w:sz w:val="20"/>
                <w:szCs w:val="20"/>
                <w:color w:val="auto"/>
              </w:rPr>
            </w:pPr>
            <w:r>
              <w:rPr>
                <w:rFonts w:ascii="Courier New" w:cs="Courier New" w:eastAsia="Courier New" w:hAnsi="Courier New"/>
                <w:sz w:val="16"/>
                <w:szCs w:val="16"/>
                <w:color w:val="auto"/>
              </w:rPr>
              <w:t>Accounting Officer</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Sean Leech</w:t>
            </w:r>
          </w:p>
        </w:tc>
        <w:tc>
          <w:tcPr>
            <w:tcW w:w="3540" w:type="dxa"/>
            <w:vAlign w:val="bottom"/>
          </w:tcPr>
          <w:p>
            <w:pPr>
              <w:spacing w:after="0"/>
              <w:rPr>
                <w:sz w:val="16"/>
                <w:szCs w:val="16"/>
                <w:color w:val="auto"/>
              </w:rPr>
            </w:pPr>
          </w:p>
        </w:tc>
      </w:tr>
      <w:tr>
        <w:trPr>
          <w:trHeight w:val="559"/>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Dr. Ronan Lambe</w:t>
            </w:r>
          </w:p>
        </w:tc>
        <w:tc>
          <w:tcPr>
            <w:tcW w:w="3540" w:type="dxa"/>
            <w:vAlign w:val="bottom"/>
          </w:tcPr>
          <w:p>
            <w:pPr>
              <w:spacing w:after="0"/>
              <w:rPr>
                <w:sz w:val="16"/>
                <w:szCs w:val="16"/>
                <w:color w:val="auto"/>
              </w:rPr>
            </w:pPr>
          </w:p>
        </w:tc>
      </w:tr>
      <w:tr>
        <w:trPr>
          <w:trHeight w:val="559"/>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Thomas Lynch</w:t>
            </w:r>
          </w:p>
        </w:tc>
        <w:tc>
          <w:tcPr>
            <w:tcW w:w="3540" w:type="dxa"/>
            <w:vAlign w:val="bottom"/>
          </w:tcPr>
          <w:p>
            <w:pPr>
              <w:spacing w:after="0"/>
              <w:rPr>
                <w:sz w:val="16"/>
                <w:szCs w:val="16"/>
                <w:color w:val="auto"/>
              </w:rPr>
            </w:pPr>
          </w:p>
        </w:tc>
      </w:tr>
      <w:tr>
        <w:trPr>
          <w:trHeight w:val="559"/>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Edward Roberts</w:t>
            </w:r>
          </w:p>
        </w:tc>
        <w:tc>
          <w:tcPr>
            <w:tcW w:w="3540" w:type="dxa"/>
            <w:vAlign w:val="bottom"/>
          </w:tcPr>
          <w:p>
            <w:pPr>
              <w:spacing w:after="0"/>
              <w:rPr>
                <w:sz w:val="16"/>
                <w:szCs w:val="16"/>
                <w:color w:val="auto"/>
              </w:rPr>
            </w:pPr>
          </w:p>
        </w:tc>
      </w:tr>
      <w:tr>
        <w:trPr>
          <w:trHeight w:val="559"/>
        </w:trPr>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640" w:type="dxa"/>
            <w:vAlign w:val="bottom"/>
          </w:tcPr>
          <w:p>
            <w:pPr>
              <w:spacing w:after="0"/>
              <w:rPr>
                <w:sz w:val="24"/>
                <w:szCs w:val="24"/>
                <w:color w:val="auto"/>
              </w:rPr>
            </w:pP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Lee</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Jones</w:t>
            </w:r>
          </w:p>
        </w:tc>
        <w:tc>
          <w:tcPr>
            <w:tcW w:w="3540" w:type="dxa"/>
            <w:vAlign w:val="bottom"/>
          </w:tcPr>
          <w:p>
            <w:pPr>
              <w:spacing w:after="0"/>
              <w:rPr>
                <w:sz w:val="16"/>
                <w:szCs w:val="16"/>
                <w:color w:val="auto"/>
              </w:rPr>
            </w:pPr>
          </w:p>
        </w:tc>
      </w:tr>
      <w:tr>
        <w:trPr>
          <w:trHeight w:val="559"/>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William Taaffe</w:t>
            </w:r>
          </w:p>
        </w:tc>
        <w:tc>
          <w:tcPr>
            <w:tcW w:w="3540" w:type="dxa"/>
            <w:vAlign w:val="bottom"/>
          </w:tcPr>
          <w:p>
            <w:pPr>
              <w:ind w:left="340"/>
              <w:spacing w:after="0"/>
              <w:rPr>
                <w:sz w:val="20"/>
                <w:szCs w:val="20"/>
                <w:color w:val="auto"/>
              </w:rPr>
            </w:pPr>
            <w:r>
              <w:rPr>
                <w:rFonts w:ascii="Courier New" w:cs="Courier New" w:eastAsia="Courier New" w:hAnsi="Courier New"/>
                <w:sz w:val="16"/>
                <w:szCs w:val="16"/>
                <w:color w:val="auto"/>
              </w:rPr>
              <w:t>Authorized Representative in the</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ind w:left="5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William Taaffe</w:t>
            </w:r>
          </w:p>
        </w:tc>
        <w:tc>
          <w:tcPr>
            <w:tcW w:w="3540" w:type="dxa"/>
            <w:vAlign w:val="bottom"/>
          </w:tcPr>
          <w:p>
            <w:pPr>
              <w:spacing w:after="0"/>
              <w:rPr>
                <w:sz w:val="16"/>
                <w:szCs w:val="16"/>
                <w:color w:val="auto"/>
              </w:rPr>
            </w:pPr>
          </w:p>
        </w:tc>
      </w:tr>
    </w:tbl>
    <w:p>
      <w:pPr>
        <w:spacing w:after="0" w:line="377" w:lineRule="exact"/>
        <w:rPr>
          <w:sz w:val="20"/>
          <w:szCs w:val="20"/>
          <w:color w:val="auto"/>
        </w:rPr>
      </w:pPr>
    </w:p>
    <w:p>
      <w:pPr>
        <w:ind w:left="201" w:hanging="201"/>
        <w:spacing w:after="0"/>
        <w:tabs>
          <w:tab w:leader="none" w:pos="2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Signed by Sean Leech as Attorney-in-Fact.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0" w:lineRule="exact"/>
        <w:rPr>
          <w:rFonts w:ascii="Courier New" w:cs="Courier New" w:eastAsia="Courier New" w:hAnsi="Courier New"/>
          <w:sz w:val="16"/>
          <w:szCs w:val="16"/>
          <w:color w:val="auto"/>
        </w:rPr>
      </w:pPr>
    </w:p>
    <w:p>
      <w:pPr>
        <w:ind w:left="3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II-4</w:t>
      </w:r>
    </w:p>
    <w:p>
      <w:pPr>
        <w:sectPr>
          <w:pgSz w:w="11900" w:h="16838" w:orient="portrait"/>
          <w:cols w:equalWidth="0" w:num="1">
            <w:col w:w="10220"/>
          </w:cols>
          <w:pgMar w:left="239" w:top="862" w:right="1440" w:bottom="1440" w:gutter="0" w:footer="0" w:header="0"/>
          <w:type w:val="continuous"/>
        </w:sectPr>
      </w:pPr>
    </w:p>
    <w:bookmarkStart w:id="64" w:name="page65"/>
    <w:bookmarkEnd w:id="64"/>
    <w:tbl>
      <w:tblPr>
        <w:tblLayout w:type="fixed"/>
        <w:tblInd w:w="1"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6740" w:type="dxa"/>
            <w:vAlign w:val="bottom"/>
          </w:tcPr>
          <w:p>
            <w:pPr>
              <w:ind w:left="2380"/>
              <w:spacing w:after="0"/>
              <w:rPr>
                <w:sz w:val="20"/>
                <w:szCs w:val="20"/>
                <w:color w:val="auto"/>
              </w:rPr>
            </w:pPr>
            <w:r>
              <w:rPr>
                <w:rFonts w:ascii="Courier New" w:cs="Courier New" w:eastAsia="Courier New" w:hAnsi="Courier New"/>
                <w:sz w:val="16"/>
                <w:szCs w:val="16"/>
                <w:color w:val="auto"/>
              </w:rPr>
              <w:t>EXHIBIT INDEX</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40" w:type="dxa"/>
            <w:vAlign w:val="bottom"/>
          </w:tcPr>
          <w:p>
            <w:pPr>
              <w:spacing w:after="0"/>
              <w:rPr>
                <w:sz w:val="24"/>
                <w:szCs w:val="24"/>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Deposit Agreement, dated as of May 20, 1998, between the Company, The</w:t>
            </w:r>
          </w:p>
        </w:tc>
      </w:tr>
      <w:tr>
        <w:trPr>
          <w:trHeight w:val="186"/>
        </w:trPr>
        <w:tc>
          <w:tcPr>
            <w:tcW w:w="920" w:type="dxa"/>
            <w:vAlign w:val="bottom"/>
          </w:tcPr>
          <w:p>
            <w:pPr>
              <w:spacing w:after="0"/>
              <w:rPr>
                <w:sz w:val="16"/>
                <w:szCs w:val="16"/>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Bank of New York and the holders from time to time of the Company's</w:t>
            </w:r>
          </w:p>
        </w:tc>
      </w:tr>
      <w:tr>
        <w:trPr>
          <w:trHeight w:val="186"/>
        </w:trPr>
        <w:tc>
          <w:tcPr>
            <w:tcW w:w="920" w:type="dxa"/>
            <w:vAlign w:val="bottom"/>
          </w:tcPr>
          <w:p>
            <w:pPr>
              <w:spacing w:after="0"/>
              <w:rPr>
                <w:sz w:val="16"/>
                <w:szCs w:val="16"/>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ADRs</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Form of Ordinary Share certificate.</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Form of ADR certificate (included in Exhibit 4.1).</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Registration Rights Agreement, dated as of December 12, 1997.</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920" w:type="dxa"/>
            <w:vAlign w:val="bottom"/>
          </w:tcPr>
          <w:p>
            <w:pPr>
              <w:spacing w:after="0"/>
              <w:rPr>
                <w:sz w:val="16"/>
                <w:szCs w:val="16"/>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matters.</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Cahill Gordon &amp; Reindel LLP as to certain matters of U.S.</w:t>
            </w:r>
          </w:p>
        </w:tc>
      </w:tr>
      <w:tr>
        <w:trPr>
          <w:trHeight w:val="186"/>
        </w:trPr>
        <w:tc>
          <w:tcPr>
            <w:tcW w:w="920" w:type="dxa"/>
            <w:vAlign w:val="bottom"/>
          </w:tcPr>
          <w:p>
            <w:pPr>
              <w:spacing w:after="0"/>
              <w:rPr>
                <w:sz w:val="16"/>
                <w:szCs w:val="16"/>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920" w:type="dxa"/>
            <w:vAlign w:val="bottom"/>
          </w:tcPr>
          <w:p>
            <w:pPr>
              <w:spacing w:after="0"/>
              <w:rPr>
                <w:sz w:val="16"/>
                <w:szCs w:val="16"/>
                <w:color w:val="auto"/>
              </w:rPr>
            </w:pP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tcPr>
          <w:p>
            <w:pPr>
              <w:ind w:left="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961" w:hanging="961"/>
        <w:spacing w:after="0"/>
        <w:tabs>
          <w:tab w:leader="none" w:pos="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191" w:lineRule="exact"/>
        <w:rPr>
          <w:sz w:val="20"/>
          <w:szCs w:val="20"/>
          <w:color w:val="auto"/>
        </w:rPr>
      </w:pPr>
    </w:p>
    <w:p>
      <w:pPr>
        <w:ind w:left="961" w:right="2459" w:hanging="961"/>
        <w:spacing w:after="0" w:line="247" w:lineRule="auto"/>
        <w:tabs>
          <w:tab w:leader="none" w:pos="9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5" w:lineRule="exact"/>
        <w:rPr>
          <w:rFonts w:ascii="Courier New" w:cs="Courier New" w:eastAsia="Courier New" w:hAnsi="Courier New"/>
          <w:sz w:val="16"/>
          <w:szCs w:val="16"/>
          <w:color w:val="auto"/>
        </w:rPr>
      </w:pPr>
    </w:p>
    <w:p>
      <w:pPr>
        <w:ind w:left="961" w:hanging="961"/>
        <w:spacing w:after="0"/>
        <w:tabs>
          <w:tab w:leader="none" w:pos="96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ectPr>
          <w:pgSz w:w="11900" w:h="16838" w:orient="portrait"/>
          <w:cols w:equalWidth="0" w:num="1">
            <w:col w:w="10220"/>
          </w:cols>
          <w:pgMar w:left="239" w:top="1049" w:right="1440" w:bottom="1440" w:gutter="0" w:footer="0" w:header="0"/>
        </w:sectPr>
      </w:pPr>
    </w:p>
    <w:bookmarkStart w:id="65" w:name="page66"/>
    <w:bookmarkEnd w:id="65"/>
    <w:p>
      <w:pPr>
        <w:spacing w:after="0" w:line="6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[Letterhead of A&amp;L Goodbody]</w:t>
      </w:r>
    </w:p>
    <w:p>
      <w:pPr>
        <w:spacing w:after="0" w:line="191" w:lineRule="exact"/>
        <w:rPr>
          <w:sz w:val="20"/>
          <w:szCs w:val="20"/>
          <w:color w:val="auto"/>
        </w:rPr>
      </w:pPr>
    </w:p>
    <w:p>
      <w:pPr>
        <w:ind w:left="1"/>
        <w:spacing w:after="0"/>
        <w:tabs>
          <w:tab w:leader="none" w:pos="1340" w:val="left"/>
          <w:tab w:leader="none" w:pos="3560" w:val="left"/>
          <w:tab w:leader="none" w:pos="5500" w:val="left"/>
        </w:tabs>
        <w:rPr>
          <w:sz w:val="20"/>
          <w:szCs w:val="20"/>
          <w:color w:val="auto"/>
        </w:rPr>
      </w:pPr>
      <w:r>
        <w:rPr>
          <w:rFonts w:ascii="Courier New" w:cs="Courier New" w:eastAsia="Courier New" w:hAnsi="Courier New"/>
          <w:sz w:val="16"/>
          <w:szCs w:val="16"/>
          <w:color w:val="auto"/>
        </w:rPr>
        <w:t>our ref |</w:t>
      </w:r>
      <w:r>
        <w:rPr>
          <w:sz w:val="20"/>
          <w:szCs w:val="20"/>
          <w:color w:val="auto"/>
        </w:rPr>
        <w:tab/>
      </w:r>
      <w:r>
        <w:rPr>
          <w:rFonts w:ascii="Courier New" w:cs="Courier New" w:eastAsia="Courier New" w:hAnsi="Courier New"/>
          <w:sz w:val="16"/>
          <w:szCs w:val="16"/>
          <w:color w:val="auto"/>
        </w:rPr>
        <w:t>GMT/JTG 01318262</w:t>
      </w:r>
      <w:r>
        <w:rPr>
          <w:sz w:val="20"/>
          <w:szCs w:val="20"/>
          <w:color w:val="auto"/>
        </w:rPr>
        <w:tab/>
      </w:r>
      <w:r>
        <w:rPr>
          <w:rFonts w:ascii="Courier New" w:cs="Courier New" w:eastAsia="Courier New" w:hAnsi="Courier New"/>
          <w:sz w:val="16"/>
          <w:szCs w:val="16"/>
          <w:color w:val="auto"/>
        </w:rPr>
        <w:t>your ref |</w:t>
      </w:r>
      <w:r>
        <w:rPr>
          <w:sz w:val="20"/>
          <w:szCs w:val="20"/>
          <w:color w:val="auto"/>
        </w:rPr>
        <w:tab/>
      </w:r>
      <w:r>
        <w:rPr>
          <w:rFonts w:ascii="Courier New" w:cs="Courier New" w:eastAsia="Courier New" w:hAnsi="Courier New"/>
          <w:sz w:val="16"/>
          <w:szCs w:val="16"/>
          <w:color w:val="auto"/>
        </w:rPr>
        <w:t>date |[April 2003]</w:t>
      </w:r>
    </w:p>
    <w:p>
      <w:pPr>
        <w:spacing w:after="0" w:line="37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[Graphic Omitted]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DRAFT</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ICON PLC ("ICON")</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We have acted as Irish counsel to Icon, a public limited company incorporated under the laws of Ireland in connection with the proposed issue of up to [1,500,000] American Depositary Shares ("ADS") each evidenced by 1 American Depositary Receipt ("ADR") representing 1 Ordinary Share, par value 6 euro cent of Icon ("Ordinary Share"), to be represented on issue by 1 ADS evidenced by 1 ADR.</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We refer to the Registration Statement Number 333-102893 and the related prospectus (respectively the "Registration Statement" and the "Prospectus") filed by Icon under the Securities Act, 1933 (as amended) ("the Act") in respect of the foregoing.</w:t>
      </w:r>
    </w:p>
    <w:p>
      <w:pPr>
        <w:spacing w:after="0" w:line="186"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In connection with this opinion, we have examined and have assumed the truth and accuracy of the contents of such documents and certificates of officers of and advisers to Icon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genuineness of all signatures, the authenticity of all documents submitted to us as originals, the conformity to original documents of all documents submitted to us as certified or photostatic copies and the authenticity of the originals of such documents. We have further assumed that none of the resolutions and authorities of the shareholders or Directors of Icon upon which we have relied has been varied, amended or revoked in any respect or has expired and that the Ordinary Shares will be issued in accordance with such resolutions and authorities and as contemplated by and described in the Registration Statement a form of which is exhibited to the Registration Statement. We further assume that Icon will comply with its obligations under and the representations and warranties contained in the Agreements referred to in the Registration Statement.</w:t>
      </w:r>
    </w:p>
    <w:p>
      <w:pPr>
        <w:spacing w:after="0" w:line="197"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We are admitted to practise law only in Ireland and accordingly, we express no opinion on the laws of any jurisdiction other than the laws (and the interpretation thereof) of Ireland in force as at the date hereof. We assume that the transactions contemplated by the Registration Statement are 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under the United States federal law, New York State law and all other applicable laws (if any). As the transactions contemplated by the Registration Statement are governed by the United States federal law and/or New York State law, we express no opinion herein as to matters of enforceability.</w:t>
      </w:r>
    </w:p>
    <w:p>
      <w:pPr>
        <w:spacing w:after="0" w:line="186" w:lineRule="exact"/>
        <w:rPr>
          <w:sz w:val="20"/>
          <w:szCs w:val="20"/>
          <w:color w:val="auto"/>
        </w:rPr>
      </w:pPr>
    </w:p>
    <w:p>
      <w:pPr>
        <w:ind w:left="1"/>
        <w:spacing w:after="0"/>
        <w:tabs>
          <w:tab w:leader="none" w:pos="6080" w:val="left"/>
        </w:tabs>
        <w:rPr>
          <w:sz w:val="20"/>
          <w:szCs w:val="20"/>
          <w:color w:val="auto"/>
        </w:rPr>
      </w:pPr>
      <w:r>
        <w:rPr>
          <w:rFonts w:ascii="Courier New" w:cs="Courier New" w:eastAsia="Courier New" w:hAnsi="Courier New"/>
          <w:sz w:val="16"/>
          <w:szCs w:val="16"/>
          <w:color w:val="auto"/>
        </w:rPr>
        <w:t>Based upon the foregoing we are of the opinion that:</w:t>
      </w:r>
      <w:r>
        <w:rPr>
          <w:sz w:val="20"/>
          <w:szCs w:val="20"/>
          <w:color w:val="auto"/>
        </w:rPr>
        <w:tab/>
      </w:r>
      <w:r>
        <w:rPr>
          <w:rFonts w:ascii="Courier New" w:cs="Courier New" w:eastAsia="Courier New" w:hAnsi="Courier New"/>
          <w:sz w:val="16"/>
          <w:szCs w:val="16"/>
          <w:color w:val="auto"/>
        </w:rPr>
        <w:t>[Graphic Omitted]</w:t>
      </w:r>
    </w:p>
    <w:p>
      <w:pPr>
        <w:spacing w:after="0" w:line="191" w:lineRule="exact"/>
        <w:rPr>
          <w:sz w:val="20"/>
          <w:szCs w:val="20"/>
          <w:color w:val="auto"/>
        </w:rPr>
      </w:pPr>
    </w:p>
    <w:p>
      <w:pPr>
        <w:ind w:left="581" w:hanging="581"/>
        <w:spacing w:after="0"/>
        <w:tabs>
          <w:tab w:leader="none" w:pos="5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Icon is duly incorporated and validly existing under the laws of Ireland.</w:t>
      </w:r>
    </w:p>
    <w:p>
      <w:pPr>
        <w:spacing w:after="0" w:line="191" w:lineRule="exact"/>
        <w:rPr>
          <w:rFonts w:ascii="Courier New" w:cs="Courier New" w:eastAsia="Courier New" w:hAnsi="Courier New"/>
          <w:sz w:val="16"/>
          <w:szCs w:val="16"/>
          <w:color w:val="auto"/>
        </w:rPr>
      </w:pPr>
    </w:p>
    <w:p>
      <w:pPr>
        <w:ind w:left="581" w:right="2659" w:hanging="581"/>
        <w:spacing w:after="0" w:line="247" w:lineRule="auto"/>
        <w:tabs>
          <w:tab w:leader="none" w:pos="5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Ordinary Shares issuable pursuant to the Underwriting Agreement referred to in the Prospectus have been duly authorised and, when issued upon such exercise and upon payment of the exercise price in accordance with the terms of the Underwriting Agreement, will be duly authorised, legally issued, fully paid and not subject to calls for any additional payments.</w:t>
      </w:r>
    </w:p>
    <w:p>
      <w:pPr>
        <w:spacing w:after="0" w:line="185" w:lineRule="exact"/>
        <w:rPr>
          <w:rFonts w:ascii="Courier New" w:cs="Courier New" w:eastAsia="Courier New" w:hAnsi="Courier New"/>
          <w:sz w:val="16"/>
          <w:szCs w:val="16"/>
          <w:color w:val="auto"/>
        </w:rPr>
      </w:pPr>
    </w:p>
    <w:p>
      <w:pPr>
        <w:ind w:left="581" w:right="2459" w:hanging="581"/>
        <w:spacing w:after="0" w:line="247" w:lineRule="auto"/>
        <w:tabs>
          <w:tab w:leader="none" w:pos="5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Registration Statement and the Prospectus under the headings "Price Range of ADSs and Dividend Policy", "Business - Government Regulation", "Management", "Selling Shareholders", and "Exchange Controls and Other Limitations Affecting Security Holders", to the extent that they constitute matters of law or legal conclusions with respect thereto, have been prepared or reviewed by us and are correct in all material respects.</w:t>
      </w:r>
    </w:p>
    <w:p>
      <w:pPr>
        <w:spacing w:after="0" w:line="18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We hereby consent to the filing of this opinion with the United States Securities and Exchange Commission as an exhibit to the Registration Statement and to the references to our firm under the captions "Enforceability of Civil Liabilities Provisions of Federal Securities Laws against Foreign Persons" and "Validity of ADSs and Ordinary Shares in the Registration Statement and the Prospectus".</w:t>
      </w:r>
    </w:p>
    <w:p>
      <w:pPr>
        <w:spacing w:after="0" w:line="185"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This opinion is being delivered to you and may not be relied upon or distributed to any other person, without our consent. This opinion is to be construed in</w:t>
      </w:r>
    </w:p>
    <w:p>
      <w:pPr>
        <w:sectPr>
          <w:pgSz w:w="11900" w:h="16904" w:orient="portrait"/>
          <w:cols w:equalWidth="0" w:num="1">
            <w:col w:w="10220"/>
          </w:cols>
          <w:pgMar w:left="239" w:top="328"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accordance with and governed by the laws of Ireland.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M-410598-1</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67" w:name="page68"/>
    <w:bookmarkEnd w:id="67"/>
    <w:p>
      <w:pPr>
        <w:ind w:left="1940"/>
        <w:spacing w:after="0"/>
        <w:rPr>
          <w:sz w:val="20"/>
          <w:szCs w:val="20"/>
          <w:color w:val="auto"/>
        </w:rPr>
      </w:pPr>
      <w:r>
        <w:rPr>
          <w:rFonts w:ascii="Courier New" w:cs="Courier New" w:eastAsia="Courier New" w:hAnsi="Courier New"/>
          <w:sz w:val="16"/>
          <w:szCs w:val="16"/>
          <w:color w:val="auto"/>
        </w:rPr>
        <w:t>[Cahill Gordon &amp; Reindel LLP Letterhead]</w:t>
      </w:r>
    </w:p>
    <w:p>
      <w:pPr>
        <w:spacing w:after="0" w:line="200" w:lineRule="exact"/>
        <w:rPr>
          <w:sz w:val="20"/>
          <w:szCs w:val="20"/>
          <w:color w:val="auto"/>
        </w:rPr>
      </w:pPr>
    </w:p>
    <w:p>
      <w:pPr>
        <w:spacing w:after="0" w:line="36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May [ ],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 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559" w:firstLine="1357"/>
        <w:spacing w:after="0" w:line="247" w:lineRule="auto"/>
        <w:rPr>
          <w:sz w:val="20"/>
          <w:szCs w:val="20"/>
          <w:color w:val="auto"/>
        </w:rPr>
      </w:pPr>
      <w:r>
        <w:rPr>
          <w:rFonts w:ascii="Courier New" w:cs="Courier New" w:eastAsia="Courier New" w:hAnsi="Courier New"/>
          <w:sz w:val="16"/>
          <w:szCs w:val="16"/>
          <w:color w:val="auto"/>
        </w:rPr>
        <w:t>In connection with the Registration Statement (No. 333-102893) on Form F-3 (the "Registration Statement") you have requested our opinion as to certain U.S. federal income tax matters. Our opinion is set forth in the Registration Statement under the heading "U.S. Taxation Considerations."</w:t>
      </w:r>
    </w:p>
    <w:p>
      <w:pPr>
        <w:spacing w:after="0" w:line="186" w:lineRule="exact"/>
        <w:rPr>
          <w:sz w:val="20"/>
          <w:szCs w:val="20"/>
          <w:color w:val="auto"/>
        </w:rPr>
      </w:pPr>
    </w:p>
    <w:p>
      <w:pPr>
        <w:ind w:right="2659" w:firstLine="1357"/>
        <w:spacing w:after="0" w:line="247" w:lineRule="auto"/>
        <w:rPr>
          <w:sz w:val="20"/>
          <w:szCs w:val="20"/>
          <w:color w:val="auto"/>
        </w:rPr>
      </w:pPr>
      <w:r>
        <w:rPr>
          <w:rFonts w:ascii="Courier New" w:cs="Courier New" w:eastAsia="Courier New" w:hAnsi="Courier New"/>
          <w:sz w:val="16"/>
          <w:szCs w:val="16"/>
          <w:color w:val="auto"/>
        </w:rPr>
        <w:t>We hereby consent to the filing of this letter as Exhibit 8.1 to the Registration Statement and to the use of our name under the caption "U.S. Taxation Considerations" in the Registration Statement.</w:t>
      </w:r>
    </w:p>
    <w:p>
      <w:pPr>
        <w:spacing w:after="0" w:line="186"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19"/>
          </w:cols>
          <w:pgMar w:left="240" w:top="514" w:right="1440" w:bottom="1440" w:gutter="0" w:footer="0" w:header="0"/>
        </w:sectPr>
      </w:pPr>
    </w:p>
    <w:bookmarkStart w:id="68" w:name="page69"/>
    <w:bookmarkEnd w:id="68"/>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 Letterhead]</w:t>
      </w:r>
    </w:p>
    <w:p>
      <w:pPr>
        <w:sectPr>
          <w:pgSz w:w="11900" w:h="16897" w:orient="portrait"/>
          <w:cols w:equalWidth="0" w:num="1">
            <w:col w:w="10219"/>
          </w:cols>
          <w:pgMar w:left="240" w:top="142" w:right="1440" w:bottom="0"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S. Leech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ref COS/EM/318683</w:t>
      </w:r>
    </w:p>
    <w:p>
      <w:pPr>
        <w:spacing w:after="0" w:line="1131" w:lineRule="exact"/>
        <w:rPr>
          <w:sz w:val="20"/>
          <w:szCs w:val="20"/>
          <w:color w:val="auto"/>
        </w:rPr>
      </w:pPr>
    </w:p>
    <w:p>
      <w:pPr>
        <w:sectPr>
          <w:pgSz w:w="11900" w:h="16897" w:orient="portrait"/>
          <w:cols w:equalWidth="0" w:num="2">
            <w:col w:w="5000" w:space="720"/>
            <w:col w:w="4499"/>
          </w:cols>
          <w:pgMar w:left="240" w:top="142"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May 2003</w:t>
      </w:r>
    </w:p>
    <w:p>
      <w:pPr>
        <w:sectPr>
          <w:pgSz w:w="11900" w:h="16897" w:orient="portrait"/>
          <w:cols w:equalWidth="0" w:num="1">
            <w:col w:w="10219"/>
          </w:cols>
          <w:pgMar w:left="240" w:top="142" w:right="1440" w:bottom="0" w:gutter="0" w:footer="0" w:header="0"/>
          <w:type w:val="continuous"/>
        </w:sect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Sean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TAX CONSEQUENCES OF THE OWNERSHIP AND DISPOSITION OF ADS's AND ORDINARY SHARES BY US HOLDERS</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attach for your attention an extract from the prospectus of ICON plc dated May 9, 2003 which is our opinion in relation to Irish taxation matters ("our opinion"). The terms used in this letter shall have the same meanings assigned to them in the said prospectus.</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Our opinion accurately summarises the material Irish taxation consequences to US holders of the acquisition, ownership and disposition of ordinary shares and ADS's.</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opinion is qualified in its entirety by the fact that is intended to provide only a general description of the Irish tax consequences to ICON plc and its United States investors and as such it may not address all such potential consequences based upon specific circumstances which may be relevant to particular non-resident holders.</w:t>
      </w:r>
    </w:p>
    <w:p>
      <w:pPr>
        <w:spacing w:after="0" w:line="18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This opinion is given as of the date hereof and is based on current Irish legislation, judicial interpretations thereof and known practices of the Irish Revenue Commissioners, all of which are subject to change.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faithfully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580"/>
        <w:spacing w:after="0"/>
        <w:tabs>
          <w:tab w:leader="none" w:pos="860" w:val="left"/>
        </w:tabs>
        <w:rPr>
          <w:sz w:val="20"/>
          <w:szCs w:val="20"/>
          <w:color w:val="auto"/>
        </w:rPr>
      </w:pPr>
      <w:r>
        <w:rPr>
          <w:rFonts w:ascii="Courier New" w:cs="Courier New" w:eastAsia="Courier New" w:hAnsi="Courier New"/>
          <w:sz w:val="16"/>
          <w:szCs w:val="16"/>
          <w:color w:val="auto"/>
        </w:rPr>
        <w:t>o</w:t>
        <w:tab/>
        <w:t>are ultimately controlled by residents of a Relevant Territory;</w:t>
      </w:r>
    </w:p>
    <w:p>
      <w:pPr>
        <w:sectPr>
          <w:pgSz w:w="11900" w:h="16897" w:orient="portrait"/>
          <w:cols w:equalWidth="0" w:num="1">
            <w:col w:w="10219"/>
          </w:cols>
          <w:pgMar w:left="240" w:top="142" w:right="1440" w:bottom="0" w:gutter="0" w:footer="0" w:header="0"/>
          <w:type w:val="continuous"/>
        </w:sectPr>
      </w:pPr>
    </w:p>
    <w:bookmarkStart w:id="69" w:name="page70"/>
    <w:bookmarkEnd w:id="69"/>
    <w:p>
      <w:pPr>
        <w:ind w:left="299" w:right="2759" w:hanging="299"/>
        <w:spacing w:after="0" w:line="248" w:lineRule="auto"/>
        <w:tabs>
          <w:tab w:leader="none" w:pos="29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184" w:lineRule="exact"/>
        <w:rPr>
          <w:rFonts w:ascii="Courier New" w:cs="Courier New" w:eastAsia="Courier New" w:hAnsi="Courier New"/>
          <w:sz w:val="16"/>
          <w:szCs w:val="16"/>
          <w:color w:val="auto"/>
        </w:rPr>
      </w:pPr>
    </w:p>
    <w:p>
      <w:pPr>
        <w:ind w:left="299" w:right="2759" w:hanging="299"/>
        <w:spacing w:after="0" w:line="247" w:lineRule="auto"/>
        <w:tabs>
          <w:tab w:leader="none" w:pos="29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ectPr>
          <w:pgSz w:w="11900" w:h="16838" w:orient="portrait"/>
          <w:cols w:equalWidth="0" w:num="1">
            <w:col w:w="9638"/>
          </w:cols>
          <w:pgMar w:left="821" w:top="328" w:right="1440" w:bottom="1440" w:gutter="0" w:footer="0" w:header="0"/>
        </w:sectPr>
      </w:pPr>
    </w:p>
    <w:bookmarkStart w:id="70" w:name="page71"/>
    <w:bookmarkEnd w:id="70"/>
    <w:p>
      <w:pPr>
        <w:ind w:left="880" w:right="2759" w:hanging="299"/>
        <w:spacing w:after="0" w:line="247" w:lineRule="auto"/>
        <w:tabs>
          <w:tab w:leader="none" w:pos="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86" w:lineRule="exact"/>
        <w:rPr>
          <w:sz w:val="20"/>
          <w:szCs w:val="20"/>
          <w:color w:val="auto"/>
        </w:rPr>
      </w:pPr>
    </w:p>
    <w:p>
      <w:pPr>
        <w:ind w:left="880" w:right="2559" w:hanging="299"/>
        <w:spacing w:after="0" w:line="247"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185"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184" w:lineRule="exact"/>
        <w:rPr>
          <w:rFonts w:ascii="Courier New" w:cs="Courier New" w:eastAsia="Courier New" w:hAnsi="Courier New"/>
          <w:sz w:val="16"/>
          <w:szCs w:val="16"/>
          <w:color w:val="auto"/>
        </w:rPr>
      </w:pPr>
    </w:p>
    <w:p>
      <w:pPr>
        <w:ind w:left="880" w:right="2559" w:hanging="299"/>
        <w:spacing w:after="0" w:line="247"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186" w:lineRule="exact"/>
        <w:rPr>
          <w:sz w:val="20"/>
          <w:szCs w:val="20"/>
          <w:color w:val="auto"/>
        </w:rPr>
      </w:pPr>
    </w:p>
    <w:p>
      <w:pPr>
        <w:ind w:left="880" w:hanging="299"/>
        <w:spacing w:after="0"/>
        <w:tabs>
          <w:tab w:leader="none" w:pos="8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1"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184" w:lineRule="exact"/>
        <w:rPr>
          <w:rFonts w:ascii="Courier New" w:cs="Courier New" w:eastAsia="Courier New" w:hAnsi="Courier New"/>
          <w:sz w:val="16"/>
          <w:szCs w:val="16"/>
          <w:color w:val="auto"/>
        </w:rPr>
      </w:pPr>
    </w:p>
    <w:p>
      <w:pPr>
        <w:ind w:left="880" w:right="2759" w:hanging="299"/>
        <w:spacing w:after="0" w:line="247" w:lineRule="auto"/>
        <w:tabs>
          <w:tab w:leader="none" w:pos="8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85" w:lineRule="exact"/>
        <w:rPr>
          <w:rFonts w:ascii="Courier New" w:cs="Courier New" w:eastAsia="Courier New" w:hAnsi="Courier New"/>
          <w:sz w:val="16"/>
          <w:szCs w:val="16"/>
          <w:color w:val="auto"/>
        </w:rPr>
      </w:pPr>
    </w:p>
    <w:p>
      <w:pPr>
        <w:ind w:left="880" w:right="2559" w:hanging="299"/>
        <w:spacing w:after="0" w:line="247" w:lineRule="auto"/>
        <w:tabs>
          <w:tab w:leader="none" w:pos="8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185" w:lineRule="exact"/>
        <w:rPr>
          <w:rFonts w:ascii="Courier New" w:cs="Courier New" w:eastAsia="Courier New" w:hAnsi="Courier New"/>
          <w:sz w:val="16"/>
          <w:szCs w:val="16"/>
          <w:color w:val="auto"/>
        </w:rPr>
      </w:pPr>
    </w:p>
    <w:p>
      <w:pPr>
        <w:ind w:left="880" w:right="2459" w:hanging="299"/>
        <w:spacing w:after="0" w:line="247" w:lineRule="auto"/>
        <w:tabs>
          <w:tab w:leader="none" w:pos="8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ectPr>
          <w:pgSz w:w="11900" w:h="16838" w:orient="portrait"/>
          <w:cols w:equalWidth="0" w:num="1">
            <w:col w:w="10219"/>
          </w:cols>
          <w:pgMar w:left="240" w:top="676" w:right="1440" w:bottom="1440" w:gutter="0" w:footer="0" w:header="0"/>
        </w:sectPr>
      </w:pPr>
    </w:p>
    <w:bookmarkStart w:id="71" w:name="page72"/>
    <w:bookmarkEnd w:id="71"/>
    <w:p>
      <w:pPr>
        <w:ind w:right="2559"/>
        <w:spacing w:after="0" w:line="248"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193" w:lineRule="exact"/>
        <w:rPr>
          <w:sz w:val="20"/>
          <w:szCs w:val="20"/>
          <w:color w:val="auto"/>
        </w:rPr>
      </w:pPr>
    </w:p>
    <w:p>
      <w:pPr>
        <w:ind w:left="880" w:hanging="299"/>
        <w:spacing w:after="0"/>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1" w:lineRule="exact"/>
        <w:rPr>
          <w:rFonts w:ascii="Courier New" w:cs="Courier New" w:eastAsia="Courier New" w:hAnsi="Courier New"/>
          <w:sz w:val="16"/>
          <w:szCs w:val="16"/>
          <w:color w:val="auto"/>
        </w:rPr>
      </w:pPr>
    </w:p>
    <w:p>
      <w:pPr>
        <w:ind w:left="880" w:hanging="299"/>
        <w:spacing w:after="0"/>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880" w:hanging="299"/>
        <w:spacing w:after="0"/>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880" w:right="3819" w:hanging="299"/>
        <w:spacing w:after="0" w:line="248" w:lineRule="auto"/>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pacing w:after="0" w:line="184" w:lineRule="exact"/>
        <w:rPr>
          <w:rFonts w:ascii="Courier New" w:cs="Courier New" w:eastAsia="Courier New" w:hAnsi="Courier New"/>
          <w:sz w:val="16"/>
          <w:szCs w:val="16"/>
          <w:color w:val="auto"/>
        </w:rPr>
      </w:pPr>
    </w:p>
    <w:p>
      <w:pPr>
        <w:ind w:left="880" w:right="2559" w:hanging="299"/>
        <w:spacing w:after="0" w:line="248" w:lineRule="auto"/>
        <w:tabs>
          <w:tab w:leader="none" w:pos="8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4500,000.</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412.50 (the nominal rate) will apply.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ectPr>
          <w:pgSz w:w="11900" w:h="16838" w:orient="portrait"/>
          <w:cols w:equalWidth="0" w:num="1">
            <w:col w:w="10219"/>
          </w:cols>
          <w:pgMar w:left="240" w:top="862" w:right="1440" w:bottom="1440" w:gutter="0" w:footer="0" w:header="0"/>
        </w:sectPr>
      </w:pPr>
    </w:p>
    <w:bookmarkStart w:id="72" w:name="page73"/>
    <w:bookmarkEnd w:id="72"/>
    <w:p>
      <w:pPr>
        <w:ind w:right="2459"/>
        <w:spacing w:after="0" w:line="247"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412.50 applies.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ectPr>
          <w:pgSz w:w="11900" w:h="16838" w:orient="portrait"/>
          <w:cols w:equalWidth="0" w:num="1">
            <w:col w:w="10219"/>
          </w:cols>
          <w:pgMar w:left="240" w:top="862"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3"/>
        </w:trPr>
        <w:tc>
          <w:tcPr>
            <w:tcW w:w="2480" w:type="dxa"/>
            <w:vAlign w:val="bottom"/>
          </w:tcPr>
          <w:p>
            <w:pPr>
              <w:spacing w:after="0"/>
              <w:rPr>
                <w:sz w:val="20"/>
                <w:szCs w:val="20"/>
                <w:color w:val="auto"/>
              </w:rPr>
            </w:pPr>
            <w:r>
              <w:rPr>
                <w:rFonts w:ascii="Courier New" w:cs="Courier New" w:eastAsia="Courier New" w:hAnsi="Courier New"/>
                <w:sz w:val="16"/>
                <w:szCs w:val="16"/>
                <w:color w:val="auto"/>
              </w:rPr>
              <w:t>[Graphic Omitted]</w:t>
            </w: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559"/>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Chartered Accountants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5 George's Dock</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Telephone</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1000</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IFSC</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Fax</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1470</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Dublin 1</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Internet</w:t>
            </w:r>
          </w:p>
        </w:tc>
        <w:tc>
          <w:tcPr>
            <w:tcW w:w="11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www.kpmg.ie</w:t>
            </w:r>
          </w:p>
        </w:tc>
        <w:tc>
          <w:tcPr>
            <w:tcW w:w="38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378"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consent to the use of our report dated July 26, 2002, with respect to the consolidated balance sheets of ICON plc as of May 31, 2001 and 2002, and the related consolidated statements of operations, shareholders' equity and comprehensive income and cash flows for each of the years in the three-year period ended May 31, 2002, incorporated herein by reference and to the reference to our firm under the heading "Experts" in Amendment No. 2 to Form F-3 (Registration number 333-102893).</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9, 2003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lvl w:ilvl="1">
      <w:lvlJc w:val="left"/>
      <w:lvlText w:val="(%2)"/>
      <w:numFmt w:val="decimal"/>
      <w:start w:val="1"/>
    </w:lvl>
  </w:abstractNum>
  <w:abstractNum w:abstractNumId="2">
    <w:nsid w:val="257130A3"/>
    <w:multiLevelType w:val="hybridMultilevel"/>
    <w:lvl w:ilvl="0">
      <w:lvlJc w:val="left"/>
      <w:lvlText w:val="(%1)"/>
      <w:numFmt w:val="decimal"/>
      <w:start w:val="4"/>
    </w:lvl>
  </w:abstractNum>
  <w:abstractNum w:abstractNumId="3">
    <w:nsid w:val="62BBD95A"/>
    <w:multiLevelType w:val="hybridMultilevel"/>
    <w:lvl w:ilvl="0">
      <w:lvlJc w:val="left"/>
      <w:lvlText w:val="o"/>
      <w:numFmt w:val="bullet"/>
      <w:start w:val="1"/>
    </w:lvl>
  </w:abstractNum>
  <w:abstractNum w:abstractNumId="4">
    <w:nsid w:val="436C6125"/>
    <w:multiLevelType w:val="hybridMultilevel"/>
    <w:lvl w:ilvl="0">
      <w:lvlJc w:val="left"/>
      <w:lvlText w:val="o"/>
      <w:numFmt w:val="bullet"/>
      <w:start w:val="1"/>
    </w:lvl>
  </w:abstractNum>
  <w:abstractNum w:abstractNumId="5">
    <w:nsid w:val="628C895D"/>
    <w:multiLevelType w:val="hybridMultilevel"/>
    <w:lvl w:ilvl="0">
      <w:lvlJc w:val="left"/>
      <w:lvlText w:val="o"/>
      <w:numFmt w:val="bullet"/>
      <w:start w:val="1"/>
    </w:lvl>
  </w:abstractNum>
  <w:abstractNum w:abstractNumId="6">
    <w:nsid w:val="333AB105"/>
    <w:multiLevelType w:val="hybridMultilevel"/>
    <w:lvl w:ilvl="0">
      <w:lvlJc w:val="left"/>
      <w:lvlText w:val="-"/>
      <w:numFmt w:val="bullet"/>
      <w:start w:val="1"/>
    </w:lvl>
    <w:lvl w:ilvl="1">
      <w:lvlJc w:val="left"/>
      <w:lvlText w:val="(%2)"/>
      <w:numFmt w:val="decimal"/>
      <w:start w:val="1"/>
    </w:lvl>
  </w:abstractNum>
  <w:abstractNum w:abstractNumId="7">
    <w:nsid w:val="721DA317"/>
    <w:multiLevelType w:val="hybridMultilevel"/>
    <w:lvl w:ilvl="0">
      <w:lvlJc w:val="left"/>
      <w:lvlText w:val="-"/>
      <w:numFmt w:val="bullet"/>
      <w:start w:val="1"/>
    </w:lvl>
    <w:lvl w:ilvl="1">
      <w:lvlJc w:val="left"/>
      <w:lvlText w:val="(%2)"/>
      <w:numFmt w:val="decimal"/>
      <w:start w:val="1"/>
    </w:lvl>
  </w:abstractNum>
  <w:abstractNum w:abstractNumId="8">
    <w:nsid w:val="2443A858"/>
    <w:multiLevelType w:val="hybridMultilevel"/>
    <w:lvl w:ilvl="0">
      <w:lvlJc w:val="left"/>
      <w:lvlText w:val="o"/>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o"/>
      <w:numFmt w:val="bullet"/>
      <w:start w:val="1"/>
    </w:lvl>
  </w:abstractNum>
  <w:abstractNum w:abstractNumId="12">
    <w:nsid w:val="8EDBDAB"/>
    <w:multiLevelType w:val="hybridMultilevel"/>
    <w:lvl w:ilvl="0">
      <w:lvlJc w:val="left"/>
      <w:lvlText w:val="o"/>
      <w:numFmt w:val="bullet"/>
      <w:start w:val="1"/>
    </w:lvl>
  </w:abstractNum>
  <w:abstractNum w:abstractNumId="13">
    <w:nsid w:val="79838CB2"/>
    <w:multiLevelType w:val="hybridMultilevel"/>
    <w:lvl w:ilvl="0">
      <w:lvlJc w:val="left"/>
      <w:lvlText w:val="o"/>
      <w:numFmt w:val="bullet"/>
      <w:start w:val="1"/>
    </w:lvl>
  </w:abstractNum>
  <w:abstractNum w:abstractNumId="14">
    <w:nsid w:val="4353D0CD"/>
    <w:multiLevelType w:val="hybridMultilevel"/>
    <w:lvl w:ilvl="0">
      <w:lvlJc w:val="left"/>
      <w:lvlText w:val="o"/>
      <w:numFmt w:val="bullet"/>
      <w:start w:val="1"/>
    </w:lvl>
  </w:abstractNum>
  <w:abstractNum w:abstractNumId="15">
    <w:nsid w:val="B03E0C6"/>
    <w:multiLevelType w:val="hybridMultilevel"/>
    <w:lvl w:ilvl="0">
      <w:lvlJc w:val="left"/>
      <w:lvlText w:val="o"/>
      <w:numFmt w:val="bullet"/>
      <w:start w:val="1"/>
    </w:lvl>
  </w:abstractNum>
  <w:abstractNum w:abstractNumId="16">
    <w:nsid w:val="189A769B"/>
    <w:multiLevelType w:val="hybridMultilevel"/>
    <w:lvl w:ilvl="0">
      <w:lvlJc w:val="left"/>
      <w:lvlText w:val="o"/>
      <w:numFmt w:val="bullet"/>
      <w:start w:val="1"/>
    </w:lvl>
  </w:abstractNum>
  <w:abstractNum w:abstractNumId="17">
    <w:nsid w:val="54E49EB4"/>
    <w:multiLevelType w:val="hybridMultilevel"/>
    <w:lvl w:ilvl="0">
      <w:lvlJc w:val="left"/>
      <w:lvlText w:val="o"/>
      <w:numFmt w:val="bullet"/>
      <w:start w:val="1"/>
    </w:lvl>
  </w:abstractNum>
  <w:abstractNum w:abstractNumId="18">
    <w:nsid w:val="71F32454"/>
    <w:multiLevelType w:val="hybridMultilevel"/>
    <w:lvl w:ilvl="0">
      <w:lvlJc w:val="left"/>
      <w:lvlText w:val="o"/>
      <w:numFmt w:val="bullet"/>
      <w:start w:val="1"/>
    </w:lvl>
  </w:abstractNum>
  <w:abstractNum w:abstractNumId="19">
    <w:nsid w:val="2CA88611"/>
    <w:multiLevelType w:val="hybridMultilevel"/>
    <w:lvl w:ilvl="0">
      <w:lvlJc w:val="left"/>
      <w:lvlText w:val="o"/>
      <w:numFmt w:val="bullet"/>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upperLetter"/>
      <w:start w:val="1"/>
    </w:lvl>
    <w:lvl w:ilvl="1">
      <w:lvlJc w:val="left"/>
      <w:lvlText w:val="%2."/>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o"/>
      <w:numFmt w:val="bullet"/>
      <w:start w:val="1"/>
    </w:lvl>
  </w:abstractNum>
  <w:abstractNum w:abstractNumId="32">
    <w:nsid w:val="419AC241"/>
    <w:multiLevelType w:val="hybridMultilevel"/>
    <w:lvl w:ilvl="0">
      <w:lvlJc w:val="left"/>
      <w:lvlText w:val="o"/>
      <w:numFmt w:val="bullet"/>
      <w:start w:val="1"/>
    </w:lvl>
  </w:abstractNum>
  <w:abstractNum w:abstractNumId="33">
    <w:nsid w:val="5577F8E1"/>
    <w:multiLevelType w:val="hybridMultilevel"/>
    <w:lvl w:ilvl="0">
      <w:lvlJc w:val="left"/>
      <w:lvlText w:val="o"/>
      <w:numFmt w:val="bullet"/>
      <w:start w:val="1"/>
    </w:lvl>
  </w:abstractNum>
  <w:abstractNum w:abstractNumId="34">
    <w:nsid w:val="440BADFC"/>
    <w:multiLevelType w:val="hybridMultilevel"/>
    <w:lvl w:ilvl="0">
      <w:lvlJc w:val="left"/>
      <w:lvlText w:val="o"/>
      <w:numFmt w:val="bullet"/>
      <w:start w:val="1"/>
    </w:lvl>
  </w:abstractNum>
  <w:abstractNum w:abstractNumId="35">
    <w:nsid w:val="507236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2019-12-14T19:21:32Z</dcterms:created>
  <dcterms:modified xsi:type="dcterms:W3CDTF">2019-12-14T19:21:32Z</dcterms:modified>
</cp:coreProperties>
</file>