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xml:space="preserve">For the month ended </w:t>
      </w:r>
      <w:r>
        <w:rPr>
          <w:rFonts w:ascii="Times New Roman" w:cs="Times New Roman" w:eastAsia="Times New Roman" w:hAnsi="Times New Roman"/>
          <w:sz w:val="18"/>
          <w:szCs w:val="18"/>
          <w:color w:val="auto"/>
        </w:rPr>
        <w:t>February,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ICON plc</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8"/>
          <w:szCs w:val="18"/>
          <w:color w:val="auto"/>
        </w:rPr>
        <w:t>egistrant's name)</w:t>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Brendan Brennan, Chief Financial Officer</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00-353-1-291-2000</w:t>
      </w:r>
    </w:p>
    <w:p>
      <w:pPr>
        <w:jc w:val="center"/>
        <w:ind w:right="-119"/>
        <w:spacing w:after="0"/>
        <w:rPr>
          <w:sz w:val="20"/>
          <w:szCs w:val="20"/>
          <w:color w:val="auto"/>
        </w:rPr>
      </w:pPr>
      <w:r>
        <w:rPr>
          <w:rFonts w:ascii="Times New Roman" w:cs="Times New Roman" w:eastAsia="Times New Roman" w:hAnsi="Times New Roman"/>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02" w:lineRule="exact"/>
        <w:rPr>
          <w:sz w:val="24"/>
          <w:szCs w:val="24"/>
          <w:color w:val="auto"/>
        </w:rPr>
      </w:pPr>
    </w:p>
    <w:p>
      <w:pPr>
        <w:ind w:left="4080"/>
        <w:spacing w:after="0"/>
        <w:tabs>
          <w:tab w:leader="none" w:pos="706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101(b)(1):</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101(b)(7):</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4"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color w:val="auto"/>
        </w:rPr>
        <w:t>_</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ectPr>
          <w:pgSz w:w="11900" w:h="16838" w:orient="portrait"/>
          <w:cols w:equalWidth="0" w:num="1">
            <w:col w:w="11300"/>
          </w:cols>
          <w:pgMar w:left="240" w:top="462"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Times New Roman" w:cs="Times New Roman" w:eastAsia="Times New Roman" w:hAnsi="Times New Roman"/>
          <w:sz w:val="22"/>
          <w:szCs w:val="22"/>
          <w:color w:val="auto"/>
        </w:rPr>
        <w:t>If "Yes" is marked, indicate below the file number assigned to the registrant in connection with Rule 12g3-2(b):82</w:t>
      </w:r>
      <w:r>
        <w:rPr>
          <w:sz w:val="20"/>
          <w:szCs w:val="20"/>
          <w:color w:val="auto"/>
        </w:rPr>
        <w:tab/>
      </w:r>
      <w:r>
        <w:rPr>
          <w:rFonts w:ascii="Times New Roman" w:cs="Times New Roman" w:eastAsia="Times New Roman" w:hAnsi="Times New Roman"/>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2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38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r>
      <w:tr>
        <w:trPr>
          <w:trHeight w:val="4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ICON plc Press Release issued February 25, 2015 - ICON Reports Fourth Quarter and Full Year 2014 Results and Issues 2015 Earnings</w:t>
            </w:r>
          </w:p>
        </w:tc>
      </w:tr>
      <w:tr>
        <w:trPr>
          <w:trHeight w:val="234"/>
        </w:trPr>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Guidance</w:t>
            </w:r>
          </w:p>
        </w:tc>
      </w:tr>
      <w:tr>
        <w:trPr>
          <w:trHeight w:val="230"/>
        </w:trPr>
        <w:tc>
          <w:tcPr>
            <w:tcW w:w="5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33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5100" w:type="dxa"/>
            <w:vAlign w:val="bottom"/>
            <w:tcBorders>
              <w:bottom w:val="single" w:sz="8" w:color="9A9A9A"/>
            </w:tcBorders>
          </w:tcPr>
          <w:p>
            <w:pPr>
              <w:spacing w:after="0"/>
              <w:rPr>
                <w:sz w:val="19"/>
                <w:szCs w:val="19"/>
                <w:color w:val="auto"/>
              </w:rPr>
            </w:pPr>
          </w:p>
        </w:tc>
      </w:tr>
      <w:tr>
        <w:trPr>
          <w:trHeight w:val="21"/>
        </w:trPr>
        <w:tc>
          <w:tcPr>
            <w:tcW w:w="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2015</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240"/>
          </w:cols>
          <w:pgMar w:left="240" w:top="360"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Reports Fourth Quarter and Full Year 2014 Results and Issues 2015 Earnings Guidance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06" w:lineRule="exact"/>
        <w:rPr>
          <w:sz w:val="20"/>
          <w:szCs w:val="20"/>
          <w:color w:val="auto"/>
        </w:rPr>
      </w:pPr>
    </w:p>
    <w:p>
      <w:pPr>
        <w:ind w:left="540" w:right="240"/>
        <w:spacing w:after="0" w:line="262" w:lineRule="auto"/>
        <w:rPr>
          <w:sz w:val="20"/>
          <w:szCs w:val="20"/>
          <w:color w:val="auto"/>
        </w:rPr>
      </w:pPr>
      <w:r>
        <w:rPr>
          <w:rFonts w:ascii="Times New Roman" w:cs="Times New Roman" w:eastAsia="Times New Roman" w:hAnsi="Times New Roman"/>
          <w:sz w:val="22"/>
          <w:szCs w:val="22"/>
          <w:b w:val="1"/>
          <w:bCs w:val="1"/>
          <w:color w:val="auto"/>
        </w:rPr>
        <w:t>Quarter 4 net revenue increased 13.0% year on year to $390 million. Full Year 2014 net revenue increased 12.5% to $1.50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440"/>
        <w:spacing w:after="0" w:line="262" w:lineRule="auto"/>
        <w:rPr>
          <w:sz w:val="20"/>
          <w:szCs w:val="20"/>
          <w:color w:val="auto"/>
        </w:rPr>
      </w:pPr>
      <w:r>
        <w:rPr>
          <w:rFonts w:ascii="Times New Roman" w:cs="Times New Roman" w:eastAsia="Times New Roman" w:hAnsi="Times New Roman"/>
          <w:sz w:val="22"/>
          <w:szCs w:val="22"/>
          <w:b w:val="1"/>
          <w:bCs w:val="1"/>
          <w:color w:val="auto"/>
        </w:rPr>
        <w:t>Quarter 4 income from operations before non-recurring charges was $60.4 million or 15.5% of revenue. Full year 2014 income from operations before non-recurring charges was $211.1 million or 14%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760"/>
        <w:spacing w:after="0" w:line="262" w:lineRule="auto"/>
        <w:rPr>
          <w:sz w:val="20"/>
          <w:szCs w:val="20"/>
          <w:color w:val="auto"/>
        </w:rPr>
      </w:pPr>
      <w:r>
        <w:rPr>
          <w:rFonts w:ascii="Times New Roman" w:cs="Times New Roman" w:eastAsia="Times New Roman" w:hAnsi="Times New Roman"/>
          <w:sz w:val="22"/>
          <w:szCs w:val="22"/>
          <w:b w:val="1"/>
          <w:bCs w:val="1"/>
          <w:color w:val="auto"/>
        </w:rPr>
        <w:t>Earnings per share before non-recurring charges for Quarter 4 and the full year 2014 were 87 cents and $2.87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60"/>
        <w:spacing w:after="0" w:line="246" w:lineRule="auto"/>
        <w:rPr>
          <w:sz w:val="20"/>
          <w:szCs w:val="20"/>
          <w:color w:val="auto"/>
        </w:rPr>
      </w:pPr>
      <w:r>
        <w:rPr>
          <w:rFonts w:ascii="Times New Roman" w:cs="Times New Roman" w:eastAsia="Times New Roman" w:hAnsi="Times New Roman"/>
          <w:sz w:val="22"/>
          <w:szCs w:val="22"/>
          <w:b w:val="1"/>
          <w:bCs w:val="1"/>
          <w:color w:val="auto"/>
        </w:rPr>
        <w:t>Quarter 4 gross business wins were $552 million, representing a gross book to bill of 1.41. Quarter 4 net business wins were $469 million, representing a net book to bill of 1.20. Full year net new business awards were $1.8 billion, representing a net book to bill of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6" w:lineRule="exact"/>
        <w:rPr>
          <w:sz w:val="20"/>
          <w:szCs w:val="20"/>
          <w:color w:val="auto"/>
        </w:rPr>
      </w:pPr>
    </w:p>
    <w:p>
      <w:pPr>
        <w:ind w:left="540" w:right="160"/>
        <w:spacing w:after="0" w:line="262" w:lineRule="auto"/>
        <w:rPr>
          <w:sz w:val="20"/>
          <w:szCs w:val="20"/>
          <w:color w:val="auto"/>
        </w:rPr>
      </w:pPr>
      <w:r>
        <w:rPr>
          <w:rFonts w:ascii="Times New Roman" w:cs="Times New Roman" w:eastAsia="Times New Roman" w:hAnsi="Times New Roman"/>
          <w:sz w:val="22"/>
          <w:szCs w:val="22"/>
          <w:b w:val="1"/>
          <w:bCs w:val="1"/>
          <w:color w:val="auto"/>
        </w:rPr>
        <w:t>Full year 2015 revenue guidance in the range of $1,610 – $1,675 million, representing growth of 7-11%. Earnings per share guidance is in the range of $3.45 - $3.60, an increase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2"/>
          <w:szCs w:val="22"/>
          <w:color w:val="auto"/>
        </w:rPr>
        <w:t>DUBLIN--(BUSINESS WIRE)--February 25, 2015--</w:t>
      </w:r>
      <w:r>
        <w:rPr>
          <w:rFonts w:ascii="Times New Roman" w:cs="Times New Roman" w:eastAsia="Times New Roman" w:hAnsi="Times New Roman"/>
          <w:sz w:val="22"/>
          <w:szCs w:val="22"/>
          <w:b w:val="1"/>
          <w:bCs w:val="1"/>
          <w:color w:val="auto"/>
        </w:rPr>
        <w:t>ICON plc (NASDAQ:ICLR),</w:t>
      </w:r>
      <w:r>
        <w:rPr>
          <w:rFonts w:ascii="Times New Roman" w:cs="Times New Roman" w:eastAsia="Times New Roman" w:hAnsi="Times New Roman"/>
          <w:sz w:val="22"/>
          <w:szCs w:val="22"/>
          <w:color w:val="auto"/>
        </w:rPr>
        <w:t xml:space="preserve"> a global provider of drug development solutions and services to the pharmaceutical, biotechnology and medical device industries, today reported its financial results for the fourth quarter and full year ended December 31, 2014.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fourth quarter net revenue grew 13.0% year on year to $390.1 million from $345.2 million in the same quarter last year.</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Income from operations before non-recurring charges was $60.4 million or 15.5% of revenue, compared to $38.7 million or 11.2% for the same quarter last year.</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Net income before non-recurring charges was $54 million or 87 cents per share on a diluted basis, compared with $33.5 million or 53 cents per share for the same quarter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Full year net revenues for 2014 increased 12.5% to $1,503 million from $1,336 million in 2013.</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Full year income from operations before non-recurring charges was $211.1 million or 14.0% of revenue, compared with income from operations before non-recurring charges of $130.2 million or 9.7% of revenue in the previous year.</w:t>
      </w:r>
    </w:p>
    <w:p>
      <w:pPr>
        <w:spacing w:after="0" w:line="15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On a US GAAP basis, income from operations was $202.4 million or 13.5% compared with $121.2 million or 9.1% in the prior year.</w:t>
      </w:r>
    </w:p>
    <w:p>
      <w:pPr>
        <w:spacing w:after="0" w:line="15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Full year net income before non-recurring charges for 2014 was $181.3 million or $2.87 per share on a diluted basis, compared with net income before non-recurring charges of $110 million or $1.77 per share on a diluted basis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80"/>
        <w:spacing w:after="0" w:line="244" w:lineRule="auto"/>
        <w:rPr>
          <w:sz w:val="20"/>
          <w:szCs w:val="20"/>
          <w:color w:val="auto"/>
        </w:rPr>
      </w:pPr>
      <w:r>
        <w:rPr>
          <w:rFonts w:ascii="Times New Roman" w:cs="Times New Roman" w:eastAsia="Times New Roman" w:hAnsi="Times New Roman"/>
          <w:sz w:val="22"/>
          <w:szCs w:val="22"/>
          <w:color w:val="auto"/>
        </w:rPr>
        <w:t>On a US GAAP basis net income for the full year was $172.5 million, compared to $102.8 million last year. Net margin for the full year 2014 was 11.5% of revenue, up from 7.7% in 2013. Earnings per share on a US GAAP basis for 2014 was $2.73 per share compared with $1.65 in 2013.</w:t>
      </w:r>
    </w:p>
    <w:p>
      <w:pPr>
        <w:spacing w:after="0" w:line="17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Full year 2015 revenue guidance is in the range of $1,610 – $1,675 million, representing growth of 7-11%. This includes the recently announced acquisition of MediMedia Pharma Solutions; on a constant currency organic basis revenue is expected to grow by 6-10%. Earnings per share guidance is in the range of $3.45 - $3.60, an increase of 20-25%.</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Days sales outstanding, comprising accounts receivable and unbilled revenue less payments on account, were 40 days at December 31, 2014, compared with 32 days at the end of December 2013.</w:t>
      </w:r>
    </w:p>
    <w:p>
      <w:pPr>
        <w:spacing w:after="0" w:line="15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For the quarter ended December 31, 2014, cash generated from operating activities was $75.2 million and capital expenditure was $10.2 million. For the full year 2014, cash flow from operating activities was $170 million and capital expenditure was $32.8 million. In addition, we completed $107 million of share repurchases during the quarter and in total $140 million for the full year. Consequently the company’s net cash amounted to $216 million at December 31, 2014, compared to net cash of $321 million at December 31, 2013.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CEO Ciaran Murray commented, </w:t>
      </w:r>
      <w:r>
        <w:rPr>
          <w:rFonts w:ascii="Times New Roman" w:cs="Times New Roman" w:eastAsia="Times New Roman" w:hAnsi="Times New Roman"/>
          <w:sz w:val="21"/>
          <w:szCs w:val="21"/>
          <w:i w:val="1"/>
          <w:iCs w:val="1"/>
          <w:color w:val="auto"/>
        </w:rPr>
        <w:t>"In 2014 our excellence in execution, along with our market leading innovative solutions enabled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our customers to enhance the productivity of their development programmes and further consolidated our position as a leader in</w:t>
      </w:r>
    </w:p>
    <w:p>
      <w:pPr>
        <w:spacing w:after="0" w:line="230" w:lineRule="auto"/>
        <w:rPr>
          <w:sz w:val="20"/>
          <w:szCs w:val="20"/>
          <w:color w:val="auto"/>
        </w:rPr>
      </w:pPr>
      <w:r>
        <w:rPr>
          <w:rFonts w:ascii="Times New Roman" w:cs="Times New Roman" w:eastAsia="Times New Roman" w:hAnsi="Times New Roman"/>
          <w:sz w:val="22"/>
          <w:szCs w:val="22"/>
          <w:i w:val="1"/>
          <w:iCs w:val="1"/>
          <w:color w:val="auto"/>
        </w:rPr>
        <w:t>the drug development industry. This has enabled us to book $1.8 billion of new business, to grow our closing backlog by 16%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$3.6 billion and drive revenues by 13% to over $1.5 billion. By continuing to improve our operational performance and expand our</w:t>
      </w:r>
    </w:p>
    <w:p>
      <w:pPr>
        <w:spacing w:after="0" w:line="232" w:lineRule="auto"/>
        <w:rPr>
          <w:sz w:val="20"/>
          <w:szCs w:val="20"/>
          <w:color w:val="auto"/>
        </w:rPr>
      </w:pPr>
      <w:r>
        <w:rPr>
          <w:rFonts w:ascii="Times New Roman" w:cs="Times New Roman" w:eastAsia="Times New Roman" w:hAnsi="Times New Roman"/>
          <w:sz w:val="22"/>
          <w:szCs w:val="22"/>
          <w:i w:val="1"/>
          <w:iCs w:val="1"/>
          <w:color w:val="auto"/>
        </w:rPr>
        <w:t>margins we increased EPS by 62% to $2.87. For 2015 we are guiding revenue to be in the range of $1,610 - 1,675 million, an</w:t>
      </w:r>
    </w:p>
    <w:p>
      <w:pPr>
        <w:spacing w:after="0"/>
        <w:rPr>
          <w:sz w:val="20"/>
          <w:szCs w:val="20"/>
          <w:color w:val="auto"/>
        </w:rPr>
      </w:pPr>
      <w:r>
        <w:rPr>
          <w:rFonts w:ascii="Times New Roman" w:cs="Times New Roman" w:eastAsia="Times New Roman" w:hAnsi="Times New Roman"/>
          <w:sz w:val="22"/>
          <w:szCs w:val="22"/>
          <w:i w:val="1"/>
          <w:iCs w:val="1"/>
          <w:color w:val="auto"/>
        </w:rPr>
        <w:t>increase of 7-11%, and earnings to be in the range $3.45- $3.60, an increase of 20-25%.”</w:t>
      </w:r>
    </w:p>
    <w:p>
      <w:pPr>
        <w:spacing w:after="0" w:line="182"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2"/>
          <w:szCs w:val="22"/>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8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 xml:space="preserve">ICON will hold its fourth quarter conference call today, February 25, 2015 at 9:00 EST [14:00 Ireland &amp; UK]. This call and linked slide presentation can be accessed live from our website at </w:t>
      </w:r>
      <w:r>
        <w:rPr>
          <w:rFonts w:ascii="Times New Roman" w:cs="Times New Roman" w:eastAsia="Times New Roman" w:hAnsi="Times New Roman"/>
          <w:sz w:val="22"/>
          <w:szCs w:val="22"/>
          <w:u w:val="single" w:color="auto"/>
          <w:color w:val="auto"/>
        </w:rPr>
        <w:t>http://investor.iconplc.com</w:t>
      </w:r>
      <w:r>
        <w:rPr>
          <w:rFonts w:ascii="Times New Roman" w:cs="Times New Roman" w:eastAsia="Times New Roman" w:hAnsi="Times New Roman"/>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Times New Roman" w:cs="Times New Roman" w:eastAsia="Times New Roman" w:hAnsi="Times New Roman"/>
          <w:sz w:val="22"/>
          <w:szCs w:val="22"/>
          <w:u w:val="single" w:color="auto"/>
          <w:color w:val="auto"/>
        </w:rPr>
        <w:t>http://www.sec.gov</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83 locations in 38 countries and has approximately 10,600 employees. Further information is available at </w:t>
      </w:r>
      <w:r>
        <w:rPr>
          <w:rFonts w:ascii="Times New Roman" w:cs="Times New Roman" w:eastAsia="Times New Roman" w:hAnsi="Times New Roman"/>
          <w:sz w:val="22"/>
          <w:szCs w:val="22"/>
          <w:u w:val="single" w:color="auto"/>
          <w:color w:val="auto"/>
        </w:rPr>
        <w:t>www.iconplc.com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00" w:type="dxa"/>
            <w:vAlign w:val="bottom"/>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ICON plc</w:t>
            </w: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920" w:type="dxa"/>
            <w:vAlign w:val="bottom"/>
          </w:tcPr>
          <w:p>
            <w:pPr>
              <w:spacing w:after="0"/>
              <w:rPr>
                <w:sz w:val="24"/>
                <w:szCs w:val="24"/>
                <w:color w:val="auto"/>
              </w:rPr>
            </w:pPr>
          </w:p>
        </w:tc>
        <w:tc>
          <w:tcPr>
            <w:tcW w:w="53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Consolidated Income Statements (Unaudited)</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4000" w:type="dxa"/>
            <w:vAlign w:val="bottom"/>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(Before restructuring and other items)</w:t>
            </w: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4"/>
                <w:szCs w:val="24"/>
                <w:color w:val="auto"/>
              </w:rPr>
            </w:pPr>
          </w:p>
        </w:tc>
        <w:tc>
          <w:tcPr>
            <w:tcW w:w="53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Three and Twelve Months ended December 31, 2014 and December 31, 2013</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4"/>
                <w:szCs w:val="24"/>
                <w:color w:val="auto"/>
              </w:rPr>
            </w:pPr>
          </w:p>
        </w:tc>
        <w:tc>
          <w:tcPr>
            <w:tcW w:w="53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920" w:type="dxa"/>
            <w:vAlign w:val="bottom"/>
          </w:tcPr>
          <w:p>
            <w:pPr>
              <w:spacing w:after="0"/>
              <w:rPr>
                <w:sz w:val="24"/>
                <w:szCs w:val="24"/>
                <w:color w:val="auto"/>
              </w:rPr>
            </w:pPr>
          </w:p>
        </w:tc>
        <w:tc>
          <w:tcPr>
            <w:tcW w:w="5380" w:type="dxa"/>
            <w:vAlign w:val="bottom"/>
            <w:gridSpan w:val="2"/>
          </w:tcPr>
          <w:p>
            <w:pPr>
              <w:ind w:left="3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40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w:t>
            </w:r>
          </w:p>
        </w:tc>
        <w:tc>
          <w:tcPr>
            <w:tcW w:w="400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vMerge w:val="continue"/>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Gross revenue</w:t>
            </w:r>
          </w:p>
        </w:tc>
        <w:tc>
          <w:tcPr>
            <w:tcW w:w="4000" w:type="dxa"/>
            <w:vAlign w:val="bottom"/>
          </w:tcPr>
          <w:p>
            <w:pPr>
              <w:jc w:val="center"/>
              <w:ind w:left="1788"/>
              <w:spacing w:after="0"/>
              <w:rPr>
                <w:sz w:val="20"/>
                <w:szCs w:val="20"/>
                <w:color w:val="auto"/>
              </w:rPr>
            </w:pPr>
            <w:r>
              <w:rPr>
                <w:rFonts w:ascii="Times New Roman" w:cs="Times New Roman" w:eastAsia="Times New Roman" w:hAnsi="Times New Roman"/>
                <w:sz w:val="14"/>
                <w:szCs w:val="14"/>
                <w:color w:val="auto"/>
              </w:rPr>
              <w:t>528,211</w:t>
            </w:r>
          </w:p>
        </w:tc>
        <w:tc>
          <w:tcPr>
            <w:tcW w:w="138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450,062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2,030,286</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1,784,345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rPr>
              <w:t>(138,138)</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(104,821)</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(526,970)</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(448,287)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4000" w:type="dxa"/>
            <w:vAlign w:val="bottom"/>
          </w:tcPr>
          <w:p>
            <w:pPr>
              <w:jc w:val="center"/>
              <w:ind w:left="1788"/>
              <w:spacing w:after="0"/>
              <w:rPr>
                <w:sz w:val="20"/>
                <w:szCs w:val="20"/>
                <w:color w:val="auto"/>
              </w:rPr>
            </w:pPr>
            <w:r>
              <w:rPr>
                <w:rFonts w:ascii="Times New Roman" w:cs="Times New Roman" w:eastAsia="Times New Roman" w:hAnsi="Times New Roman"/>
                <w:sz w:val="14"/>
                <w:szCs w:val="14"/>
                <w:color w:val="auto"/>
              </w:rPr>
              <w:t>390,073</w:t>
            </w:r>
          </w:p>
        </w:tc>
        <w:tc>
          <w:tcPr>
            <w:tcW w:w="138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345,241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1,503,316</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1,336,058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4000" w:type="dxa"/>
            <w:vAlign w:val="bottom"/>
          </w:tcPr>
          <w:p>
            <w:pPr>
              <w:jc w:val="center"/>
              <w:ind w:left="1788"/>
              <w:spacing w:after="0"/>
              <w:rPr>
                <w:sz w:val="20"/>
                <w:szCs w:val="20"/>
                <w:color w:val="auto"/>
              </w:rPr>
            </w:pPr>
            <w:r>
              <w:rPr>
                <w:rFonts w:ascii="Times New Roman" w:cs="Times New Roman" w:eastAsia="Times New Roman" w:hAnsi="Times New Roman"/>
                <w:sz w:val="14"/>
                <w:szCs w:val="14"/>
                <w:color w:val="auto"/>
              </w:rPr>
              <w:t>229,876</w:t>
            </w:r>
          </w:p>
        </w:tc>
        <w:tc>
          <w:tcPr>
            <w:tcW w:w="138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215,326</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903,167</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845,413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4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85,425</w:t>
            </w: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79,241</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336,461</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313,931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rPr>
              <w:t>14,335</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11,963</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52,542</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46,514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4000" w:type="dxa"/>
            <w:vAlign w:val="bottom"/>
            <w:tcBorders>
              <w:bottom w:val="single" w:sz="8" w:color="auto"/>
            </w:tcBorders>
          </w:tcPr>
          <w:p>
            <w:pPr>
              <w:jc w:val="center"/>
              <w:ind w:left="1788"/>
              <w:spacing w:after="0"/>
              <w:rPr>
                <w:sz w:val="20"/>
                <w:szCs w:val="20"/>
                <w:color w:val="auto"/>
              </w:rPr>
            </w:pPr>
            <w:r>
              <w:rPr>
                <w:rFonts w:ascii="Times New Roman" w:cs="Times New Roman" w:eastAsia="Times New Roman" w:hAnsi="Times New Roman"/>
                <w:sz w:val="14"/>
                <w:szCs w:val="14"/>
                <w:color w:val="auto"/>
              </w:rPr>
              <w:t>329,636</w:t>
            </w:r>
          </w:p>
        </w:tc>
        <w:tc>
          <w:tcPr>
            <w:tcW w:w="138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306,530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1,292,170</w:t>
            </w:r>
          </w:p>
        </w:tc>
        <w:tc>
          <w:tcPr>
            <w:tcW w:w="15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1,208,858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4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60,437</w:t>
            </w: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38,711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211,146</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130,200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4000" w:type="dxa"/>
            <w:vAlign w:val="bottom"/>
            <w:tcBorders>
              <w:bottom w:val="single" w:sz="8" w:color="auto"/>
            </w:tcBorders>
          </w:tcPr>
          <w:p>
            <w:pPr>
              <w:jc w:val="center"/>
              <w:ind w:left="1788"/>
              <w:spacing w:after="0"/>
              <w:rPr>
                <w:sz w:val="20"/>
                <w:szCs w:val="20"/>
                <w:color w:val="auto"/>
              </w:rPr>
            </w:pPr>
            <w:r>
              <w:rPr>
                <w:rFonts w:ascii="Times New Roman" w:cs="Times New Roman" w:eastAsia="Times New Roman" w:hAnsi="Times New Roman"/>
                <w:sz w:val="14"/>
                <w:szCs w:val="14"/>
                <w:color w:val="auto"/>
              </w:rPr>
              <w:t>204</w:t>
            </w:r>
          </w:p>
        </w:tc>
        <w:tc>
          <w:tcPr>
            <w:tcW w:w="138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w w:val="99"/>
              </w:rPr>
              <w:t>39</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366</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4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60,641</w:t>
            </w: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38,750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211,512</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129,898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0" w:type="dxa"/>
            <w:vAlign w:val="bottom"/>
            <w:tcBorders>
              <w:bottom w:val="single" w:sz="8" w:color="auto"/>
            </w:tcBorders>
          </w:tcPr>
          <w:p>
            <w:pPr>
              <w:jc w:val="center"/>
              <w:ind w:left="1788"/>
              <w:spacing w:after="0"/>
              <w:rPr>
                <w:sz w:val="20"/>
                <w:szCs w:val="20"/>
                <w:color w:val="auto"/>
              </w:rPr>
            </w:pPr>
            <w:r>
              <w:rPr>
                <w:rFonts w:ascii="Times New Roman" w:cs="Times New Roman" w:eastAsia="Times New Roman" w:hAnsi="Times New Roman"/>
                <w:sz w:val="14"/>
                <w:szCs w:val="14"/>
                <w:color w:val="auto"/>
              </w:rPr>
              <w:t>(6,671)</w:t>
            </w:r>
          </w:p>
        </w:tc>
        <w:tc>
          <w:tcPr>
            <w:tcW w:w="138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(5,270)</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(30,248)</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(19,902)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rPr>
              <w:t>53,970</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33,480</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181,264</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109,996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Ordinary Share:</w:t>
            </w:r>
          </w:p>
        </w:tc>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w w:val="98"/>
              </w:rPr>
              <w:t>89c</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w w:val="98"/>
              </w:rPr>
              <w:t>54c</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$2.95</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w w:val="98"/>
              </w:rPr>
              <w:t>87c</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w w:val="98"/>
              </w:rPr>
              <w:t>53c</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$2.87</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 outstanding:</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rPr>
              <w:t>60,394,465</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61,431,281</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61,496,115</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60,907,274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4000" w:type="dxa"/>
            <w:vAlign w:val="bottom"/>
            <w:tcBorders>
              <w:bottom w:val="single" w:sz="8" w:color="auto"/>
            </w:tcBorders>
          </w:tcPr>
          <w:p>
            <w:pPr>
              <w:jc w:val="center"/>
              <w:ind w:left="1808"/>
              <w:spacing w:after="0"/>
              <w:rPr>
                <w:sz w:val="20"/>
                <w:szCs w:val="20"/>
                <w:color w:val="auto"/>
              </w:rPr>
            </w:pPr>
            <w:r>
              <w:rPr>
                <w:rFonts w:ascii="Times New Roman" w:cs="Times New Roman" w:eastAsia="Times New Roman" w:hAnsi="Times New Roman"/>
                <w:sz w:val="14"/>
                <w:szCs w:val="14"/>
                <w:color w:val="auto"/>
              </w:rPr>
              <w:t>61,908,135</w:t>
            </w: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62,828,079</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63,131,417</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62,253,251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9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920" w:type="dxa"/>
            <w:vAlign w:val="bottom"/>
            <w:tcBorders>
              <w:bottom w:val="single" w:sz="8" w:color="EEEEEE"/>
            </w:tcBorders>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372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ICON plc</w:t>
            </w: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920" w:type="dxa"/>
            <w:vAlign w:val="bottom"/>
          </w:tcPr>
          <w:p>
            <w:pPr>
              <w:spacing w:after="0"/>
              <w:rPr>
                <w:sz w:val="24"/>
                <w:szCs w:val="24"/>
                <w:color w:val="auto"/>
              </w:rPr>
            </w:pPr>
          </w:p>
        </w:tc>
        <w:tc>
          <w:tcPr>
            <w:tcW w:w="53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Consolidated Income Statements (Unaudited)</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72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4"/>
                <w:szCs w:val="24"/>
                <w:color w:val="auto"/>
              </w:rPr>
            </w:pPr>
          </w:p>
        </w:tc>
        <w:tc>
          <w:tcPr>
            <w:tcW w:w="53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Three and Twelve Months ended December 31, 2014 and December 31, 2013</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4"/>
                <w:szCs w:val="24"/>
                <w:color w:val="auto"/>
              </w:rPr>
            </w:pPr>
          </w:p>
        </w:tc>
        <w:tc>
          <w:tcPr>
            <w:tcW w:w="53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920" w:type="dxa"/>
            <w:vAlign w:val="bottom"/>
          </w:tcPr>
          <w:p>
            <w:pPr>
              <w:spacing w:after="0"/>
              <w:rPr>
                <w:sz w:val="24"/>
                <w:szCs w:val="24"/>
                <w:color w:val="auto"/>
              </w:rPr>
            </w:pPr>
          </w:p>
        </w:tc>
        <w:tc>
          <w:tcPr>
            <w:tcW w:w="5380" w:type="dxa"/>
            <w:vAlign w:val="bottom"/>
            <w:gridSpan w:val="2"/>
          </w:tcPr>
          <w:p>
            <w:pPr>
              <w:ind w:left="3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372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w:t>
            </w:r>
          </w:p>
        </w:tc>
        <w:tc>
          <w:tcPr>
            <w:tcW w:w="3720" w:type="dxa"/>
            <w:vAlign w:val="bottom"/>
          </w:tcPr>
          <w:p>
            <w:pPr>
              <w:jc w:val="center"/>
              <w:ind w:left="208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vMerge w:val="continue"/>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Gross revenue</w:t>
            </w:r>
          </w:p>
        </w:tc>
        <w:tc>
          <w:tcPr>
            <w:tcW w:w="3720" w:type="dxa"/>
            <w:vAlign w:val="bottom"/>
          </w:tcPr>
          <w:p>
            <w:pPr>
              <w:jc w:val="center"/>
              <w:ind w:left="2068"/>
              <w:spacing w:after="0"/>
              <w:rPr>
                <w:sz w:val="20"/>
                <w:szCs w:val="20"/>
                <w:color w:val="auto"/>
              </w:rPr>
            </w:pPr>
            <w:r>
              <w:rPr>
                <w:rFonts w:ascii="Times New Roman" w:cs="Times New Roman" w:eastAsia="Times New Roman" w:hAnsi="Times New Roman"/>
                <w:sz w:val="14"/>
                <w:szCs w:val="14"/>
                <w:color w:val="auto"/>
              </w:rPr>
              <w:t>528,211</w:t>
            </w:r>
          </w:p>
        </w:tc>
        <w:tc>
          <w:tcPr>
            <w:tcW w:w="1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450,062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2,030,286</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1,784,345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rPr>
              <w:t>(138,138)</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(104,821)</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(526,970)</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(448,287)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720" w:type="dxa"/>
            <w:vAlign w:val="bottom"/>
          </w:tcPr>
          <w:p>
            <w:pPr>
              <w:jc w:val="center"/>
              <w:ind w:left="2068"/>
              <w:spacing w:after="0"/>
              <w:rPr>
                <w:sz w:val="20"/>
                <w:szCs w:val="20"/>
                <w:color w:val="auto"/>
              </w:rPr>
            </w:pPr>
            <w:r>
              <w:rPr>
                <w:rFonts w:ascii="Times New Roman" w:cs="Times New Roman" w:eastAsia="Times New Roman" w:hAnsi="Times New Roman"/>
                <w:sz w:val="14"/>
                <w:szCs w:val="14"/>
                <w:color w:val="auto"/>
              </w:rPr>
              <w:t>390,073</w:t>
            </w:r>
          </w:p>
        </w:tc>
        <w:tc>
          <w:tcPr>
            <w:tcW w:w="1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345,241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1,503,316</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1,336,058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3720" w:type="dxa"/>
            <w:vAlign w:val="bottom"/>
          </w:tcPr>
          <w:p>
            <w:pPr>
              <w:jc w:val="center"/>
              <w:ind w:left="2068"/>
              <w:spacing w:after="0"/>
              <w:rPr>
                <w:sz w:val="20"/>
                <w:szCs w:val="20"/>
                <w:color w:val="auto"/>
              </w:rPr>
            </w:pPr>
            <w:r>
              <w:rPr>
                <w:rFonts w:ascii="Times New Roman" w:cs="Times New Roman" w:eastAsia="Times New Roman" w:hAnsi="Times New Roman"/>
                <w:sz w:val="14"/>
                <w:szCs w:val="14"/>
                <w:color w:val="auto"/>
              </w:rPr>
              <w:t>229,876</w:t>
            </w:r>
          </w:p>
        </w:tc>
        <w:tc>
          <w:tcPr>
            <w:tcW w:w="1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215,326</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903,167</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845,413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720" w:type="dxa"/>
            <w:vAlign w:val="bottom"/>
          </w:tcPr>
          <w:p>
            <w:pPr>
              <w:jc w:val="center"/>
              <w:ind w:left="2088"/>
              <w:spacing w:after="0"/>
              <w:rPr>
                <w:sz w:val="20"/>
                <w:szCs w:val="20"/>
                <w:color w:val="auto"/>
              </w:rPr>
            </w:pPr>
            <w:r>
              <w:rPr>
                <w:rFonts w:ascii="Times New Roman" w:cs="Times New Roman" w:eastAsia="Times New Roman" w:hAnsi="Times New Roman"/>
                <w:sz w:val="14"/>
                <w:szCs w:val="14"/>
                <w:color w:val="auto"/>
              </w:rPr>
              <w:t>85,425</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79,241</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336,461</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313,931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720" w:type="dxa"/>
            <w:vAlign w:val="bottom"/>
          </w:tcPr>
          <w:p>
            <w:pPr>
              <w:jc w:val="center"/>
              <w:ind w:left="2088"/>
              <w:spacing w:after="0"/>
              <w:rPr>
                <w:sz w:val="20"/>
                <w:szCs w:val="20"/>
                <w:color w:val="auto"/>
              </w:rPr>
            </w:pPr>
            <w:r>
              <w:rPr>
                <w:rFonts w:ascii="Times New Roman" w:cs="Times New Roman" w:eastAsia="Times New Roman" w:hAnsi="Times New Roman"/>
                <w:sz w:val="14"/>
                <w:szCs w:val="14"/>
                <w:color w:val="auto"/>
              </w:rPr>
              <w:t>14,335</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11,963</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52,542</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46,514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Restructuring and other items</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rPr>
              <w:t>8,796</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8,796</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9,033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3720" w:type="dxa"/>
            <w:vAlign w:val="bottom"/>
            <w:tcBorders>
              <w:bottom w:val="single" w:sz="8" w:color="auto"/>
            </w:tcBorders>
          </w:tcPr>
          <w:p>
            <w:pPr>
              <w:jc w:val="center"/>
              <w:ind w:left="2068"/>
              <w:spacing w:after="0"/>
              <w:rPr>
                <w:sz w:val="20"/>
                <w:szCs w:val="20"/>
                <w:color w:val="auto"/>
              </w:rPr>
            </w:pPr>
            <w:r>
              <w:rPr>
                <w:rFonts w:ascii="Times New Roman" w:cs="Times New Roman" w:eastAsia="Times New Roman" w:hAnsi="Times New Roman"/>
                <w:sz w:val="14"/>
                <w:szCs w:val="14"/>
                <w:color w:val="auto"/>
              </w:rPr>
              <w:t>338,432</w:t>
            </w:r>
          </w:p>
        </w:tc>
        <w:tc>
          <w:tcPr>
            <w:tcW w:w="1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306,530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1,300,966</w:t>
            </w:r>
          </w:p>
        </w:tc>
        <w:tc>
          <w:tcPr>
            <w:tcW w:w="15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1,214,891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720" w:type="dxa"/>
            <w:vAlign w:val="bottom"/>
          </w:tcPr>
          <w:p>
            <w:pPr>
              <w:jc w:val="center"/>
              <w:ind w:left="2088"/>
              <w:spacing w:after="0"/>
              <w:rPr>
                <w:sz w:val="20"/>
                <w:szCs w:val="20"/>
                <w:color w:val="auto"/>
              </w:rPr>
            </w:pPr>
            <w:r>
              <w:rPr>
                <w:rFonts w:ascii="Times New Roman" w:cs="Times New Roman" w:eastAsia="Times New Roman" w:hAnsi="Times New Roman"/>
                <w:sz w:val="14"/>
                <w:szCs w:val="14"/>
                <w:color w:val="auto"/>
              </w:rPr>
              <w:t>51,641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38,711</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202,350</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121,167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3720" w:type="dxa"/>
            <w:vAlign w:val="bottom"/>
            <w:tcBorders>
              <w:bottom w:val="single" w:sz="8" w:color="auto"/>
            </w:tcBorders>
          </w:tcPr>
          <w:p>
            <w:pPr>
              <w:jc w:val="center"/>
              <w:ind w:left="2068"/>
              <w:spacing w:after="0"/>
              <w:rPr>
                <w:sz w:val="20"/>
                <w:szCs w:val="20"/>
                <w:color w:val="auto"/>
              </w:rPr>
            </w:pPr>
            <w:r>
              <w:rPr>
                <w:rFonts w:ascii="Times New Roman" w:cs="Times New Roman" w:eastAsia="Times New Roman" w:hAnsi="Times New Roman"/>
                <w:sz w:val="14"/>
                <w:szCs w:val="14"/>
                <w:color w:val="auto"/>
              </w:rPr>
              <w:t>204</w:t>
            </w:r>
          </w:p>
        </w:tc>
        <w:tc>
          <w:tcPr>
            <w:tcW w:w="1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39</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366</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3720" w:type="dxa"/>
            <w:vAlign w:val="bottom"/>
          </w:tcPr>
          <w:p>
            <w:pPr>
              <w:jc w:val="center"/>
              <w:ind w:left="2088"/>
              <w:spacing w:after="0"/>
              <w:rPr>
                <w:sz w:val="20"/>
                <w:szCs w:val="20"/>
                <w:color w:val="auto"/>
              </w:rPr>
            </w:pPr>
            <w:r>
              <w:rPr>
                <w:rFonts w:ascii="Times New Roman" w:cs="Times New Roman" w:eastAsia="Times New Roman" w:hAnsi="Times New Roman"/>
                <w:sz w:val="14"/>
                <w:szCs w:val="14"/>
                <w:color w:val="auto"/>
              </w:rPr>
              <w:t>51,845</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38,750</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202,716</w:t>
            </w:r>
          </w:p>
        </w:tc>
        <w:tc>
          <w:tcPr>
            <w:tcW w:w="15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120,865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720" w:type="dxa"/>
            <w:vAlign w:val="bottom"/>
            <w:tcBorders>
              <w:bottom w:val="single" w:sz="8" w:color="auto"/>
            </w:tcBorders>
          </w:tcPr>
          <w:p>
            <w:pPr>
              <w:jc w:val="center"/>
              <w:ind w:left="2068"/>
              <w:spacing w:after="0"/>
              <w:rPr>
                <w:sz w:val="20"/>
                <w:szCs w:val="20"/>
                <w:color w:val="auto"/>
              </w:rPr>
            </w:pPr>
            <w:r>
              <w:rPr>
                <w:rFonts w:ascii="Times New Roman" w:cs="Times New Roman" w:eastAsia="Times New Roman" w:hAnsi="Times New Roman"/>
                <w:sz w:val="14"/>
                <w:szCs w:val="14"/>
                <w:color w:val="auto"/>
              </w:rPr>
              <w:t>(6,671)</w:t>
            </w:r>
          </w:p>
        </w:tc>
        <w:tc>
          <w:tcPr>
            <w:tcW w:w="1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(5,270)</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(30,248)</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(18,053)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rPr>
              <w:t>45,174</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33,480</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172,468</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102,812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Ordinary Share:</w:t>
            </w:r>
          </w:p>
        </w:tc>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w w:val="98"/>
              </w:rPr>
              <w:t>74c</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54c</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$2.80</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w w:val="98"/>
              </w:rPr>
              <w:t>73c</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53c</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$2.73</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 outstanding:</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rPr>
              <w:t>60,394,465</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61,431,281</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61,496,115</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60,907,274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3720" w:type="dxa"/>
            <w:vAlign w:val="bottom"/>
            <w:tcBorders>
              <w:bottom w:val="single" w:sz="8" w:color="auto"/>
            </w:tcBorders>
          </w:tcPr>
          <w:p>
            <w:pPr>
              <w:jc w:val="center"/>
              <w:ind w:left="2088"/>
              <w:spacing w:after="0"/>
              <w:rPr>
                <w:sz w:val="20"/>
                <w:szCs w:val="20"/>
                <w:color w:val="auto"/>
              </w:rPr>
            </w:pPr>
            <w:r>
              <w:rPr>
                <w:rFonts w:ascii="Times New Roman" w:cs="Times New Roman" w:eastAsia="Times New Roman" w:hAnsi="Times New Roman"/>
                <w:sz w:val="14"/>
                <w:szCs w:val="14"/>
                <w:color w:val="auto"/>
              </w:rPr>
              <w:t>61,908,135</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62,828,079</w:t>
            </w: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63,131,417</w:t>
            </w:r>
          </w:p>
        </w:tc>
        <w:tc>
          <w:tcPr>
            <w:tcW w:w="15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62,253,251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9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9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3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ICON plc</w:t>
            </w:r>
          </w:p>
        </w:tc>
        <w:tc>
          <w:tcPr>
            <w:tcW w:w="1980" w:type="dxa"/>
            <w:vAlign w:val="bottom"/>
          </w:tcPr>
          <w:p>
            <w:pPr>
              <w:spacing w:after="0"/>
              <w:rPr>
                <w:sz w:val="16"/>
                <w:szCs w:val="16"/>
                <w:color w:val="auto"/>
              </w:rPr>
            </w:pPr>
          </w:p>
        </w:tc>
      </w:tr>
      <w:tr>
        <w:trPr>
          <w:trHeight w:val="351"/>
        </w:trPr>
        <w:tc>
          <w:tcPr>
            <w:tcW w:w="2740" w:type="dxa"/>
            <w:vAlign w:val="bottom"/>
          </w:tcPr>
          <w:p>
            <w:pPr>
              <w:spacing w:after="0"/>
              <w:rPr>
                <w:sz w:val="24"/>
                <w:szCs w:val="24"/>
                <w:color w:val="auto"/>
              </w:rPr>
            </w:pPr>
          </w:p>
        </w:tc>
        <w:tc>
          <w:tcPr>
            <w:tcW w:w="53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Summary Balance Sheet Data</w:t>
            </w:r>
          </w:p>
        </w:tc>
        <w:tc>
          <w:tcPr>
            <w:tcW w:w="1980" w:type="dxa"/>
            <w:vAlign w:val="bottom"/>
          </w:tcPr>
          <w:p>
            <w:pPr>
              <w:spacing w:after="0"/>
              <w:rPr>
                <w:sz w:val="24"/>
                <w:szCs w:val="24"/>
                <w:color w:val="auto"/>
              </w:rPr>
            </w:pPr>
          </w:p>
        </w:tc>
      </w:tr>
      <w:tr>
        <w:trPr>
          <w:trHeight w:val="351"/>
        </w:trPr>
        <w:tc>
          <w:tcPr>
            <w:tcW w:w="2740" w:type="dxa"/>
            <w:vAlign w:val="bottom"/>
          </w:tcPr>
          <w:p>
            <w:pPr>
              <w:spacing w:after="0"/>
              <w:rPr>
                <w:sz w:val="24"/>
                <w:szCs w:val="24"/>
                <w:color w:val="auto"/>
              </w:rPr>
            </w:pPr>
          </w:p>
        </w:tc>
        <w:tc>
          <w:tcPr>
            <w:tcW w:w="53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 2014 and December 31, 2013</w:t>
            </w:r>
          </w:p>
        </w:tc>
        <w:tc>
          <w:tcPr>
            <w:tcW w:w="1980" w:type="dxa"/>
            <w:vAlign w:val="bottom"/>
          </w:tcPr>
          <w:p>
            <w:pPr>
              <w:spacing w:after="0"/>
              <w:rPr>
                <w:sz w:val="24"/>
                <w:szCs w:val="24"/>
                <w:color w:val="auto"/>
              </w:rPr>
            </w:pPr>
          </w:p>
        </w:tc>
      </w:tr>
      <w:tr>
        <w:trPr>
          <w:trHeight w:val="351"/>
        </w:trPr>
        <w:tc>
          <w:tcPr>
            <w:tcW w:w="2740" w:type="dxa"/>
            <w:vAlign w:val="bottom"/>
          </w:tcPr>
          <w:p>
            <w:pPr>
              <w:spacing w:after="0"/>
              <w:rPr>
                <w:sz w:val="24"/>
                <w:szCs w:val="24"/>
                <w:color w:val="auto"/>
              </w:rPr>
            </w:pPr>
          </w:p>
        </w:tc>
        <w:tc>
          <w:tcPr>
            <w:tcW w:w="53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80" w:type="dxa"/>
            <w:vAlign w:val="bottom"/>
          </w:tcPr>
          <w:p>
            <w:pPr>
              <w:spacing w:after="0"/>
              <w:rPr>
                <w:sz w:val="24"/>
                <w:szCs w:val="24"/>
                <w:color w:val="auto"/>
              </w:rPr>
            </w:pPr>
          </w:p>
        </w:tc>
      </w:tr>
      <w:tr>
        <w:trPr>
          <w:trHeight w:val="336"/>
        </w:trPr>
        <w:tc>
          <w:tcPr>
            <w:tcW w:w="2740" w:type="dxa"/>
            <w:vAlign w:val="bottom"/>
          </w:tcPr>
          <w:p>
            <w:pPr>
              <w:spacing w:after="0"/>
              <w:rPr>
                <w:sz w:val="24"/>
                <w:szCs w:val="24"/>
                <w:color w:val="auto"/>
              </w:rPr>
            </w:pP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80" w:type="dxa"/>
            <w:vAlign w:val="bottom"/>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2740" w:type="dxa"/>
            <w:vAlign w:val="bottom"/>
          </w:tcPr>
          <w:p>
            <w:pPr>
              <w:spacing w:after="0"/>
              <w:rPr>
                <w:sz w:val="15"/>
                <w:szCs w:val="15"/>
                <w:color w:val="auto"/>
              </w:rPr>
            </w:pP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190"/>
        </w:trPr>
        <w:tc>
          <w:tcPr>
            <w:tcW w:w="2740" w:type="dxa"/>
            <w:vAlign w:val="bottom"/>
          </w:tcPr>
          <w:p>
            <w:pPr>
              <w:spacing w:after="0"/>
              <w:rPr>
                <w:sz w:val="16"/>
                <w:szCs w:val="16"/>
                <w:color w:val="auto"/>
              </w:rPr>
            </w:pP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980" w:type="dxa"/>
            <w:vAlign w:val="bottom"/>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35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Net cash</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216,000</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320,836</w:t>
            </w:r>
          </w:p>
        </w:tc>
      </w:tr>
      <w:tr>
        <w:trPr>
          <w:trHeight w:val="33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370,956</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342,581</w:t>
            </w:r>
          </w:p>
        </w:tc>
      </w:tr>
      <w:tr>
        <w:trPr>
          <w:trHeight w:val="176"/>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146,163</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113,239</w:t>
            </w:r>
          </w:p>
        </w:tc>
      </w:tr>
      <w:tr>
        <w:trPr>
          <w:trHeight w:val="176"/>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Payments on account</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(280,097)</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(297,347)</w:t>
            </w:r>
          </w:p>
        </w:tc>
      </w:tr>
      <w:tr>
        <w:trPr>
          <w:trHeight w:val="18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237,022</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158,473</w:t>
            </w:r>
          </w:p>
        </w:tc>
      </w:tr>
      <w:tr>
        <w:trPr>
          <w:trHeight w:val="35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281,148</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352,259</w:t>
            </w:r>
          </w:p>
        </w:tc>
      </w:tr>
      <w:tr>
        <w:trPr>
          <w:trHeight w:val="35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w w:val="99"/>
              </w:rPr>
              <w:t>1,527,791</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1,442,460</w:t>
            </w:r>
          </w:p>
        </w:tc>
      </w:tr>
      <w:tr>
        <w:trPr>
          <w:trHeight w:val="35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530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950,206</w:t>
            </w:r>
          </w:p>
        </w:tc>
        <w:tc>
          <w:tcPr>
            <w:tcW w:w="198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910,579</w:t>
            </w: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230" w:lineRule="auto"/>
        <w:rPr>
          <w:sz w:val="20"/>
          <w:szCs w:val="20"/>
          <w:color w:val="auto"/>
        </w:rPr>
      </w:pPr>
      <w:r>
        <w:rPr>
          <w:rFonts w:ascii="Times New Roman" w:cs="Times New Roman" w:eastAsia="Times New Roman" w:hAnsi="Times New Roman"/>
          <w:sz w:val="22"/>
          <w:szCs w:val="22"/>
          <w:color w:val="auto"/>
        </w:rPr>
        <w:t>Contact:</w:t>
      </w:r>
    </w:p>
    <w:p>
      <w:pPr>
        <w:spacing w:after="0" w:line="231" w:lineRule="auto"/>
        <w:rPr>
          <w:sz w:val="20"/>
          <w:szCs w:val="20"/>
          <w:color w:val="auto"/>
        </w:rPr>
      </w:pPr>
      <w:r>
        <w:rPr>
          <w:rFonts w:ascii="Times New Roman" w:cs="Times New Roman" w:eastAsia="Times New Roman" w:hAnsi="Times New Roman"/>
          <w:sz w:val="22"/>
          <w:szCs w:val="22"/>
          <w:color w:val="auto"/>
        </w:rPr>
        <w:t>Investor Relations 1-888-381-7923</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Brendan Brennan</w:t>
      </w:r>
    </w:p>
    <w:p>
      <w:pPr>
        <w:spacing w:after="0" w:line="231" w:lineRule="auto"/>
        <w:rPr>
          <w:sz w:val="20"/>
          <w:szCs w:val="20"/>
          <w:color w:val="auto"/>
        </w:rPr>
      </w:pPr>
      <w:r>
        <w:rPr>
          <w:rFonts w:ascii="Times New Roman" w:cs="Times New Roman" w:eastAsia="Times New Roman" w:hAnsi="Times New Roman"/>
          <w:sz w:val="22"/>
          <w:szCs w:val="22"/>
          <w:color w:val="auto"/>
        </w:rPr>
        <w:t>CFO + 353 1 291 2000</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Simon Holmes</w:t>
      </w:r>
    </w:p>
    <w:p>
      <w:pPr>
        <w:spacing w:after="0" w:line="230" w:lineRule="auto"/>
        <w:rPr>
          <w:sz w:val="20"/>
          <w:szCs w:val="20"/>
          <w:color w:val="auto"/>
        </w:rPr>
      </w:pPr>
      <w:r>
        <w:rPr>
          <w:rFonts w:ascii="Times New Roman" w:cs="Times New Roman" w:eastAsia="Times New Roman" w:hAnsi="Times New Roman"/>
          <w:sz w:val="22"/>
          <w:szCs w:val="22"/>
          <w:color w:val="auto"/>
        </w:rPr>
        <w:t>EVP IR &amp; Corporate Development +353 1 291 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http://www.iconplc.com</w:t>
      </w:r>
    </w:p>
    <w:sectPr>
      <w:pgSz w:w="11900" w:h="16838" w:orient="portrait"/>
      <w:cols w:equalWidth="0" w:num="1">
        <w:col w:w="10219"/>
      </w:cols>
      <w:pgMar w:left="24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2019-12-07T04:20:09Z</dcterms:created>
  <dcterms:modified xsi:type="dcterms:W3CDTF">2019-12-07T04:20:09Z</dcterms:modified>
</cp:coreProperties>
</file>