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8"/>
          <w:szCs w:val="28"/>
          <w:b w:val="1"/>
          <w:bCs w:val="1"/>
          <w:color w:val="auto"/>
        </w:rPr>
        <w:t>FORM 6-K</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28"/>
          <w:szCs w:val="28"/>
          <w:b w:val="1"/>
          <w:bCs w:val="1"/>
          <w:color w:val="auto"/>
        </w:rPr>
        <w:t>SECURITIES AND EXCHANGE COMMISSION</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Foreign Private Issuer</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Rule 13a-16 under</w:t>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w:t>
      </w:r>
      <w:r>
        <w:rPr>
          <w:rFonts w:ascii="Arial" w:cs="Arial" w:eastAsia="Arial" w:hAnsi="Arial"/>
          <w:sz w:val="18"/>
          <w:szCs w:val="18"/>
          <w:b w:val="1"/>
          <w:bCs w:val="1"/>
          <w:color w:val="auto"/>
        </w:rPr>
        <w:t>he Securities Exchange Act of 1934</w:t>
      </w:r>
    </w:p>
    <w:p>
      <w:pPr>
        <w:spacing w:after="0" w:line="200" w:lineRule="exact"/>
        <w:rPr>
          <w:sz w:val="24"/>
          <w:szCs w:val="24"/>
          <w:color w:val="auto"/>
        </w:rPr>
      </w:pPr>
    </w:p>
    <w:p>
      <w:pPr>
        <w:spacing w:after="0" w:line="27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month ended August, 2012</w:t>
      </w:r>
    </w:p>
    <w:p>
      <w:pPr>
        <w:spacing w:after="0" w:line="224" w:lineRule="exact"/>
        <w:rPr>
          <w:sz w:val="24"/>
          <w:szCs w:val="24"/>
          <w:color w:val="auto"/>
        </w:rPr>
      </w:pPr>
    </w:p>
    <w:p>
      <w:pPr>
        <w:jc w:val="center"/>
        <w:ind w:right="-59"/>
        <w:spacing w:after="0"/>
        <w:rPr>
          <w:sz w:val="20"/>
          <w:szCs w:val="20"/>
          <w:color w:val="auto"/>
        </w:rPr>
      </w:pPr>
      <w:r>
        <w:rPr>
          <w:rFonts w:ascii="Arial" w:cs="Arial" w:eastAsia="Arial" w:hAnsi="Arial"/>
          <w:sz w:val="28"/>
          <w:szCs w:val="28"/>
          <w:b w:val="1"/>
          <w:bCs w:val="1"/>
          <w:color w:val="auto"/>
        </w:rPr>
        <w:t>ICON plc</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name)</w:t>
      </w:r>
    </w:p>
    <w:p>
      <w:pPr>
        <w:spacing w:after="0" w:line="200" w:lineRule="exact"/>
        <w:rPr>
          <w:sz w:val="24"/>
          <w:szCs w:val="24"/>
          <w:color w:val="auto"/>
        </w:rPr>
      </w:pPr>
    </w:p>
    <w:p>
      <w:pPr>
        <w:spacing w:after="0" w:line="26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0-29714</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(Commission file number)</w:t>
      </w:r>
    </w:p>
    <w:p>
      <w:pPr>
        <w:spacing w:after="0" w:line="200" w:lineRule="exact"/>
        <w:rPr>
          <w:sz w:val="24"/>
          <w:szCs w:val="24"/>
          <w:color w:val="auto"/>
        </w:rPr>
      </w:pPr>
    </w:p>
    <w:p>
      <w:pPr>
        <w:spacing w:after="0" w:line="27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7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Brendan Brennan, CFO</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Brendan.Brennan@iconplc.com</w:t>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011-353-1-291-2000</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telephone number, email and/or facsimile number and address of Company contact person)</w:t>
      </w:r>
    </w:p>
    <w:p>
      <w:pPr>
        <w:spacing w:after="0" w:line="23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6" w:lineRule="exact"/>
        <w:rPr>
          <w:sz w:val="24"/>
          <w:szCs w:val="24"/>
          <w:color w:val="auto"/>
        </w:rPr>
      </w:pPr>
    </w:p>
    <w:p>
      <w:pPr>
        <w:ind w:left="4120"/>
        <w:spacing w:after="0"/>
        <w:tabs>
          <w:tab w:leader="none" w:pos="6960" w:val="left"/>
        </w:tabs>
        <w:rPr>
          <w:sz w:val="20"/>
          <w:szCs w:val="20"/>
          <w:color w:val="auto"/>
        </w:rPr>
      </w:pPr>
      <w:r>
        <w:rPr>
          <w:rFonts w:ascii="Arial" w:cs="Arial" w:eastAsia="Arial" w:hAnsi="Arial"/>
          <w:sz w:val="18"/>
          <w:szCs w:val="18"/>
          <w:color w:val="auto"/>
        </w:rPr>
        <w:t>Yes___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5"/>
          <w:szCs w:val="15"/>
          <w:color w:val="auto"/>
        </w:rPr>
        <w:t>No___</w:t>
      </w:r>
      <w:r>
        <w:rPr>
          <w:rFonts w:ascii="Arial" w:cs="Arial" w:eastAsia="Arial" w:hAnsi="Arial"/>
          <w:sz w:val="15"/>
          <w:szCs w:val="15"/>
          <w:b w:val="1"/>
          <w:bCs w:val="1"/>
          <w:color w:val="auto"/>
        </w:rPr>
        <w:t>_</w:t>
      </w:r>
      <w:r>
        <w:rPr>
          <w:rFonts w:ascii="Arial" w:cs="Arial" w:eastAsia="Arial" w:hAnsi="Arial"/>
          <w:sz w:val="15"/>
          <w:szCs w:val="15"/>
          <w:color w:val="auto"/>
        </w:rPr>
        <w:t>___</w:t>
      </w: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16" w:lineRule="exact"/>
        <w:rPr>
          <w:sz w:val="24"/>
          <w:szCs w:val="24"/>
          <w:color w:val="auto"/>
        </w:rPr>
      </w:pPr>
    </w:p>
    <w:p>
      <w:pPr>
        <w:ind w:left="4120"/>
        <w:spacing w:after="0"/>
        <w:tabs>
          <w:tab w:leader="none" w:pos="696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5"/>
          <w:szCs w:val="15"/>
          <w:color w:val="auto"/>
        </w:rPr>
        <w:t>No___</w:t>
      </w:r>
      <w:r>
        <w:rPr>
          <w:rFonts w:ascii="Arial" w:cs="Arial" w:eastAsia="Arial" w:hAnsi="Arial"/>
          <w:sz w:val="15"/>
          <w:szCs w:val="15"/>
          <w:b w:val="1"/>
          <w:bCs w:val="1"/>
          <w:color w:val="auto"/>
        </w:rPr>
        <w:t>X</w:t>
      </w:r>
      <w:r>
        <w:rPr>
          <w:rFonts w:ascii="Arial" w:cs="Arial" w:eastAsia="Arial" w:hAnsi="Arial"/>
          <w:sz w:val="15"/>
          <w:szCs w:val="15"/>
          <w:color w:val="auto"/>
        </w:rPr>
        <w:t>___</w:t>
      </w: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16" w:lineRule="exact"/>
        <w:rPr>
          <w:sz w:val="24"/>
          <w:szCs w:val="24"/>
          <w:color w:val="auto"/>
        </w:rPr>
      </w:pPr>
    </w:p>
    <w:p>
      <w:pPr>
        <w:ind w:left="4120"/>
        <w:spacing w:after="0"/>
        <w:tabs>
          <w:tab w:leader="none" w:pos="696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5"/>
          <w:szCs w:val="15"/>
          <w:color w:val="auto"/>
        </w:rPr>
        <w:t>No___</w:t>
      </w:r>
      <w:r>
        <w:rPr>
          <w:rFonts w:ascii="Arial" w:cs="Arial" w:eastAsia="Arial" w:hAnsi="Arial"/>
          <w:sz w:val="15"/>
          <w:szCs w:val="15"/>
          <w:b w:val="1"/>
          <w:bCs w:val="1"/>
          <w:color w:val="auto"/>
        </w:rPr>
        <w:t>X</w:t>
      </w:r>
      <w:r>
        <w:rPr>
          <w:rFonts w:ascii="Arial" w:cs="Arial" w:eastAsia="Arial" w:hAnsi="Arial"/>
          <w:sz w:val="15"/>
          <w:szCs w:val="15"/>
          <w:color w:val="auto"/>
        </w:rPr>
        <w:t>___</w:t>
      </w:r>
    </w:p>
    <w:p>
      <w:pPr>
        <w:spacing w:after="0" w:line="206" w:lineRule="exact"/>
        <w:rPr>
          <w:sz w:val="24"/>
          <w:szCs w:val="24"/>
          <w:color w:val="auto"/>
        </w:rPr>
      </w:pPr>
    </w:p>
    <w:p>
      <w:pPr>
        <w:spacing w:after="0" w:line="252"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120"/>
        <w:spacing w:after="0"/>
        <w:tabs>
          <w:tab w:leader="none" w:pos="696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5"/>
          <w:szCs w:val="15"/>
          <w:color w:val="auto"/>
        </w:rPr>
        <w:t>No___</w:t>
      </w:r>
      <w:r>
        <w:rPr>
          <w:rFonts w:ascii="Arial" w:cs="Arial" w:eastAsia="Arial" w:hAnsi="Arial"/>
          <w:sz w:val="15"/>
          <w:szCs w:val="15"/>
          <w:b w:val="1"/>
          <w:bCs w:val="1"/>
          <w:color w:val="auto"/>
        </w:rPr>
        <w:t>X</w:t>
      </w:r>
      <w:r>
        <w:rPr>
          <w:rFonts w:ascii="Arial" w:cs="Arial" w:eastAsia="Arial" w:hAnsi="Arial"/>
          <w:sz w:val="15"/>
          <w:szCs w:val="15"/>
          <w:color w:val="auto"/>
        </w:rPr>
        <w:t>___</w:t>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417195</wp:posOffset>
            </wp:positionV>
            <wp:extent cx="725360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214" w:right="299" w:bottom="1440" w:gutter="0" w:footer="0" w:header="0"/>
        </w:sectPr>
      </w:pPr>
    </w:p>
    <w:bookmarkStart w:id="1" w:name="page2"/>
    <w:bookmarkEnd w:id="1"/>
    <w:p>
      <w:pPr>
        <w:jc w:val="right"/>
        <w:ind w:right="3679"/>
        <w:spacing w:after="0"/>
        <w:rPr>
          <w:sz w:val="20"/>
          <w:szCs w:val="20"/>
          <w:color w:val="auto"/>
        </w:rPr>
      </w:pPr>
      <w:r>
        <w:rPr>
          <w:rFonts w:ascii="Arial" w:cs="Arial" w:eastAsia="Arial" w:hAnsi="Arial"/>
          <w:sz w:val="21"/>
          <w:szCs w:val="21"/>
          <w:b w:val="1"/>
          <w:bCs w:val="1"/>
          <w:u w:val="single" w:color="auto"/>
          <w:color w:val="auto"/>
        </w:rPr>
        <w:t>EXHIBIT INDEX</w:t>
      </w:r>
    </w:p>
    <w:p>
      <w:pPr>
        <w:spacing w:after="0" w:line="200" w:lineRule="exact"/>
        <w:rPr>
          <w:sz w:val="20"/>
          <w:szCs w:val="20"/>
          <w:color w:val="auto"/>
        </w:rPr>
      </w:pPr>
    </w:p>
    <w:p>
      <w:pPr>
        <w:spacing w:after="0" w:line="29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1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ICON plc Interim IFRS Financial Statements - June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413385</wp:posOffset>
            </wp:positionV>
            <wp:extent cx="725360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497"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50"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-13335</wp:posOffset>
            </wp:positionV>
            <wp:extent cx="1932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32305" cy="8255"/>
                    </a:xfrm>
                    <a:prstGeom prst="rect">
                      <a:avLst/>
                    </a:prstGeom>
                    <a:noFill/>
                  </pic:spPr>
                </pic:pic>
              </a:graphicData>
            </a:graphic>
          </wp:anchor>
        </w:drawing>
      </w:r>
    </w:p>
    <w:p>
      <w:pPr>
        <w:ind w:left="540"/>
        <w:spacing w:after="0"/>
        <w:tabs>
          <w:tab w:leader="none" w:pos="5700" w:val="left"/>
        </w:tabs>
        <w:rPr>
          <w:sz w:val="20"/>
          <w:szCs w:val="20"/>
          <w:color w:val="auto"/>
        </w:rPr>
      </w:pPr>
      <w:r>
        <w:rPr>
          <w:rFonts w:ascii="Arial" w:cs="Arial" w:eastAsia="Arial" w:hAnsi="Arial"/>
          <w:sz w:val="18"/>
          <w:szCs w:val="18"/>
          <w:color w:val="auto"/>
        </w:rPr>
        <w:t>Date: August 30, 2012</w:t>
      </w:r>
      <w:r>
        <w:rPr>
          <w:sz w:val="20"/>
          <w:szCs w:val="20"/>
          <w:color w:val="auto"/>
        </w:rPr>
        <w:tab/>
      </w:r>
      <w:r>
        <w:rPr>
          <w:rFonts w:ascii="Arial" w:cs="Arial" w:eastAsia="Arial" w:hAnsi="Arial"/>
          <w:sz w:val="15"/>
          <w:szCs w:val="15"/>
          <w:color w:val="auto"/>
        </w:rPr>
        <w:t>Brendan Brennan</w:t>
      </w:r>
    </w:p>
    <w:p>
      <w:pPr>
        <w:spacing w:after="0" w:line="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0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ICON plc and subsidiaries</w:t>
      </w:r>
    </w:p>
    <w:p>
      <w:pPr>
        <w:spacing w:after="0" w:line="200" w:lineRule="exact"/>
        <w:rPr>
          <w:sz w:val="20"/>
          <w:szCs w:val="20"/>
          <w:color w:val="auto"/>
        </w:rPr>
      </w:pPr>
    </w:p>
    <w:p>
      <w:pPr>
        <w:spacing w:after="0" w:line="282"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Interim financial statements</w:t>
      </w:r>
    </w:p>
    <w:p>
      <w:pPr>
        <w:spacing w:after="0" w:line="200" w:lineRule="exact"/>
        <w:rPr>
          <w:sz w:val="20"/>
          <w:szCs w:val="20"/>
          <w:color w:val="auto"/>
        </w:rPr>
      </w:pPr>
    </w:p>
    <w:p>
      <w:pPr>
        <w:spacing w:after="0" w:line="282"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Six months ended 30 June 2012</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720"/>
        <w:spacing w:after="0"/>
        <w:tabs>
          <w:tab w:leader="none" w:pos="2240" w:val="left"/>
        </w:tabs>
        <w:rPr>
          <w:sz w:val="20"/>
          <w:szCs w:val="20"/>
          <w:color w:val="auto"/>
        </w:rPr>
      </w:pPr>
      <w:r>
        <w:rPr>
          <w:rFonts w:ascii="Arial" w:cs="Arial" w:eastAsia="Arial" w:hAnsi="Arial"/>
          <w:sz w:val="18"/>
          <w:szCs w:val="18"/>
          <w:i w:val="1"/>
          <w:iCs w:val="1"/>
          <w:color w:val="auto"/>
        </w:rPr>
        <w:t>Registered number</w:t>
      </w:r>
      <w:r>
        <w:rPr>
          <w:sz w:val="20"/>
          <w:szCs w:val="20"/>
          <w:color w:val="auto"/>
        </w:rPr>
        <w:tab/>
      </w:r>
      <w:r>
        <w:rPr>
          <w:rFonts w:ascii="Arial" w:cs="Arial" w:eastAsia="Arial" w:hAnsi="Arial"/>
          <w:sz w:val="15"/>
          <w:szCs w:val="15"/>
          <w:i w:val="1"/>
          <w:iCs w:val="1"/>
          <w:color w:val="auto"/>
        </w:rPr>
        <w:t>145835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413385</wp:posOffset>
            </wp:positionV>
            <wp:extent cx="725360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4" w:name="page5"/>
    <w:bookmarkEnd w:id="4"/>
    <w:p>
      <w:pPr>
        <w:spacing w:after="0"/>
        <w:rPr>
          <w:sz w:val="20"/>
          <w:szCs w:val="20"/>
          <w:color w:val="auto"/>
        </w:rPr>
      </w:pPr>
      <w:r>
        <w:rPr>
          <w:rFonts w:ascii="Arial" w:cs="Arial" w:eastAsia="Arial" w:hAnsi="Arial"/>
          <w:sz w:val="32"/>
          <w:szCs w:val="32"/>
          <w:color w:val="auto"/>
        </w:rPr>
        <w:t>ICON plc and subsidiaries</w:t>
      </w: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color w:val="auto"/>
        </w:rPr>
        <w:t>Interim Management Report and Condensed Consolidated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80" w:type="dxa"/>
            <w:vAlign w:val="bottom"/>
          </w:tcPr>
          <w:p>
            <w:pPr>
              <w:spacing w:after="0"/>
              <w:rPr>
                <w:sz w:val="20"/>
                <w:szCs w:val="20"/>
                <w:color w:val="auto"/>
              </w:rPr>
            </w:pPr>
            <w:r>
              <w:rPr>
                <w:rFonts w:ascii="Arial" w:cs="Arial" w:eastAsia="Arial" w:hAnsi="Arial"/>
                <w:sz w:val="18"/>
                <w:szCs w:val="18"/>
                <w:i w:val="1"/>
                <w:iCs w:val="1"/>
                <w:color w:val="auto"/>
              </w:rPr>
              <w:t>Contents</w:t>
            </w:r>
          </w:p>
        </w:tc>
        <w:tc>
          <w:tcPr>
            <w:tcW w:w="6340" w:type="dxa"/>
            <w:vAlign w:val="bottom"/>
          </w:tcPr>
          <w:p>
            <w:pPr>
              <w:jc w:val="right"/>
              <w:spacing w:after="0"/>
              <w:rPr>
                <w:sz w:val="20"/>
                <w:szCs w:val="20"/>
                <w:color w:val="auto"/>
              </w:rPr>
            </w:pPr>
            <w:r>
              <w:rPr>
                <w:rFonts w:ascii="Arial" w:cs="Arial" w:eastAsia="Arial" w:hAnsi="Arial"/>
                <w:sz w:val="18"/>
                <w:szCs w:val="18"/>
                <w:i w:val="1"/>
                <w:iCs w:val="1"/>
                <w:color w:val="auto"/>
              </w:rPr>
              <w:t>Page</w:t>
            </w:r>
          </w:p>
        </w:tc>
      </w:tr>
      <w:tr>
        <w:trPr>
          <w:trHeight w:val="424"/>
        </w:trPr>
        <w:tc>
          <w:tcPr>
            <w:tcW w:w="5080" w:type="dxa"/>
            <w:vAlign w:val="bottom"/>
          </w:tcPr>
          <w:p>
            <w:pPr>
              <w:spacing w:after="0"/>
              <w:rPr>
                <w:sz w:val="20"/>
                <w:szCs w:val="20"/>
                <w:color w:val="auto"/>
              </w:rPr>
            </w:pPr>
            <w:r>
              <w:rPr>
                <w:rFonts w:ascii="Arial" w:cs="Arial" w:eastAsia="Arial" w:hAnsi="Arial"/>
                <w:sz w:val="18"/>
                <w:szCs w:val="18"/>
                <w:color w:val="auto"/>
              </w:rPr>
              <w:t>Interim Management report</w:t>
            </w:r>
          </w:p>
        </w:tc>
        <w:tc>
          <w:tcPr>
            <w:tcW w:w="6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24"/>
        </w:trPr>
        <w:tc>
          <w:tcPr>
            <w:tcW w:w="5080" w:type="dxa"/>
            <w:vAlign w:val="bottom"/>
          </w:tcPr>
          <w:p>
            <w:pPr>
              <w:spacing w:after="0"/>
              <w:rPr>
                <w:sz w:val="20"/>
                <w:szCs w:val="20"/>
                <w:color w:val="auto"/>
              </w:rPr>
            </w:pPr>
            <w:r>
              <w:rPr>
                <w:rFonts w:ascii="Arial" w:cs="Arial" w:eastAsia="Arial" w:hAnsi="Arial"/>
                <w:sz w:val="18"/>
                <w:szCs w:val="18"/>
                <w:color w:val="auto"/>
              </w:rPr>
              <w:t>Directors’ Responsibility Statement</w:t>
            </w:r>
          </w:p>
        </w:tc>
        <w:tc>
          <w:tcPr>
            <w:tcW w:w="6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24"/>
        </w:trPr>
        <w:tc>
          <w:tcPr>
            <w:tcW w:w="5080" w:type="dxa"/>
            <w:vAlign w:val="bottom"/>
          </w:tcPr>
          <w:p>
            <w:pPr>
              <w:spacing w:after="0"/>
              <w:rPr>
                <w:sz w:val="20"/>
                <w:szCs w:val="20"/>
                <w:color w:val="auto"/>
              </w:rPr>
            </w:pPr>
            <w:r>
              <w:rPr>
                <w:rFonts w:ascii="Arial" w:cs="Arial" w:eastAsia="Arial" w:hAnsi="Arial"/>
                <w:sz w:val="18"/>
                <w:szCs w:val="18"/>
                <w:color w:val="auto"/>
              </w:rPr>
              <w:t>Independent Review Report</w:t>
            </w:r>
          </w:p>
        </w:tc>
        <w:tc>
          <w:tcPr>
            <w:tcW w:w="6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24"/>
        </w:trPr>
        <w:tc>
          <w:tcPr>
            <w:tcW w:w="5080" w:type="dxa"/>
            <w:vAlign w:val="bottom"/>
          </w:tcPr>
          <w:p>
            <w:pPr>
              <w:spacing w:after="0"/>
              <w:rPr>
                <w:sz w:val="20"/>
                <w:szCs w:val="20"/>
                <w:color w:val="auto"/>
              </w:rPr>
            </w:pPr>
            <w:r>
              <w:rPr>
                <w:rFonts w:ascii="Arial" w:cs="Arial" w:eastAsia="Arial" w:hAnsi="Arial"/>
                <w:sz w:val="18"/>
                <w:szCs w:val="18"/>
                <w:color w:val="auto"/>
              </w:rPr>
              <w:t>Condensed Consolidated Income Statement</w:t>
            </w:r>
          </w:p>
        </w:tc>
        <w:tc>
          <w:tcPr>
            <w:tcW w:w="6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24"/>
        </w:trPr>
        <w:tc>
          <w:tcPr>
            <w:tcW w:w="5080" w:type="dxa"/>
            <w:vAlign w:val="bottom"/>
          </w:tcPr>
          <w:p>
            <w:pPr>
              <w:spacing w:after="0"/>
              <w:rPr>
                <w:sz w:val="20"/>
                <w:szCs w:val="20"/>
                <w:color w:val="auto"/>
              </w:rPr>
            </w:pPr>
            <w:r>
              <w:rPr>
                <w:rFonts w:ascii="Arial" w:cs="Arial" w:eastAsia="Arial" w:hAnsi="Arial"/>
                <w:sz w:val="18"/>
                <w:szCs w:val="18"/>
                <w:color w:val="auto"/>
              </w:rPr>
              <w:t>Condensed Consolidated Statement of Comprehensive Income</w:t>
            </w:r>
          </w:p>
        </w:tc>
        <w:tc>
          <w:tcPr>
            <w:tcW w:w="6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24"/>
        </w:trPr>
        <w:tc>
          <w:tcPr>
            <w:tcW w:w="5080" w:type="dxa"/>
            <w:vAlign w:val="bottom"/>
          </w:tcPr>
          <w:p>
            <w:pPr>
              <w:spacing w:after="0"/>
              <w:rPr>
                <w:sz w:val="20"/>
                <w:szCs w:val="20"/>
                <w:color w:val="auto"/>
              </w:rPr>
            </w:pPr>
            <w:r>
              <w:rPr>
                <w:rFonts w:ascii="Arial" w:cs="Arial" w:eastAsia="Arial" w:hAnsi="Arial"/>
                <w:sz w:val="18"/>
                <w:szCs w:val="18"/>
                <w:color w:val="auto"/>
              </w:rPr>
              <w:t>Condensed Consolidated Statement of Financial Position</w:t>
            </w:r>
          </w:p>
        </w:tc>
        <w:tc>
          <w:tcPr>
            <w:tcW w:w="6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24"/>
        </w:trPr>
        <w:tc>
          <w:tcPr>
            <w:tcW w:w="5080" w:type="dxa"/>
            <w:vAlign w:val="bottom"/>
          </w:tcPr>
          <w:p>
            <w:pPr>
              <w:spacing w:after="0"/>
              <w:rPr>
                <w:sz w:val="20"/>
                <w:szCs w:val="20"/>
                <w:color w:val="auto"/>
              </w:rPr>
            </w:pPr>
            <w:r>
              <w:rPr>
                <w:rFonts w:ascii="Arial" w:cs="Arial" w:eastAsia="Arial" w:hAnsi="Arial"/>
                <w:sz w:val="18"/>
                <w:szCs w:val="18"/>
                <w:color w:val="auto"/>
              </w:rPr>
              <w:t>Condensed Consolidated Statement of Cash Flows</w:t>
            </w:r>
          </w:p>
        </w:tc>
        <w:tc>
          <w:tcPr>
            <w:tcW w:w="6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24"/>
        </w:trPr>
        <w:tc>
          <w:tcPr>
            <w:tcW w:w="5080" w:type="dxa"/>
            <w:vAlign w:val="bottom"/>
          </w:tcPr>
          <w:p>
            <w:pPr>
              <w:spacing w:after="0"/>
              <w:rPr>
                <w:sz w:val="20"/>
                <w:szCs w:val="20"/>
                <w:color w:val="auto"/>
              </w:rPr>
            </w:pPr>
            <w:r>
              <w:rPr>
                <w:rFonts w:ascii="Arial" w:cs="Arial" w:eastAsia="Arial" w:hAnsi="Arial"/>
                <w:sz w:val="18"/>
                <w:szCs w:val="18"/>
                <w:color w:val="auto"/>
              </w:rPr>
              <w:t>Condensed Consolidated Statement of Changes in Equity</w:t>
            </w:r>
          </w:p>
        </w:tc>
        <w:tc>
          <w:tcPr>
            <w:tcW w:w="6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24"/>
        </w:trPr>
        <w:tc>
          <w:tcPr>
            <w:tcW w:w="5080" w:type="dxa"/>
            <w:vAlign w:val="bottom"/>
          </w:tcPr>
          <w:p>
            <w:pPr>
              <w:spacing w:after="0"/>
              <w:rPr>
                <w:sz w:val="20"/>
                <w:szCs w:val="20"/>
                <w:color w:val="auto"/>
              </w:rPr>
            </w:pPr>
            <w:r>
              <w:rPr>
                <w:rFonts w:ascii="Arial" w:cs="Arial" w:eastAsia="Arial" w:hAnsi="Arial"/>
                <w:sz w:val="18"/>
                <w:szCs w:val="18"/>
                <w:color w:val="auto"/>
                <w:w w:val="99"/>
              </w:rPr>
              <w:t>Notes to Condensed Consolidated Interim Financial Statements</w:t>
            </w:r>
          </w:p>
        </w:tc>
        <w:tc>
          <w:tcPr>
            <w:tcW w:w="6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597"/>
        </w:trPr>
        <w:tc>
          <w:tcPr>
            <w:tcW w:w="5080" w:type="dxa"/>
            <w:vAlign w:val="bottom"/>
          </w:tcPr>
          <w:p>
            <w:pPr>
              <w:spacing w:after="0"/>
              <w:rPr>
                <w:sz w:val="24"/>
                <w:szCs w:val="24"/>
                <w:color w:val="auto"/>
              </w:rPr>
            </w:pPr>
          </w:p>
        </w:tc>
        <w:tc>
          <w:tcPr>
            <w:tcW w:w="6340" w:type="dxa"/>
            <w:vAlign w:val="bottom"/>
          </w:tcPr>
          <w:p>
            <w:pPr>
              <w:jc w:val="right"/>
              <w:ind w:right="5572"/>
              <w:spacing w:after="0"/>
              <w:rPr>
                <w:sz w:val="20"/>
                <w:szCs w:val="20"/>
                <w:color w:val="auto"/>
              </w:rPr>
            </w:pPr>
            <w:r>
              <w:rPr>
                <w:rFonts w:ascii="Arial" w:cs="Arial" w:eastAsia="Arial" w:hAnsi="Arial"/>
                <w:sz w:val="18"/>
                <w:szCs w:val="18"/>
                <w:color w:val="auto"/>
              </w:rPr>
              <w:t>2</w:t>
            </w:r>
          </w:p>
        </w:tc>
      </w:tr>
      <w:tr>
        <w:trPr>
          <w:trHeight w:val="117"/>
        </w:trPr>
        <w:tc>
          <w:tcPr>
            <w:tcW w:w="5080" w:type="dxa"/>
            <w:vAlign w:val="bottom"/>
            <w:tcBorders>
              <w:bottom w:val="single" w:sz="8" w:color="808080"/>
            </w:tcBorders>
          </w:tcPr>
          <w:p>
            <w:pPr>
              <w:spacing w:after="0"/>
              <w:rPr>
                <w:sz w:val="10"/>
                <w:szCs w:val="10"/>
                <w:color w:val="auto"/>
              </w:rPr>
            </w:pPr>
          </w:p>
        </w:tc>
        <w:tc>
          <w:tcPr>
            <w:tcW w:w="63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5" w:name="page6"/>
    <w:bookmarkEnd w:id="5"/>
    <w:p>
      <w:pPr>
        <w:spacing w:after="0"/>
        <w:rPr>
          <w:sz w:val="20"/>
          <w:szCs w:val="20"/>
          <w:color w:val="auto"/>
        </w:rPr>
      </w:pPr>
      <w:r>
        <w:rPr>
          <w:rFonts w:ascii="Arial" w:cs="Arial" w:eastAsia="Arial" w:hAnsi="Arial"/>
          <w:sz w:val="25"/>
          <w:szCs w:val="25"/>
          <w:color w:val="auto"/>
        </w:rPr>
        <w:t>Interim Management Report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30 June 2012</w:t>
      </w:r>
    </w:p>
    <w:p>
      <w:pPr>
        <w:spacing w:after="0" w:line="23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Directors present the condensed consolidated financial statements of ICON plc (“the Company”), a public limited company incorporated in the Republic of Ireland, and its subsidiary undertakings (“the Group”) for the six months ended 30 June 2012.</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Company’s primary listing for its shares is the NASDAQ market. The Company also has a secondary listing on the Irish Stock Exchange and, accordingly, is not subject to the same ongoing regulatory requirements as those which would apply to an Irish company with a primary listing on the Irish Stock Exchange, including the requirement that certain transactions require the approval of shareholders. For further information, shareholders should consult their own financial adviser. The Company is considered a foreign private issuer in the US, accordingly it is not subject to the same ongoing regulatory requirements as a US registered company with a primary listing on the NASDAQ market.</w:t>
      </w:r>
    </w:p>
    <w:p>
      <w:pPr>
        <w:spacing w:after="0" w:line="22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These condensed consolidated financial statements for the six months ended 30 June 2012 are prepared in accordance with IFRS as adopted by the EU and meet the reporting requirements pursuant to Irish Company Law and the Irish Stock Exchange Listing Rules. In addition to these condensed consolidated financial statements the Company also prepares separate condensed consolidated financial statements in accordance with accounting principles generally accepted in the United States (U.S. GAAP). The U.S. GAAP condensed consolidated financial statements are a separate document and were filed with the Securities and Exchange Commission (the “SEC”) on Form 6-k on 3 August 2012, a copy of which may be obtained from the Company’s website www.iconplc.com. IFRS differs in certain respects from U.S. GAAP, details of which are set out on pages 131 to 133 of the Company’s Annual Report for the year ended 31 December 2011.</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activities, business review and future developments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Group is a contract research organisation (“CRO”), providing outsourced development services on a global basis to the pharmaceutical, biotechnology and medical device industries. The Group specialises in the strategic development, management and analysis of programmes that support all stages of the clinical development process - from compound selection to Phase I-IV clinical studies.</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Group believes that it is one of a select number of CRO’s with the expertise and capability to conduct clinical trials in most major therapeutic areas on a global basis and has the operational flexibility to provide development services on a stand alone basis or as part of an integrated “full service” solution. At 30 June 2012, the Group had approximately 8,930 employees, in 82 locations in 40 countries. During the six months ended 30 June 2012, the Group derived approximately 41.9%, 45.9% and 12.2% of its net revenue in the United States, Europe and Rest of World, respectively.</w:t>
      </w:r>
    </w:p>
    <w:p>
      <w:pPr>
        <w:spacing w:after="0" w:line="204"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Headquartered in Dublin, Ireland, the Group began operations in 1990 and has expanded the business predominately through internal growth, together with a number of strategic acquisitions to enhance its capabilities and expertise in certain areas of the clinical development process. Its principal executive office is located at: South County Business Park, Leopardstown, Dublin 18, Republic of Ireland. The contact telephone number of this office is 353 (1) 291 2000.</w:t>
      </w:r>
    </w:p>
    <w:p>
      <w:pPr>
        <w:spacing w:after="0" w:line="16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28 February 2012, the Group acquired PriceSpective, a global leader in value strategy consulting. Headquartered in Philadelphia (USA), and with offices in London (UK), Los Angeles (USA), San Diego (USA), Raleigh (USA) and Boston (USA). PriceSpective is a premier consultancy that has a strong reputation for excellence in strategic pricing, market access, health economic outcomes research (HEOR), due diligence support and payer engagement services. Since it’s formation in 2003, PriceSpective has developed strategies for dozens of new product launches, and hundreds of development and in-market products, in over 40 disease areas.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6" w:name="page7"/>
    <w:bookmarkEnd w:id="6"/>
    <w:p>
      <w:pPr>
        <w:spacing w:after="0"/>
        <w:rPr>
          <w:sz w:val="20"/>
          <w:szCs w:val="20"/>
          <w:color w:val="auto"/>
        </w:rPr>
      </w:pPr>
      <w:r>
        <w:rPr>
          <w:rFonts w:ascii="Arial" w:cs="Arial" w:eastAsia="Arial" w:hAnsi="Arial"/>
          <w:sz w:val="25"/>
          <w:szCs w:val="25"/>
          <w:color w:val="auto"/>
        </w:rPr>
        <w:t>Interim Management Report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30 June 2012</w:t>
      </w:r>
    </w:p>
    <w:p>
      <w:pPr>
        <w:spacing w:after="0" w:line="23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On 15 February 2012, the Group acquired BeijingWits Medical Limited, a leading Chinese CRO, with over 100 highly qualified and experienced professionals in Beijing, Shanghai, Chengdu, Guangzhou, Wuhan and Hong Kong.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 review of performance during the six months ended 30 June 2012 is included in the Operating and Financial Review section.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Financial Review</w:t>
      </w:r>
    </w:p>
    <w:p>
      <w:pPr>
        <w:spacing w:after="0" w:line="250"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The following table sets forth for the periods indicated certain financial data as a percentage of revenue and the percentage change in these items compared to the prior period, being the key performance indicators used by management. The trends illustrated in the following table may not be indicative of future results.</w:t>
      </w:r>
    </w:p>
    <w:p>
      <w:pPr>
        <w:spacing w:after="0" w:line="131" w:lineRule="exact"/>
        <w:rPr>
          <w:sz w:val="20"/>
          <w:szCs w:val="20"/>
          <w:color w:val="auto"/>
        </w:rPr>
      </w:pPr>
    </w:p>
    <w:tbl>
      <w:tblPr>
        <w:tblLayout w:type="fixed"/>
        <w:tblInd w:w="6640" w:type="dxa"/>
        <w:tblCellMar>
          <w:top w:w="0" w:type="dxa"/>
          <w:left w:w="0" w:type="dxa"/>
          <w:bottom w:w="0" w:type="dxa"/>
          <w:right w:w="0" w:type="dxa"/>
        </w:tblCellMar>
      </w:tblPr>
      <w:tr>
        <w:trPr>
          <w:trHeight w:val="212"/>
        </w:trPr>
        <w:tc>
          <w:tcPr>
            <w:tcW w:w="1480" w:type="dxa"/>
            <w:vAlign w:val="bottom"/>
          </w:tcPr>
          <w:p>
            <w:pPr>
              <w:jc w:val="right"/>
              <w:ind w:right="52"/>
              <w:spacing w:after="0"/>
              <w:rPr>
                <w:sz w:val="20"/>
                <w:szCs w:val="20"/>
                <w:color w:val="auto"/>
              </w:rPr>
            </w:pPr>
            <w:r>
              <w:rPr>
                <w:rFonts w:ascii="Arial" w:cs="Arial" w:eastAsia="Arial" w:hAnsi="Arial"/>
                <w:sz w:val="18"/>
                <w:szCs w:val="18"/>
                <w:b w:val="1"/>
                <w:bCs w:val="1"/>
                <w:color w:val="auto"/>
                <w:w w:val="85"/>
              </w:rPr>
              <w:t>Six months ended</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w w:val="94"/>
              </w:rPr>
              <w:t>Six months ended</w:t>
            </w:r>
          </w:p>
        </w:tc>
      </w:tr>
      <w:tr>
        <w:trPr>
          <w:trHeight w:val="212"/>
        </w:trPr>
        <w:tc>
          <w:tcPr>
            <w:tcW w:w="1480" w:type="dxa"/>
            <w:vAlign w:val="bottom"/>
          </w:tcPr>
          <w:p>
            <w:pPr>
              <w:jc w:val="right"/>
              <w:ind w:right="52"/>
              <w:spacing w:after="0"/>
              <w:rPr>
                <w:sz w:val="20"/>
                <w:szCs w:val="20"/>
                <w:color w:val="auto"/>
              </w:rPr>
            </w:pPr>
            <w:r>
              <w:rPr>
                <w:rFonts w:ascii="Arial" w:cs="Arial" w:eastAsia="Arial" w:hAnsi="Arial"/>
                <w:sz w:val="18"/>
                <w:szCs w:val="18"/>
                <w:b w:val="1"/>
                <w:bCs w:val="1"/>
                <w:color w:val="auto"/>
              </w:rPr>
              <w:t>30 June</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30 June</w:t>
            </w:r>
          </w:p>
        </w:tc>
      </w:tr>
      <w:tr>
        <w:trPr>
          <w:trHeight w:val="229"/>
        </w:trPr>
        <w:tc>
          <w:tcPr>
            <w:tcW w:w="1480" w:type="dxa"/>
            <w:vAlign w:val="bottom"/>
          </w:tcPr>
          <w:p>
            <w:pPr>
              <w:jc w:val="right"/>
              <w:ind w:right="52"/>
              <w:spacing w:after="0"/>
              <w:rPr>
                <w:sz w:val="20"/>
                <w:szCs w:val="20"/>
                <w:color w:val="auto"/>
              </w:rPr>
            </w:pPr>
            <w:r>
              <w:rPr>
                <w:rFonts w:ascii="Arial" w:cs="Arial" w:eastAsia="Arial" w:hAnsi="Arial"/>
                <w:sz w:val="18"/>
                <w:szCs w:val="18"/>
                <w:b w:val="1"/>
                <w:bCs w:val="1"/>
                <w:color w:val="auto"/>
              </w:rPr>
              <w:t>2012</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500" w:type="dxa"/>
            <w:vAlign w:val="bottom"/>
          </w:tcPr>
          <w:p>
            <w:pPr>
              <w:jc w:val="center"/>
              <w:ind w:right="192"/>
              <w:spacing w:after="0" w:line="195" w:lineRule="exact"/>
              <w:rPr>
                <w:sz w:val="20"/>
                <w:szCs w:val="20"/>
                <w:color w:val="auto"/>
              </w:rPr>
            </w:pPr>
            <w:r>
              <w:rPr>
                <w:rFonts w:ascii="Arial" w:cs="Arial" w:eastAsia="Arial" w:hAnsi="Arial"/>
                <w:sz w:val="18"/>
                <w:szCs w:val="18"/>
                <w:b w:val="1"/>
                <w:bCs w:val="1"/>
                <w:color w:val="auto"/>
                <w:w w:val="84"/>
              </w:rPr>
              <w:t>Percentage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00" w:type="dxa"/>
            <w:vAlign w:val="bottom"/>
          </w:tcPr>
          <w:p>
            <w:pPr>
              <w:jc w:val="center"/>
              <w:ind w:right="192"/>
              <w:spacing w:after="0"/>
              <w:rPr>
                <w:sz w:val="20"/>
                <w:szCs w:val="20"/>
                <w:color w:val="auto"/>
              </w:rPr>
            </w:pPr>
            <w:r>
              <w:rPr>
                <w:rFonts w:ascii="Arial" w:cs="Arial" w:eastAsia="Arial" w:hAnsi="Arial"/>
                <w:sz w:val="18"/>
                <w:szCs w:val="18"/>
                <w:b w:val="1"/>
                <w:bCs w:val="1"/>
                <w:color w:val="auto"/>
                <w:w w:val="85"/>
              </w:rPr>
              <w:t>change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3820" w:type="dxa"/>
            <w:vAlign w:val="bottom"/>
          </w:tcPr>
          <w:p>
            <w:pPr>
              <w:jc w:val="right"/>
              <w:spacing w:after="0"/>
              <w:rPr>
                <w:sz w:val="20"/>
                <w:szCs w:val="20"/>
                <w:color w:val="auto"/>
              </w:rPr>
            </w:pPr>
            <w:r>
              <w:rPr>
                <w:rFonts w:ascii="Arial" w:cs="Arial" w:eastAsia="Arial" w:hAnsi="Arial"/>
                <w:sz w:val="18"/>
                <w:szCs w:val="18"/>
                <w:b w:val="1"/>
                <w:bCs w:val="1"/>
                <w:color w:val="auto"/>
              </w:rPr>
              <w:t>As a percentage of net revenue</w:t>
            </w:r>
          </w:p>
        </w:tc>
        <w:tc>
          <w:tcPr>
            <w:tcW w:w="640" w:type="dxa"/>
            <w:vAlign w:val="bottom"/>
          </w:tcPr>
          <w:p>
            <w:pPr>
              <w:spacing w:after="0"/>
              <w:rPr>
                <w:sz w:val="19"/>
                <w:szCs w:val="19"/>
                <w:color w:val="auto"/>
              </w:rPr>
            </w:pPr>
          </w:p>
        </w:tc>
        <w:tc>
          <w:tcPr>
            <w:tcW w:w="1500" w:type="dxa"/>
            <w:vAlign w:val="bottom"/>
          </w:tcPr>
          <w:p>
            <w:pPr>
              <w:jc w:val="center"/>
              <w:ind w:right="132"/>
              <w:spacing w:after="0"/>
              <w:rPr>
                <w:sz w:val="20"/>
                <w:szCs w:val="20"/>
                <w:color w:val="auto"/>
              </w:rPr>
            </w:pPr>
            <w:r>
              <w:rPr>
                <w:rFonts w:ascii="Arial" w:cs="Arial" w:eastAsia="Arial" w:hAnsi="Arial"/>
                <w:sz w:val="18"/>
                <w:szCs w:val="18"/>
                <w:b w:val="1"/>
                <w:bCs w:val="1"/>
                <w:color w:val="auto"/>
                <w:w w:val="89"/>
              </w:rPr>
              <w:t>in period</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3820" w:type="dxa"/>
            <w:vAlign w:val="bottom"/>
            <w:tcBorders>
              <w:bottom w:val="single" w:sz="8" w:color="auto"/>
            </w:tcBorders>
            <w:shd w:val="clear" w:color="auto" w:fill="CCEEFF"/>
          </w:tcPr>
          <w:p>
            <w:pPr>
              <w:jc w:val="right"/>
              <w:ind w:right="1072"/>
              <w:spacing w:after="0"/>
              <w:rPr>
                <w:sz w:val="20"/>
                <w:szCs w:val="20"/>
                <w:color w:val="auto"/>
              </w:rPr>
            </w:pPr>
            <w:r>
              <w:rPr>
                <w:rFonts w:ascii="Arial" w:cs="Arial" w:eastAsia="Arial" w:hAnsi="Arial"/>
                <w:sz w:val="18"/>
                <w:szCs w:val="18"/>
                <w:color w:val="auto"/>
              </w:rPr>
              <w:t>100%</w:t>
            </w:r>
          </w:p>
        </w:tc>
        <w:tc>
          <w:tcPr>
            <w:tcW w:w="6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5"/>
              </w:rPr>
              <w:t>100%</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Direct costs (excluding exceptional items)</w:t>
            </w:r>
          </w:p>
        </w:tc>
        <w:tc>
          <w:tcPr>
            <w:tcW w:w="3820" w:type="dxa"/>
            <w:vAlign w:val="bottom"/>
            <w:tcBorders>
              <w:bottom w:val="single" w:sz="8" w:color="auto"/>
            </w:tcBorders>
            <w:shd w:val="clear" w:color="auto" w:fill="CCEEFF"/>
          </w:tcPr>
          <w:p>
            <w:pPr>
              <w:jc w:val="right"/>
              <w:ind w:right="1072"/>
              <w:spacing w:after="0"/>
              <w:rPr>
                <w:sz w:val="20"/>
                <w:szCs w:val="20"/>
                <w:color w:val="auto"/>
              </w:rPr>
            </w:pPr>
            <w:r>
              <w:rPr>
                <w:rFonts w:ascii="Arial" w:cs="Arial" w:eastAsia="Arial" w:hAnsi="Arial"/>
                <w:sz w:val="18"/>
                <w:szCs w:val="18"/>
                <w:color w:val="auto"/>
              </w:rPr>
              <w:t>64.6%</w:t>
            </w:r>
          </w:p>
        </w:tc>
        <w:tc>
          <w:tcPr>
            <w:tcW w:w="6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86"/>
              </w:rPr>
              <w:t>63.8%</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operating expenses (excluding exceptional items)</w:t>
            </w:r>
          </w:p>
        </w:tc>
        <w:tc>
          <w:tcPr>
            <w:tcW w:w="3820" w:type="dxa"/>
            <w:vAlign w:val="bottom"/>
            <w:tcBorders>
              <w:bottom w:val="single" w:sz="8" w:color="auto"/>
            </w:tcBorders>
            <w:shd w:val="clear" w:color="auto" w:fill="CCEEFF"/>
          </w:tcPr>
          <w:p>
            <w:pPr>
              <w:jc w:val="right"/>
              <w:ind w:right="1072"/>
              <w:spacing w:after="0"/>
              <w:rPr>
                <w:sz w:val="20"/>
                <w:szCs w:val="20"/>
                <w:color w:val="auto"/>
              </w:rPr>
            </w:pPr>
            <w:r>
              <w:rPr>
                <w:rFonts w:ascii="Arial" w:cs="Arial" w:eastAsia="Arial" w:hAnsi="Arial"/>
                <w:sz w:val="18"/>
                <w:szCs w:val="18"/>
                <w:color w:val="auto"/>
              </w:rPr>
              <w:t>29.9%</w:t>
            </w:r>
          </w:p>
        </w:tc>
        <w:tc>
          <w:tcPr>
            <w:tcW w:w="6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86"/>
              </w:rPr>
              <w:t>29.2%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profit (excluding exceptional items)</w:t>
            </w:r>
          </w:p>
        </w:tc>
        <w:tc>
          <w:tcPr>
            <w:tcW w:w="3820" w:type="dxa"/>
            <w:vAlign w:val="bottom"/>
            <w:tcBorders>
              <w:bottom w:val="single" w:sz="8" w:color="auto"/>
            </w:tcBorders>
            <w:shd w:val="clear" w:color="auto" w:fill="CCEEFF"/>
          </w:tcPr>
          <w:p>
            <w:pPr>
              <w:jc w:val="right"/>
              <w:ind w:right="1072"/>
              <w:spacing w:after="0"/>
              <w:rPr>
                <w:sz w:val="20"/>
                <w:szCs w:val="20"/>
                <w:color w:val="auto"/>
              </w:rPr>
            </w:pPr>
            <w:r>
              <w:rPr>
                <w:rFonts w:ascii="Arial" w:cs="Arial" w:eastAsia="Arial" w:hAnsi="Arial"/>
                <w:sz w:val="18"/>
                <w:szCs w:val="18"/>
                <w:color w:val="auto"/>
              </w:rPr>
              <w:t>5.5%</w:t>
            </w:r>
          </w:p>
        </w:tc>
        <w:tc>
          <w:tcPr>
            <w:tcW w:w="6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7.0%</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Exceptional items</w:t>
            </w:r>
          </w:p>
        </w:tc>
        <w:tc>
          <w:tcPr>
            <w:tcW w:w="3820" w:type="dxa"/>
            <w:vAlign w:val="bottom"/>
            <w:tcBorders>
              <w:bottom w:val="single" w:sz="8" w:color="auto"/>
            </w:tcBorders>
            <w:shd w:val="clear" w:color="auto" w:fill="CCEEFF"/>
          </w:tcPr>
          <w:p>
            <w:pPr>
              <w:jc w:val="right"/>
              <w:ind w:right="1072"/>
              <w:spacing w:after="0"/>
              <w:rPr>
                <w:sz w:val="20"/>
                <w:szCs w:val="20"/>
                <w:color w:val="auto"/>
              </w:rPr>
            </w:pPr>
            <w:r>
              <w:rPr>
                <w:rFonts w:ascii="Arial" w:cs="Arial" w:eastAsia="Arial" w:hAnsi="Arial"/>
                <w:sz w:val="18"/>
                <w:szCs w:val="18"/>
                <w:color w:val="auto"/>
              </w:rPr>
              <w:t>1.0%</w:t>
            </w:r>
          </w:p>
        </w:tc>
        <w:tc>
          <w:tcPr>
            <w:tcW w:w="6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5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profit (including exceptional items)</w:t>
            </w:r>
          </w:p>
        </w:tc>
        <w:tc>
          <w:tcPr>
            <w:tcW w:w="3820" w:type="dxa"/>
            <w:vAlign w:val="bottom"/>
            <w:tcBorders>
              <w:bottom w:val="single" w:sz="8" w:color="auto"/>
            </w:tcBorders>
            <w:shd w:val="clear" w:color="auto" w:fill="CCEEFF"/>
          </w:tcPr>
          <w:p>
            <w:pPr>
              <w:jc w:val="right"/>
              <w:ind w:right="1072"/>
              <w:spacing w:after="0"/>
              <w:rPr>
                <w:sz w:val="20"/>
                <w:szCs w:val="20"/>
                <w:color w:val="auto"/>
              </w:rPr>
            </w:pPr>
            <w:r>
              <w:rPr>
                <w:rFonts w:ascii="Arial" w:cs="Arial" w:eastAsia="Arial" w:hAnsi="Arial"/>
                <w:sz w:val="18"/>
                <w:szCs w:val="18"/>
                <w:color w:val="auto"/>
              </w:rPr>
              <w:t>4.5%</w:t>
            </w:r>
          </w:p>
        </w:tc>
        <w:tc>
          <w:tcPr>
            <w:tcW w:w="6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5.9%</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30 June 2012 compared to six months ended 30 June 2011</w:t>
      </w:r>
    </w:p>
    <w:p>
      <w:pPr>
        <w:spacing w:after="0" w:line="250"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Net revenue for the six months ended 30 June 2012 increased by $67.0 million, or 14.5%, from $462.3 million for the six months ended 30 June 2011 to $529.3 million for the six months ended 30 June 2012. Net revenue in the Group’s clinical research segment increased by 14.0% from $429.0 million for the six months ended 30 June 2011 to $488.9 million for the six months ended 30 June 2012. In the Group’s central laboratory business net revenue increased by 21.4% from $33.3 million for the six months ended 30 June 2011 to $40.4 million for the six months ended 30 June 2012. For the six months ended 30 June 2012 approximately 41.9%, 45.9% and 12.2% of the Group’s net revenue was derived in the United States, Europe and Rest of World, respectively.</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7" w:name="page8"/>
    <w:bookmarkEnd w:id="7"/>
    <w:p>
      <w:pPr>
        <w:spacing w:after="0"/>
        <w:rPr>
          <w:sz w:val="20"/>
          <w:szCs w:val="20"/>
          <w:color w:val="auto"/>
        </w:rPr>
      </w:pPr>
      <w:r>
        <w:rPr>
          <w:rFonts w:ascii="Arial" w:cs="Arial" w:eastAsia="Arial" w:hAnsi="Arial"/>
          <w:sz w:val="25"/>
          <w:szCs w:val="25"/>
          <w:color w:val="auto"/>
        </w:rPr>
        <w:t>Interim Management Report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30 June 2012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Operating and Financial Review </w:t>
      </w:r>
      <w:r>
        <w:rPr>
          <w:rFonts w:ascii="Arial" w:cs="Arial" w:eastAsia="Arial" w:hAnsi="Arial"/>
          <w:sz w:val="18"/>
          <w:szCs w:val="18"/>
          <w:b w:val="1"/>
          <w:bCs w:val="1"/>
          <w:i w:val="1"/>
          <w:iCs w:val="1"/>
          <w:color w:val="auto"/>
        </w:rPr>
        <w:t>(continued)</w:t>
      </w:r>
    </w:p>
    <w:p>
      <w:pPr>
        <w:spacing w:after="0" w:line="25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Direct costs (excluding exceptional items) for the six months ended 30 June 2012 increased by $47.0 million, or 15.9%, from $294.9 million for the six months ended 30 June 2011 to $341.9 million for the six months ended 30 June 2012. As a percentage of net revenue, direct costs (excluding exceptional items) have increased from 63.8% for the six months ended 30 June 2011 to 64.6% for the six months ended 30 June 2012. In the Group’s clinical research segment, direct costs (excluding exceptional items) increased by 16.8% or $45.5 million during the six months ended 30 June 2012. As a percentage of net revenue direct costs (excluding exceptional items) in our clinical research segment have increased from 63.2% six months ended 30 June 2011 to 64.8% for the six months ended 30 June 2012. In the Group’s central laboratory business, direct costs (excluding exceptional items) increased by 6.1% or $1.5 million during the six months ended 30 June 2012. As a percentage of net revenue direct costs (excluding exceptional items) in our central laboratory business have decreased from 73.0% for the six months ended 30 June 2011 to 63.8% for the six months ended 30 June 2012, a result of ongoing cost management and improved resource utilisation in this business.</w:t>
      </w:r>
    </w:p>
    <w:p>
      <w:pPr>
        <w:spacing w:after="0" w:line="21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Other operating expenses (excluding exceptional items) for the six months ended 30 June 2012 increased by $22.9 million, or 17.0%, from $135.2 million for the six months ended 30 June 2011 to $158.1 million for the six months ended 30 June 2012. The increase in other operating expenses (excluding exceptional items) for the period arose primarily from an increase in personnel related expenditure of $11.9 million, an increase in facilities and related costs of $1.8 million, an increase in other general overhead costs of $5.9 million and an increase in depreciation and amortisation expense of $3.3 million, arising principally as a result of the increased amortisation of acquired intangibles and our continued investment in facilities and equipment to support the Company’s growth. General overhead costs (excluding exceptional items) for the six months ended June 30, 2011 included $6.0 million in relation to the release of certain non-recurring tax provisions in both our clinical research and central laboratory business, arising from the receipt of additional information in relation to these items. As a percentage of net revenue, selling, general and administrative expenses (excluding exceptional items), increased from 29.2% for the six months ended June 30, 2011 to 29.9% for the six months ended June 30, 2012.</w:t>
      </w:r>
    </w:p>
    <w:p>
      <w:pPr>
        <w:spacing w:after="0" w:line="213"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Exceptional charges of $5.4 million were recorded during the six months ended 30 June 2012 (inclusive of the release of $0.1 million relating to the 2011 Restructuring Plans). During the six months ended 30 June 2012 the Company completed a review of its operations to improve resource utilisation throughout the business. This review resulted in the adoption of a restructuring plan, to include resource rationalisations in certain areas of the business and a re-organisation of available office space at the Company’s Philadelphia facility. A restructuring charge of $4.6 million was recognised during the three months ended June 30, 2012; $3.4 million in respect of resource rationalisations and $1.2 million in respect of lease termination and exit costs. The Company also incurred certain charges in relation to the retirement of Mr. Peter Gray, Vice Chairman of the Board and former CEO. A non-recurring charge of $0.9 million was recognised in respect of this during the six months ended 30 June 2012 (</w:t>
      </w:r>
      <w:r>
        <w:rPr>
          <w:rFonts w:ascii="Arial" w:cs="Arial" w:eastAsia="Arial" w:hAnsi="Arial"/>
          <w:sz w:val="15"/>
          <w:szCs w:val="15"/>
          <w:i w:val="1"/>
          <w:iCs w:val="1"/>
          <w:color w:val="auto"/>
        </w:rPr>
        <w:t>see note 7 Exceptional items for further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above, income from operations for the six months ended 30 June 2012 decreased by $3.4 million, or 12.3%, as follows:</w:t>
      </w: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580" w:type="dxa"/>
            <w:vAlign w:val="bottom"/>
            <w:gridSpan w:val="5"/>
          </w:tcPr>
          <w:p>
            <w:pPr>
              <w:jc w:val="center"/>
              <w:ind w:left="112"/>
              <w:spacing w:after="0" w:line="190" w:lineRule="exact"/>
              <w:rPr>
                <w:sz w:val="20"/>
                <w:szCs w:val="20"/>
                <w:color w:val="auto"/>
              </w:rPr>
            </w:pPr>
            <w:r>
              <w:rPr>
                <w:rFonts w:ascii="Arial" w:cs="Arial" w:eastAsia="Arial" w:hAnsi="Arial"/>
                <w:sz w:val="18"/>
                <w:szCs w:val="18"/>
                <w:b w:val="1"/>
                <w:bCs w:val="1"/>
                <w:color w:val="auto"/>
                <w:w w:val="91"/>
              </w:rPr>
              <w:t>Operating Profit</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gridSpan w:val="5"/>
          </w:tcPr>
          <w:p>
            <w:pPr>
              <w:ind w:left="340"/>
              <w:spacing w:after="0" w:line="190" w:lineRule="exact"/>
              <w:rPr>
                <w:sz w:val="20"/>
                <w:szCs w:val="20"/>
                <w:color w:val="auto"/>
              </w:rPr>
            </w:pPr>
            <w:r>
              <w:rPr>
                <w:rFonts w:ascii="Arial" w:cs="Arial" w:eastAsia="Arial" w:hAnsi="Arial"/>
                <w:sz w:val="18"/>
                <w:szCs w:val="18"/>
                <w:b w:val="1"/>
                <w:bCs w:val="1"/>
                <w:color w:val="auto"/>
                <w:w w:val="97"/>
              </w:rPr>
              <w:t>Operating Margin*</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18"/>
                <w:szCs w:val="18"/>
                <w:b w:val="1"/>
                <w:bCs w:val="1"/>
                <w:color w:val="auto"/>
                <w:w w:val="84"/>
              </w:rPr>
              <w:t>2012</w:t>
            </w:r>
          </w:p>
        </w:tc>
        <w:tc>
          <w:tcPr>
            <w:tcW w:w="7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3"/>
          </w:tcPr>
          <w:p>
            <w:pPr>
              <w:jc w:val="right"/>
              <w:ind w:right="400"/>
              <w:spacing w:after="0" w:line="192" w:lineRule="exact"/>
              <w:rPr>
                <w:sz w:val="20"/>
                <w:szCs w:val="20"/>
                <w:color w:val="auto"/>
              </w:rPr>
            </w:pPr>
            <w:r>
              <w:rPr>
                <w:rFonts w:ascii="Arial" w:cs="Arial" w:eastAsia="Arial" w:hAnsi="Arial"/>
                <w:sz w:val="18"/>
                <w:szCs w:val="18"/>
                <w:b w:val="1"/>
                <w:bCs w:val="1"/>
                <w:color w:val="auto"/>
              </w:rPr>
              <w:t>2011</w:t>
            </w:r>
          </w:p>
        </w:tc>
        <w:tc>
          <w:tcPr>
            <w:tcW w:w="340" w:type="dxa"/>
            <w:vAlign w:val="bottom"/>
          </w:tcPr>
          <w:p>
            <w:pPr>
              <w:spacing w:after="0"/>
              <w:rPr>
                <w:sz w:val="16"/>
                <w:szCs w:val="16"/>
                <w:color w:val="auto"/>
              </w:rPr>
            </w:pPr>
          </w:p>
        </w:tc>
        <w:tc>
          <w:tcPr>
            <w:tcW w:w="600" w:type="dxa"/>
            <w:vAlign w:val="bottom"/>
            <w:tcBorders>
              <w:top w:val="single" w:sz="8" w:color="auto"/>
            </w:tcBorders>
            <w:gridSpan w:val="2"/>
          </w:tcPr>
          <w:p>
            <w:pPr>
              <w:jc w:val="right"/>
              <w:spacing w:after="0" w:line="192" w:lineRule="exact"/>
              <w:rPr>
                <w:sz w:val="20"/>
                <w:szCs w:val="20"/>
                <w:color w:val="auto"/>
              </w:rPr>
            </w:pPr>
            <w:r>
              <w:rPr>
                <w:rFonts w:ascii="Arial" w:cs="Arial" w:eastAsia="Arial" w:hAnsi="Arial"/>
                <w:sz w:val="18"/>
                <w:szCs w:val="18"/>
                <w:b w:val="1"/>
                <w:bCs w:val="1"/>
                <w:color w:val="auto"/>
              </w:rPr>
              <w:t>2012</w:t>
            </w: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3"/>
          </w:tcPr>
          <w:p>
            <w:pPr>
              <w:jc w:val="right"/>
              <w:ind w:right="200"/>
              <w:spacing w:after="0" w:line="192" w:lineRule="exact"/>
              <w:rPr>
                <w:sz w:val="20"/>
                <w:szCs w:val="20"/>
                <w:color w:val="auto"/>
              </w:rPr>
            </w:pPr>
            <w:r>
              <w:rPr>
                <w:rFonts w:ascii="Arial" w:cs="Arial" w:eastAsia="Arial" w:hAnsi="Arial"/>
                <w:sz w:val="18"/>
                <w:szCs w:val="18"/>
                <w:b w:val="1"/>
                <w:bCs w:val="1"/>
                <w:color w:val="auto"/>
              </w:rPr>
              <w:t>2011</w:t>
            </w: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7"/>
              </w:rPr>
              <w:t>(in thousands)</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3"/>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18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21,917</w:t>
            </w:r>
          </w:p>
        </w:tc>
        <w:tc>
          <w:tcPr>
            <w:tcW w:w="7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94"/>
              </w:rPr>
              <w:t>30,950</w:t>
            </w:r>
          </w:p>
        </w:tc>
        <w:tc>
          <w:tcPr>
            <w:tcW w:w="1800" w:type="dxa"/>
            <w:vAlign w:val="bottom"/>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r>
      <w:tr>
        <w:trPr>
          <w:trHeight w:val="219"/>
        </w:trPr>
        <w:tc>
          <w:tcPr>
            <w:tcW w:w="20" w:type="dxa"/>
            <w:vAlign w:val="bottom"/>
          </w:tcPr>
          <w:p>
            <w:pPr>
              <w:spacing w:after="0"/>
              <w:rPr>
                <w:sz w:val="19"/>
                <w:szCs w:val="19"/>
                <w:color w:val="auto"/>
              </w:rPr>
            </w:pP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Central laboratory</w:t>
            </w:r>
          </w:p>
        </w:tc>
        <w:tc>
          <w:tcPr>
            <w:tcW w:w="18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2,027</w:t>
            </w:r>
          </w:p>
        </w:tc>
        <w:tc>
          <w:tcPr>
            <w:tcW w:w="7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8"/>
                <w:szCs w:val="18"/>
                <w:color w:val="auto"/>
              </w:rPr>
              <w:t>(3,636)</w:t>
            </w:r>
          </w:p>
        </w:tc>
        <w:tc>
          <w:tcPr>
            <w:tcW w:w="180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8"/>
                <w:szCs w:val="18"/>
                <w:color w:val="auto"/>
              </w:rPr>
              <w:t>5.0%</w:t>
            </w: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(10.9%)</w:t>
            </w:r>
          </w:p>
        </w:tc>
      </w:tr>
      <w:tr>
        <w:trPr>
          <w:trHeight w:val="385"/>
        </w:trPr>
        <w:tc>
          <w:tcPr>
            <w:tcW w:w="20" w:type="dxa"/>
            <w:vAlign w:val="bottom"/>
          </w:tcPr>
          <w:p>
            <w:pPr>
              <w:spacing w:after="0"/>
              <w:rPr>
                <w:sz w:val="24"/>
                <w:szCs w:val="24"/>
                <w:color w:val="auto"/>
              </w:rPr>
            </w:pPr>
          </w:p>
        </w:tc>
        <w:tc>
          <w:tcPr>
            <w:tcW w:w="4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23,944</w:t>
            </w:r>
          </w:p>
        </w:tc>
        <w:tc>
          <w:tcPr>
            <w:tcW w:w="7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94"/>
              </w:rPr>
              <w:t>27,314</w:t>
            </w:r>
          </w:p>
        </w:tc>
        <w:tc>
          <w:tcPr>
            <w:tcW w:w="1800" w:type="dxa"/>
            <w:vAlign w:val="bottom"/>
            <w:tcBorders>
              <w:bottom w:val="single" w:sz="8" w:color="auto"/>
            </w:tcBorders>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4.5%</w:t>
            </w:r>
          </w:p>
        </w:tc>
        <w:tc>
          <w:tcPr>
            <w:tcW w:w="8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r>
      <w:tr>
        <w:trPr>
          <w:trHeight w:val="217"/>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 Operating profit as a percentage of net revenue</w:t>
            </w: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584"/>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800" w:type="dxa"/>
            <w:vAlign w:val="bottom"/>
          </w:tcPr>
          <w:p>
            <w:pPr>
              <w:jc w:val="right"/>
              <w:ind w:right="512"/>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7"/>
        </w:trPr>
        <w:tc>
          <w:tcPr>
            <w:tcW w:w="20" w:type="dxa"/>
            <w:vAlign w:val="bottom"/>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8" w:name="page9"/>
    <w:bookmarkEnd w:id="8"/>
    <w:p>
      <w:pPr>
        <w:spacing w:after="0"/>
        <w:rPr>
          <w:sz w:val="20"/>
          <w:szCs w:val="20"/>
          <w:color w:val="auto"/>
        </w:rPr>
      </w:pPr>
      <w:r>
        <w:rPr>
          <w:rFonts w:ascii="Arial" w:cs="Arial" w:eastAsia="Arial" w:hAnsi="Arial"/>
          <w:sz w:val="25"/>
          <w:szCs w:val="25"/>
          <w:color w:val="auto"/>
        </w:rPr>
        <w:t>Interim Management Report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30 June 2012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Operating and Financial Review </w:t>
      </w:r>
      <w:r>
        <w:rPr>
          <w:rFonts w:ascii="Arial" w:cs="Arial" w:eastAsia="Arial" w:hAnsi="Arial"/>
          <w:sz w:val="18"/>
          <w:szCs w:val="18"/>
          <w:b w:val="1"/>
          <w:bCs w:val="1"/>
          <w:i w:val="1"/>
          <w:iCs w:val="1"/>
          <w:color w:val="auto"/>
        </w:rPr>
        <w:t>(continued)</w:t>
      </w:r>
    </w:p>
    <w:p>
      <w:pPr>
        <w:spacing w:after="0" w:line="25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Excluding the impact of exceptional items recognised during the six months end 30 June 2012, income from operations for the six months ended 30 June 2012 decreased by $2.9 million, or 9.1%,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580" w:type="dxa"/>
            <w:vAlign w:val="bottom"/>
            <w:gridSpan w:val="5"/>
          </w:tcPr>
          <w:p>
            <w:pPr>
              <w:jc w:val="center"/>
              <w:ind w:left="112"/>
              <w:spacing w:after="0"/>
              <w:rPr>
                <w:sz w:val="20"/>
                <w:szCs w:val="20"/>
                <w:color w:val="auto"/>
              </w:rPr>
            </w:pPr>
            <w:r>
              <w:rPr>
                <w:rFonts w:ascii="Arial" w:cs="Arial" w:eastAsia="Arial" w:hAnsi="Arial"/>
                <w:sz w:val="18"/>
                <w:szCs w:val="18"/>
                <w:b w:val="1"/>
                <w:bCs w:val="1"/>
                <w:color w:val="auto"/>
                <w:w w:val="91"/>
              </w:rPr>
              <w:t>Operating Profit</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5"/>
          </w:tcPr>
          <w:p>
            <w:pPr>
              <w:ind w:left="340"/>
              <w:spacing w:after="0"/>
              <w:rPr>
                <w:sz w:val="20"/>
                <w:szCs w:val="20"/>
                <w:color w:val="auto"/>
              </w:rPr>
            </w:pPr>
            <w:r>
              <w:rPr>
                <w:rFonts w:ascii="Arial" w:cs="Arial" w:eastAsia="Arial" w:hAnsi="Arial"/>
                <w:sz w:val="18"/>
                <w:szCs w:val="18"/>
                <w:b w:val="1"/>
                <w:bCs w:val="1"/>
                <w:color w:val="auto"/>
              </w:rPr>
              <w:t>Operating Margin*</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18"/>
                <w:szCs w:val="18"/>
                <w:b w:val="1"/>
                <w:bCs w:val="1"/>
                <w:color w:val="auto"/>
                <w:w w:val="84"/>
              </w:rPr>
              <w:t>2012</w:t>
            </w:r>
          </w:p>
        </w:tc>
        <w:tc>
          <w:tcPr>
            <w:tcW w:w="7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3"/>
          </w:tcPr>
          <w:p>
            <w:pPr>
              <w:jc w:val="right"/>
              <w:ind w:right="400"/>
              <w:spacing w:after="0" w:line="192" w:lineRule="exact"/>
              <w:rPr>
                <w:sz w:val="20"/>
                <w:szCs w:val="20"/>
                <w:color w:val="auto"/>
              </w:rPr>
            </w:pPr>
            <w:r>
              <w:rPr>
                <w:rFonts w:ascii="Arial" w:cs="Arial" w:eastAsia="Arial" w:hAnsi="Arial"/>
                <w:sz w:val="18"/>
                <w:szCs w:val="18"/>
                <w:b w:val="1"/>
                <w:bCs w:val="1"/>
                <w:color w:val="auto"/>
              </w:rPr>
              <w:t>2011</w:t>
            </w:r>
          </w:p>
        </w:tc>
        <w:tc>
          <w:tcPr>
            <w:tcW w:w="340" w:type="dxa"/>
            <w:vAlign w:val="bottom"/>
          </w:tcPr>
          <w:p>
            <w:pPr>
              <w:spacing w:after="0"/>
              <w:rPr>
                <w:sz w:val="16"/>
                <w:szCs w:val="16"/>
                <w:color w:val="auto"/>
              </w:rPr>
            </w:pPr>
          </w:p>
        </w:tc>
        <w:tc>
          <w:tcPr>
            <w:tcW w:w="600" w:type="dxa"/>
            <w:vAlign w:val="bottom"/>
            <w:tcBorders>
              <w:top w:val="single" w:sz="8" w:color="auto"/>
            </w:tcBorders>
            <w:gridSpan w:val="2"/>
          </w:tcPr>
          <w:p>
            <w:pPr>
              <w:jc w:val="right"/>
              <w:spacing w:after="0" w:line="192" w:lineRule="exact"/>
              <w:rPr>
                <w:sz w:val="20"/>
                <w:szCs w:val="20"/>
                <w:color w:val="auto"/>
              </w:rPr>
            </w:pPr>
            <w:r>
              <w:rPr>
                <w:rFonts w:ascii="Arial" w:cs="Arial" w:eastAsia="Arial" w:hAnsi="Arial"/>
                <w:sz w:val="18"/>
                <w:szCs w:val="18"/>
                <w:b w:val="1"/>
                <w:bCs w:val="1"/>
                <w:color w:val="auto"/>
              </w:rPr>
              <w:t>2012</w:t>
            </w:r>
          </w:p>
        </w:tc>
        <w:tc>
          <w:tcPr>
            <w:tcW w:w="8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gridSpan w:val="2"/>
          </w:tcPr>
          <w:p>
            <w:pPr>
              <w:jc w:val="right"/>
              <w:ind w:right="200"/>
              <w:spacing w:after="0" w:line="192" w:lineRule="exact"/>
              <w:rPr>
                <w:sz w:val="20"/>
                <w:szCs w:val="20"/>
                <w:color w:val="auto"/>
              </w:rPr>
            </w:pPr>
            <w:r>
              <w:rPr>
                <w:rFonts w:ascii="Arial" w:cs="Arial" w:eastAsia="Arial" w:hAnsi="Arial"/>
                <w:sz w:val="18"/>
                <w:szCs w:val="18"/>
                <w:b w:val="1"/>
                <w:bCs w:val="1"/>
                <w:color w:val="auto"/>
                <w:w w:val="84"/>
              </w:rPr>
              <w:t>2011</w:t>
            </w: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7"/>
              </w:rPr>
              <w:t>(in thousands)</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3"/>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16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27,206</w:t>
            </w:r>
          </w:p>
        </w:tc>
        <w:tc>
          <w:tcPr>
            <w:tcW w:w="7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94"/>
              </w:rPr>
              <w:t>34,407</w:t>
            </w:r>
          </w:p>
        </w:tc>
        <w:tc>
          <w:tcPr>
            <w:tcW w:w="1800" w:type="dxa"/>
            <w:vAlign w:val="bottom"/>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r>
      <w:tr>
        <w:trPr>
          <w:trHeight w:val="219"/>
        </w:trPr>
        <w:tc>
          <w:tcPr>
            <w:tcW w:w="20" w:type="dxa"/>
            <w:vAlign w:val="bottom"/>
          </w:tcPr>
          <w:p>
            <w:pPr>
              <w:spacing w:after="0"/>
              <w:rPr>
                <w:sz w:val="19"/>
                <w:szCs w:val="19"/>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Central laboratory</w:t>
            </w:r>
          </w:p>
        </w:tc>
        <w:tc>
          <w:tcPr>
            <w:tcW w:w="16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2,176</w:t>
            </w:r>
          </w:p>
        </w:tc>
        <w:tc>
          <w:tcPr>
            <w:tcW w:w="7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8"/>
                <w:szCs w:val="18"/>
                <w:color w:val="auto"/>
              </w:rPr>
              <w:t>(2,091)</w:t>
            </w:r>
          </w:p>
        </w:tc>
        <w:tc>
          <w:tcPr>
            <w:tcW w:w="180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8"/>
                <w:szCs w:val="18"/>
                <w:color w:val="auto"/>
              </w:rPr>
              <w:t>5.4%</w:t>
            </w: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(6.3%)</w:t>
            </w:r>
          </w:p>
        </w:tc>
      </w:tr>
      <w:tr>
        <w:trPr>
          <w:trHeight w:val="385"/>
        </w:trPr>
        <w:tc>
          <w:tcPr>
            <w:tcW w:w="20" w:type="dxa"/>
            <w:vAlign w:val="bottom"/>
          </w:tcPr>
          <w:p>
            <w:pPr>
              <w:spacing w:after="0"/>
              <w:rPr>
                <w:sz w:val="24"/>
                <w:szCs w:val="24"/>
                <w:color w:val="auto"/>
              </w:rPr>
            </w:pPr>
          </w:p>
        </w:tc>
        <w:tc>
          <w:tcPr>
            <w:tcW w:w="4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29,382</w:t>
            </w:r>
          </w:p>
        </w:tc>
        <w:tc>
          <w:tcPr>
            <w:tcW w:w="7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94"/>
              </w:rPr>
              <w:t>32,316</w:t>
            </w:r>
          </w:p>
        </w:tc>
        <w:tc>
          <w:tcPr>
            <w:tcW w:w="1800" w:type="dxa"/>
            <w:vAlign w:val="bottom"/>
            <w:tcBorders>
              <w:bottom w:val="single" w:sz="8" w:color="auto"/>
            </w:tcBorders>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5.5%</w:t>
            </w:r>
          </w:p>
        </w:tc>
        <w:tc>
          <w:tcPr>
            <w:tcW w:w="18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r>
      <w:tr>
        <w:trPr>
          <w:trHeight w:val="217"/>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 Operating profit as a percentage of net revenue</w:t>
            </w: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200" w:lineRule="exact"/>
        <w:rPr>
          <w:sz w:val="20"/>
          <w:szCs w:val="20"/>
          <w:color w:val="auto"/>
        </w:rPr>
      </w:pPr>
    </w:p>
    <w:p>
      <w:pPr>
        <w:spacing w:after="0" w:line="2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Interest expense for the period increased from $0.4 million for the six months ended 30 June 2011 to $1.0 million for the six months ended 30 June 2012. Interest expense for the six months ended June 30, 2012 includes $0.4 million in respect of non-cash finance charges relating to acquisition contingent consideration. Interest income for the period increased from $0.5 million for the six months ended 30 June 2011 to $0.7 million for the six months ended 30 June 2012.</w:t>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Provision for income taxes for the period increased from $5.4 million for the six months ended 30 June 2011 to $5.6 million for the six months ended 30 June 2012. The Company’s effective tax rate for the six months ended 30 June 2012 was 23.5% compared with 19.7% for the six months ended 30 June 2011. Excluding the impact of exceptional items recognised during the six months ended 30 June 2012 the Company’s effective tax rate was 21.5% for the six months ended 30 June 2012 compared with 18.3% for the six months ended June 30, 2011. The Company’s effective tax rate is principally a function of the distribution of pre-tax profits in the territories in which it operates.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9" w:name="page10"/>
    <w:bookmarkEnd w:id="9"/>
    <w:p>
      <w:pPr>
        <w:spacing w:after="0"/>
        <w:rPr>
          <w:sz w:val="20"/>
          <w:szCs w:val="20"/>
          <w:color w:val="auto"/>
        </w:rPr>
      </w:pPr>
      <w:r>
        <w:rPr>
          <w:rFonts w:ascii="Arial" w:cs="Arial" w:eastAsia="Arial" w:hAnsi="Arial"/>
          <w:sz w:val="25"/>
          <w:szCs w:val="25"/>
          <w:color w:val="auto"/>
        </w:rPr>
        <w:t>Interim Management Report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30 June 2012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and information systems enhancements, the purchase and sale of current asset investments and acquisitions.</w:t>
      </w: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clinical research and development contracts are generally fixed price with some variable components and range in duration from a few weeks to several years. Revenue from contracts is generally recognised as income on the basis of the relationship between time incurred and the total estimated contract duration or on a fee-for-service basis. The cash flow from contracts typically consists of a small down payment at the time the contract is entered into, with the balance paid in installments over the contract's duration, in some cases on the achievement of certain milestones. Accordingly, cash receipts do not correspond to costs incurred and revenue recognised on contracts.</w:t>
      </w:r>
    </w:p>
    <w:p>
      <w:pPr>
        <w:spacing w:after="0" w:line="2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cash and current asset investment balances at 30 June 2012 amounted to $168.0 million compared with cash and current asset investment balances of $174.1 million at 31 December 2011. The Company’s cash and current asset investment balances at 30 June 2012 comprised cash and cash equivalents $94.9 million and current asset investments $73.1 million. The Company’s cash and current asset investment balances at 31 December 2011 comprised cash and cash equivalents $119.2 million and current asset investments $54.9 million.</w:t>
      </w:r>
    </w:p>
    <w:p>
      <w:pPr>
        <w:spacing w:after="0" w:line="218"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On 20 July 2011 the Company entered into a three year committed multi currency revolving credit facility for $150.0 million with Citibank, JP Morgan, Ulster Bank, Deutsche Bank and Barclays Bank. Each bank subject to the agreement has committed $30 million to the facility, with equal terms and conditions in place with all institutions. The facility bears interest at LIBOR plus a margin and includes certain composite guarantees, indemnities and pledges in favor of the banks. Amounts available to the Group under the facility amounted to $150.0 million at 30 June 2012 compared with $150.0 million at 31 December 2011.</w:t>
      </w:r>
    </w:p>
    <w:p>
      <w:pPr>
        <w:spacing w:after="0" w:line="17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Net cash provided by operating activities was $72.2 million for the six months ended 30 June 2012 compared with cash used in operating activities of $11.7 million for the six months ended 30 June 2011. The most significant influence on our operating cash flow is revenue outstanding, which comprises accounts receivable and unbilled revenue, less payments on account. The dollar values of these amounts and the related days revenue outstanding can vary due to the achievement of contractual milestones, including contract signing, and the timing of cash receipts. The increase in cash flow from operating activities during the six months ended 30 June 2012 arose primarily from a decrease in the number of days revenue outstanding during the period. The number of days revenue outstanding at 30 June 2012 was 36 days compared to 47 days at 31 December 2011.</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in investing activities was $82.3 million for the six months ended 30 June 2012 compared to net cash used in investing activities of $80.0 million for the six months ended 30 June 2011. Net cash used in the six months ended 30 June 2012 arose principally from cash paid for acquisitions, capital expenditures and the purchase of current asset investments.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10" w:name="page11"/>
    <w:bookmarkEnd w:id="10"/>
    <w:p>
      <w:pPr>
        <w:spacing w:after="0"/>
        <w:rPr>
          <w:sz w:val="20"/>
          <w:szCs w:val="20"/>
          <w:color w:val="auto"/>
        </w:rPr>
      </w:pPr>
      <w:r>
        <w:rPr>
          <w:rFonts w:ascii="Arial" w:cs="Arial" w:eastAsia="Arial" w:hAnsi="Arial"/>
          <w:sz w:val="25"/>
          <w:szCs w:val="25"/>
          <w:color w:val="auto"/>
        </w:rPr>
        <w:t>Interim Management Report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30 June 2012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Liquidity and Capital Resources </w:t>
      </w:r>
      <w:r>
        <w:rPr>
          <w:rFonts w:ascii="Arial" w:cs="Arial" w:eastAsia="Arial" w:hAnsi="Arial"/>
          <w:sz w:val="18"/>
          <w:szCs w:val="18"/>
          <w:b w:val="1"/>
          <w:bCs w:val="1"/>
          <w:i w:val="1"/>
          <w:iCs w:val="1"/>
          <w:color w:val="auto"/>
        </w:rPr>
        <w:t>(continued)</w:t>
      </w:r>
    </w:p>
    <w:p>
      <w:pPr>
        <w:spacing w:after="0" w:line="200" w:lineRule="exact"/>
        <w:rPr>
          <w:sz w:val="20"/>
          <w:szCs w:val="20"/>
          <w:color w:val="auto"/>
        </w:rPr>
      </w:pPr>
    </w:p>
    <w:p>
      <w:pPr>
        <w:spacing w:after="0" w:line="288"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 xml:space="preserve">During the six months ended 30 June 2012 the Company completed the acquisition of BeijingWits Medical for an initial cash consideration of $9.0 and the acquisition of PriceSpective for an initial cash consideration of $37.1 million. Cash received on the acquisitions of BeijingWits Medical and PriceSpective amounted to $0.6 million and $2.3 million respectively. The Company also paid $1.2 million during the six months ended 30 June 2012 in respect of certain working capital targets for Oxford Outcomes and $4.5 million in respect of certain performance milestones and working capital targets for Firecrest. Additional amounts payable at 30 June 2012 in relation to acquisitions include $0.3 million in respect of Timaq Medical Imaging and $64.4 million potentially payable contingent upon the results of acquired businesses; including PriceSpective ($15.0 million - $5.0 million of which was paid in August 2012 in respect of certain elements of the additional consideration); BeijingWits Medical ($7.0 million); Firecrest ($36.2 million - €10 million ($12.5 million) of which was paid in July 2012 in respect of certain elements of the additional consideration) and Oxford Outcomes ($6.2 million). </w:t>
      </w:r>
      <w:r>
        <w:rPr>
          <w:rFonts w:ascii="Arial" w:cs="Arial" w:eastAsia="Arial" w:hAnsi="Arial"/>
          <w:sz w:val="15"/>
          <w:szCs w:val="15"/>
          <w:i w:val="1"/>
          <w:iCs w:val="1"/>
          <w:color w:val="auto"/>
        </w:rPr>
        <w:t>(See note 11 Business Combinations for further</w:t>
      </w:r>
      <w:r>
        <w:rPr>
          <w:rFonts w:ascii="Arial" w:cs="Arial" w:eastAsia="Arial" w:hAnsi="Arial"/>
          <w:sz w:val="15"/>
          <w:szCs w:val="15"/>
          <w:color w:val="auto"/>
        </w:rPr>
        <w:t xml:space="preserve"> </w:t>
      </w:r>
      <w:r>
        <w:rPr>
          <w:rFonts w:ascii="Arial" w:cs="Arial" w:eastAsia="Arial" w:hAnsi="Arial"/>
          <w:sz w:val="15"/>
          <w:szCs w:val="15"/>
          <w:i w:val="1"/>
          <w:iCs w:val="1"/>
          <w:color w:val="auto"/>
        </w:rPr>
        <w:t>information relating to acquisitions and amounts potentially payable contingent upon the future results of acquired businesses).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Capital expenditure on property, plant and equipment and computer software for the six months ended 30 June 2012 amounted to $15.8 million, and comprised mainly of expenditure on global infrastructure to support the Company’s growth. During the six months ended 30 June 2012 the Company invested a net $17.8 million in current asset investments.</w:t>
      </w: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Net cash used by financing activities during the six months ended 30 June 2012 amounted to $11.7 million compared with net cash provided by financing activities of $2.6 million for the six months ended 30 June 2011. Net cash used by financing activities during the six months ended 30 June 2012 arose primarily from cash paid to repurchase ordinary shares under the Company’s share repurchase program. During the six months ended 30 June 2012 the Company repurchased 738,341 ordinary shares for a total consideration of $15.6 million. As at 30 June 2012 1,283,938 ordinary shares have been repurchased by the Company for a total consideration of $24.6 million. All ordinary shares repurchased by the Company were cancelled </w:t>
      </w:r>
      <w:r>
        <w:rPr>
          <w:rFonts w:ascii="Arial" w:cs="Arial" w:eastAsia="Arial" w:hAnsi="Arial"/>
          <w:sz w:val="17"/>
          <w:szCs w:val="17"/>
          <w:i w:val="1"/>
          <w:iCs w:val="1"/>
          <w:color w:val="auto"/>
        </w:rPr>
        <w:t>(see note 16 Share Capital for further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information). </w:t>
      </w:r>
      <w:r>
        <w:rPr>
          <w:rFonts w:ascii="Arial" w:cs="Arial" w:eastAsia="Arial" w:hAnsi="Arial"/>
          <w:sz w:val="17"/>
          <w:szCs w:val="17"/>
          <w:color w:val="auto"/>
        </w:rPr>
        <w:t>During the six months ended 30 June 2012 the Company received $3.1 million from the exercise of share options compared to $2.4 million from</w:t>
      </w:r>
      <w:r>
        <w:rPr>
          <w:rFonts w:ascii="Arial" w:cs="Arial" w:eastAsia="Arial" w:hAnsi="Arial"/>
          <w:sz w:val="17"/>
          <w:szCs w:val="17"/>
          <w:i w:val="1"/>
          <w:iCs w:val="1"/>
          <w:color w:val="auto"/>
        </w:rPr>
        <w:t xml:space="preserve"> </w:t>
      </w:r>
      <w:r>
        <w:rPr>
          <w:rFonts w:ascii="Arial" w:cs="Arial" w:eastAsia="Arial" w:hAnsi="Arial"/>
          <w:sz w:val="17"/>
          <w:szCs w:val="17"/>
          <w:color w:val="auto"/>
        </w:rPr>
        <w:t>the exercise of share options during the six months ended 30 June 2011.</w:t>
      </w:r>
    </w:p>
    <w:p>
      <w:pPr>
        <w:spacing w:after="0" w:line="207"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As a result of these cash flows, cash and cash equivalents decreased by $24.3 million for the six months ended 30 June 2012 compared to a decrease of $80.1 million for the six months ended 30 June 2011.</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5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principal risks and uncertainties facing the Group over the remaining six months of fiscal 2012 are the same as those as set out on pages 134 to 140 of the Company’s Annual Report for the year ended 31 December 2011.</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Related party transactions are detailed in note 17 to the interim condensed financial statements.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1" w:name="page12"/>
    <w:bookmarkEnd w:id="11"/>
    <w:p>
      <w:pPr>
        <w:spacing w:after="0"/>
        <w:rPr>
          <w:sz w:val="20"/>
          <w:szCs w:val="20"/>
          <w:color w:val="auto"/>
        </w:rPr>
      </w:pPr>
      <w:r>
        <w:rPr>
          <w:rFonts w:ascii="Arial" w:cs="Arial" w:eastAsia="Arial" w:hAnsi="Arial"/>
          <w:sz w:val="25"/>
          <w:szCs w:val="25"/>
          <w:color w:val="auto"/>
        </w:rPr>
        <w:t>Directors’ Responsibility Statement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30 June 2012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the directors in respect of the half-yearly financial report</w:t>
      </w:r>
    </w:p>
    <w:p>
      <w:pPr>
        <w:spacing w:after="0" w:line="200" w:lineRule="exact"/>
        <w:rPr>
          <w:sz w:val="20"/>
          <w:szCs w:val="20"/>
          <w:color w:val="auto"/>
        </w:rPr>
      </w:pPr>
    </w:p>
    <w:p>
      <w:pPr>
        <w:spacing w:after="0" w:line="235" w:lineRule="exact"/>
        <w:rPr>
          <w:sz w:val="20"/>
          <w:szCs w:val="20"/>
          <w:color w:val="auto"/>
        </w:rPr>
      </w:pPr>
    </w:p>
    <w:p>
      <w:pPr>
        <w:ind w:left="360"/>
        <w:spacing w:after="0" w:line="265" w:lineRule="auto"/>
        <w:rPr>
          <w:sz w:val="20"/>
          <w:szCs w:val="20"/>
          <w:color w:val="auto"/>
        </w:rPr>
      </w:pPr>
      <w:r>
        <w:rPr>
          <w:rFonts w:ascii="Arial" w:cs="Arial" w:eastAsia="Arial" w:hAnsi="Arial"/>
          <w:sz w:val="18"/>
          <w:szCs w:val="18"/>
          <w:color w:val="auto"/>
        </w:rPr>
        <w:t>Each of the directors, whose names and functions are listed on pages 15 and 16 of the Annual Report confirm that, to the best of each person’s knowledge and belief:</w:t>
      </w:r>
    </w:p>
    <w:p>
      <w:pPr>
        <w:spacing w:after="0" w:line="179" w:lineRule="exact"/>
        <w:rPr>
          <w:sz w:val="20"/>
          <w:szCs w:val="20"/>
          <w:color w:val="auto"/>
        </w:rPr>
      </w:pPr>
    </w:p>
    <w:p>
      <w:pPr>
        <w:jc w:val="both"/>
        <w:ind w:left="700" w:hanging="349"/>
        <w:spacing w:after="0" w:line="252" w:lineRule="auto"/>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condensed interim financial statements comprising the Condensed Consolidated Income Statement, the Condensed Consolidated Statement of Comprehensive Income, the Condensed Consolidated Statement of Financial Position, the Condensed Consolidated Statement of Cash Flows, the Condensed Consolidated Statement of Changes in Equity and related notes 1 to 18 have been prepared in accordance with IAS 34 </w:t>
      </w:r>
      <w:r>
        <w:rPr>
          <w:rFonts w:ascii="Arial" w:cs="Arial" w:eastAsia="Arial" w:hAnsi="Arial"/>
          <w:sz w:val="18"/>
          <w:szCs w:val="18"/>
          <w:i w:val="1"/>
          <w:iCs w:val="1"/>
          <w:color w:val="auto"/>
        </w:rPr>
        <w:t>Interim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Reporting </w:t>
      </w:r>
      <w:r>
        <w:rPr>
          <w:rFonts w:ascii="Arial" w:cs="Arial" w:eastAsia="Arial" w:hAnsi="Arial"/>
          <w:sz w:val="18"/>
          <w:szCs w:val="18"/>
          <w:color w:val="auto"/>
        </w:rPr>
        <w:t>as adopted by the EU.</w:t>
      </w:r>
    </w:p>
    <w:p>
      <w:pPr>
        <w:spacing w:after="0" w:line="191" w:lineRule="exact"/>
        <w:rPr>
          <w:rFonts w:ascii="Arial" w:cs="Arial" w:eastAsia="Arial" w:hAnsi="Arial"/>
          <w:sz w:val="18"/>
          <w:szCs w:val="18"/>
          <w:color w:val="auto"/>
        </w:rPr>
      </w:pPr>
    </w:p>
    <w:p>
      <w:pPr>
        <w:ind w:left="700" w:hanging="349"/>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interim management report includes a fair review of the information required by:</w:t>
      </w:r>
    </w:p>
    <w:p>
      <w:pPr>
        <w:spacing w:after="0" w:line="217" w:lineRule="exact"/>
        <w:rPr>
          <w:rFonts w:ascii="Arial" w:cs="Arial" w:eastAsia="Arial" w:hAnsi="Arial"/>
          <w:sz w:val="18"/>
          <w:szCs w:val="18"/>
          <w:color w:val="auto"/>
        </w:rPr>
      </w:pPr>
    </w:p>
    <w:p>
      <w:pPr>
        <w:jc w:val="both"/>
        <w:ind w:left="1040" w:hanging="344"/>
        <w:spacing w:after="0" w:line="255" w:lineRule="auto"/>
        <w:tabs>
          <w:tab w:leader="none" w:pos="1040" w:val="left"/>
        </w:tabs>
        <w:numPr>
          <w:ilvl w:val="1"/>
          <w:numId w:val="1"/>
        </w:numPr>
        <w:rPr>
          <w:rFonts w:ascii="Arial" w:cs="Arial" w:eastAsia="Arial" w:hAnsi="Arial"/>
          <w:sz w:val="18"/>
          <w:szCs w:val="18"/>
          <w:color w:val="auto"/>
        </w:rPr>
      </w:pPr>
      <w:r>
        <w:rPr>
          <w:rFonts w:ascii="Arial" w:cs="Arial" w:eastAsia="Arial" w:hAnsi="Arial"/>
          <w:sz w:val="18"/>
          <w:szCs w:val="18"/>
          <w:i w:val="1"/>
          <w:iCs w:val="1"/>
          <w:color w:val="auto"/>
        </w:rPr>
        <w:t>Regulation 8(2) of the Transparency (Directive 2004/109/EC) Regulations 2007</w:t>
      </w:r>
      <w:r>
        <w:rPr>
          <w:rFonts w:ascii="Arial" w:cs="Arial" w:eastAsia="Arial" w:hAnsi="Arial"/>
          <w:sz w:val="18"/>
          <w:szCs w:val="18"/>
          <w:color w:val="auto"/>
        </w:rPr>
        <w:t>, being an indication of important events that have occurred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six months of the financial year and their impact on the condensed set of financial statements; and a description of the principal risks and uncertainties for the remaining six months of the year; and</w:t>
      </w:r>
    </w:p>
    <w:p>
      <w:pPr>
        <w:spacing w:after="0" w:line="188" w:lineRule="exact"/>
        <w:rPr>
          <w:rFonts w:ascii="Arial" w:cs="Arial" w:eastAsia="Arial" w:hAnsi="Arial"/>
          <w:sz w:val="18"/>
          <w:szCs w:val="18"/>
          <w:color w:val="auto"/>
        </w:rPr>
      </w:pPr>
    </w:p>
    <w:p>
      <w:pPr>
        <w:jc w:val="both"/>
        <w:ind w:left="1040" w:hanging="344"/>
        <w:spacing w:after="0" w:line="255" w:lineRule="auto"/>
        <w:tabs>
          <w:tab w:leader="none" w:pos="1040" w:val="left"/>
        </w:tabs>
        <w:numPr>
          <w:ilvl w:val="1"/>
          <w:numId w:val="1"/>
        </w:numPr>
        <w:rPr>
          <w:rFonts w:ascii="Arial" w:cs="Arial" w:eastAsia="Arial" w:hAnsi="Arial"/>
          <w:sz w:val="18"/>
          <w:szCs w:val="18"/>
          <w:color w:val="auto"/>
        </w:rPr>
      </w:pPr>
      <w:r>
        <w:rPr>
          <w:rFonts w:ascii="Arial" w:cs="Arial" w:eastAsia="Arial" w:hAnsi="Arial"/>
          <w:sz w:val="18"/>
          <w:szCs w:val="18"/>
          <w:i w:val="1"/>
          <w:iCs w:val="1"/>
          <w:color w:val="auto"/>
        </w:rPr>
        <w:t>Regulation 8(3) of the Transparency (Directive 2004/109/EC) Regulations 2007</w:t>
      </w:r>
      <w:r>
        <w:rPr>
          <w:rFonts w:ascii="Arial" w:cs="Arial" w:eastAsia="Arial" w:hAnsi="Arial"/>
          <w:sz w:val="18"/>
          <w:szCs w:val="18"/>
          <w:color w:val="auto"/>
        </w:rPr>
        <w:t>, being related party transactions that have taken place in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of the current financial year and that have materially affected the financial position or performance of the entity during that period; and any changes in the related party transactions described in the last annual report that could do so.</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On behalf of the Board</w:t>
      </w:r>
    </w:p>
    <w:p>
      <w:pPr>
        <w:sectPr>
          <w:pgSz w:w="11900" w:h="16838" w:orient="portrait"/>
          <w:cols w:equalWidth="0" w:num="1">
            <w:col w:w="11420"/>
          </w:cols>
          <w:pgMar w:left="240" w:top="4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5"/>
          <w:szCs w:val="15"/>
          <w:color w:val="auto"/>
        </w:rPr>
        <w:t>Ciaran Murray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color w:val="auto"/>
        </w:rPr>
        <w:t>Declan McKeon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5000" w:space="720"/>
            <w:col w:w="5700"/>
          </w:cols>
          <w:pgMar w:left="240" w:top="480" w:right="239" w:bottom="1440" w:gutter="0" w:footer="0" w:header="0"/>
          <w:type w:val="continuous"/>
        </w:sect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30 August 2012</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725360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25"/>
          <w:szCs w:val="25"/>
          <w:color w:val="auto"/>
        </w:rPr>
        <w:t>Independent Review Report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review report to ICON plc</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been engaged by ICON plc ('ICON' or 'the Company') to review the condensed set of consolidated financial statements in the half-yearly financial report for the six months ended 30 June 2012, which comprises the Condensed Consolidated Income Statement, Condensed Consolidated Statement of Comprehensive Income, Condensed Consolidated Statement of Financial Position at 30 June 2012, Condensed Consolidated Statement of Cash Flows and Condensed Consolidated Statement of Changes in Equity for the six-month period then ended, and the related notes to the interim condensed consolidated interim financial statements.</w:t>
      </w:r>
    </w:p>
    <w:p>
      <w:pPr>
        <w:spacing w:after="0" w:line="2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have read the other information contained in the half-yearly financial report and considered whether it contains any apparent misstatements or material inconsistencies with the information in the condensed consolidated set of financial statements. This report is made solely to the Company in accordance with the terms of our engagement to assist the Company in meeting the requirements of the Transparency (Directive 2004/109/EC) Regulations 2007 and the Transparency Rules of the Central Bank of Ireland. Our review has been undertaken so that we might state to the Company those matters we are required to state to it in this report and for no other purpose. To the fullest extent permitted by law, we do not accept or assume responsibility to anyone other than the Company for our review work, for this report, or for the conclusions we have reached.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Responsibilities</w:t>
      </w:r>
    </w:p>
    <w:p>
      <w:pPr>
        <w:spacing w:after="0" w:line="22" w:lineRule="exact"/>
        <w:rPr>
          <w:sz w:val="20"/>
          <w:szCs w:val="20"/>
          <w:color w:val="auto"/>
        </w:rPr>
      </w:pPr>
    </w:p>
    <w:p>
      <w:pPr>
        <w:jc w:val="both"/>
        <w:spacing w:after="0" w:line="350" w:lineRule="auto"/>
        <w:rPr>
          <w:sz w:val="20"/>
          <w:szCs w:val="20"/>
          <w:color w:val="auto"/>
        </w:rPr>
      </w:pPr>
      <w:r>
        <w:rPr>
          <w:rFonts w:ascii="Arial" w:cs="Arial" w:eastAsia="Arial" w:hAnsi="Arial"/>
          <w:sz w:val="15"/>
          <w:szCs w:val="15"/>
          <w:color w:val="auto"/>
        </w:rPr>
        <w:t>The half-yearly financial report is the responsibility of, and has been approved by, the directors. The directors are responsible for preparing the half-yearly financial report in accordance with the Transparency (Directive 2004/109/EC) Regulations 2007 and the Transparency Rules of the Central Bank of Ireland.</w:t>
      </w:r>
    </w:p>
    <w:p>
      <w:pPr>
        <w:spacing w:after="0" w:line="149"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The annual financial statements of the Company are prepared in accordance with International Financial Reporting Standards, as adopted by the European Union. The directors are responsible for ensuring that the condensed consolidated financial statements included in this half-yearly financial report have been prepared in accordance with International Accounting Standard 34, "Interim Financial Reporting" (“IAS 34”), as adopted by the European Union.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Responsibility</w:t>
      </w:r>
    </w:p>
    <w:p>
      <w:pPr>
        <w:spacing w:after="0" w:line="2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responsibility is to express to the Company a conclusion on the condensed consolidated set of financial statements in the half-yearly financial report based on our review.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Scope of Review</w:t>
      </w:r>
    </w:p>
    <w:p>
      <w:pPr>
        <w:spacing w:after="0" w:line="22"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We conducted our review in accordance with International Standard on Review Engagements (UK and Ireland) 2410, "Review of Interim Financial Information Performed by the Independent Auditor of the Entity", issued by the Auditing Practices Board. A review of interim financial information consists of making enquiries, primarily of persons responsible for financial and accounting matters, and applying analytical and other review procedures. A review is substantially less in scope than an audit conducted in accordance with International Standards on Auditing (UK and Ireland) and consequently does not enable us to obtain assurance that we would become aware of all significant matters that might be identified in an audit. Accordingly, we do not express an audit opinion.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w:t>
      </w:r>
    </w:p>
    <w:p>
      <w:pPr>
        <w:spacing w:after="0" w:line="2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Based on our review, nothing has come to our attention that causes us to believe that the condensed set of consolidated financial statements in the half-yearly financial report for the six months ended 30 June 2012 is not prepared, in all material respects, in accordance with IAS 34, as adopted by the European Union and the Transparency (Directive 2004/109/EC) Regulations 2007 and the Transparency Rules of the Central Bank of Ireland.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Sean O’Keefe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and on behalf of</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KPMG</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Chartered Accountants, Statutory Audit Firm</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Dublin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30 August 2012</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3" w:name="page14"/>
    <w:bookmarkEnd w:id="13"/>
    <w:p>
      <w:pPr>
        <w:spacing w:after="0"/>
        <w:rPr>
          <w:sz w:val="20"/>
          <w:szCs w:val="20"/>
          <w:color w:val="auto"/>
        </w:rPr>
      </w:pPr>
      <w:r>
        <w:rPr>
          <w:rFonts w:ascii="Arial" w:cs="Arial" w:eastAsia="Arial" w:hAnsi="Arial"/>
          <w:sz w:val="25"/>
          <w:szCs w:val="25"/>
          <w:color w:val="auto"/>
        </w:rPr>
        <w:t>Condensed Consolidated Income Statement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six month period ended 30 June 2012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Six months</w:t>
            </w:r>
          </w:p>
        </w:tc>
        <w:tc>
          <w:tcPr>
            <w:tcW w:w="1460" w:type="dxa"/>
            <w:vAlign w:val="bottom"/>
            <w:tcBorders>
              <w:right w:val="single" w:sz="8" w:color="auto"/>
            </w:tcBorders>
          </w:tcPr>
          <w:p>
            <w:pPr>
              <w:jc w:val="right"/>
              <w:ind w:right="52"/>
              <w:spacing w:after="0" w:line="189" w:lineRule="exact"/>
              <w:rPr>
                <w:sz w:val="20"/>
                <w:szCs w:val="20"/>
                <w:color w:val="auto"/>
              </w:rPr>
            </w:pPr>
            <w:r>
              <w:rPr>
                <w:rFonts w:ascii="Arial" w:cs="Arial" w:eastAsia="Arial" w:hAnsi="Arial"/>
                <w:sz w:val="18"/>
                <w:szCs w:val="18"/>
                <w:b w:val="1"/>
                <w:bCs w:val="1"/>
                <w:color w:val="auto"/>
              </w:rPr>
              <w:t>Six months</w:t>
            </w:r>
          </w:p>
        </w:tc>
        <w:tc>
          <w:tcPr>
            <w:tcW w:w="1380" w:type="dxa"/>
            <w:vAlign w:val="bottom"/>
            <w:tcBorders>
              <w:top w:val="single" w:sz="8" w:color="auto"/>
              <w:right w:val="single" w:sz="8" w:color="auto"/>
            </w:tcBorders>
          </w:tcPr>
          <w:p>
            <w:pPr>
              <w:jc w:val="right"/>
              <w:ind w:right="52"/>
              <w:spacing w:after="0" w:line="189" w:lineRule="exact"/>
              <w:rPr>
                <w:sz w:val="20"/>
                <w:szCs w:val="20"/>
                <w:color w:val="auto"/>
              </w:rPr>
            </w:pPr>
            <w:r>
              <w:rPr>
                <w:rFonts w:ascii="Arial" w:cs="Arial" w:eastAsia="Arial" w:hAnsi="Arial"/>
                <w:sz w:val="18"/>
                <w:szCs w:val="18"/>
                <w:b w:val="1"/>
                <w:bCs w:val="1"/>
                <w:color w:val="auto"/>
              </w:rPr>
              <w:t>Six months</w:t>
            </w:r>
          </w:p>
        </w:tc>
        <w:tc>
          <w:tcPr>
            <w:tcW w:w="1420" w:type="dxa"/>
            <w:vAlign w:val="bottom"/>
          </w:tcPr>
          <w:p>
            <w:pPr>
              <w:jc w:val="right"/>
              <w:ind w:right="112"/>
              <w:spacing w:after="0" w:line="189" w:lineRule="exact"/>
              <w:rPr>
                <w:sz w:val="20"/>
                <w:szCs w:val="20"/>
                <w:color w:val="auto"/>
              </w:rPr>
            </w:pPr>
            <w:r>
              <w:rPr>
                <w:rFonts w:ascii="Arial" w:cs="Arial" w:eastAsia="Arial" w:hAnsi="Arial"/>
                <w:sz w:val="18"/>
                <w:szCs w:val="18"/>
                <w:color w:val="auto"/>
              </w:rPr>
              <w:t>Six months</w:t>
            </w:r>
          </w:p>
        </w:tc>
        <w:tc>
          <w:tcPr>
            <w:tcW w:w="1260" w:type="dxa"/>
            <w:vAlign w:val="bottom"/>
            <w:tcBorders>
              <w:right w:val="single" w:sz="8" w:color="auto"/>
            </w:tcBorders>
          </w:tcPr>
          <w:p>
            <w:pPr>
              <w:jc w:val="right"/>
              <w:ind w:right="32"/>
              <w:spacing w:after="0" w:line="189" w:lineRule="exact"/>
              <w:rPr>
                <w:sz w:val="20"/>
                <w:szCs w:val="20"/>
                <w:color w:val="auto"/>
              </w:rPr>
            </w:pPr>
            <w:r>
              <w:rPr>
                <w:rFonts w:ascii="Arial" w:cs="Arial" w:eastAsia="Arial" w:hAnsi="Arial"/>
                <w:sz w:val="18"/>
                <w:szCs w:val="18"/>
                <w:color w:val="auto"/>
              </w:rPr>
              <w:t>Six months</w:t>
            </w:r>
          </w:p>
        </w:tc>
        <w:tc>
          <w:tcPr>
            <w:tcW w:w="1320" w:type="dxa"/>
            <w:vAlign w:val="bottom"/>
            <w:tcBorders>
              <w:top w:val="single" w:sz="8" w:color="auto"/>
              <w:right w:val="single" w:sz="8" w:color="auto"/>
            </w:tcBorders>
          </w:tcPr>
          <w:p>
            <w:pPr>
              <w:jc w:val="right"/>
              <w:ind w:right="12"/>
              <w:spacing w:after="0" w:line="189" w:lineRule="exact"/>
              <w:rPr>
                <w:sz w:val="20"/>
                <w:szCs w:val="20"/>
                <w:color w:val="auto"/>
              </w:rPr>
            </w:pPr>
            <w:r>
              <w:rPr>
                <w:rFonts w:ascii="Arial" w:cs="Arial" w:eastAsia="Arial" w:hAnsi="Arial"/>
                <w:sz w:val="18"/>
                <w:szCs w:val="18"/>
                <w:color w:val="auto"/>
              </w:rPr>
              <w:t>Six months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ended</w:t>
            </w:r>
          </w:p>
        </w:tc>
        <w:tc>
          <w:tcPr>
            <w:tcW w:w="146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ended</w:t>
            </w:r>
          </w:p>
        </w:tc>
        <w:tc>
          <w:tcPr>
            <w:tcW w:w="138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ended</w:t>
            </w: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ended</w:t>
            </w:r>
          </w:p>
        </w:tc>
        <w:tc>
          <w:tcPr>
            <w:tcW w:w="126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ended</w:t>
            </w:r>
          </w:p>
        </w:tc>
        <w:tc>
          <w:tcPr>
            <w:tcW w:w="132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30 June</w:t>
            </w:r>
          </w:p>
        </w:tc>
        <w:tc>
          <w:tcPr>
            <w:tcW w:w="146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30 June</w:t>
            </w:r>
          </w:p>
        </w:tc>
        <w:tc>
          <w:tcPr>
            <w:tcW w:w="138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30 June</w:t>
            </w: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30 June</w:t>
            </w:r>
          </w:p>
        </w:tc>
        <w:tc>
          <w:tcPr>
            <w:tcW w:w="126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30 June</w:t>
            </w:r>
          </w:p>
        </w:tc>
        <w:tc>
          <w:tcPr>
            <w:tcW w:w="132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30 June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0" w:type="dxa"/>
            <w:vAlign w:val="bottom"/>
          </w:tcPr>
          <w:p>
            <w:pPr>
              <w:ind w:left="300"/>
              <w:spacing w:after="0"/>
              <w:rPr>
                <w:sz w:val="20"/>
                <w:szCs w:val="20"/>
                <w:color w:val="auto"/>
              </w:rPr>
            </w:pPr>
            <w:r>
              <w:rPr>
                <w:rFonts w:ascii="Arial" w:cs="Arial" w:eastAsia="Arial" w:hAnsi="Arial"/>
                <w:sz w:val="18"/>
                <w:szCs w:val="18"/>
                <w:b w:val="1"/>
                <w:bCs w:val="1"/>
                <w:i w:val="1"/>
                <w:iCs w:val="1"/>
                <w:color w:val="auto"/>
              </w:rPr>
              <w:t>Note</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146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2012</w:t>
            </w:r>
          </w:p>
        </w:tc>
        <w:tc>
          <w:tcPr>
            <w:tcW w:w="138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2012</w:t>
            </w: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2011</w:t>
            </w:r>
          </w:p>
        </w:tc>
        <w:tc>
          <w:tcPr>
            <w:tcW w:w="126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2011</w:t>
            </w:r>
          </w:p>
        </w:tc>
        <w:tc>
          <w:tcPr>
            <w:tcW w:w="132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Excluding</w:t>
            </w:r>
          </w:p>
        </w:tc>
        <w:tc>
          <w:tcPr>
            <w:tcW w:w="14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Including</w:t>
            </w: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Excluding</w:t>
            </w:r>
          </w:p>
        </w:tc>
        <w:tc>
          <w:tcPr>
            <w:tcW w:w="12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Including</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Exceptional</w:t>
            </w:r>
          </w:p>
        </w:tc>
        <w:tc>
          <w:tcPr>
            <w:tcW w:w="146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Exceptional</w:t>
            </w:r>
          </w:p>
        </w:tc>
        <w:tc>
          <w:tcPr>
            <w:tcW w:w="138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Exceptional</w:t>
            </w: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Exceptional</w:t>
            </w:r>
          </w:p>
        </w:tc>
        <w:tc>
          <w:tcPr>
            <w:tcW w:w="126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Exceptional</w:t>
            </w:r>
          </w:p>
        </w:tc>
        <w:tc>
          <w:tcPr>
            <w:tcW w:w="132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Exceptional</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items</w:t>
            </w:r>
          </w:p>
        </w:tc>
        <w:tc>
          <w:tcPr>
            <w:tcW w:w="146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items</w:t>
            </w:r>
          </w:p>
        </w:tc>
        <w:tc>
          <w:tcPr>
            <w:tcW w:w="138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items</w:t>
            </w: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items</w:t>
            </w:r>
          </w:p>
        </w:tc>
        <w:tc>
          <w:tcPr>
            <w:tcW w:w="126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items</w:t>
            </w:r>
          </w:p>
        </w:tc>
        <w:tc>
          <w:tcPr>
            <w:tcW w:w="132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items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US$’000</w:t>
            </w:r>
          </w:p>
        </w:tc>
        <w:tc>
          <w:tcPr>
            <w:tcW w:w="146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US$’000</w:t>
            </w:r>
          </w:p>
        </w:tc>
        <w:tc>
          <w:tcPr>
            <w:tcW w:w="138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US$’000</w:t>
            </w: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US$’000</w:t>
            </w:r>
          </w:p>
        </w:tc>
        <w:tc>
          <w:tcPr>
            <w:tcW w:w="126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US$’000</w:t>
            </w:r>
          </w:p>
        </w:tc>
        <w:tc>
          <w:tcPr>
            <w:tcW w:w="132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60" w:type="dxa"/>
            <w:vAlign w:val="bottom"/>
          </w:tcPr>
          <w:p>
            <w:pPr>
              <w:jc w:val="right"/>
              <w:ind w:right="112"/>
              <w:spacing w:after="0"/>
              <w:rPr>
                <w:sz w:val="20"/>
                <w:szCs w:val="20"/>
                <w:color w:val="auto"/>
              </w:rPr>
            </w:pPr>
            <w:r>
              <w:rPr>
                <w:rFonts w:ascii="Arial" w:cs="Arial" w:eastAsia="Arial" w:hAnsi="Arial"/>
                <w:sz w:val="18"/>
                <w:szCs w:val="18"/>
                <w:b w:val="1"/>
                <w:bCs w:val="1"/>
                <w:color w:val="auto"/>
              </w:rPr>
              <w:t>(Unaudited)</w:t>
            </w:r>
          </w:p>
        </w:tc>
        <w:tc>
          <w:tcPr>
            <w:tcW w:w="1460" w:type="dxa"/>
            <w:vAlign w:val="bottom"/>
            <w:tcBorders>
              <w:right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(Unaudited)</w:t>
            </w:r>
          </w:p>
        </w:tc>
        <w:tc>
          <w:tcPr>
            <w:tcW w:w="1380" w:type="dxa"/>
            <w:vAlign w:val="bottom"/>
            <w:tcBorders>
              <w:right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(Unaudited)</w:t>
            </w: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(Unaudited)</w:t>
            </w:r>
          </w:p>
        </w:tc>
        <w:tc>
          <w:tcPr>
            <w:tcW w:w="1260" w:type="dxa"/>
            <w:vAlign w:val="bottom"/>
            <w:tcBorders>
              <w:right w:val="single" w:sz="8" w:color="auto"/>
            </w:tcBorders>
          </w:tcPr>
          <w:p>
            <w:pPr>
              <w:jc w:val="right"/>
              <w:ind w:right="172"/>
              <w:spacing w:after="0"/>
              <w:rPr>
                <w:sz w:val="20"/>
                <w:szCs w:val="20"/>
                <w:color w:val="auto"/>
              </w:rPr>
            </w:pPr>
            <w:r>
              <w:rPr>
                <w:rFonts w:ascii="Arial" w:cs="Arial" w:eastAsia="Arial" w:hAnsi="Arial"/>
                <w:sz w:val="18"/>
                <w:szCs w:val="18"/>
                <w:color w:val="auto"/>
              </w:rPr>
              <w:t>(Unaudited)</w:t>
            </w:r>
          </w:p>
        </w:tc>
        <w:tc>
          <w:tcPr>
            <w:tcW w:w="1320" w:type="dxa"/>
            <w:vAlign w:val="bottom"/>
            <w:tcBorders>
              <w:right w:val="single" w:sz="8" w:color="auto"/>
            </w:tcBorders>
          </w:tcPr>
          <w:p>
            <w:pPr>
              <w:jc w:val="right"/>
              <w:ind w:right="152"/>
              <w:spacing w:after="0"/>
              <w:rPr>
                <w:sz w:val="20"/>
                <w:szCs w:val="20"/>
                <w:color w:val="auto"/>
              </w:rPr>
            </w:pPr>
            <w:r>
              <w:rPr>
                <w:rFonts w:ascii="Arial" w:cs="Arial" w:eastAsia="Arial" w:hAnsi="Arial"/>
                <w:sz w:val="18"/>
                <w:szCs w:val="18"/>
                <w:color w:val="auto"/>
              </w:rPr>
              <w:t>(Unaudited)</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revenue</w:t>
            </w:r>
          </w:p>
        </w:tc>
        <w:tc>
          <w:tcPr>
            <w:tcW w:w="10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722,675</w:t>
            </w:r>
          </w:p>
        </w:tc>
        <w:tc>
          <w:tcPr>
            <w:tcW w:w="1460" w:type="dxa"/>
            <w:vAlign w:val="bottom"/>
            <w:tcBorders>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1380" w:type="dxa"/>
            <w:vAlign w:val="bottom"/>
            <w:tcBorders>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722,675</w:t>
            </w:r>
          </w:p>
        </w:tc>
        <w:tc>
          <w:tcPr>
            <w:tcW w:w="14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623,243</w:t>
            </w:r>
          </w:p>
        </w:tc>
        <w:tc>
          <w:tcPr>
            <w:tcW w:w="1260" w:type="dxa"/>
            <w:vAlign w:val="bottom"/>
            <w:tcBorders>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1320" w:type="dxa"/>
            <w:vAlign w:val="bottom"/>
            <w:tcBorders>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623,243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Reimbursable expenses</w:t>
            </w:r>
          </w:p>
        </w:tc>
        <w:tc>
          <w:tcPr>
            <w:tcW w:w="10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(193,335)</w:t>
            </w:r>
          </w:p>
        </w:tc>
        <w:tc>
          <w:tcPr>
            <w:tcW w:w="146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(193,335)</w:t>
            </w:r>
          </w:p>
        </w:tc>
        <w:tc>
          <w:tcPr>
            <w:tcW w:w="14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(160,901)</w:t>
            </w:r>
          </w:p>
        </w:tc>
        <w:tc>
          <w:tcPr>
            <w:tcW w:w="126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(160,901)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9"/>
              </w:rPr>
              <w:t>5</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529,340</w:t>
            </w:r>
          </w:p>
        </w:tc>
        <w:tc>
          <w:tcPr>
            <w:tcW w:w="1460" w:type="dxa"/>
            <w:vAlign w:val="bottom"/>
            <w:tcBorders>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1380" w:type="dxa"/>
            <w:vAlign w:val="bottom"/>
            <w:tcBorders>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529,340</w:t>
            </w:r>
          </w:p>
        </w:tc>
        <w:tc>
          <w:tcPr>
            <w:tcW w:w="14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462,342</w:t>
            </w:r>
          </w:p>
        </w:tc>
        <w:tc>
          <w:tcPr>
            <w:tcW w:w="1260" w:type="dxa"/>
            <w:vAlign w:val="bottom"/>
            <w:tcBorders>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1320" w:type="dxa"/>
            <w:vAlign w:val="bottom"/>
            <w:tcBorders>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462,342</w:t>
            </w:r>
          </w:p>
        </w:tc>
        <w:tc>
          <w:tcPr>
            <w:tcW w:w="0" w:type="dxa"/>
            <w:vAlign w:val="bottom"/>
          </w:tcPr>
          <w:p>
            <w:pPr>
              <w:spacing w:after="0"/>
              <w:rPr>
                <w:sz w:val="1"/>
                <w:szCs w:val="1"/>
                <w:color w:val="auto"/>
              </w:rPr>
            </w:pPr>
          </w:p>
        </w:tc>
      </w:tr>
      <w:tr>
        <w:trPr>
          <w:trHeight w:val="212"/>
        </w:trPr>
        <w:tc>
          <w:tcPr>
            <w:tcW w:w="212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60" w:type="dxa"/>
            <w:vAlign w:val="bottom"/>
            <w:tcBorders>
              <w:right w:val="single" w:sz="8" w:color="auto"/>
            </w:tcBorders>
            <w:shd w:val="clear" w:color="auto" w:fill="CCEEFF"/>
          </w:tcPr>
          <w:p>
            <w:pPr>
              <w:spacing w:after="0"/>
              <w:rPr>
                <w:sz w:val="18"/>
                <w:szCs w:val="18"/>
                <w:color w:val="auto"/>
              </w:rPr>
            </w:pPr>
          </w:p>
        </w:tc>
        <w:tc>
          <w:tcPr>
            <w:tcW w:w="1380" w:type="dxa"/>
            <w:vAlign w:val="bottom"/>
            <w:tcBorders>
              <w:right w:val="single" w:sz="8" w:color="auto"/>
            </w:tcBorders>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13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Direct costs</w:t>
            </w:r>
          </w:p>
        </w:tc>
        <w:tc>
          <w:tcPr>
            <w:tcW w:w="1000" w:type="dxa"/>
            <w:vAlign w:val="bottom"/>
          </w:tcPr>
          <w:p>
            <w:pPr>
              <w:jc w:val="center"/>
              <w:spacing w:after="0"/>
              <w:rPr>
                <w:sz w:val="20"/>
                <w:szCs w:val="20"/>
                <w:color w:val="auto"/>
              </w:rPr>
            </w:pPr>
            <w:r>
              <w:rPr>
                <w:rFonts w:ascii="Arial" w:cs="Arial" w:eastAsia="Arial" w:hAnsi="Arial"/>
                <w:sz w:val="18"/>
                <w:szCs w:val="18"/>
                <w:i w:val="1"/>
                <w:iCs w:val="1"/>
                <w:color w:val="auto"/>
                <w:w w:val="99"/>
              </w:rPr>
              <w:t>7</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(341,855)</w:t>
            </w: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(994)</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(342,849)</w:t>
            </w: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(294,873)</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(2,467)</w:t>
            </w: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(297,340)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99"/>
              </w:rPr>
              <w:t>7</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(158,103)</w:t>
            </w:r>
          </w:p>
        </w:tc>
        <w:tc>
          <w:tcPr>
            <w:tcW w:w="1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(4,444)</w:t>
            </w: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(162,547)</w:t>
            </w:r>
          </w:p>
        </w:tc>
        <w:tc>
          <w:tcPr>
            <w:tcW w:w="14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(135,153)</w:t>
            </w:r>
          </w:p>
        </w:tc>
        <w:tc>
          <w:tcPr>
            <w:tcW w:w="12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w:t>
            </w: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(137,688)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b w:val="1"/>
                <w:bCs w:val="1"/>
                <w:color w:val="auto"/>
              </w:rPr>
              <w:t>Operating profit</w:t>
            </w:r>
          </w:p>
        </w:tc>
        <w:tc>
          <w:tcPr>
            <w:tcW w:w="1000" w:type="dxa"/>
            <w:vAlign w:val="bottom"/>
          </w:tcPr>
          <w:p>
            <w:pPr>
              <w:jc w:val="center"/>
              <w:spacing w:after="0"/>
              <w:rPr>
                <w:sz w:val="20"/>
                <w:szCs w:val="20"/>
                <w:color w:val="auto"/>
              </w:rPr>
            </w:pPr>
            <w:r>
              <w:rPr>
                <w:rFonts w:ascii="Arial" w:cs="Arial" w:eastAsia="Arial" w:hAnsi="Arial"/>
                <w:sz w:val="18"/>
                <w:szCs w:val="18"/>
                <w:i w:val="1"/>
                <w:iCs w:val="1"/>
                <w:color w:val="auto"/>
                <w:w w:val="85"/>
              </w:rPr>
              <w:t>5,18</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29,382</w:t>
            </w: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(5,438)</w:t>
            </w:r>
          </w:p>
        </w:tc>
        <w:tc>
          <w:tcPr>
            <w:tcW w:w="138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23,944</w:t>
            </w: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32,316</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(5,002)</w:t>
            </w:r>
          </w:p>
        </w:tc>
        <w:tc>
          <w:tcPr>
            <w:tcW w:w="132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27,314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60" w:type="dxa"/>
            <w:vAlign w:val="bottom"/>
            <w:tcBorders>
              <w:right w:val="single" w:sz="8" w:color="auto"/>
            </w:tcBorders>
            <w:shd w:val="clear" w:color="auto" w:fill="CCEEFF"/>
          </w:tcPr>
          <w:p>
            <w:pPr>
              <w:spacing w:after="0"/>
              <w:rPr>
                <w:sz w:val="18"/>
                <w:szCs w:val="18"/>
                <w:color w:val="auto"/>
              </w:rPr>
            </w:pPr>
          </w:p>
        </w:tc>
        <w:tc>
          <w:tcPr>
            <w:tcW w:w="1380" w:type="dxa"/>
            <w:vAlign w:val="bottom"/>
            <w:tcBorders>
              <w:right w:val="single" w:sz="8" w:color="auto"/>
            </w:tcBorders>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13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Financing income</w:t>
            </w:r>
          </w:p>
        </w:tc>
        <w:tc>
          <w:tcPr>
            <w:tcW w:w="10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693</w:t>
            </w:r>
          </w:p>
        </w:tc>
        <w:tc>
          <w:tcPr>
            <w:tcW w:w="146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w:t>
            </w:r>
          </w:p>
        </w:tc>
        <w:tc>
          <w:tcPr>
            <w:tcW w:w="138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693</w:t>
            </w: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527</w:t>
            </w:r>
          </w:p>
        </w:tc>
        <w:tc>
          <w:tcPr>
            <w:tcW w:w="126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Financing expense</w:t>
            </w:r>
          </w:p>
        </w:tc>
        <w:tc>
          <w:tcPr>
            <w:tcW w:w="10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(959)</w:t>
            </w:r>
          </w:p>
        </w:tc>
        <w:tc>
          <w:tcPr>
            <w:tcW w:w="1460" w:type="dxa"/>
            <w:vAlign w:val="bottom"/>
            <w:tcBorders>
              <w:bottom w:val="single" w:sz="8" w:color="auto"/>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(959)</w:t>
            </w:r>
          </w:p>
        </w:tc>
        <w:tc>
          <w:tcPr>
            <w:tcW w:w="14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(355)</w:t>
            </w:r>
          </w:p>
        </w:tc>
        <w:tc>
          <w:tcPr>
            <w:tcW w:w="1260" w:type="dxa"/>
            <w:vAlign w:val="bottom"/>
            <w:tcBorders>
              <w:bottom w:val="single" w:sz="8" w:color="auto"/>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before taxation</w:t>
            </w:r>
          </w:p>
        </w:tc>
        <w:tc>
          <w:tcPr>
            <w:tcW w:w="10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29,116</w:t>
            </w:r>
          </w:p>
        </w:tc>
        <w:tc>
          <w:tcPr>
            <w:tcW w:w="14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(5,438)</w:t>
            </w:r>
          </w:p>
        </w:tc>
        <w:tc>
          <w:tcPr>
            <w:tcW w:w="1380" w:type="dxa"/>
            <w:vAlign w:val="bottom"/>
            <w:tcBorders>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23,678</w:t>
            </w:r>
          </w:p>
        </w:tc>
        <w:tc>
          <w:tcPr>
            <w:tcW w:w="14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32,488</w:t>
            </w:r>
          </w:p>
        </w:tc>
        <w:tc>
          <w:tcPr>
            <w:tcW w:w="12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1320" w:type="dxa"/>
            <w:vAlign w:val="bottom"/>
            <w:tcBorders>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27,486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9"/>
              </w:rPr>
              <w:t>8</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(6,261)</w:t>
            </w:r>
          </w:p>
        </w:tc>
        <w:tc>
          <w:tcPr>
            <w:tcW w:w="146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705</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(5,556)</w:t>
            </w:r>
          </w:p>
        </w:tc>
        <w:tc>
          <w:tcPr>
            <w:tcW w:w="14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(5,955)</w:t>
            </w:r>
          </w:p>
        </w:tc>
        <w:tc>
          <w:tcPr>
            <w:tcW w:w="126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544</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(5,411)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60" w:type="dxa"/>
            <w:vAlign w:val="bottom"/>
            <w:tcBorders>
              <w:right w:val="single" w:sz="8" w:color="auto"/>
            </w:tcBorders>
            <w:shd w:val="clear" w:color="auto" w:fill="CCEEFF"/>
          </w:tcPr>
          <w:p>
            <w:pPr>
              <w:spacing w:after="0"/>
              <w:rPr>
                <w:sz w:val="18"/>
                <w:szCs w:val="18"/>
                <w:color w:val="auto"/>
              </w:rPr>
            </w:pPr>
          </w:p>
        </w:tc>
        <w:tc>
          <w:tcPr>
            <w:tcW w:w="1380" w:type="dxa"/>
            <w:vAlign w:val="bottom"/>
            <w:tcBorders>
              <w:right w:val="single" w:sz="8" w:color="auto"/>
            </w:tcBorders>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13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100" w:type="dxa"/>
            <w:vAlign w:val="bottom"/>
          </w:tcPr>
          <w:p>
            <w:pPr>
              <w:spacing w:after="0" w:line="194" w:lineRule="exact"/>
              <w:rPr>
                <w:sz w:val="20"/>
                <w:szCs w:val="20"/>
                <w:color w:val="auto"/>
              </w:rPr>
            </w:pPr>
            <w:r>
              <w:rPr>
                <w:rFonts w:ascii="Arial" w:cs="Arial" w:eastAsia="Arial" w:hAnsi="Arial"/>
                <w:sz w:val="18"/>
                <w:szCs w:val="18"/>
                <w:b w:val="1"/>
                <w:bCs w:val="1"/>
                <w:color w:val="auto"/>
              </w:rPr>
              <w:t>Profit for the financial</w:t>
            </w:r>
          </w:p>
        </w:tc>
        <w:tc>
          <w:tcPr>
            <w:tcW w:w="10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42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10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22,855</w:t>
            </w: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(4,733)</w:t>
            </w:r>
          </w:p>
        </w:tc>
        <w:tc>
          <w:tcPr>
            <w:tcW w:w="138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18,122</w:t>
            </w: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26,533</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(4,458)</w:t>
            </w:r>
          </w:p>
        </w:tc>
        <w:tc>
          <w:tcPr>
            <w:tcW w:w="132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22,075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60" w:type="dxa"/>
            <w:vAlign w:val="bottom"/>
            <w:tcBorders>
              <w:right w:val="single" w:sz="8" w:color="auto"/>
            </w:tcBorders>
            <w:shd w:val="clear" w:color="auto" w:fill="CCEEFF"/>
          </w:tcPr>
          <w:p>
            <w:pPr>
              <w:spacing w:after="0"/>
              <w:rPr>
                <w:sz w:val="17"/>
                <w:szCs w:val="17"/>
                <w:color w:val="auto"/>
              </w:rPr>
            </w:pPr>
          </w:p>
        </w:tc>
        <w:tc>
          <w:tcPr>
            <w:tcW w:w="1380" w:type="dxa"/>
            <w:vAlign w:val="bottom"/>
            <w:tcBorders>
              <w:right w:val="single" w:sz="8" w:color="auto"/>
            </w:tcBorders>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60" w:type="dxa"/>
            <w:vAlign w:val="bottom"/>
            <w:tcBorders>
              <w:right w:val="single" w:sz="8" w:color="auto"/>
            </w:tcBorders>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b w:val="1"/>
                <w:bCs w:val="1"/>
                <w:color w:val="auto"/>
              </w:rPr>
              <w:t>Attributable to:</w:t>
            </w: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60" w:type="dxa"/>
            <w:vAlign w:val="bottom"/>
            <w:tcBorders>
              <w:right w:val="single" w:sz="8" w:color="auto"/>
            </w:tcBorders>
            <w:shd w:val="clear" w:color="auto" w:fill="CCEEFF"/>
          </w:tcPr>
          <w:p>
            <w:pPr>
              <w:spacing w:after="0"/>
              <w:rPr>
                <w:sz w:val="18"/>
                <w:szCs w:val="18"/>
                <w:color w:val="auto"/>
              </w:rPr>
            </w:pPr>
          </w:p>
        </w:tc>
        <w:tc>
          <w:tcPr>
            <w:tcW w:w="1380" w:type="dxa"/>
            <w:vAlign w:val="bottom"/>
            <w:tcBorders>
              <w:right w:val="single" w:sz="8" w:color="auto"/>
            </w:tcBorders>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13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2100" w:type="dxa"/>
            <w:vAlign w:val="bottom"/>
          </w:tcPr>
          <w:p>
            <w:pPr>
              <w:spacing w:after="0" w:line="200" w:lineRule="exact"/>
              <w:rPr>
                <w:sz w:val="20"/>
                <w:szCs w:val="20"/>
                <w:color w:val="auto"/>
              </w:rPr>
            </w:pPr>
            <w:r>
              <w:rPr>
                <w:rFonts w:ascii="Arial" w:cs="Arial" w:eastAsia="Arial" w:hAnsi="Arial"/>
                <w:sz w:val="18"/>
                <w:szCs w:val="18"/>
                <w:color w:val="auto"/>
              </w:rPr>
              <w:t>Equity holders of the</w:t>
            </w:r>
          </w:p>
        </w:tc>
        <w:tc>
          <w:tcPr>
            <w:tcW w:w="1000" w:type="dxa"/>
            <w:vAlign w:val="bottom"/>
          </w:tcPr>
          <w:p>
            <w:pPr>
              <w:spacing w:after="0"/>
              <w:rPr>
                <w:sz w:val="17"/>
                <w:szCs w:val="17"/>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22,855</w:t>
            </w:r>
          </w:p>
        </w:tc>
        <w:tc>
          <w:tcPr>
            <w:tcW w:w="14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(4,733)</w:t>
            </w:r>
          </w:p>
        </w:tc>
        <w:tc>
          <w:tcPr>
            <w:tcW w:w="138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18"/>
                <w:szCs w:val="18"/>
                <w:b w:val="1"/>
                <w:bCs w:val="1"/>
                <w:color w:val="auto"/>
              </w:rPr>
              <w:t>18,122</w:t>
            </w:r>
          </w:p>
        </w:tc>
        <w:tc>
          <w:tcPr>
            <w:tcW w:w="142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12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1000" w:type="dxa"/>
            <w:vAlign w:val="bottom"/>
          </w:tcPr>
          <w:p>
            <w:pPr>
              <w:jc w:val="center"/>
              <w:spacing w:after="0"/>
              <w:rPr>
                <w:sz w:val="20"/>
                <w:szCs w:val="20"/>
                <w:color w:val="auto"/>
              </w:rPr>
            </w:pPr>
            <w:r>
              <w:rPr>
                <w:rFonts w:ascii="Arial" w:cs="Arial" w:eastAsia="Arial" w:hAnsi="Arial"/>
                <w:sz w:val="18"/>
                <w:szCs w:val="18"/>
                <w:i w:val="1"/>
                <w:iCs w:val="1"/>
                <w:color w:val="auto"/>
                <w:w w:val="99"/>
              </w:rPr>
              <w:t>6</w:t>
            </w:r>
          </w:p>
        </w:tc>
        <w:tc>
          <w:tcPr>
            <w:tcW w:w="1460" w:type="dxa"/>
            <w:vAlign w:val="bottom"/>
            <w:vMerge w:val="continue"/>
          </w:tcPr>
          <w:p>
            <w:pPr>
              <w:spacing w:after="0"/>
              <w:rPr>
                <w:sz w:val="19"/>
                <w:szCs w:val="19"/>
                <w:color w:val="auto"/>
              </w:rPr>
            </w:pPr>
          </w:p>
        </w:tc>
        <w:tc>
          <w:tcPr>
            <w:tcW w:w="1460" w:type="dxa"/>
            <w:vAlign w:val="bottom"/>
            <w:tcBorders>
              <w:right w:val="single" w:sz="8" w:color="auto"/>
            </w:tcBorders>
            <w:vMerge w:val="continue"/>
          </w:tcPr>
          <w:p>
            <w:pPr>
              <w:spacing w:after="0"/>
              <w:rPr>
                <w:sz w:val="19"/>
                <w:szCs w:val="19"/>
                <w:color w:val="auto"/>
              </w:rPr>
            </w:pPr>
          </w:p>
        </w:tc>
        <w:tc>
          <w:tcPr>
            <w:tcW w:w="1380" w:type="dxa"/>
            <w:vAlign w:val="bottom"/>
            <w:tcBorders>
              <w:right w:val="single" w:sz="8" w:color="auto"/>
            </w:tcBorders>
            <w:vMerge w:val="continue"/>
          </w:tcPr>
          <w:p>
            <w:pPr>
              <w:spacing w:after="0"/>
              <w:rPr>
                <w:sz w:val="19"/>
                <w:szCs w:val="19"/>
                <w:color w:val="auto"/>
              </w:rPr>
            </w:pP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26,533</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(4,458)</w:t>
            </w:r>
          </w:p>
        </w:tc>
        <w:tc>
          <w:tcPr>
            <w:tcW w:w="132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22,075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60" w:type="dxa"/>
            <w:vAlign w:val="bottom"/>
            <w:tcBorders>
              <w:right w:val="single" w:sz="8" w:color="auto"/>
            </w:tcBorders>
            <w:shd w:val="clear" w:color="auto" w:fill="CCEEFF"/>
          </w:tcPr>
          <w:p>
            <w:pPr>
              <w:spacing w:after="0"/>
              <w:rPr>
                <w:sz w:val="17"/>
                <w:szCs w:val="17"/>
                <w:color w:val="auto"/>
              </w:rPr>
            </w:pPr>
          </w:p>
        </w:tc>
        <w:tc>
          <w:tcPr>
            <w:tcW w:w="1380" w:type="dxa"/>
            <w:vAlign w:val="bottom"/>
            <w:tcBorders>
              <w:right w:val="single" w:sz="8" w:color="auto"/>
            </w:tcBorders>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60" w:type="dxa"/>
            <w:vAlign w:val="bottom"/>
            <w:tcBorders>
              <w:right w:val="single" w:sz="8" w:color="auto"/>
            </w:tcBorders>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10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Earnings per ordinary</w:t>
            </w:r>
          </w:p>
        </w:tc>
        <w:tc>
          <w:tcPr>
            <w:tcW w:w="10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460" w:type="dxa"/>
            <w:vAlign w:val="bottom"/>
            <w:tcBorders>
              <w:right w:val="single" w:sz="8" w:color="auto"/>
            </w:tcBorders>
            <w:shd w:val="clear" w:color="auto" w:fill="CCEEFF"/>
          </w:tcPr>
          <w:p>
            <w:pPr>
              <w:spacing w:after="0"/>
              <w:rPr>
                <w:sz w:val="16"/>
                <w:szCs w:val="16"/>
                <w:color w:val="auto"/>
              </w:rPr>
            </w:pPr>
          </w:p>
        </w:tc>
        <w:tc>
          <w:tcPr>
            <w:tcW w:w="1380" w:type="dxa"/>
            <w:vAlign w:val="bottom"/>
            <w:tcBorders>
              <w:right w:val="single" w:sz="8" w:color="auto"/>
            </w:tcBorders>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60" w:type="dxa"/>
            <w:vAlign w:val="bottom"/>
            <w:tcBorders>
              <w:right w:val="single" w:sz="8" w:color="auto"/>
            </w:tcBorders>
            <w:shd w:val="clear" w:color="auto" w:fill="CCEEFF"/>
          </w:tcPr>
          <w:p>
            <w:pPr>
              <w:spacing w:after="0"/>
              <w:rPr>
                <w:sz w:val="16"/>
                <w:szCs w:val="16"/>
                <w:color w:val="auto"/>
              </w:rPr>
            </w:pPr>
          </w:p>
        </w:tc>
        <w:tc>
          <w:tcPr>
            <w:tcW w:w="13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w:t>
            </w:r>
          </w:p>
        </w:tc>
        <w:tc>
          <w:tcPr>
            <w:tcW w:w="10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460" w:type="dxa"/>
            <w:vAlign w:val="bottom"/>
            <w:tcBorders>
              <w:right w:val="single" w:sz="8" w:color="auto"/>
            </w:tcBorders>
            <w:shd w:val="clear" w:color="auto" w:fill="CCEEFF"/>
          </w:tcPr>
          <w:p>
            <w:pPr>
              <w:spacing w:after="0"/>
              <w:rPr>
                <w:sz w:val="20"/>
                <w:szCs w:val="20"/>
                <w:color w:val="auto"/>
              </w:rPr>
            </w:pPr>
          </w:p>
        </w:tc>
        <w:tc>
          <w:tcPr>
            <w:tcW w:w="1380" w:type="dxa"/>
            <w:vAlign w:val="bottom"/>
            <w:tcBorders>
              <w:right w:val="single" w:sz="8" w:color="auto"/>
            </w:tcBorders>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60" w:type="dxa"/>
            <w:vAlign w:val="bottom"/>
            <w:tcBorders>
              <w:right w:val="single" w:sz="8" w:color="auto"/>
            </w:tcBorders>
            <w:shd w:val="clear" w:color="auto" w:fill="CCEEFF"/>
          </w:tcPr>
          <w:p>
            <w:pPr>
              <w:spacing w:after="0"/>
              <w:rPr>
                <w:sz w:val="20"/>
                <w:szCs w:val="20"/>
                <w:color w:val="auto"/>
              </w:rPr>
            </w:pPr>
          </w:p>
        </w:tc>
        <w:tc>
          <w:tcPr>
            <w:tcW w:w="1320" w:type="dxa"/>
            <w:vAlign w:val="bottom"/>
            <w:tcBorders>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2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99"/>
              </w:rPr>
              <w:t>6</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0.30</w:t>
            </w:r>
          </w:p>
        </w:tc>
        <w:tc>
          <w:tcPr>
            <w:tcW w:w="14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2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99"/>
              </w:rPr>
              <w:t>6</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0.30</w:t>
            </w:r>
          </w:p>
        </w:tc>
        <w:tc>
          <w:tcPr>
            <w:tcW w:w="14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443"/>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On behalf of the Board</w:t>
            </w:r>
          </w:p>
        </w:tc>
        <w:tc>
          <w:tcPr>
            <w:tcW w:w="1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120" w:type="dxa"/>
            <w:vAlign w:val="bottom"/>
            <w:gridSpan w:val="2"/>
          </w:tcPr>
          <w:p>
            <w:pPr>
              <w:spacing w:after="0"/>
              <w:rPr>
                <w:sz w:val="20"/>
                <w:szCs w:val="20"/>
                <w:color w:val="auto"/>
              </w:rPr>
            </w:pPr>
            <w:r>
              <w:rPr>
                <w:rFonts w:ascii="Arial" w:cs="Arial" w:eastAsia="Arial" w:hAnsi="Arial"/>
                <w:sz w:val="18"/>
                <w:szCs w:val="18"/>
                <w:color w:val="auto"/>
              </w:rPr>
              <w:t>Ciaran Murray</w:t>
            </w:r>
          </w:p>
        </w:tc>
        <w:tc>
          <w:tcPr>
            <w:tcW w:w="1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Declan McKeon</w:t>
            </w: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12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10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7"/>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60" w:type="dxa"/>
            <w:vAlign w:val="bottom"/>
          </w:tcPr>
          <w:p>
            <w:pPr>
              <w:jc w:val="right"/>
              <w:ind w:right="152"/>
              <w:spacing w:after="0"/>
              <w:rPr>
                <w:sz w:val="20"/>
                <w:szCs w:val="20"/>
                <w:color w:val="auto"/>
              </w:rPr>
            </w:pPr>
            <w:r>
              <w:rPr>
                <w:rFonts w:ascii="Arial" w:cs="Arial" w:eastAsia="Arial" w:hAnsi="Arial"/>
                <w:sz w:val="18"/>
                <w:szCs w:val="18"/>
                <w:color w:val="auto"/>
              </w:rPr>
              <w:t>11</w:t>
            </w: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4" w:name="page15"/>
    <w:bookmarkEnd w:id="14"/>
    <w:p>
      <w:pPr>
        <w:spacing w:after="0"/>
        <w:rPr>
          <w:sz w:val="20"/>
          <w:szCs w:val="20"/>
          <w:color w:val="auto"/>
        </w:rPr>
      </w:pPr>
      <w:r>
        <w:rPr>
          <w:rFonts w:ascii="Arial" w:cs="Arial" w:eastAsia="Arial" w:hAnsi="Arial"/>
          <w:sz w:val="25"/>
          <w:szCs w:val="25"/>
          <w:color w:val="auto"/>
        </w:rPr>
        <w:t>Condensed Consolidated Statement of Comprehensive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six month period ended 30 June 2012</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4040" w:type="dxa"/>
            <w:vAlign w:val="bottom"/>
          </w:tcPr>
          <w:p>
            <w:pPr>
              <w:jc w:val="right"/>
              <w:ind w:right="192"/>
              <w:spacing w:after="0"/>
              <w:rPr>
                <w:sz w:val="20"/>
                <w:szCs w:val="20"/>
                <w:color w:val="auto"/>
              </w:rPr>
            </w:pPr>
            <w:r>
              <w:rPr>
                <w:rFonts w:ascii="Arial" w:cs="Arial" w:eastAsia="Arial" w:hAnsi="Arial"/>
                <w:sz w:val="18"/>
                <w:szCs w:val="18"/>
                <w:b w:val="1"/>
                <w:bCs w:val="1"/>
                <w:color w:val="auto"/>
              </w:rPr>
              <w:t>Six months</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Six months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4040" w:type="dxa"/>
            <w:vAlign w:val="bottom"/>
          </w:tcPr>
          <w:p>
            <w:pPr>
              <w:jc w:val="right"/>
              <w:ind w:right="192"/>
              <w:spacing w:after="0"/>
              <w:rPr>
                <w:sz w:val="20"/>
                <w:szCs w:val="20"/>
                <w:color w:val="auto"/>
              </w:rPr>
            </w:pPr>
            <w:r>
              <w:rPr>
                <w:rFonts w:ascii="Arial" w:cs="Arial" w:eastAsia="Arial" w:hAnsi="Arial"/>
                <w:sz w:val="18"/>
                <w:szCs w:val="18"/>
                <w:b w:val="1"/>
                <w:bCs w:val="1"/>
                <w:color w:val="auto"/>
              </w:rPr>
              <w:t>ended</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4040" w:type="dxa"/>
            <w:vAlign w:val="bottom"/>
          </w:tcPr>
          <w:p>
            <w:pPr>
              <w:jc w:val="right"/>
              <w:ind w:right="192"/>
              <w:spacing w:after="0"/>
              <w:rPr>
                <w:sz w:val="20"/>
                <w:szCs w:val="20"/>
                <w:color w:val="auto"/>
              </w:rPr>
            </w:pPr>
            <w:r>
              <w:rPr>
                <w:rFonts w:ascii="Arial" w:cs="Arial" w:eastAsia="Arial" w:hAnsi="Arial"/>
                <w:sz w:val="18"/>
                <w:szCs w:val="18"/>
                <w:b w:val="1"/>
                <w:bCs w:val="1"/>
                <w:color w:val="auto"/>
              </w:rPr>
              <w:t>30 June</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30 June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4040" w:type="dxa"/>
            <w:vAlign w:val="bottom"/>
          </w:tcPr>
          <w:p>
            <w:pPr>
              <w:jc w:val="right"/>
              <w:ind w:right="192"/>
              <w:spacing w:after="0"/>
              <w:rPr>
                <w:sz w:val="20"/>
                <w:szCs w:val="20"/>
                <w:color w:val="auto"/>
              </w:rPr>
            </w:pPr>
            <w:r>
              <w:rPr>
                <w:rFonts w:ascii="Arial" w:cs="Arial" w:eastAsia="Arial" w:hAnsi="Arial"/>
                <w:sz w:val="18"/>
                <w:szCs w:val="18"/>
                <w:b w:val="1"/>
                <w:bCs w:val="1"/>
                <w:color w:val="auto"/>
              </w:rPr>
              <w:t>2012</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4040" w:type="dxa"/>
            <w:vAlign w:val="bottom"/>
          </w:tcPr>
          <w:p>
            <w:pPr>
              <w:jc w:val="right"/>
              <w:ind w:right="192"/>
              <w:spacing w:after="0"/>
              <w:rPr>
                <w:sz w:val="20"/>
                <w:szCs w:val="20"/>
                <w:color w:val="auto"/>
              </w:rPr>
            </w:pPr>
            <w:r>
              <w:rPr>
                <w:rFonts w:ascii="Arial" w:cs="Arial" w:eastAsia="Arial" w:hAnsi="Arial"/>
                <w:sz w:val="18"/>
                <w:szCs w:val="18"/>
                <w:b w:val="1"/>
                <w:bCs w:val="1"/>
                <w:color w:val="auto"/>
              </w:rPr>
              <w:t>US$’000</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4040" w:type="dxa"/>
            <w:vAlign w:val="bottom"/>
          </w:tcPr>
          <w:p>
            <w:pPr>
              <w:jc w:val="right"/>
              <w:ind w:right="192"/>
              <w:spacing w:after="0"/>
              <w:rPr>
                <w:sz w:val="20"/>
                <w:szCs w:val="20"/>
                <w:color w:val="auto"/>
              </w:rPr>
            </w:pPr>
            <w:r>
              <w:rPr>
                <w:rFonts w:ascii="Arial" w:cs="Arial" w:eastAsia="Arial" w:hAnsi="Arial"/>
                <w:sz w:val="18"/>
                <w:szCs w:val="18"/>
                <w:b w:val="1"/>
                <w:bCs w:val="1"/>
                <w:color w:val="auto"/>
              </w:rPr>
              <w:t>(Unaudited)</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(Unaudited)</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Profit for the financial period</w:t>
            </w:r>
          </w:p>
        </w:tc>
        <w:tc>
          <w:tcPr>
            <w:tcW w:w="404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18,122</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22,075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w:t>
            </w:r>
          </w:p>
        </w:tc>
        <w:tc>
          <w:tcPr>
            <w:tcW w:w="40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Deferred tax movement on unexercised options</w:t>
            </w:r>
          </w:p>
        </w:tc>
        <w:tc>
          <w:tcPr>
            <w:tcW w:w="404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5</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Tax benefit on exercised options</w:t>
            </w:r>
          </w:p>
        </w:tc>
        <w:tc>
          <w:tcPr>
            <w:tcW w:w="404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940</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404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(10,293)</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15,824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Currency impact of long term funding</w:t>
            </w:r>
          </w:p>
        </w:tc>
        <w:tc>
          <w:tcPr>
            <w:tcW w:w="404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1,693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Tax on currency impact of long term funding</w:t>
            </w:r>
          </w:p>
        </w:tc>
        <w:tc>
          <w:tcPr>
            <w:tcW w:w="404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(157)</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6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Unrealised capital gain on investments</w:t>
            </w:r>
          </w:p>
        </w:tc>
        <w:tc>
          <w:tcPr>
            <w:tcW w:w="40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372</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6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40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(7,440)</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13,950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6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40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10,682</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36,025</w:t>
            </w:r>
          </w:p>
        </w:tc>
        <w:tc>
          <w:tcPr>
            <w:tcW w:w="0" w:type="dxa"/>
            <w:vAlign w:val="bottom"/>
          </w:tcPr>
          <w:p>
            <w:pPr>
              <w:spacing w:after="0"/>
              <w:rPr>
                <w:sz w:val="1"/>
                <w:szCs w:val="1"/>
                <w:color w:val="auto"/>
              </w:rPr>
            </w:pPr>
          </w:p>
        </w:tc>
      </w:tr>
      <w:tr>
        <w:trPr>
          <w:trHeight w:val="412"/>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Attributable to:</w:t>
            </w:r>
          </w:p>
        </w:tc>
        <w:tc>
          <w:tcPr>
            <w:tcW w:w="4040" w:type="dxa"/>
            <w:vAlign w:val="bottom"/>
            <w:vMerge w:val="restart"/>
          </w:tcPr>
          <w:p>
            <w:pPr>
              <w:jc w:val="right"/>
              <w:ind w:right="192"/>
              <w:spacing w:after="0"/>
              <w:rPr>
                <w:sz w:val="20"/>
                <w:szCs w:val="20"/>
                <w:color w:val="auto"/>
              </w:rPr>
            </w:pPr>
            <w:r>
              <w:rPr>
                <w:rFonts w:ascii="Arial" w:cs="Arial" w:eastAsia="Arial" w:hAnsi="Arial"/>
                <w:sz w:val="18"/>
                <w:szCs w:val="18"/>
                <w:b w:val="1"/>
                <w:bCs w:val="1"/>
                <w:color w:val="auto"/>
              </w:rPr>
              <w:t>10,682</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200" w:type="dxa"/>
            <w:vAlign w:val="bottom"/>
            <w:gridSpan w:val="2"/>
          </w:tcPr>
          <w:p>
            <w:pPr>
              <w:spacing w:after="0"/>
              <w:rPr>
                <w:sz w:val="20"/>
                <w:szCs w:val="20"/>
                <w:color w:val="auto"/>
              </w:rPr>
            </w:pPr>
            <w:r>
              <w:rPr>
                <w:rFonts w:ascii="Arial" w:cs="Arial" w:eastAsia="Arial" w:hAnsi="Arial"/>
                <w:sz w:val="18"/>
                <w:szCs w:val="18"/>
                <w:color w:val="auto"/>
              </w:rPr>
              <w:t>Equity holders of the Company</w:t>
            </w:r>
          </w:p>
        </w:tc>
        <w:tc>
          <w:tcPr>
            <w:tcW w:w="4040" w:type="dxa"/>
            <w:vAlign w:val="bottom"/>
            <w:vMerge w:val="continue"/>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36,025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180" w:type="dxa"/>
            <w:vAlign w:val="bottom"/>
            <w:tcBorders>
              <w:top w:val="single" w:sz="8" w:color="auto"/>
            </w:tcBorders>
            <w:shd w:val="clear" w:color="auto" w:fill="CCEEFF"/>
          </w:tcPr>
          <w:p>
            <w:pPr>
              <w:spacing w:after="0"/>
              <w:rPr>
                <w:sz w:val="18"/>
                <w:szCs w:val="18"/>
                <w:color w:val="auto"/>
              </w:rPr>
            </w:pPr>
          </w:p>
        </w:tc>
        <w:tc>
          <w:tcPr>
            <w:tcW w:w="40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auto"/>
            </w:tcBorders>
            <w:vMerge w:val="continue"/>
          </w:tcPr>
          <w:p>
            <w:pPr>
              <w:spacing w:after="0"/>
              <w:rPr>
                <w:sz w:val="19"/>
                <w:szCs w:val="19"/>
                <w:color w:val="auto"/>
              </w:rPr>
            </w:pPr>
          </w:p>
        </w:tc>
        <w:tc>
          <w:tcPr>
            <w:tcW w:w="6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comprehensive income</w:t>
            </w:r>
          </w:p>
        </w:tc>
        <w:tc>
          <w:tcPr>
            <w:tcW w:w="40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10,682</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80" w:type="dxa"/>
            <w:vAlign w:val="bottom"/>
          </w:tcPr>
          <w:p>
            <w:pPr>
              <w:spacing w:after="0"/>
              <w:rPr>
                <w:sz w:val="20"/>
                <w:szCs w:val="20"/>
                <w:color w:val="auto"/>
              </w:rPr>
            </w:pPr>
            <w:r>
              <w:rPr>
                <w:rFonts w:ascii="Arial" w:cs="Arial" w:eastAsia="Arial" w:hAnsi="Arial"/>
                <w:sz w:val="18"/>
                <w:szCs w:val="18"/>
                <w:b w:val="1"/>
                <w:bCs w:val="1"/>
                <w:color w:val="auto"/>
              </w:rPr>
              <w:t>On behalf of the Board</w:t>
            </w:r>
          </w:p>
        </w:tc>
        <w:tc>
          <w:tcPr>
            <w:tcW w:w="7740" w:type="dxa"/>
            <w:vAlign w:val="bottom"/>
          </w:tcPr>
          <w:p>
            <w:pPr>
              <w:spacing w:after="0"/>
              <w:rPr>
                <w:sz w:val="19"/>
                <w:szCs w:val="19"/>
                <w:color w:val="auto"/>
              </w:rPr>
            </w:pPr>
          </w:p>
        </w:tc>
      </w:tr>
      <w:tr>
        <w:trPr>
          <w:trHeight w:val="917"/>
        </w:trPr>
        <w:tc>
          <w:tcPr>
            <w:tcW w:w="3680" w:type="dxa"/>
            <w:vAlign w:val="bottom"/>
          </w:tcPr>
          <w:p>
            <w:pPr>
              <w:spacing w:after="0"/>
              <w:rPr>
                <w:sz w:val="20"/>
                <w:szCs w:val="20"/>
                <w:color w:val="auto"/>
              </w:rPr>
            </w:pPr>
            <w:r>
              <w:rPr>
                <w:rFonts w:ascii="Arial" w:cs="Arial" w:eastAsia="Arial" w:hAnsi="Arial"/>
                <w:sz w:val="18"/>
                <w:szCs w:val="18"/>
                <w:color w:val="auto"/>
              </w:rPr>
              <w:t>Ciaran Murray</w:t>
            </w:r>
          </w:p>
        </w:tc>
        <w:tc>
          <w:tcPr>
            <w:tcW w:w="7740" w:type="dxa"/>
            <w:vAlign w:val="bottom"/>
          </w:tcPr>
          <w:p>
            <w:pPr>
              <w:ind w:left="2040"/>
              <w:spacing w:after="0"/>
              <w:rPr>
                <w:sz w:val="20"/>
                <w:szCs w:val="20"/>
                <w:color w:val="auto"/>
              </w:rPr>
            </w:pPr>
            <w:r>
              <w:rPr>
                <w:rFonts w:ascii="Arial" w:cs="Arial" w:eastAsia="Arial" w:hAnsi="Arial"/>
                <w:sz w:val="18"/>
                <w:szCs w:val="18"/>
                <w:color w:val="auto"/>
              </w:rPr>
              <w:t>Declan McKeon</w:t>
            </w:r>
          </w:p>
        </w:tc>
      </w:tr>
      <w:tr>
        <w:trPr>
          <w:trHeight w:val="223"/>
        </w:trPr>
        <w:tc>
          <w:tcPr>
            <w:tcW w:w="368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7740" w:type="dxa"/>
            <w:vAlign w:val="bottom"/>
          </w:tcPr>
          <w:p>
            <w:pPr>
              <w:ind w:left="2040"/>
              <w:spacing w:after="0"/>
              <w:rPr>
                <w:sz w:val="20"/>
                <w:szCs w:val="20"/>
                <w:color w:val="auto"/>
              </w:rPr>
            </w:pPr>
            <w:r>
              <w:rPr>
                <w:rFonts w:ascii="Arial" w:cs="Arial" w:eastAsia="Arial" w:hAnsi="Arial"/>
                <w:sz w:val="18"/>
                <w:szCs w:val="18"/>
                <w:i w:val="1"/>
                <w:iCs w:val="1"/>
                <w:color w:val="auto"/>
              </w:rPr>
              <w:t>Director</w:t>
            </w:r>
          </w:p>
        </w:tc>
      </w:tr>
      <w:tr>
        <w:trPr>
          <w:trHeight w:val="597"/>
        </w:trPr>
        <w:tc>
          <w:tcPr>
            <w:tcW w:w="3680" w:type="dxa"/>
            <w:vAlign w:val="bottom"/>
          </w:tcPr>
          <w:p>
            <w:pPr>
              <w:spacing w:after="0"/>
              <w:rPr>
                <w:sz w:val="24"/>
                <w:szCs w:val="24"/>
                <w:color w:val="auto"/>
              </w:rPr>
            </w:pPr>
          </w:p>
        </w:tc>
        <w:tc>
          <w:tcPr>
            <w:tcW w:w="7740" w:type="dxa"/>
            <w:vAlign w:val="bottom"/>
          </w:tcPr>
          <w:p>
            <w:pPr>
              <w:jc w:val="right"/>
              <w:ind w:right="5532"/>
              <w:spacing w:after="0"/>
              <w:rPr>
                <w:sz w:val="20"/>
                <w:szCs w:val="20"/>
                <w:color w:val="auto"/>
              </w:rPr>
            </w:pPr>
            <w:r>
              <w:rPr>
                <w:rFonts w:ascii="Arial" w:cs="Arial" w:eastAsia="Arial" w:hAnsi="Arial"/>
                <w:sz w:val="18"/>
                <w:szCs w:val="18"/>
                <w:color w:val="auto"/>
              </w:rPr>
              <w:t>12</w:t>
            </w:r>
          </w:p>
        </w:tc>
      </w:tr>
      <w:tr>
        <w:trPr>
          <w:trHeight w:val="117"/>
        </w:trPr>
        <w:tc>
          <w:tcPr>
            <w:tcW w:w="3680" w:type="dxa"/>
            <w:vAlign w:val="bottom"/>
            <w:tcBorders>
              <w:bottom w:val="single" w:sz="8" w:color="808080"/>
            </w:tcBorders>
          </w:tcPr>
          <w:p>
            <w:pPr>
              <w:spacing w:after="0"/>
              <w:rPr>
                <w:sz w:val="10"/>
                <w:szCs w:val="10"/>
                <w:color w:val="auto"/>
              </w:rPr>
            </w:pPr>
          </w:p>
        </w:tc>
        <w:tc>
          <w:tcPr>
            <w:tcW w:w="77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5" w:name="page16"/>
    <w:bookmarkEnd w:id="15"/>
    <w:p>
      <w:pPr>
        <w:spacing w:after="0"/>
        <w:rPr>
          <w:sz w:val="20"/>
          <w:szCs w:val="20"/>
          <w:color w:val="auto"/>
        </w:rPr>
      </w:pPr>
      <w:r>
        <w:rPr>
          <w:rFonts w:ascii="Arial" w:cs="Arial" w:eastAsia="Arial" w:hAnsi="Arial"/>
          <w:sz w:val="25"/>
          <w:szCs w:val="25"/>
          <w:color w:val="auto"/>
        </w:rPr>
        <w:t>Condensed Consolidated Statement of Financial Position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at 30 June 201</w:t>
      </w:r>
      <w:r>
        <w:rPr>
          <w:rFonts w:ascii="Arial" w:cs="Arial" w:eastAsia="Arial" w:hAnsi="Arial"/>
          <w:sz w:val="18"/>
          <w:szCs w:val="18"/>
          <w:color w:val="auto"/>
        </w:rPr>
        <w:t>2</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540" w:type="dxa"/>
            <w:vAlign w:val="bottom"/>
          </w:tcPr>
          <w:p>
            <w:pPr>
              <w:jc w:val="right"/>
              <w:ind w:right="132"/>
              <w:spacing w:after="0"/>
              <w:rPr>
                <w:sz w:val="20"/>
                <w:szCs w:val="20"/>
                <w:color w:val="auto"/>
              </w:rPr>
            </w:pPr>
            <w:r>
              <w:rPr>
                <w:rFonts w:ascii="Arial" w:cs="Arial" w:eastAsia="Arial" w:hAnsi="Arial"/>
                <w:sz w:val="18"/>
                <w:szCs w:val="18"/>
                <w:b w:val="1"/>
                <w:bCs w:val="1"/>
                <w:color w:val="auto"/>
              </w:rPr>
              <w:t>30 June</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3120" w:type="dxa"/>
            <w:vAlign w:val="bottom"/>
          </w:tcPr>
          <w:p>
            <w:pPr>
              <w:ind w:left="2360"/>
              <w:spacing w:after="0"/>
              <w:rPr>
                <w:sz w:val="20"/>
                <w:szCs w:val="20"/>
                <w:color w:val="auto"/>
              </w:rPr>
            </w:pPr>
            <w:r>
              <w:rPr>
                <w:rFonts w:ascii="Arial" w:cs="Arial" w:eastAsia="Arial" w:hAnsi="Arial"/>
                <w:sz w:val="18"/>
                <w:szCs w:val="18"/>
                <w:b w:val="1"/>
                <w:bCs w:val="1"/>
                <w:i w:val="1"/>
                <w:iCs w:val="1"/>
                <w:color w:val="auto"/>
              </w:rPr>
              <w:t>Note</w:t>
            </w:r>
          </w:p>
        </w:tc>
        <w:tc>
          <w:tcPr>
            <w:tcW w:w="1540" w:type="dxa"/>
            <w:vAlign w:val="bottom"/>
          </w:tcPr>
          <w:p>
            <w:pPr>
              <w:jc w:val="right"/>
              <w:ind w:right="132"/>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2"/>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3120" w:type="dxa"/>
            <w:vAlign w:val="bottom"/>
          </w:tcPr>
          <w:p>
            <w:pPr>
              <w:spacing w:after="0"/>
              <w:rPr>
                <w:sz w:val="18"/>
                <w:szCs w:val="18"/>
                <w:color w:val="auto"/>
              </w:rPr>
            </w:pPr>
          </w:p>
        </w:tc>
        <w:tc>
          <w:tcPr>
            <w:tcW w:w="1540" w:type="dxa"/>
            <w:vAlign w:val="bottom"/>
          </w:tcPr>
          <w:p>
            <w:pPr>
              <w:jc w:val="right"/>
              <w:ind w:right="132"/>
              <w:spacing w:after="0"/>
              <w:rPr>
                <w:sz w:val="20"/>
                <w:szCs w:val="20"/>
                <w:color w:val="auto"/>
              </w:rPr>
            </w:pPr>
            <w:r>
              <w:rPr>
                <w:rFonts w:ascii="Arial" w:cs="Arial" w:eastAsia="Arial" w:hAnsi="Arial"/>
                <w:sz w:val="18"/>
                <w:szCs w:val="18"/>
                <w:b w:val="1"/>
                <w:bCs w:val="1"/>
                <w:color w:val="auto"/>
              </w:rPr>
              <w:t>US$’000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29"/>
        </w:trPr>
        <w:tc>
          <w:tcPr>
            <w:tcW w:w="5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Non-current assets</w:t>
            </w:r>
          </w:p>
        </w:tc>
        <w:tc>
          <w:tcPr>
            <w:tcW w:w="3120" w:type="dxa"/>
            <w:vAlign w:val="bottom"/>
          </w:tcPr>
          <w:p>
            <w:pPr>
              <w:spacing w:after="0"/>
              <w:rPr>
                <w:sz w:val="19"/>
                <w:szCs w:val="19"/>
                <w:color w:val="auto"/>
              </w:rPr>
            </w:pPr>
          </w:p>
        </w:tc>
        <w:tc>
          <w:tcPr>
            <w:tcW w:w="1540" w:type="dxa"/>
            <w:vAlign w:val="bottom"/>
          </w:tcPr>
          <w:p>
            <w:pPr>
              <w:jc w:val="right"/>
              <w:ind w:right="132"/>
              <w:spacing w:after="0"/>
              <w:rPr>
                <w:sz w:val="20"/>
                <w:szCs w:val="20"/>
                <w:color w:val="auto"/>
              </w:rPr>
            </w:pPr>
            <w:r>
              <w:rPr>
                <w:rFonts w:ascii="Arial" w:cs="Arial" w:eastAsia="Arial" w:hAnsi="Arial"/>
                <w:sz w:val="18"/>
                <w:szCs w:val="18"/>
                <w:b w:val="1"/>
                <w:bCs w:val="1"/>
                <w:color w:val="auto"/>
              </w:rPr>
              <w:t>(Unaudited)</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(Audited)</w:t>
            </w:r>
          </w:p>
        </w:tc>
        <w:tc>
          <w:tcPr>
            <w:tcW w:w="0" w:type="dxa"/>
            <w:vAlign w:val="bottom"/>
          </w:tcPr>
          <w:p>
            <w:pPr>
              <w:spacing w:after="0"/>
              <w:rPr>
                <w:sz w:val="1"/>
                <w:szCs w:val="1"/>
                <w:color w:val="auto"/>
              </w:rPr>
            </w:pPr>
          </w:p>
        </w:tc>
      </w:tr>
      <w:tr>
        <w:trPr>
          <w:trHeight w:val="212"/>
        </w:trPr>
        <w:tc>
          <w:tcPr>
            <w:tcW w:w="5540" w:type="dxa"/>
            <w:vAlign w:val="bottom"/>
            <w:gridSpan w:val="2"/>
            <w:vMerge w:val="continue"/>
          </w:tcPr>
          <w:p>
            <w:pPr>
              <w:spacing w:after="0"/>
              <w:rPr>
                <w:sz w:val="18"/>
                <w:szCs w:val="18"/>
                <w:color w:val="auto"/>
              </w:rPr>
            </w:pPr>
          </w:p>
        </w:tc>
        <w:tc>
          <w:tcPr>
            <w:tcW w:w="3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120" w:type="dxa"/>
            <w:vAlign w:val="bottom"/>
            <w:shd w:val="clear" w:color="auto" w:fill="CCEEFF"/>
          </w:tcPr>
          <w:p>
            <w:pPr>
              <w:jc w:val="center"/>
              <w:ind w:left="1852"/>
              <w:spacing w:after="0"/>
              <w:rPr>
                <w:sz w:val="20"/>
                <w:szCs w:val="20"/>
                <w:color w:val="auto"/>
              </w:rPr>
            </w:pPr>
            <w:r>
              <w:rPr>
                <w:rFonts w:ascii="Arial" w:cs="Arial" w:eastAsia="Arial" w:hAnsi="Arial"/>
                <w:sz w:val="18"/>
                <w:szCs w:val="18"/>
                <w:i w:val="1"/>
                <w:iCs w:val="1"/>
                <w:color w:val="auto"/>
                <w:w w:val="99"/>
              </w:rPr>
              <w:t>9</w:t>
            </w:r>
          </w:p>
        </w:tc>
        <w:tc>
          <w:tcPr>
            <w:tcW w:w="154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121,164</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129,389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Intangible assets – goodwill and other</w:t>
            </w:r>
          </w:p>
        </w:tc>
        <w:tc>
          <w:tcPr>
            <w:tcW w:w="3120" w:type="dxa"/>
            <w:vAlign w:val="bottom"/>
          </w:tcPr>
          <w:p>
            <w:pPr>
              <w:jc w:val="center"/>
              <w:ind w:left="1852"/>
              <w:spacing w:after="0"/>
              <w:rPr>
                <w:sz w:val="20"/>
                <w:szCs w:val="20"/>
                <w:color w:val="auto"/>
              </w:rPr>
            </w:pPr>
            <w:r>
              <w:rPr>
                <w:rFonts w:ascii="Arial" w:cs="Arial" w:eastAsia="Arial" w:hAnsi="Arial"/>
                <w:sz w:val="18"/>
                <w:szCs w:val="18"/>
                <w:i w:val="1"/>
                <w:iCs w:val="1"/>
                <w:color w:val="auto"/>
                <w:w w:val="89"/>
              </w:rPr>
              <w:t>10</w:t>
            </w:r>
          </w:p>
        </w:tc>
        <w:tc>
          <w:tcPr>
            <w:tcW w:w="1540" w:type="dxa"/>
            <w:vAlign w:val="bottom"/>
          </w:tcPr>
          <w:p>
            <w:pPr>
              <w:jc w:val="right"/>
              <w:ind w:right="132"/>
              <w:spacing w:after="0"/>
              <w:rPr>
                <w:sz w:val="20"/>
                <w:szCs w:val="20"/>
                <w:color w:val="auto"/>
              </w:rPr>
            </w:pPr>
            <w:r>
              <w:rPr>
                <w:rFonts w:ascii="Arial" w:cs="Arial" w:eastAsia="Arial" w:hAnsi="Arial"/>
                <w:sz w:val="18"/>
                <w:szCs w:val="18"/>
                <w:b w:val="1"/>
                <w:bCs w:val="1"/>
                <w:color w:val="auto"/>
              </w:rPr>
              <w:t>398,264</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334,736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3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10,544</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10,601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 assets</w:t>
            </w:r>
          </w:p>
        </w:tc>
        <w:tc>
          <w:tcPr>
            <w:tcW w:w="3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10,389</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4,610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3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540,361</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479,336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3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Inventories</w:t>
            </w:r>
          </w:p>
        </w:tc>
        <w:tc>
          <w:tcPr>
            <w:tcW w:w="3120" w:type="dxa"/>
            <w:vAlign w:val="bottom"/>
          </w:tcPr>
          <w:p>
            <w:pPr>
              <w:spacing w:after="0"/>
              <w:rPr>
                <w:sz w:val="18"/>
                <w:szCs w:val="18"/>
                <w:color w:val="auto"/>
              </w:rPr>
            </w:pPr>
          </w:p>
        </w:tc>
        <w:tc>
          <w:tcPr>
            <w:tcW w:w="1540" w:type="dxa"/>
            <w:vAlign w:val="bottom"/>
          </w:tcPr>
          <w:p>
            <w:pPr>
              <w:jc w:val="right"/>
              <w:ind w:right="132"/>
              <w:spacing w:after="0"/>
              <w:rPr>
                <w:sz w:val="20"/>
                <w:szCs w:val="20"/>
                <w:color w:val="auto"/>
              </w:rPr>
            </w:pPr>
            <w:r>
              <w:rPr>
                <w:rFonts w:ascii="Arial" w:cs="Arial" w:eastAsia="Arial" w:hAnsi="Arial"/>
                <w:sz w:val="18"/>
                <w:szCs w:val="18"/>
                <w:b w:val="1"/>
                <w:bCs w:val="1"/>
                <w:color w:val="auto"/>
              </w:rPr>
              <w:t>2,747</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120" w:type="dxa"/>
            <w:vAlign w:val="bottom"/>
            <w:shd w:val="clear" w:color="auto" w:fill="CCEEFF"/>
          </w:tcPr>
          <w:p>
            <w:pPr>
              <w:jc w:val="center"/>
              <w:ind w:left="1852"/>
              <w:spacing w:after="0"/>
              <w:rPr>
                <w:sz w:val="20"/>
                <w:szCs w:val="20"/>
                <w:color w:val="auto"/>
              </w:rPr>
            </w:pPr>
            <w:r>
              <w:rPr>
                <w:rFonts w:ascii="Arial" w:cs="Arial" w:eastAsia="Arial" w:hAnsi="Arial"/>
                <w:sz w:val="18"/>
                <w:szCs w:val="18"/>
                <w:i w:val="1"/>
                <w:iCs w:val="1"/>
                <w:color w:val="auto"/>
                <w:w w:val="89"/>
              </w:rPr>
              <w:t>12</w:t>
            </w:r>
          </w:p>
        </w:tc>
        <w:tc>
          <w:tcPr>
            <w:tcW w:w="154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228,215</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201,338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Unbilled revenue</w:t>
            </w:r>
          </w:p>
        </w:tc>
        <w:tc>
          <w:tcPr>
            <w:tcW w:w="3120" w:type="dxa"/>
            <w:vAlign w:val="bottom"/>
          </w:tcPr>
          <w:p>
            <w:pPr>
              <w:jc w:val="center"/>
              <w:ind w:left="1852"/>
              <w:spacing w:after="0"/>
              <w:rPr>
                <w:sz w:val="20"/>
                <w:szCs w:val="20"/>
                <w:color w:val="auto"/>
              </w:rPr>
            </w:pPr>
            <w:r>
              <w:rPr>
                <w:rFonts w:ascii="Arial" w:cs="Arial" w:eastAsia="Arial" w:hAnsi="Arial"/>
                <w:sz w:val="18"/>
                <w:szCs w:val="18"/>
                <w:i w:val="1"/>
                <w:iCs w:val="1"/>
                <w:color w:val="auto"/>
                <w:w w:val="89"/>
              </w:rPr>
              <w:t>12</w:t>
            </w:r>
          </w:p>
        </w:tc>
        <w:tc>
          <w:tcPr>
            <w:tcW w:w="1540" w:type="dxa"/>
            <w:vAlign w:val="bottom"/>
          </w:tcPr>
          <w:p>
            <w:pPr>
              <w:jc w:val="right"/>
              <w:ind w:right="132"/>
              <w:spacing w:after="0"/>
              <w:rPr>
                <w:sz w:val="20"/>
                <w:szCs w:val="20"/>
                <w:color w:val="auto"/>
              </w:rPr>
            </w:pPr>
            <w:r>
              <w:rPr>
                <w:rFonts w:ascii="Arial" w:cs="Arial" w:eastAsia="Arial" w:hAnsi="Arial"/>
                <w:sz w:val="18"/>
                <w:szCs w:val="18"/>
                <w:b w:val="1"/>
                <w:bCs w:val="1"/>
                <w:color w:val="auto"/>
              </w:rPr>
              <w:t>115,407</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126,850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current assets</w:t>
            </w:r>
          </w:p>
        </w:tc>
        <w:tc>
          <w:tcPr>
            <w:tcW w:w="3120" w:type="dxa"/>
            <w:vAlign w:val="bottom"/>
            <w:shd w:val="clear" w:color="auto" w:fill="CCEEFF"/>
          </w:tcPr>
          <w:p>
            <w:pPr>
              <w:jc w:val="center"/>
              <w:ind w:left="1852"/>
              <w:spacing w:after="0"/>
              <w:rPr>
                <w:sz w:val="20"/>
                <w:szCs w:val="20"/>
                <w:color w:val="auto"/>
              </w:rPr>
            </w:pPr>
            <w:r>
              <w:rPr>
                <w:rFonts w:ascii="Arial" w:cs="Arial" w:eastAsia="Arial" w:hAnsi="Arial"/>
                <w:sz w:val="18"/>
                <w:szCs w:val="18"/>
                <w:i w:val="1"/>
                <w:iCs w:val="1"/>
                <w:color w:val="auto"/>
                <w:w w:val="89"/>
              </w:rPr>
              <w:t>13</w:t>
            </w:r>
          </w:p>
        </w:tc>
        <w:tc>
          <w:tcPr>
            <w:tcW w:w="154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24,449</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26,409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Current taxes receivable</w:t>
            </w:r>
          </w:p>
        </w:tc>
        <w:tc>
          <w:tcPr>
            <w:tcW w:w="3120" w:type="dxa"/>
            <w:vAlign w:val="bottom"/>
          </w:tcPr>
          <w:p>
            <w:pPr>
              <w:spacing w:after="0"/>
              <w:rPr>
                <w:sz w:val="18"/>
                <w:szCs w:val="18"/>
                <w:color w:val="auto"/>
              </w:rPr>
            </w:pPr>
          </w:p>
        </w:tc>
        <w:tc>
          <w:tcPr>
            <w:tcW w:w="1540" w:type="dxa"/>
            <w:vAlign w:val="bottom"/>
          </w:tcPr>
          <w:p>
            <w:pPr>
              <w:jc w:val="right"/>
              <w:ind w:right="132"/>
              <w:spacing w:after="0"/>
              <w:rPr>
                <w:sz w:val="20"/>
                <w:szCs w:val="20"/>
                <w:color w:val="auto"/>
              </w:rPr>
            </w:pPr>
            <w:r>
              <w:rPr>
                <w:rFonts w:ascii="Arial" w:cs="Arial" w:eastAsia="Arial" w:hAnsi="Arial"/>
                <w:sz w:val="18"/>
                <w:szCs w:val="18"/>
                <w:b w:val="1"/>
                <w:bCs w:val="1"/>
                <w:color w:val="auto"/>
              </w:rPr>
              <w:t>20,691</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18,455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Current asset investments</w:t>
            </w:r>
          </w:p>
        </w:tc>
        <w:tc>
          <w:tcPr>
            <w:tcW w:w="3120" w:type="dxa"/>
            <w:vAlign w:val="bottom"/>
            <w:shd w:val="clear" w:color="auto" w:fill="CCEEFF"/>
          </w:tcPr>
          <w:p>
            <w:pPr>
              <w:jc w:val="center"/>
              <w:ind w:left="1852"/>
              <w:spacing w:after="0"/>
              <w:rPr>
                <w:sz w:val="20"/>
                <w:szCs w:val="20"/>
                <w:color w:val="auto"/>
              </w:rPr>
            </w:pPr>
            <w:r>
              <w:rPr>
                <w:rFonts w:ascii="Arial" w:cs="Arial" w:eastAsia="Arial" w:hAnsi="Arial"/>
                <w:sz w:val="18"/>
                <w:szCs w:val="18"/>
                <w:i w:val="1"/>
                <w:iCs w:val="1"/>
                <w:color w:val="auto"/>
                <w:w w:val="89"/>
              </w:rPr>
              <w:t>14</w:t>
            </w:r>
          </w:p>
        </w:tc>
        <w:tc>
          <w:tcPr>
            <w:tcW w:w="154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73,116</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54,940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w:t>
            </w:r>
          </w:p>
        </w:tc>
        <w:tc>
          <w:tcPr>
            <w:tcW w:w="3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94,922</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119,237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559,547</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550,016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2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1,099,908</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1,029,352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3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Share capital</w:t>
            </w:r>
          </w:p>
        </w:tc>
        <w:tc>
          <w:tcPr>
            <w:tcW w:w="3120" w:type="dxa"/>
            <w:vAlign w:val="bottom"/>
          </w:tcPr>
          <w:p>
            <w:pPr>
              <w:jc w:val="center"/>
              <w:ind w:left="1852"/>
              <w:spacing w:after="0"/>
              <w:rPr>
                <w:sz w:val="20"/>
                <w:szCs w:val="20"/>
                <w:color w:val="auto"/>
              </w:rPr>
            </w:pPr>
            <w:r>
              <w:rPr>
                <w:rFonts w:ascii="Arial" w:cs="Arial" w:eastAsia="Arial" w:hAnsi="Arial"/>
                <w:sz w:val="18"/>
                <w:szCs w:val="18"/>
                <w:i w:val="1"/>
                <w:iCs w:val="1"/>
                <w:color w:val="auto"/>
                <w:w w:val="89"/>
              </w:rPr>
              <w:t>16</w:t>
            </w:r>
          </w:p>
        </w:tc>
        <w:tc>
          <w:tcPr>
            <w:tcW w:w="1540" w:type="dxa"/>
            <w:vAlign w:val="bottom"/>
          </w:tcPr>
          <w:p>
            <w:pPr>
              <w:jc w:val="right"/>
              <w:ind w:right="132"/>
              <w:spacing w:after="0"/>
              <w:rPr>
                <w:sz w:val="20"/>
                <w:szCs w:val="20"/>
                <w:color w:val="auto"/>
              </w:rPr>
            </w:pPr>
            <w:r>
              <w:rPr>
                <w:rFonts w:ascii="Arial" w:cs="Arial" w:eastAsia="Arial" w:hAnsi="Arial"/>
                <w:sz w:val="18"/>
                <w:szCs w:val="18"/>
                <w:b w:val="1"/>
                <w:bCs w:val="1"/>
                <w:color w:val="auto"/>
              </w:rPr>
              <w:t>5,021</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5,055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Share premium</w:t>
            </w:r>
          </w:p>
        </w:tc>
        <w:tc>
          <w:tcPr>
            <w:tcW w:w="3120" w:type="dxa"/>
            <w:vAlign w:val="bottom"/>
            <w:shd w:val="clear" w:color="auto" w:fill="CCEEFF"/>
          </w:tcPr>
          <w:p>
            <w:pPr>
              <w:jc w:val="center"/>
              <w:ind w:left="1852"/>
              <w:spacing w:after="0"/>
              <w:rPr>
                <w:sz w:val="20"/>
                <w:szCs w:val="20"/>
                <w:color w:val="auto"/>
              </w:rPr>
            </w:pPr>
            <w:r>
              <w:rPr>
                <w:rFonts w:ascii="Arial" w:cs="Arial" w:eastAsia="Arial" w:hAnsi="Arial"/>
                <w:sz w:val="18"/>
                <w:szCs w:val="18"/>
                <w:i w:val="1"/>
                <w:iCs w:val="1"/>
                <w:color w:val="auto"/>
                <w:w w:val="89"/>
              </w:rPr>
              <w:t>16</w:t>
            </w:r>
          </w:p>
        </w:tc>
        <w:tc>
          <w:tcPr>
            <w:tcW w:w="154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163,197</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160,090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Share based payment reserve</w:t>
            </w:r>
          </w:p>
        </w:tc>
        <w:tc>
          <w:tcPr>
            <w:tcW w:w="3120" w:type="dxa"/>
            <w:vAlign w:val="bottom"/>
          </w:tcPr>
          <w:p>
            <w:pPr>
              <w:spacing w:after="0"/>
              <w:rPr>
                <w:sz w:val="18"/>
                <w:szCs w:val="18"/>
                <w:color w:val="auto"/>
              </w:rPr>
            </w:pPr>
          </w:p>
        </w:tc>
        <w:tc>
          <w:tcPr>
            <w:tcW w:w="1540" w:type="dxa"/>
            <w:vAlign w:val="bottom"/>
          </w:tcPr>
          <w:p>
            <w:pPr>
              <w:jc w:val="right"/>
              <w:ind w:right="132"/>
              <w:spacing w:after="0"/>
              <w:rPr>
                <w:sz w:val="20"/>
                <w:szCs w:val="20"/>
                <w:color w:val="auto"/>
              </w:rPr>
            </w:pPr>
            <w:r>
              <w:rPr>
                <w:rFonts w:ascii="Arial" w:cs="Arial" w:eastAsia="Arial" w:hAnsi="Arial"/>
                <w:sz w:val="18"/>
                <w:szCs w:val="18"/>
                <w:b w:val="1"/>
                <w:bCs w:val="1"/>
                <w:color w:val="auto"/>
              </w:rPr>
              <w:t>43,074</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39,429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Capital redemption reserve</w:t>
            </w:r>
          </w:p>
        </w:tc>
        <w:tc>
          <w:tcPr>
            <w:tcW w:w="3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100</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Other reserves</w:t>
            </w:r>
          </w:p>
        </w:tc>
        <w:tc>
          <w:tcPr>
            <w:tcW w:w="3120" w:type="dxa"/>
            <w:vAlign w:val="bottom"/>
          </w:tcPr>
          <w:p>
            <w:pPr>
              <w:spacing w:after="0"/>
              <w:rPr>
                <w:sz w:val="18"/>
                <w:szCs w:val="18"/>
                <w:color w:val="auto"/>
              </w:rPr>
            </w:pPr>
          </w:p>
        </w:tc>
        <w:tc>
          <w:tcPr>
            <w:tcW w:w="1540" w:type="dxa"/>
            <w:vAlign w:val="bottom"/>
          </w:tcPr>
          <w:p>
            <w:pPr>
              <w:jc w:val="right"/>
              <w:ind w:right="132"/>
              <w:spacing w:after="0"/>
              <w:rPr>
                <w:sz w:val="20"/>
                <w:szCs w:val="20"/>
                <w:color w:val="auto"/>
              </w:rPr>
            </w:pPr>
            <w:r>
              <w:rPr>
                <w:rFonts w:ascii="Arial" w:cs="Arial" w:eastAsia="Arial" w:hAnsi="Arial"/>
                <w:sz w:val="18"/>
                <w:szCs w:val="18"/>
                <w:b w:val="1"/>
                <w:bCs w:val="1"/>
                <w:color w:val="auto"/>
              </w:rPr>
              <w:t>7,422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7,422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reserve</w:t>
            </w:r>
          </w:p>
        </w:tc>
        <w:tc>
          <w:tcPr>
            <w:tcW w:w="3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(20,264)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Current asset investment - fair value reserve</w:t>
            </w:r>
          </w:p>
        </w:tc>
        <w:tc>
          <w:tcPr>
            <w:tcW w:w="3120" w:type="dxa"/>
            <w:vAlign w:val="bottom"/>
          </w:tcPr>
          <w:p>
            <w:pPr>
              <w:spacing w:after="0"/>
              <w:rPr>
                <w:sz w:val="18"/>
                <w:szCs w:val="18"/>
                <w:color w:val="auto"/>
              </w:rPr>
            </w:pPr>
          </w:p>
        </w:tc>
        <w:tc>
          <w:tcPr>
            <w:tcW w:w="1540" w:type="dxa"/>
            <w:vAlign w:val="bottom"/>
          </w:tcPr>
          <w:p>
            <w:pPr>
              <w:jc w:val="right"/>
              <w:ind w:right="72"/>
              <w:spacing w:after="0"/>
              <w:rPr>
                <w:sz w:val="20"/>
                <w:szCs w:val="20"/>
                <w:color w:val="auto"/>
              </w:rPr>
            </w:pPr>
            <w:r>
              <w:rPr>
                <w:rFonts w:ascii="Arial" w:cs="Arial" w:eastAsia="Arial" w:hAnsi="Arial"/>
                <w:sz w:val="18"/>
                <w:szCs w:val="18"/>
                <w:b w:val="1"/>
                <w:bCs w:val="1"/>
                <w:color w:val="auto"/>
              </w:rPr>
              <w:t>(250)</w:t>
            </w:r>
          </w:p>
        </w:tc>
        <w:tc>
          <w:tcPr>
            <w:tcW w:w="1220" w:type="dxa"/>
            <w:vAlign w:val="bottom"/>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3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495,787</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491,937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equity attributable to equity holders</w:t>
            </w:r>
          </w:p>
        </w:tc>
        <w:tc>
          <w:tcPr>
            <w:tcW w:w="3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694,087</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691,848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3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Non-current other liabilities</w:t>
            </w:r>
          </w:p>
        </w:tc>
        <w:tc>
          <w:tcPr>
            <w:tcW w:w="3120" w:type="dxa"/>
            <w:vAlign w:val="bottom"/>
          </w:tcPr>
          <w:p>
            <w:pPr>
              <w:spacing w:after="0"/>
              <w:rPr>
                <w:sz w:val="18"/>
                <w:szCs w:val="18"/>
                <w:color w:val="auto"/>
              </w:rPr>
            </w:pPr>
          </w:p>
        </w:tc>
        <w:tc>
          <w:tcPr>
            <w:tcW w:w="1540" w:type="dxa"/>
            <w:vAlign w:val="bottom"/>
          </w:tcPr>
          <w:p>
            <w:pPr>
              <w:jc w:val="right"/>
              <w:ind w:right="132"/>
              <w:spacing w:after="0"/>
              <w:rPr>
                <w:sz w:val="20"/>
                <w:szCs w:val="20"/>
                <w:color w:val="auto"/>
              </w:rPr>
            </w:pPr>
            <w:r>
              <w:rPr>
                <w:rFonts w:ascii="Arial" w:cs="Arial" w:eastAsia="Arial" w:hAnsi="Arial"/>
                <w:sz w:val="18"/>
                <w:szCs w:val="18"/>
                <w:b w:val="1"/>
                <w:bCs w:val="1"/>
                <w:color w:val="auto"/>
              </w:rPr>
              <w:t>8,870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9,486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Non-current provisions</w:t>
            </w:r>
          </w:p>
        </w:tc>
        <w:tc>
          <w:tcPr>
            <w:tcW w:w="3120" w:type="dxa"/>
            <w:vAlign w:val="bottom"/>
            <w:shd w:val="clear" w:color="auto" w:fill="CCEEFF"/>
          </w:tcPr>
          <w:p>
            <w:pPr>
              <w:jc w:val="center"/>
              <w:ind w:left="1852"/>
              <w:spacing w:after="0"/>
              <w:rPr>
                <w:sz w:val="20"/>
                <w:szCs w:val="20"/>
                <w:color w:val="auto"/>
              </w:rPr>
            </w:pPr>
            <w:r>
              <w:rPr>
                <w:rFonts w:ascii="Arial" w:cs="Arial" w:eastAsia="Arial" w:hAnsi="Arial"/>
                <w:sz w:val="18"/>
                <w:szCs w:val="18"/>
                <w:i w:val="1"/>
                <w:iCs w:val="1"/>
                <w:color w:val="auto"/>
                <w:w w:val="89"/>
              </w:rPr>
              <w:t>15</w:t>
            </w:r>
          </w:p>
        </w:tc>
        <w:tc>
          <w:tcPr>
            <w:tcW w:w="154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16,631</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11,903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 liabilities</w:t>
            </w:r>
          </w:p>
        </w:tc>
        <w:tc>
          <w:tcPr>
            <w:tcW w:w="3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5,471</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5,155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3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30,972</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26,544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Accounts payable</w:t>
            </w:r>
          </w:p>
        </w:tc>
        <w:tc>
          <w:tcPr>
            <w:tcW w:w="3120" w:type="dxa"/>
            <w:vAlign w:val="bottom"/>
          </w:tcPr>
          <w:p>
            <w:pPr>
              <w:spacing w:after="0"/>
              <w:rPr>
                <w:sz w:val="18"/>
                <w:szCs w:val="18"/>
                <w:color w:val="auto"/>
              </w:rPr>
            </w:pPr>
          </w:p>
        </w:tc>
        <w:tc>
          <w:tcPr>
            <w:tcW w:w="1540" w:type="dxa"/>
            <w:vAlign w:val="bottom"/>
          </w:tcPr>
          <w:p>
            <w:pPr>
              <w:jc w:val="right"/>
              <w:ind w:right="132"/>
              <w:spacing w:after="0"/>
              <w:rPr>
                <w:sz w:val="20"/>
                <w:szCs w:val="20"/>
                <w:color w:val="auto"/>
              </w:rPr>
            </w:pPr>
            <w:r>
              <w:rPr>
                <w:rFonts w:ascii="Arial" w:cs="Arial" w:eastAsia="Arial" w:hAnsi="Arial"/>
                <w:sz w:val="18"/>
                <w:szCs w:val="18"/>
                <w:b w:val="1"/>
                <w:bCs w:val="1"/>
                <w:color w:val="auto"/>
              </w:rPr>
              <w:t>8,068</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5,340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Payments on account</w:t>
            </w:r>
          </w:p>
        </w:tc>
        <w:tc>
          <w:tcPr>
            <w:tcW w:w="3120" w:type="dxa"/>
            <w:vAlign w:val="bottom"/>
            <w:shd w:val="clear" w:color="auto" w:fill="CCEEFF"/>
          </w:tcPr>
          <w:p>
            <w:pPr>
              <w:jc w:val="center"/>
              <w:ind w:left="1852"/>
              <w:spacing w:after="0"/>
              <w:rPr>
                <w:sz w:val="20"/>
                <w:szCs w:val="20"/>
                <w:color w:val="auto"/>
              </w:rPr>
            </w:pPr>
            <w:r>
              <w:rPr>
                <w:rFonts w:ascii="Arial" w:cs="Arial" w:eastAsia="Arial" w:hAnsi="Arial"/>
                <w:sz w:val="18"/>
                <w:szCs w:val="18"/>
                <w:i w:val="1"/>
                <w:iCs w:val="1"/>
                <w:color w:val="auto"/>
                <w:w w:val="89"/>
              </w:rPr>
              <w:t>12</w:t>
            </w:r>
          </w:p>
        </w:tc>
        <w:tc>
          <w:tcPr>
            <w:tcW w:w="154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194,514</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150,792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Accrued and other liabilities</w:t>
            </w:r>
          </w:p>
        </w:tc>
        <w:tc>
          <w:tcPr>
            <w:tcW w:w="3120" w:type="dxa"/>
            <w:vAlign w:val="bottom"/>
          </w:tcPr>
          <w:p>
            <w:pPr>
              <w:spacing w:after="0"/>
              <w:rPr>
                <w:sz w:val="18"/>
                <w:szCs w:val="18"/>
                <w:color w:val="auto"/>
              </w:rPr>
            </w:pPr>
          </w:p>
        </w:tc>
        <w:tc>
          <w:tcPr>
            <w:tcW w:w="1540" w:type="dxa"/>
            <w:vAlign w:val="bottom"/>
          </w:tcPr>
          <w:p>
            <w:pPr>
              <w:jc w:val="right"/>
              <w:ind w:right="132"/>
              <w:spacing w:after="0"/>
              <w:rPr>
                <w:sz w:val="20"/>
                <w:szCs w:val="20"/>
                <w:color w:val="auto"/>
              </w:rPr>
            </w:pPr>
            <w:r>
              <w:rPr>
                <w:rFonts w:ascii="Arial" w:cs="Arial" w:eastAsia="Arial" w:hAnsi="Arial"/>
                <w:sz w:val="18"/>
                <w:szCs w:val="18"/>
                <w:b w:val="1"/>
                <w:bCs w:val="1"/>
                <w:color w:val="auto"/>
              </w:rPr>
              <w:t>108,442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104,478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Provisions</w:t>
            </w:r>
          </w:p>
        </w:tc>
        <w:tc>
          <w:tcPr>
            <w:tcW w:w="3120" w:type="dxa"/>
            <w:vAlign w:val="bottom"/>
            <w:shd w:val="clear" w:color="auto" w:fill="CCEEFF"/>
          </w:tcPr>
          <w:p>
            <w:pPr>
              <w:jc w:val="center"/>
              <w:ind w:left="1852"/>
              <w:spacing w:after="0"/>
              <w:rPr>
                <w:sz w:val="20"/>
                <w:szCs w:val="20"/>
                <w:color w:val="auto"/>
              </w:rPr>
            </w:pPr>
            <w:r>
              <w:rPr>
                <w:rFonts w:ascii="Arial" w:cs="Arial" w:eastAsia="Arial" w:hAnsi="Arial"/>
                <w:sz w:val="18"/>
                <w:szCs w:val="18"/>
                <w:i w:val="1"/>
                <w:iCs w:val="1"/>
                <w:color w:val="auto"/>
                <w:w w:val="89"/>
              </w:rPr>
              <w:t>15</w:t>
            </w:r>
          </w:p>
        </w:tc>
        <w:tc>
          <w:tcPr>
            <w:tcW w:w="154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51,073</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41,489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Current tax payable</w:t>
            </w:r>
          </w:p>
        </w:tc>
        <w:tc>
          <w:tcPr>
            <w:tcW w:w="3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12,752</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8,861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3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374,849</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310,960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2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405,821</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337,504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equity and liabilities</w:t>
            </w:r>
          </w:p>
        </w:tc>
        <w:tc>
          <w:tcPr>
            <w:tcW w:w="3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1,099,908</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1,029,352</w:t>
            </w:r>
          </w:p>
        </w:tc>
        <w:tc>
          <w:tcPr>
            <w:tcW w:w="0" w:type="dxa"/>
            <w:vAlign w:val="bottom"/>
          </w:tcPr>
          <w:p>
            <w:pPr>
              <w:spacing w:after="0"/>
              <w:rPr>
                <w:sz w:val="1"/>
                <w:szCs w:val="1"/>
                <w:color w:val="auto"/>
              </w:rPr>
            </w:pP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80" w:type="dxa"/>
            <w:vAlign w:val="bottom"/>
          </w:tcPr>
          <w:p>
            <w:pPr>
              <w:spacing w:after="0"/>
              <w:rPr>
                <w:sz w:val="20"/>
                <w:szCs w:val="20"/>
                <w:color w:val="auto"/>
              </w:rPr>
            </w:pPr>
            <w:r>
              <w:rPr>
                <w:rFonts w:ascii="Arial" w:cs="Arial" w:eastAsia="Arial" w:hAnsi="Arial"/>
                <w:sz w:val="18"/>
                <w:szCs w:val="18"/>
                <w:b w:val="1"/>
                <w:bCs w:val="1"/>
                <w:color w:val="auto"/>
              </w:rPr>
              <w:t>On behalf of the Board</w:t>
            </w:r>
          </w:p>
        </w:tc>
        <w:tc>
          <w:tcPr>
            <w:tcW w:w="7740" w:type="dxa"/>
            <w:vAlign w:val="bottom"/>
          </w:tcPr>
          <w:p>
            <w:pPr>
              <w:spacing w:after="0"/>
              <w:rPr>
                <w:sz w:val="19"/>
                <w:szCs w:val="19"/>
                <w:color w:val="auto"/>
              </w:rPr>
            </w:pPr>
          </w:p>
        </w:tc>
      </w:tr>
      <w:tr>
        <w:trPr>
          <w:trHeight w:val="439"/>
        </w:trPr>
        <w:tc>
          <w:tcPr>
            <w:tcW w:w="3680" w:type="dxa"/>
            <w:vAlign w:val="bottom"/>
          </w:tcPr>
          <w:p>
            <w:pPr>
              <w:spacing w:after="0"/>
              <w:rPr>
                <w:sz w:val="20"/>
                <w:szCs w:val="20"/>
                <w:color w:val="auto"/>
              </w:rPr>
            </w:pPr>
            <w:r>
              <w:rPr>
                <w:rFonts w:ascii="Arial" w:cs="Arial" w:eastAsia="Arial" w:hAnsi="Arial"/>
                <w:sz w:val="18"/>
                <w:szCs w:val="18"/>
                <w:color w:val="auto"/>
              </w:rPr>
              <w:t>Ciaran Murray</w:t>
            </w:r>
          </w:p>
        </w:tc>
        <w:tc>
          <w:tcPr>
            <w:tcW w:w="7740" w:type="dxa"/>
            <w:vAlign w:val="bottom"/>
          </w:tcPr>
          <w:p>
            <w:pPr>
              <w:ind w:left="2040"/>
              <w:spacing w:after="0"/>
              <w:rPr>
                <w:sz w:val="20"/>
                <w:szCs w:val="20"/>
                <w:color w:val="auto"/>
              </w:rPr>
            </w:pPr>
            <w:r>
              <w:rPr>
                <w:rFonts w:ascii="Arial" w:cs="Arial" w:eastAsia="Arial" w:hAnsi="Arial"/>
                <w:sz w:val="18"/>
                <w:szCs w:val="18"/>
                <w:color w:val="auto"/>
              </w:rPr>
              <w:t>Declan McKeon</w:t>
            </w:r>
          </w:p>
        </w:tc>
      </w:tr>
      <w:tr>
        <w:trPr>
          <w:trHeight w:val="223"/>
        </w:trPr>
        <w:tc>
          <w:tcPr>
            <w:tcW w:w="368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7740" w:type="dxa"/>
            <w:vAlign w:val="bottom"/>
          </w:tcPr>
          <w:p>
            <w:pPr>
              <w:ind w:left="2040"/>
              <w:spacing w:after="0"/>
              <w:rPr>
                <w:sz w:val="20"/>
                <w:szCs w:val="20"/>
                <w:color w:val="auto"/>
              </w:rPr>
            </w:pPr>
            <w:r>
              <w:rPr>
                <w:rFonts w:ascii="Arial" w:cs="Arial" w:eastAsia="Arial" w:hAnsi="Arial"/>
                <w:sz w:val="18"/>
                <w:szCs w:val="18"/>
                <w:i w:val="1"/>
                <w:iCs w:val="1"/>
                <w:color w:val="auto"/>
              </w:rPr>
              <w:t>Director</w:t>
            </w:r>
          </w:p>
        </w:tc>
      </w:tr>
      <w:tr>
        <w:trPr>
          <w:trHeight w:val="597"/>
        </w:trPr>
        <w:tc>
          <w:tcPr>
            <w:tcW w:w="3680" w:type="dxa"/>
            <w:vAlign w:val="bottom"/>
          </w:tcPr>
          <w:p>
            <w:pPr>
              <w:spacing w:after="0"/>
              <w:rPr>
                <w:sz w:val="24"/>
                <w:szCs w:val="24"/>
                <w:color w:val="auto"/>
              </w:rPr>
            </w:pPr>
          </w:p>
        </w:tc>
        <w:tc>
          <w:tcPr>
            <w:tcW w:w="7740" w:type="dxa"/>
            <w:vAlign w:val="bottom"/>
          </w:tcPr>
          <w:p>
            <w:pPr>
              <w:jc w:val="right"/>
              <w:ind w:right="5532"/>
              <w:spacing w:after="0"/>
              <w:rPr>
                <w:sz w:val="20"/>
                <w:szCs w:val="20"/>
                <w:color w:val="auto"/>
              </w:rPr>
            </w:pPr>
            <w:r>
              <w:rPr>
                <w:rFonts w:ascii="Arial" w:cs="Arial" w:eastAsia="Arial" w:hAnsi="Arial"/>
                <w:sz w:val="18"/>
                <w:szCs w:val="18"/>
                <w:color w:val="auto"/>
              </w:rPr>
              <w:t>13</w:t>
            </w:r>
          </w:p>
        </w:tc>
      </w:tr>
      <w:tr>
        <w:trPr>
          <w:trHeight w:val="117"/>
        </w:trPr>
        <w:tc>
          <w:tcPr>
            <w:tcW w:w="3680" w:type="dxa"/>
            <w:vAlign w:val="bottom"/>
            <w:tcBorders>
              <w:bottom w:val="single" w:sz="8" w:color="808080"/>
            </w:tcBorders>
          </w:tcPr>
          <w:p>
            <w:pPr>
              <w:spacing w:after="0"/>
              <w:rPr>
                <w:sz w:val="10"/>
                <w:szCs w:val="10"/>
                <w:color w:val="auto"/>
              </w:rPr>
            </w:pPr>
          </w:p>
        </w:tc>
        <w:tc>
          <w:tcPr>
            <w:tcW w:w="77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6" w:name="page17"/>
    <w:bookmarkEnd w:id="16"/>
    <w:p>
      <w:pPr>
        <w:spacing w:after="0"/>
        <w:rPr>
          <w:sz w:val="20"/>
          <w:szCs w:val="20"/>
          <w:color w:val="auto"/>
        </w:rPr>
      </w:pPr>
      <w:r>
        <w:rPr>
          <w:rFonts w:ascii="Arial" w:cs="Arial" w:eastAsia="Arial" w:hAnsi="Arial"/>
          <w:sz w:val="25"/>
          <w:szCs w:val="25"/>
          <w:color w:val="auto"/>
        </w:rPr>
        <w:t>Condensed Consolidated Statement of Cash Flows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six month period ended 30 June 2012</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5020" w:type="dxa"/>
            <w:vAlign w:val="bottom"/>
          </w:tcPr>
          <w:p>
            <w:pPr>
              <w:jc w:val="right"/>
              <w:ind w:right="192"/>
              <w:spacing w:after="0"/>
              <w:rPr>
                <w:sz w:val="20"/>
                <w:szCs w:val="20"/>
                <w:color w:val="auto"/>
              </w:rPr>
            </w:pPr>
            <w:r>
              <w:rPr>
                <w:rFonts w:ascii="Arial" w:cs="Arial" w:eastAsia="Arial" w:hAnsi="Arial"/>
                <w:sz w:val="18"/>
                <w:szCs w:val="18"/>
                <w:b w:val="1"/>
                <w:bCs w:val="1"/>
                <w:color w:val="auto"/>
              </w:rPr>
              <w:t>Six months</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Six months</w:t>
            </w: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5020" w:type="dxa"/>
            <w:vAlign w:val="bottom"/>
          </w:tcPr>
          <w:p>
            <w:pPr>
              <w:jc w:val="right"/>
              <w:ind w:right="192"/>
              <w:spacing w:after="0"/>
              <w:rPr>
                <w:sz w:val="20"/>
                <w:szCs w:val="20"/>
                <w:color w:val="auto"/>
              </w:rPr>
            </w:pPr>
            <w:r>
              <w:rPr>
                <w:rFonts w:ascii="Arial" w:cs="Arial" w:eastAsia="Arial" w:hAnsi="Arial"/>
                <w:sz w:val="18"/>
                <w:szCs w:val="18"/>
                <w:b w:val="1"/>
                <w:bCs w:val="1"/>
                <w:color w:val="auto"/>
              </w:rPr>
              <w:t>ended</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ended</w:t>
            </w: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5020" w:type="dxa"/>
            <w:vAlign w:val="bottom"/>
          </w:tcPr>
          <w:p>
            <w:pPr>
              <w:jc w:val="right"/>
              <w:ind w:right="192"/>
              <w:spacing w:after="0"/>
              <w:rPr>
                <w:sz w:val="20"/>
                <w:szCs w:val="20"/>
                <w:color w:val="auto"/>
              </w:rPr>
            </w:pPr>
            <w:r>
              <w:rPr>
                <w:rFonts w:ascii="Arial" w:cs="Arial" w:eastAsia="Arial" w:hAnsi="Arial"/>
                <w:sz w:val="18"/>
                <w:szCs w:val="18"/>
                <w:b w:val="1"/>
                <w:bCs w:val="1"/>
                <w:color w:val="auto"/>
              </w:rPr>
              <w:t>30 June</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30 June</w:t>
            </w: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5020" w:type="dxa"/>
            <w:vAlign w:val="bottom"/>
          </w:tcPr>
          <w:p>
            <w:pPr>
              <w:jc w:val="right"/>
              <w:ind w:right="192"/>
              <w:spacing w:after="0"/>
              <w:rPr>
                <w:sz w:val="20"/>
                <w:szCs w:val="20"/>
                <w:color w:val="auto"/>
              </w:rPr>
            </w:pPr>
            <w:r>
              <w:rPr>
                <w:rFonts w:ascii="Arial" w:cs="Arial" w:eastAsia="Arial" w:hAnsi="Arial"/>
                <w:sz w:val="18"/>
                <w:szCs w:val="18"/>
                <w:b w:val="1"/>
                <w:bCs w:val="1"/>
                <w:color w:val="auto"/>
              </w:rPr>
              <w:t>2012</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2011</w:t>
            </w: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5020" w:type="dxa"/>
            <w:vAlign w:val="bottom"/>
          </w:tcPr>
          <w:p>
            <w:pPr>
              <w:jc w:val="right"/>
              <w:ind w:right="192"/>
              <w:spacing w:after="0"/>
              <w:rPr>
                <w:sz w:val="20"/>
                <w:szCs w:val="20"/>
                <w:color w:val="auto"/>
              </w:rPr>
            </w:pPr>
            <w:r>
              <w:rPr>
                <w:rFonts w:ascii="Arial" w:cs="Arial" w:eastAsia="Arial" w:hAnsi="Arial"/>
                <w:sz w:val="18"/>
                <w:szCs w:val="18"/>
                <w:b w:val="1"/>
                <w:bCs w:val="1"/>
                <w:color w:val="auto"/>
              </w:rPr>
              <w:t>US$’000</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US$’000</w:t>
            </w:r>
          </w:p>
        </w:tc>
      </w:tr>
      <w:tr>
        <w:trPr>
          <w:trHeight w:val="229"/>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5020" w:type="dxa"/>
            <w:vAlign w:val="bottom"/>
          </w:tcPr>
          <w:p>
            <w:pPr>
              <w:jc w:val="right"/>
              <w:ind w:right="192"/>
              <w:spacing w:after="0"/>
              <w:rPr>
                <w:sz w:val="20"/>
                <w:szCs w:val="20"/>
                <w:color w:val="auto"/>
              </w:rPr>
            </w:pPr>
            <w:r>
              <w:rPr>
                <w:rFonts w:ascii="Arial" w:cs="Arial" w:eastAsia="Arial" w:hAnsi="Arial"/>
                <w:sz w:val="18"/>
                <w:szCs w:val="18"/>
                <w:b w:val="1"/>
                <w:bCs w:val="1"/>
                <w:color w:val="auto"/>
              </w:rPr>
              <w:t>(Unaudited)</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(Unaudited)</w:t>
            </w:r>
          </w:p>
        </w:tc>
      </w:tr>
      <w:tr>
        <w:trPr>
          <w:trHeight w:val="213"/>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for the financial period</w:t>
            </w:r>
          </w:p>
        </w:tc>
        <w:tc>
          <w:tcPr>
            <w:tcW w:w="502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18,122</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22,075</w:t>
            </w:r>
          </w:p>
        </w:tc>
      </w:tr>
      <w:tr>
        <w:trPr>
          <w:trHeight w:val="194"/>
        </w:trPr>
        <w:tc>
          <w:tcPr>
            <w:tcW w:w="20" w:type="dxa"/>
            <w:vAlign w:val="bottom"/>
          </w:tcPr>
          <w:p>
            <w:pPr>
              <w:spacing w:after="0"/>
              <w:rPr>
                <w:sz w:val="16"/>
                <w:szCs w:val="16"/>
                <w:color w:val="auto"/>
              </w:rPr>
            </w:pPr>
          </w:p>
        </w:tc>
        <w:tc>
          <w:tcPr>
            <w:tcW w:w="5200" w:type="dxa"/>
            <w:vAlign w:val="bottom"/>
          </w:tcPr>
          <w:p>
            <w:pPr>
              <w:spacing w:after="0" w:line="194" w:lineRule="exact"/>
              <w:rPr>
                <w:sz w:val="20"/>
                <w:szCs w:val="20"/>
                <w:color w:val="auto"/>
              </w:rPr>
            </w:pPr>
            <w:r>
              <w:rPr>
                <w:rFonts w:ascii="Arial" w:cs="Arial" w:eastAsia="Arial" w:hAnsi="Arial"/>
                <w:sz w:val="18"/>
                <w:szCs w:val="18"/>
                <w:b w:val="1"/>
                <w:bCs w:val="1"/>
                <w:color w:val="auto"/>
                <w:w w:val="93"/>
              </w:rPr>
              <w:t>Adjustments to reconcile net income to net cash generated from</w:t>
            </w:r>
          </w:p>
        </w:tc>
        <w:tc>
          <w:tcPr>
            <w:tcW w:w="50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5200" w:type="dxa"/>
            <w:vAlign w:val="bottom"/>
          </w:tcPr>
          <w:p>
            <w:pPr>
              <w:ind w:left="200"/>
              <w:spacing w:after="0"/>
              <w:rPr>
                <w:sz w:val="20"/>
                <w:szCs w:val="20"/>
                <w:color w:val="auto"/>
              </w:rPr>
            </w:pPr>
            <w:r>
              <w:rPr>
                <w:rFonts w:ascii="Arial" w:cs="Arial" w:eastAsia="Arial" w:hAnsi="Arial"/>
                <w:sz w:val="18"/>
                <w:szCs w:val="18"/>
                <w:b w:val="1"/>
                <w:bCs w:val="1"/>
                <w:color w:val="auto"/>
              </w:rPr>
              <w:t>operating activities:</w:t>
            </w:r>
          </w:p>
        </w:tc>
        <w:tc>
          <w:tcPr>
            <w:tcW w:w="50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property, plant and equipment</w:t>
            </w:r>
          </w:p>
        </w:tc>
        <w:tc>
          <w:tcPr>
            <w:tcW w:w="502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170</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Depreciation</w:t>
            </w:r>
          </w:p>
        </w:tc>
        <w:tc>
          <w:tcPr>
            <w:tcW w:w="5020" w:type="dxa"/>
            <w:vAlign w:val="bottom"/>
          </w:tcPr>
          <w:p>
            <w:pPr>
              <w:jc w:val="right"/>
              <w:ind w:right="192"/>
              <w:spacing w:after="0"/>
              <w:rPr>
                <w:sz w:val="20"/>
                <w:szCs w:val="20"/>
                <w:color w:val="auto"/>
              </w:rPr>
            </w:pPr>
            <w:r>
              <w:rPr>
                <w:rFonts w:ascii="Arial" w:cs="Arial" w:eastAsia="Arial" w:hAnsi="Arial"/>
                <w:sz w:val="18"/>
                <w:szCs w:val="18"/>
                <w:b w:val="1"/>
                <w:bCs w:val="1"/>
                <w:color w:val="auto"/>
              </w:rPr>
              <w:t>10,921</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12,430</w:t>
            </w:r>
          </w:p>
        </w:tc>
      </w:tr>
      <w:tr>
        <w:trPr>
          <w:trHeight w:val="212"/>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Amortisation of intangible assets</w:t>
            </w:r>
          </w:p>
        </w:tc>
        <w:tc>
          <w:tcPr>
            <w:tcW w:w="502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10,708</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5,872</w:t>
            </w: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Amortisation of grants</w:t>
            </w:r>
          </w:p>
        </w:tc>
        <w:tc>
          <w:tcPr>
            <w:tcW w:w="5020" w:type="dxa"/>
            <w:vAlign w:val="bottom"/>
          </w:tcPr>
          <w:p>
            <w:pPr>
              <w:jc w:val="right"/>
              <w:ind w:right="132"/>
              <w:spacing w:after="0"/>
              <w:rPr>
                <w:sz w:val="20"/>
                <w:szCs w:val="20"/>
                <w:color w:val="auto"/>
              </w:rPr>
            </w:pPr>
            <w:r>
              <w:rPr>
                <w:rFonts w:ascii="Arial" w:cs="Arial" w:eastAsia="Arial" w:hAnsi="Arial"/>
                <w:sz w:val="18"/>
                <w:szCs w:val="18"/>
                <w:b w:val="1"/>
                <w:bCs w:val="1"/>
                <w:color w:val="auto"/>
              </w:rPr>
              <w:t>(57)</w:t>
            </w:r>
          </w:p>
        </w:tc>
        <w:tc>
          <w:tcPr>
            <w:tcW w:w="11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2"/>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w:t>
            </w:r>
          </w:p>
        </w:tc>
        <w:tc>
          <w:tcPr>
            <w:tcW w:w="502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4,645</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3,298</w:t>
            </w: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Finance income</w:t>
            </w:r>
          </w:p>
        </w:tc>
        <w:tc>
          <w:tcPr>
            <w:tcW w:w="5020" w:type="dxa"/>
            <w:vAlign w:val="bottom"/>
          </w:tcPr>
          <w:p>
            <w:pPr>
              <w:jc w:val="right"/>
              <w:ind w:right="132"/>
              <w:spacing w:after="0"/>
              <w:rPr>
                <w:sz w:val="20"/>
                <w:szCs w:val="20"/>
                <w:color w:val="auto"/>
              </w:rPr>
            </w:pPr>
            <w:r>
              <w:rPr>
                <w:rFonts w:ascii="Arial" w:cs="Arial" w:eastAsia="Arial" w:hAnsi="Arial"/>
                <w:sz w:val="18"/>
                <w:szCs w:val="18"/>
                <w:b w:val="1"/>
                <w:bCs w:val="1"/>
                <w:color w:val="auto"/>
              </w:rPr>
              <w:t>(693)</w:t>
            </w:r>
          </w:p>
        </w:tc>
        <w:tc>
          <w:tcPr>
            <w:tcW w:w="1180" w:type="dxa"/>
            <w:vAlign w:val="bottom"/>
          </w:tcPr>
          <w:p>
            <w:pPr>
              <w:jc w:val="right"/>
              <w:spacing w:after="0"/>
              <w:rPr>
                <w:sz w:val="20"/>
                <w:szCs w:val="20"/>
                <w:color w:val="auto"/>
              </w:rPr>
            </w:pPr>
            <w:r>
              <w:rPr>
                <w:rFonts w:ascii="Arial" w:cs="Arial" w:eastAsia="Arial" w:hAnsi="Arial"/>
                <w:sz w:val="18"/>
                <w:szCs w:val="18"/>
                <w:color w:val="auto"/>
              </w:rPr>
              <w:t>(527)</w:t>
            </w:r>
          </w:p>
        </w:tc>
      </w:tr>
      <w:tr>
        <w:trPr>
          <w:trHeight w:val="212"/>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Finance interest expense</w:t>
            </w:r>
          </w:p>
        </w:tc>
        <w:tc>
          <w:tcPr>
            <w:tcW w:w="502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959</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355</w:t>
            </w: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Defined benefit pension service costs</w:t>
            </w:r>
          </w:p>
        </w:tc>
        <w:tc>
          <w:tcPr>
            <w:tcW w:w="5020" w:type="dxa"/>
            <w:vAlign w:val="bottom"/>
          </w:tcPr>
          <w:p>
            <w:pPr>
              <w:jc w:val="right"/>
              <w:ind w:right="192"/>
              <w:spacing w:after="0"/>
              <w:rPr>
                <w:sz w:val="20"/>
                <w:szCs w:val="20"/>
                <w:color w:val="auto"/>
              </w:rPr>
            </w:pPr>
            <w:r>
              <w:rPr>
                <w:rFonts w:ascii="Arial" w:cs="Arial" w:eastAsia="Arial" w:hAnsi="Arial"/>
                <w:sz w:val="18"/>
                <w:szCs w:val="18"/>
                <w:b w:val="1"/>
                <w:bCs w:val="1"/>
                <w:color w:val="auto"/>
              </w:rPr>
              <w:t>133</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149</w:t>
            </w:r>
          </w:p>
        </w:tc>
      </w:tr>
      <w:tr>
        <w:trPr>
          <w:trHeight w:val="219"/>
        </w:trPr>
        <w:tc>
          <w:tcPr>
            <w:tcW w:w="20" w:type="dxa"/>
            <w:vAlign w:val="bottom"/>
          </w:tcPr>
          <w:p>
            <w:pPr>
              <w:spacing w:after="0"/>
              <w:rPr>
                <w:sz w:val="19"/>
                <w:szCs w:val="19"/>
                <w:color w:val="auto"/>
              </w:rPr>
            </w:pPr>
          </w:p>
        </w:tc>
        <w:tc>
          <w:tcPr>
            <w:tcW w:w="5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50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5,556</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5,411</w:t>
            </w: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Operating cash inflow before changes in working capital</w:t>
            </w:r>
          </w:p>
        </w:tc>
        <w:tc>
          <w:tcPr>
            <w:tcW w:w="5020" w:type="dxa"/>
            <w:vAlign w:val="bottom"/>
          </w:tcPr>
          <w:p>
            <w:pPr>
              <w:jc w:val="right"/>
              <w:ind w:right="192"/>
              <w:spacing w:after="0"/>
              <w:rPr>
                <w:sz w:val="20"/>
                <w:szCs w:val="20"/>
                <w:color w:val="auto"/>
              </w:rPr>
            </w:pPr>
            <w:r>
              <w:rPr>
                <w:rFonts w:ascii="Arial" w:cs="Arial" w:eastAsia="Arial" w:hAnsi="Arial"/>
                <w:sz w:val="18"/>
                <w:szCs w:val="18"/>
                <w:b w:val="1"/>
                <w:bCs w:val="1"/>
                <w:color w:val="auto"/>
              </w:rPr>
              <w:t>50,464</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49,017</w:t>
            </w:r>
          </w:p>
        </w:tc>
      </w:tr>
      <w:tr>
        <w:trPr>
          <w:trHeight w:val="212"/>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(Increase)/decrease in accounts receivable</w:t>
            </w:r>
          </w:p>
        </w:tc>
        <w:tc>
          <w:tcPr>
            <w:tcW w:w="50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(29,435)</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3,949</w:t>
            </w: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Decrease/(increase) in unbilled revenue</w:t>
            </w:r>
          </w:p>
        </w:tc>
        <w:tc>
          <w:tcPr>
            <w:tcW w:w="5020" w:type="dxa"/>
            <w:vAlign w:val="bottom"/>
          </w:tcPr>
          <w:p>
            <w:pPr>
              <w:jc w:val="right"/>
              <w:ind w:right="192"/>
              <w:spacing w:after="0"/>
              <w:rPr>
                <w:sz w:val="20"/>
                <w:szCs w:val="20"/>
                <w:color w:val="auto"/>
              </w:rPr>
            </w:pPr>
            <w:r>
              <w:rPr>
                <w:rFonts w:ascii="Arial" w:cs="Arial" w:eastAsia="Arial" w:hAnsi="Arial"/>
                <w:sz w:val="18"/>
                <w:szCs w:val="18"/>
                <w:b w:val="1"/>
                <w:bCs w:val="1"/>
                <w:color w:val="auto"/>
              </w:rPr>
              <w:t>12,245</w:t>
            </w:r>
          </w:p>
        </w:tc>
        <w:tc>
          <w:tcPr>
            <w:tcW w:w="1180" w:type="dxa"/>
            <w:vAlign w:val="bottom"/>
          </w:tcPr>
          <w:p>
            <w:pPr>
              <w:jc w:val="right"/>
              <w:spacing w:after="0"/>
              <w:rPr>
                <w:sz w:val="20"/>
                <w:szCs w:val="20"/>
                <w:color w:val="auto"/>
              </w:rPr>
            </w:pPr>
            <w:r>
              <w:rPr>
                <w:rFonts w:ascii="Arial" w:cs="Arial" w:eastAsia="Arial" w:hAnsi="Arial"/>
                <w:sz w:val="18"/>
                <w:szCs w:val="18"/>
                <w:color w:val="auto"/>
              </w:rPr>
              <w:t>(42,576)</w:t>
            </w:r>
          </w:p>
        </w:tc>
      </w:tr>
      <w:tr>
        <w:trPr>
          <w:trHeight w:val="212"/>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Decrease/(increase) in prepayments and other current assets</w:t>
            </w:r>
          </w:p>
        </w:tc>
        <w:tc>
          <w:tcPr>
            <w:tcW w:w="502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4,076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(6,473)</w:t>
            </w: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Increase in other non current assets</w:t>
            </w:r>
          </w:p>
        </w:tc>
        <w:tc>
          <w:tcPr>
            <w:tcW w:w="5020" w:type="dxa"/>
            <w:vAlign w:val="bottom"/>
          </w:tcPr>
          <w:p>
            <w:pPr>
              <w:jc w:val="right"/>
              <w:ind w:right="132"/>
              <w:spacing w:after="0"/>
              <w:rPr>
                <w:sz w:val="20"/>
                <w:szCs w:val="20"/>
                <w:color w:val="auto"/>
              </w:rPr>
            </w:pPr>
            <w:r>
              <w:rPr>
                <w:rFonts w:ascii="Arial" w:cs="Arial" w:eastAsia="Arial" w:hAnsi="Arial"/>
                <w:sz w:val="18"/>
                <w:szCs w:val="18"/>
                <w:b w:val="1"/>
                <w:bCs w:val="1"/>
                <w:color w:val="auto"/>
              </w:rPr>
              <w:t>(517)</w:t>
            </w:r>
          </w:p>
        </w:tc>
        <w:tc>
          <w:tcPr>
            <w:tcW w:w="118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12"/>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Decrease in inventory</w:t>
            </w:r>
          </w:p>
        </w:tc>
        <w:tc>
          <w:tcPr>
            <w:tcW w:w="502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40</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454</w:t>
            </w: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Increase/(decrease) in accounts payable</w:t>
            </w:r>
          </w:p>
        </w:tc>
        <w:tc>
          <w:tcPr>
            <w:tcW w:w="5020" w:type="dxa"/>
            <w:vAlign w:val="bottom"/>
          </w:tcPr>
          <w:p>
            <w:pPr>
              <w:jc w:val="right"/>
              <w:ind w:right="192"/>
              <w:spacing w:after="0"/>
              <w:rPr>
                <w:sz w:val="20"/>
                <w:szCs w:val="20"/>
                <w:color w:val="auto"/>
              </w:rPr>
            </w:pPr>
            <w:r>
              <w:rPr>
                <w:rFonts w:ascii="Arial" w:cs="Arial" w:eastAsia="Arial" w:hAnsi="Arial"/>
                <w:sz w:val="18"/>
                <w:szCs w:val="18"/>
                <w:b w:val="1"/>
                <w:bCs w:val="1"/>
                <w:color w:val="auto"/>
              </w:rPr>
              <w:t>2,868</w:t>
            </w:r>
          </w:p>
        </w:tc>
        <w:tc>
          <w:tcPr>
            <w:tcW w:w="1180" w:type="dxa"/>
            <w:vAlign w:val="bottom"/>
          </w:tcPr>
          <w:p>
            <w:pPr>
              <w:jc w:val="right"/>
              <w:spacing w:after="0"/>
              <w:rPr>
                <w:sz w:val="20"/>
                <w:szCs w:val="20"/>
                <w:color w:val="auto"/>
              </w:rPr>
            </w:pPr>
            <w:r>
              <w:rPr>
                <w:rFonts w:ascii="Arial" w:cs="Arial" w:eastAsia="Arial" w:hAnsi="Arial"/>
                <w:sz w:val="18"/>
                <w:szCs w:val="18"/>
                <w:color w:val="auto"/>
              </w:rPr>
              <w:t>(9,699)</w:t>
            </w:r>
          </w:p>
        </w:tc>
      </w:tr>
      <w:tr>
        <w:trPr>
          <w:trHeight w:val="212"/>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Increase/(decrease) in payments on account</w:t>
            </w:r>
          </w:p>
        </w:tc>
        <w:tc>
          <w:tcPr>
            <w:tcW w:w="502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45,871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w w:val="98"/>
              </w:rPr>
              <w:t>(Decrease)/increase in accrued and other liabilities and provisions</w:t>
            </w:r>
          </w:p>
        </w:tc>
        <w:tc>
          <w:tcPr>
            <w:tcW w:w="5020" w:type="dxa"/>
            <w:vAlign w:val="bottom"/>
          </w:tcPr>
          <w:p>
            <w:pPr>
              <w:jc w:val="right"/>
              <w:ind w:right="132"/>
              <w:spacing w:after="0"/>
              <w:rPr>
                <w:sz w:val="20"/>
                <w:szCs w:val="20"/>
                <w:color w:val="auto"/>
              </w:rPr>
            </w:pPr>
            <w:r>
              <w:rPr>
                <w:rFonts w:ascii="Arial" w:cs="Arial" w:eastAsia="Arial" w:hAnsi="Arial"/>
                <w:sz w:val="18"/>
                <w:szCs w:val="18"/>
                <w:b w:val="1"/>
                <w:bCs w:val="1"/>
                <w:color w:val="auto"/>
              </w:rPr>
              <w:t>(4,885)</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1,626</w:t>
            </w:r>
          </w:p>
        </w:tc>
      </w:tr>
      <w:tr>
        <w:trPr>
          <w:trHeight w:val="219"/>
        </w:trPr>
        <w:tc>
          <w:tcPr>
            <w:tcW w:w="20" w:type="dxa"/>
            <w:vAlign w:val="bottom"/>
          </w:tcPr>
          <w:p>
            <w:pPr>
              <w:spacing w:after="0"/>
              <w:rPr>
                <w:sz w:val="19"/>
                <w:szCs w:val="19"/>
                <w:color w:val="auto"/>
              </w:rPr>
            </w:pPr>
          </w:p>
        </w:tc>
        <w:tc>
          <w:tcPr>
            <w:tcW w:w="5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Decrease in non current other liabilities and provisions</w:t>
            </w:r>
          </w:p>
        </w:tc>
        <w:tc>
          <w:tcPr>
            <w:tcW w:w="50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(52)</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19"/>
        </w:trPr>
        <w:tc>
          <w:tcPr>
            <w:tcW w:w="20" w:type="dxa"/>
            <w:vAlign w:val="bottom"/>
          </w:tcPr>
          <w:p>
            <w:pPr>
              <w:spacing w:after="0"/>
              <w:rPr>
                <w:sz w:val="19"/>
                <w:szCs w:val="19"/>
                <w:color w:val="auto"/>
              </w:rPr>
            </w:pP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provided by/(used in) operations</w:t>
            </w:r>
          </w:p>
        </w:tc>
        <w:tc>
          <w:tcPr>
            <w:tcW w:w="50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80,675</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(4,394)</w:t>
            </w:r>
          </w:p>
        </w:tc>
      </w:tr>
      <w:tr>
        <w:trPr>
          <w:trHeight w:val="212"/>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50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(9,866)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(7,199)</w:t>
            </w: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Employer contribution defined benefit pension scheme</w:t>
            </w:r>
          </w:p>
        </w:tc>
        <w:tc>
          <w:tcPr>
            <w:tcW w:w="5020" w:type="dxa"/>
            <w:vAlign w:val="bottom"/>
          </w:tcPr>
          <w:p>
            <w:pPr>
              <w:jc w:val="right"/>
              <w:ind w:right="132"/>
              <w:spacing w:after="0"/>
              <w:rPr>
                <w:sz w:val="20"/>
                <w:szCs w:val="20"/>
                <w:color w:val="auto"/>
              </w:rPr>
            </w:pPr>
            <w:r>
              <w:rPr>
                <w:rFonts w:ascii="Arial" w:cs="Arial" w:eastAsia="Arial" w:hAnsi="Arial"/>
                <w:sz w:val="18"/>
                <w:szCs w:val="18"/>
                <w:b w:val="1"/>
                <w:bCs w:val="1"/>
                <w:color w:val="auto"/>
              </w:rPr>
              <w:t>(133)</w:t>
            </w:r>
          </w:p>
        </w:tc>
        <w:tc>
          <w:tcPr>
            <w:tcW w:w="118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19"/>
        </w:trPr>
        <w:tc>
          <w:tcPr>
            <w:tcW w:w="20" w:type="dxa"/>
            <w:vAlign w:val="bottom"/>
          </w:tcPr>
          <w:p>
            <w:pPr>
              <w:spacing w:after="0"/>
              <w:rPr>
                <w:sz w:val="19"/>
                <w:szCs w:val="19"/>
                <w:color w:val="auto"/>
              </w:rPr>
            </w:pPr>
          </w:p>
        </w:tc>
        <w:tc>
          <w:tcPr>
            <w:tcW w:w="5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50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1,490</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83</w:t>
            </w:r>
          </w:p>
        </w:tc>
      </w:tr>
      <w:tr>
        <w:trPr>
          <w:trHeight w:val="219"/>
        </w:trPr>
        <w:tc>
          <w:tcPr>
            <w:tcW w:w="20" w:type="dxa"/>
            <w:vAlign w:val="bottom"/>
          </w:tcPr>
          <w:p>
            <w:pPr>
              <w:spacing w:after="0"/>
              <w:rPr>
                <w:sz w:val="19"/>
                <w:szCs w:val="19"/>
                <w:color w:val="auto"/>
              </w:rPr>
            </w:pP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inflow/(outflow) from operating activities</w:t>
            </w:r>
          </w:p>
        </w:tc>
        <w:tc>
          <w:tcPr>
            <w:tcW w:w="50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72,166</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(11,659)</w:t>
            </w:r>
          </w:p>
        </w:tc>
      </w:tr>
      <w:tr>
        <w:trPr>
          <w:trHeight w:val="212"/>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50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5020" w:type="dxa"/>
            <w:vAlign w:val="bottom"/>
          </w:tcPr>
          <w:p>
            <w:pPr>
              <w:jc w:val="right"/>
              <w:ind w:right="132"/>
              <w:spacing w:after="0"/>
              <w:rPr>
                <w:sz w:val="20"/>
                <w:szCs w:val="20"/>
                <w:color w:val="auto"/>
              </w:rPr>
            </w:pPr>
            <w:r>
              <w:rPr>
                <w:rFonts w:ascii="Arial" w:cs="Arial" w:eastAsia="Arial" w:hAnsi="Arial"/>
                <w:sz w:val="18"/>
                <w:szCs w:val="18"/>
                <w:b w:val="1"/>
                <w:bCs w:val="1"/>
                <w:color w:val="auto"/>
              </w:rPr>
              <w:t>(6,540)</w:t>
            </w:r>
          </w:p>
        </w:tc>
        <w:tc>
          <w:tcPr>
            <w:tcW w:w="1180" w:type="dxa"/>
            <w:vAlign w:val="bottom"/>
          </w:tcPr>
          <w:p>
            <w:pPr>
              <w:jc w:val="right"/>
              <w:spacing w:after="0"/>
              <w:rPr>
                <w:sz w:val="20"/>
                <w:szCs w:val="20"/>
                <w:color w:val="auto"/>
              </w:rPr>
            </w:pPr>
            <w:r>
              <w:rPr>
                <w:rFonts w:ascii="Arial" w:cs="Arial" w:eastAsia="Arial" w:hAnsi="Arial"/>
                <w:sz w:val="18"/>
                <w:szCs w:val="18"/>
                <w:color w:val="auto"/>
              </w:rPr>
              <w:t>(13,097)</w:t>
            </w:r>
          </w:p>
        </w:tc>
      </w:tr>
      <w:tr>
        <w:trPr>
          <w:trHeight w:val="212"/>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Purchase of intangible assets</w:t>
            </w:r>
          </w:p>
        </w:tc>
        <w:tc>
          <w:tcPr>
            <w:tcW w:w="50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(9,244)</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Purchase of subsidiary undertakings – current year acquisitions</w:t>
            </w:r>
          </w:p>
        </w:tc>
        <w:tc>
          <w:tcPr>
            <w:tcW w:w="5020" w:type="dxa"/>
            <w:vAlign w:val="bottom"/>
          </w:tcPr>
          <w:p>
            <w:pPr>
              <w:jc w:val="right"/>
              <w:ind w:right="132"/>
              <w:spacing w:after="0"/>
              <w:rPr>
                <w:sz w:val="20"/>
                <w:szCs w:val="20"/>
                <w:color w:val="auto"/>
              </w:rPr>
            </w:pPr>
            <w:r>
              <w:rPr>
                <w:rFonts w:ascii="Arial" w:cs="Arial" w:eastAsia="Arial" w:hAnsi="Arial"/>
                <w:sz w:val="18"/>
                <w:szCs w:val="18"/>
                <w:b w:val="1"/>
                <w:bCs w:val="1"/>
                <w:color w:val="auto"/>
              </w:rPr>
              <w:t>(46,132)</w:t>
            </w:r>
          </w:p>
        </w:tc>
        <w:tc>
          <w:tcPr>
            <w:tcW w:w="1180" w:type="dxa"/>
            <w:vAlign w:val="bottom"/>
          </w:tcPr>
          <w:p>
            <w:pPr>
              <w:jc w:val="right"/>
              <w:spacing w:after="0"/>
              <w:rPr>
                <w:sz w:val="20"/>
                <w:szCs w:val="20"/>
                <w:color w:val="auto"/>
              </w:rPr>
            </w:pPr>
            <w:r>
              <w:rPr>
                <w:rFonts w:ascii="Arial" w:cs="Arial" w:eastAsia="Arial" w:hAnsi="Arial"/>
                <w:sz w:val="18"/>
                <w:szCs w:val="18"/>
                <w:color w:val="auto"/>
              </w:rPr>
              <w:t>(33,227)</w:t>
            </w:r>
          </w:p>
        </w:tc>
      </w:tr>
      <w:tr>
        <w:trPr>
          <w:trHeight w:val="212"/>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Purchase of subsidiary undertakings – prior year acquisitions</w:t>
            </w:r>
          </w:p>
        </w:tc>
        <w:tc>
          <w:tcPr>
            <w:tcW w:w="50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(5,431)</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Cash acquired with subsidiary undertakings</w:t>
            </w:r>
          </w:p>
        </w:tc>
        <w:tc>
          <w:tcPr>
            <w:tcW w:w="5020" w:type="dxa"/>
            <w:vAlign w:val="bottom"/>
          </w:tcPr>
          <w:p>
            <w:pPr>
              <w:jc w:val="right"/>
              <w:ind w:right="192"/>
              <w:spacing w:after="0"/>
              <w:rPr>
                <w:sz w:val="20"/>
                <w:szCs w:val="20"/>
                <w:color w:val="auto"/>
              </w:rPr>
            </w:pPr>
            <w:r>
              <w:rPr>
                <w:rFonts w:ascii="Arial" w:cs="Arial" w:eastAsia="Arial" w:hAnsi="Arial"/>
                <w:sz w:val="18"/>
                <w:szCs w:val="18"/>
                <w:b w:val="1"/>
                <w:bCs w:val="1"/>
                <w:color w:val="auto"/>
              </w:rPr>
              <w:t>2,898</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6,335</w:t>
            </w:r>
          </w:p>
        </w:tc>
      </w:tr>
      <w:tr>
        <w:trPr>
          <w:trHeight w:val="212"/>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Purchase of current asset investments</w:t>
            </w:r>
          </w:p>
        </w:tc>
        <w:tc>
          <w:tcPr>
            <w:tcW w:w="50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(63,492)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r>
      <w:tr>
        <w:trPr>
          <w:trHeight w:val="219"/>
        </w:trPr>
        <w:tc>
          <w:tcPr>
            <w:tcW w:w="20" w:type="dxa"/>
            <w:vAlign w:val="bottom"/>
          </w:tcPr>
          <w:p>
            <w:pPr>
              <w:spacing w:after="0"/>
              <w:rPr>
                <w:sz w:val="19"/>
                <w:szCs w:val="19"/>
                <w:color w:val="auto"/>
              </w:rPr>
            </w:pP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Sale of current asset investments</w:t>
            </w:r>
          </w:p>
        </w:tc>
        <w:tc>
          <w:tcPr>
            <w:tcW w:w="50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45,688</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19"/>
        </w:trPr>
        <w:tc>
          <w:tcPr>
            <w:tcW w:w="20" w:type="dxa"/>
            <w:vAlign w:val="bottom"/>
          </w:tcPr>
          <w:p>
            <w:pPr>
              <w:spacing w:after="0"/>
              <w:rPr>
                <w:sz w:val="19"/>
                <w:szCs w:val="19"/>
                <w:color w:val="auto"/>
              </w:rPr>
            </w:pPr>
          </w:p>
        </w:tc>
        <w:tc>
          <w:tcPr>
            <w:tcW w:w="5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50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(82,253)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(79,989)</w:t>
            </w: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50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share options</w:t>
            </w:r>
          </w:p>
        </w:tc>
        <w:tc>
          <w:tcPr>
            <w:tcW w:w="502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3,143</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2,358</w:t>
            </w: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Share issuance costs</w:t>
            </w:r>
          </w:p>
        </w:tc>
        <w:tc>
          <w:tcPr>
            <w:tcW w:w="5020" w:type="dxa"/>
            <w:vAlign w:val="bottom"/>
          </w:tcPr>
          <w:p>
            <w:pPr>
              <w:jc w:val="right"/>
              <w:ind w:right="132"/>
              <w:spacing w:after="0"/>
              <w:rPr>
                <w:sz w:val="20"/>
                <w:szCs w:val="20"/>
                <w:color w:val="auto"/>
              </w:rPr>
            </w:pPr>
            <w:r>
              <w:rPr>
                <w:rFonts w:ascii="Arial" w:cs="Arial" w:eastAsia="Arial" w:hAnsi="Arial"/>
                <w:sz w:val="18"/>
                <w:szCs w:val="18"/>
                <w:b w:val="1"/>
                <w:bCs w:val="1"/>
                <w:color w:val="auto"/>
              </w:rPr>
              <w:t>(14)</w:t>
            </w:r>
          </w:p>
        </w:tc>
        <w:tc>
          <w:tcPr>
            <w:tcW w:w="11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2"/>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Tax benefit from the exercise of share options</w:t>
            </w:r>
          </w:p>
        </w:tc>
        <w:tc>
          <w:tcPr>
            <w:tcW w:w="502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940</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285</w:t>
            </w: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Repurchase of ordinary shares</w:t>
            </w:r>
          </w:p>
        </w:tc>
        <w:tc>
          <w:tcPr>
            <w:tcW w:w="5020" w:type="dxa"/>
            <w:vAlign w:val="bottom"/>
          </w:tcPr>
          <w:p>
            <w:pPr>
              <w:jc w:val="right"/>
              <w:ind w:right="132"/>
              <w:spacing w:after="0"/>
              <w:rPr>
                <w:sz w:val="20"/>
                <w:szCs w:val="20"/>
                <w:color w:val="auto"/>
              </w:rPr>
            </w:pPr>
            <w:r>
              <w:rPr>
                <w:rFonts w:ascii="Arial" w:cs="Arial" w:eastAsia="Arial" w:hAnsi="Arial"/>
                <w:sz w:val="18"/>
                <w:szCs w:val="18"/>
                <w:b w:val="1"/>
                <w:bCs w:val="1"/>
                <w:color w:val="auto"/>
              </w:rPr>
              <w:t>(15,605)</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9"/>
        </w:trPr>
        <w:tc>
          <w:tcPr>
            <w:tcW w:w="20" w:type="dxa"/>
            <w:vAlign w:val="bottom"/>
          </w:tcPr>
          <w:p>
            <w:pPr>
              <w:spacing w:after="0"/>
              <w:rPr>
                <w:sz w:val="19"/>
                <w:szCs w:val="19"/>
                <w:color w:val="auto"/>
              </w:rPr>
            </w:pPr>
          </w:p>
        </w:tc>
        <w:tc>
          <w:tcPr>
            <w:tcW w:w="5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Share repurchase costs</w:t>
            </w:r>
          </w:p>
        </w:tc>
        <w:tc>
          <w:tcPr>
            <w:tcW w:w="50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(190)</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Net cash (used in)/provided by financing activities</w:t>
            </w:r>
          </w:p>
        </w:tc>
        <w:tc>
          <w:tcPr>
            <w:tcW w:w="5020" w:type="dxa"/>
            <w:vAlign w:val="bottom"/>
          </w:tcPr>
          <w:p>
            <w:pPr>
              <w:jc w:val="right"/>
              <w:ind w:right="132"/>
              <w:spacing w:after="0"/>
              <w:rPr>
                <w:sz w:val="20"/>
                <w:szCs w:val="20"/>
                <w:color w:val="auto"/>
              </w:rPr>
            </w:pPr>
            <w:r>
              <w:rPr>
                <w:rFonts w:ascii="Arial" w:cs="Arial" w:eastAsia="Arial" w:hAnsi="Arial"/>
                <w:sz w:val="18"/>
                <w:szCs w:val="18"/>
                <w:b w:val="1"/>
                <w:bCs w:val="1"/>
                <w:color w:val="auto"/>
              </w:rPr>
              <w:t>(11,726)</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2,577</w:t>
            </w:r>
          </w:p>
        </w:tc>
      </w:tr>
      <w:tr>
        <w:trPr>
          <w:trHeight w:val="219"/>
        </w:trPr>
        <w:tc>
          <w:tcPr>
            <w:tcW w:w="20" w:type="dxa"/>
            <w:vAlign w:val="bottom"/>
          </w:tcPr>
          <w:p>
            <w:pPr>
              <w:spacing w:after="0"/>
              <w:rPr>
                <w:sz w:val="19"/>
                <w:szCs w:val="19"/>
                <w:color w:val="auto"/>
              </w:rPr>
            </w:pPr>
          </w:p>
        </w:tc>
        <w:tc>
          <w:tcPr>
            <w:tcW w:w="5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50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(2,502)</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8,929</w:t>
            </w: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5020" w:type="dxa"/>
            <w:vAlign w:val="bottom"/>
          </w:tcPr>
          <w:p>
            <w:pPr>
              <w:jc w:val="right"/>
              <w:ind w:right="132"/>
              <w:spacing w:after="0"/>
              <w:rPr>
                <w:sz w:val="20"/>
                <w:szCs w:val="20"/>
                <w:color w:val="auto"/>
              </w:rPr>
            </w:pPr>
            <w:r>
              <w:rPr>
                <w:rFonts w:ascii="Arial" w:cs="Arial" w:eastAsia="Arial" w:hAnsi="Arial"/>
                <w:sz w:val="18"/>
                <w:szCs w:val="18"/>
                <w:b w:val="1"/>
                <w:bCs w:val="1"/>
                <w:color w:val="auto"/>
              </w:rPr>
              <w:t>(24,315)</w:t>
            </w:r>
          </w:p>
        </w:tc>
        <w:tc>
          <w:tcPr>
            <w:tcW w:w="1180" w:type="dxa"/>
            <w:vAlign w:val="bottom"/>
          </w:tcPr>
          <w:p>
            <w:pPr>
              <w:jc w:val="right"/>
              <w:spacing w:after="0"/>
              <w:rPr>
                <w:sz w:val="20"/>
                <w:szCs w:val="20"/>
                <w:color w:val="auto"/>
              </w:rPr>
            </w:pPr>
            <w:r>
              <w:rPr>
                <w:rFonts w:ascii="Arial" w:cs="Arial" w:eastAsia="Arial" w:hAnsi="Arial"/>
                <w:sz w:val="18"/>
                <w:szCs w:val="18"/>
                <w:color w:val="auto"/>
              </w:rPr>
              <w:t>(80,142)</w:t>
            </w:r>
          </w:p>
        </w:tc>
      </w:tr>
      <w:tr>
        <w:trPr>
          <w:trHeight w:val="219"/>
        </w:trPr>
        <w:tc>
          <w:tcPr>
            <w:tcW w:w="20" w:type="dxa"/>
            <w:vAlign w:val="bottom"/>
          </w:tcPr>
          <w:p>
            <w:pPr>
              <w:spacing w:after="0"/>
              <w:rPr>
                <w:sz w:val="19"/>
                <w:szCs w:val="19"/>
                <w:color w:val="auto"/>
              </w:rPr>
            </w:pPr>
          </w:p>
        </w:tc>
        <w:tc>
          <w:tcPr>
            <w:tcW w:w="5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at start of period</w:t>
            </w:r>
          </w:p>
        </w:tc>
        <w:tc>
          <w:tcPr>
            <w:tcW w:w="50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119,237</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255,706</w:t>
            </w:r>
          </w:p>
        </w:tc>
      </w:tr>
      <w:tr>
        <w:trPr>
          <w:trHeight w:val="219"/>
        </w:trPr>
        <w:tc>
          <w:tcPr>
            <w:tcW w:w="20" w:type="dxa"/>
            <w:vAlign w:val="bottom"/>
          </w:tcPr>
          <w:p>
            <w:pPr>
              <w:spacing w:after="0"/>
              <w:rPr>
                <w:sz w:val="19"/>
                <w:szCs w:val="19"/>
                <w:color w:val="auto"/>
              </w:rPr>
            </w:pP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50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94,922</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175,564</w:t>
            </w:r>
          </w:p>
        </w:tc>
      </w:tr>
      <w:tr>
        <w:trPr>
          <w:trHeight w:val="596"/>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5020" w:type="dxa"/>
            <w:vAlign w:val="bottom"/>
          </w:tcPr>
          <w:p>
            <w:pPr>
              <w:jc w:val="right"/>
              <w:ind w:right="4352"/>
              <w:spacing w:after="0"/>
              <w:rPr>
                <w:sz w:val="20"/>
                <w:szCs w:val="20"/>
                <w:color w:val="auto"/>
              </w:rPr>
            </w:pPr>
            <w:r>
              <w:rPr>
                <w:rFonts w:ascii="Arial" w:cs="Arial" w:eastAsia="Arial" w:hAnsi="Arial"/>
                <w:sz w:val="18"/>
                <w:szCs w:val="18"/>
                <w:color w:val="auto"/>
              </w:rPr>
              <w:t>14</w:t>
            </w:r>
          </w:p>
        </w:tc>
        <w:tc>
          <w:tcPr>
            <w:tcW w:w="1180" w:type="dxa"/>
            <w:vAlign w:val="bottom"/>
          </w:tcPr>
          <w:p>
            <w:pPr>
              <w:spacing w:after="0"/>
              <w:rPr>
                <w:sz w:val="24"/>
                <w:szCs w:val="24"/>
                <w:color w:val="auto"/>
              </w:rPr>
            </w:pPr>
          </w:p>
        </w:tc>
      </w:tr>
      <w:tr>
        <w:trPr>
          <w:trHeight w:val="117"/>
        </w:trPr>
        <w:tc>
          <w:tcPr>
            <w:tcW w:w="20" w:type="dxa"/>
            <w:vAlign w:val="bottom"/>
          </w:tcPr>
          <w:p>
            <w:pPr>
              <w:spacing w:after="0"/>
              <w:rPr>
                <w:sz w:val="10"/>
                <w:szCs w:val="10"/>
                <w:color w:val="auto"/>
              </w:rPr>
            </w:pPr>
          </w:p>
        </w:tc>
        <w:tc>
          <w:tcPr>
            <w:tcW w:w="5200" w:type="dxa"/>
            <w:vAlign w:val="bottom"/>
            <w:tcBorders>
              <w:bottom w:val="single" w:sz="8" w:color="808080"/>
            </w:tcBorders>
          </w:tcPr>
          <w:p>
            <w:pPr>
              <w:spacing w:after="0"/>
              <w:rPr>
                <w:sz w:val="10"/>
                <w:szCs w:val="10"/>
                <w:color w:val="auto"/>
              </w:rPr>
            </w:pPr>
          </w:p>
        </w:tc>
        <w:tc>
          <w:tcPr>
            <w:tcW w:w="50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7" w:name="page18"/>
    <w:bookmarkEnd w:id="17"/>
    <w:p>
      <w:pPr>
        <w:spacing w:after="0"/>
        <w:rPr>
          <w:sz w:val="20"/>
          <w:szCs w:val="20"/>
          <w:color w:val="auto"/>
        </w:rPr>
      </w:pPr>
      <w:r>
        <w:rPr>
          <w:rFonts w:ascii="Arial" w:cs="Arial" w:eastAsia="Arial" w:hAnsi="Arial"/>
          <w:sz w:val="25"/>
          <w:szCs w:val="25"/>
          <w:color w:val="auto"/>
        </w:rPr>
        <w:t>Condensed Consolidated Statement of Changes in Equity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six month period ended 30 June 2012</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b w:val="1"/>
                <w:bCs w:val="1"/>
                <w:color w:val="auto"/>
              </w:rPr>
              <w:t>Current</w:t>
            </w: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b w:val="1"/>
                <w:bCs w:val="1"/>
                <w:color w:val="auto"/>
              </w:rPr>
              <w:t>Share</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b w:val="1"/>
                <w:bCs w:val="1"/>
                <w:color w:val="auto"/>
              </w:rPr>
              <w:t>Asset</w:t>
            </w: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Capital</w:t>
            </w:r>
          </w:p>
        </w:tc>
        <w:tc>
          <w:tcPr>
            <w:tcW w:w="880" w:type="dxa"/>
            <w:vAlign w:val="bottom"/>
          </w:tcPr>
          <w:p>
            <w:pPr>
              <w:jc w:val="right"/>
              <w:ind w:right="52"/>
              <w:spacing w:after="0"/>
              <w:rPr>
                <w:sz w:val="20"/>
                <w:szCs w:val="20"/>
                <w:color w:val="auto"/>
              </w:rPr>
            </w:pPr>
            <w:r>
              <w:rPr>
                <w:rFonts w:ascii="Arial" w:cs="Arial" w:eastAsia="Arial" w:hAnsi="Arial"/>
                <w:sz w:val="18"/>
                <w:szCs w:val="18"/>
                <w:b w:val="1"/>
                <w:bCs w:val="1"/>
                <w:color w:val="auto"/>
              </w:rPr>
              <w:t>Based</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b w:val="1"/>
                <w:bCs w:val="1"/>
                <w:color w:val="auto"/>
                <w:w w:val="94"/>
              </w:rPr>
              <w:t>Investment</w:t>
            </w: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Number</w:t>
            </w: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rPr>
              <w:t>Share</w:t>
            </w: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rPr>
              <w:t>Share</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w w:val="92"/>
              </w:rPr>
              <w:t>Redemption</w:t>
            </w:r>
          </w:p>
        </w:tc>
        <w:tc>
          <w:tcPr>
            <w:tcW w:w="880" w:type="dxa"/>
            <w:vAlign w:val="bottom"/>
          </w:tcPr>
          <w:p>
            <w:pPr>
              <w:jc w:val="right"/>
              <w:ind w:right="52"/>
              <w:spacing w:after="0"/>
              <w:rPr>
                <w:sz w:val="20"/>
                <w:szCs w:val="20"/>
                <w:color w:val="auto"/>
              </w:rPr>
            </w:pPr>
            <w:r>
              <w:rPr>
                <w:rFonts w:ascii="Arial" w:cs="Arial" w:eastAsia="Arial" w:hAnsi="Arial"/>
                <w:sz w:val="18"/>
                <w:szCs w:val="18"/>
                <w:b w:val="1"/>
                <w:bCs w:val="1"/>
                <w:color w:val="auto"/>
                <w:w w:val="95"/>
              </w:rPr>
              <w:t>Payment</w:t>
            </w:r>
          </w:p>
        </w:tc>
        <w:tc>
          <w:tcPr>
            <w:tcW w:w="820" w:type="dxa"/>
            <w:vAlign w:val="bottom"/>
          </w:tcPr>
          <w:p>
            <w:pPr>
              <w:jc w:val="right"/>
              <w:ind w:right="12"/>
              <w:spacing w:after="0"/>
              <w:rPr>
                <w:sz w:val="20"/>
                <w:szCs w:val="20"/>
                <w:color w:val="auto"/>
              </w:rPr>
            </w:pPr>
            <w:r>
              <w:rPr>
                <w:rFonts w:ascii="Arial" w:cs="Arial" w:eastAsia="Arial" w:hAnsi="Arial"/>
                <w:sz w:val="18"/>
                <w:szCs w:val="18"/>
                <w:b w:val="1"/>
                <w:bCs w:val="1"/>
                <w:color w:val="auto"/>
              </w:rPr>
              <w:t>Other</w:t>
            </w: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Currency</w:t>
            </w:r>
          </w:p>
        </w:tc>
        <w:tc>
          <w:tcPr>
            <w:tcW w:w="1040" w:type="dxa"/>
            <w:vAlign w:val="bottom"/>
          </w:tcPr>
          <w:p>
            <w:pPr>
              <w:jc w:val="right"/>
              <w:ind w:right="32"/>
              <w:spacing w:after="0"/>
              <w:rPr>
                <w:sz w:val="20"/>
                <w:szCs w:val="20"/>
                <w:color w:val="auto"/>
              </w:rPr>
            </w:pPr>
            <w:r>
              <w:rPr>
                <w:rFonts w:ascii="Arial" w:cs="Arial" w:eastAsia="Arial" w:hAnsi="Arial"/>
                <w:sz w:val="18"/>
                <w:szCs w:val="18"/>
                <w:b w:val="1"/>
                <w:bCs w:val="1"/>
                <w:color w:val="auto"/>
              </w:rPr>
              <w:t>Fair value</w:t>
            </w:r>
          </w:p>
        </w:tc>
        <w:tc>
          <w:tcPr>
            <w:tcW w:w="920" w:type="dxa"/>
            <w:vAlign w:val="bottom"/>
          </w:tcPr>
          <w:p>
            <w:pPr>
              <w:jc w:val="right"/>
              <w:ind w:right="72"/>
              <w:spacing w:after="0"/>
              <w:rPr>
                <w:sz w:val="20"/>
                <w:szCs w:val="20"/>
                <w:color w:val="auto"/>
              </w:rPr>
            </w:pPr>
            <w:r>
              <w:rPr>
                <w:rFonts w:ascii="Arial" w:cs="Arial" w:eastAsia="Arial" w:hAnsi="Arial"/>
                <w:sz w:val="18"/>
                <w:szCs w:val="18"/>
                <w:b w:val="1"/>
                <w:bCs w:val="1"/>
                <w:color w:val="auto"/>
                <w:w w:val="97"/>
              </w:rPr>
              <w:t>Retained</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of shares</w:t>
            </w: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rPr>
              <w:t>Capital</w:t>
            </w: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w w:val="98"/>
              </w:rPr>
              <w:t>Premium</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Reserve</w:t>
            </w:r>
          </w:p>
        </w:tc>
        <w:tc>
          <w:tcPr>
            <w:tcW w:w="880" w:type="dxa"/>
            <w:vAlign w:val="bottom"/>
          </w:tcPr>
          <w:p>
            <w:pPr>
              <w:jc w:val="right"/>
              <w:ind w:right="52"/>
              <w:spacing w:after="0"/>
              <w:rPr>
                <w:sz w:val="20"/>
                <w:szCs w:val="20"/>
                <w:color w:val="auto"/>
              </w:rPr>
            </w:pPr>
            <w:r>
              <w:rPr>
                <w:rFonts w:ascii="Arial" w:cs="Arial" w:eastAsia="Arial" w:hAnsi="Arial"/>
                <w:sz w:val="18"/>
                <w:szCs w:val="18"/>
                <w:b w:val="1"/>
                <w:bCs w:val="1"/>
                <w:color w:val="auto"/>
              </w:rPr>
              <w:t>Reserve</w:t>
            </w:r>
          </w:p>
        </w:tc>
        <w:tc>
          <w:tcPr>
            <w:tcW w:w="820" w:type="dxa"/>
            <w:vAlign w:val="bottom"/>
          </w:tcPr>
          <w:p>
            <w:pPr>
              <w:jc w:val="right"/>
              <w:ind w:right="12"/>
              <w:spacing w:after="0"/>
              <w:rPr>
                <w:sz w:val="20"/>
                <w:szCs w:val="20"/>
                <w:color w:val="auto"/>
              </w:rPr>
            </w:pPr>
            <w:r>
              <w:rPr>
                <w:rFonts w:ascii="Arial" w:cs="Arial" w:eastAsia="Arial" w:hAnsi="Arial"/>
                <w:sz w:val="18"/>
                <w:szCs w:val="18"/>
                <w:b w:val="1"/>
                <w:bCs w:val="1"/>
                <w:color w:val="auto"/>
                <w:w w:val="87"/>
              </w:rPr>
              <w:t>Reserves</w:t>
            </w: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Reserve</w:t>
            </w:r>
          </w:p>
        </w:tc>
        <w:tc>
          <w:tcPr>
            <w:tcW w:w="1040" w:type="dxa"/>
            <w:vAlign w:val="bottom"/>
          </w:tcPr>
          <w:p>
            <w:pPr>
              <w:jc w:val="right"/>
              <w:ind w:right="32"/>
              <w:spacing w:after="0"/>
              <w:rPr>
                <w:sz w:val="20"/>
                <w:szCs w:val="20"/>
                <w:color w:val="auto"/>
              </w:rPr>
            </w:pPr>
            <w:r>
              <w:rPr>
                <w:rFonts w:ascii="Arial" w:cs="Arial" w:eastAsia="Arial" w:hAnsi="Arial"/>
                <w:sz w:val="18"/>
                <w:szCs w:val="18"/>
                <w:b w:val="1"/>
                <w:bCs w:val="1"/>
                <w:color w:val="auto"/>
              </w:rPr>
              <w:t>Reserve</w:t>
            </w:r>
          </w:p>
        </w:tc>
        <w:tc>
          <w:tcPr>
            <w:tcW w:w="920" w:type="dxa"/>
            <w:vAlign w:val="bottom"/>
          </w:tcPr>
          <w:p>
            <w:pPr>
              <w:jc w:val="right"/>
              <w:ind w:right="72"/>
              <w:spacing w:after="0"/>
              <w:rPr>
                <w:sz w:val="20"/>
                <w:szCs w:val="20"/>
                <w:color w:val="auto"/>
              </w:rPr>
            </w:pPr>
            <w:r>
              <w:rPr>
                <w:rFonts w:ascii="Arial" w:cs="Arial" w:eastAsia="Arial" w:hAnsi="Arial"/>
                <w:sz w:val="18"/>
                <w:szCs w:val="18"/>
                <w:b w:val="1"/>
                <w:bCs w:val="1"/>
                <w:color w:val="auto"/>
                <w:w w:val="96"/>
              </w:rPr>
              <w:t>Earnings</w:t>
            </w:r>
          </w:p>
        </w:tc>
        <w:tc>
          <w:tcPr>
            <w:tcW w:w="760" w:type="dxa"/>
            <w:vAlign w:val="bottom"/>
          </w:tcPr>
          <w:p>
            <w:pPr>
              <w:jc w:val="right"/>
              <w:ind w:right="1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2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US$’000   US$’000</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US$’000</w:t>
            </w:r>
          </w:p>
        </w:tc>
        <w:tc>
          <w:tcPr>
            <w:tcW w:w="880" w:type="dxa"/>
            <w:vAlign w:val="bottom"/>
          </w:tcPr>
          <w:p>
            <w:pPr>
              <w:jc w:val="right"/>
              <w:ind w:right="52"/>
              <w:spacing w:after="0"/>
              <w:rPr>
                <w:sz w:val="20"/>
                <w:szCs w:val="20"/>
                <w:color w:val="auto"/>
              </w:rPr>
            </w:pPr>
            <w:r>
              <w:rPr>
                <w:rFonts w:ascii="Arial" w:cs="Arial" w:eastAsia="Arial" w:hAnsi="Arial"/>
                <w:sz w:val="18"/>
                <w:szCs w:val="18"/>
                <w:b w:val="1"/>
                <w:bCs w:val="1"/>
                <w:color w:val="auto"/>
              </w:rPr>
              <w:t>US$’000</w:t>
            </w:r>
          </w:p>
        </w:tc>
        <w:tc>
          <w:tcPr>
            <w:tcW w:w="820" w:type="dxa"/>
            <w:vAlign w:val="bottom"/>
          </w:tcPr>
          <w:p>
            <w:pPr>
              <w:jc w:val="right"/>
              <w:ind w:right="12"/>
              <w:spacing w:after="0"/>
              <w:rPr>
                <w:sz w:val="20"/>
                <w:szCs w:val="20"/>
                <w:color w:val="auto"/>
              </w:rPr>
            </w:pPr>
            <w:r>
              <w:rPr>
                <w:rFonts w:ascii="Arial" w:cs="Arial" w:eastAsia="Arial" w:hAnsi="Arial"/>
                <w:sz w:val="18"/>
                <w:szCs w:val="18"/>
                <w:b w:val="1"/>
                <w:bCs w:val="1"/>
                <w:color w:val="auto"/>
                <w:w w:val="99"/>
              </w:rPr>
              <w:t>US$’000</w:t>
            </w: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US$’000</w:t>
            </w:r>
          </w:p>
        </w:tc>
        <w:tc>
          <w:tcPr>
            <w:tcW w:w="2720" w:type="dxa"/>
            <w:vAlign w:val="bottom"/>
            <w:gridSpan w:val="3"/>
          </w:tcPr>
          <w:p>
            <w:pPr>
              <w:jc w:val="right"/>
              <w:ind w:right="12"/>
              <w:spacing w:after="0"/>
              <w:rPr>
                <w:sz w:val="20"/>
                <w:szCs w:val="20"/>
                <w:color w:val="auto"/>
              </w:rPr>
            </w:pPr>
            <w:r>
              <w:rPr>
                <w:rFonts w:ascii="Arial" w:cs="Arial" w:eastAsia="Arial" w:hAnsi="Arial"/>
                <w:sz w:val="18"/>
                <w:szCs w:val="18"/>
                <w:b w:val="1"/>
                <w:bCs w:val="1"/>
                <w:color w:val="auto"/>
              </w:rPr>
              <w:t>US$’000   US$’000  US$’000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2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1 January 2012</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3"/>
              </w:rPr>
              <w:t>60,135,603</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5,055</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160,090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39,429</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7,422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(11,507)</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491,937</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691,848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80" w:type="dxa"/>
            <w:vAlign w:val="bottom"/>
          </w:tcPr>
          <w:p>
            <w:pPr>
              <w:spacing w:after="0" w:line="194" w:lineRule="exact"/>
              <w:rPr>
                <w:sz w:val="20"/>
                <w:szCs w:val="20"/>
                <w:color w:val="auto"/>
              </w:rPr>
            </w:pPr>
            <w:r>
              <w:rPr>
                <w:rFonts w:ascii="Arial" w:cs="Arial" w:eastAsia="Arial" w:hAnsi="Arial"/>
                <w:sz w:val="18"/>
                <w:szCs w:val="18"/>
                <w:b w:val="1"/>
                <w:bCs w:val="1"/>
                <w:color w:val="auto"/>
                <w:w w:val="91"/>
              </w:rPr>
              <w:t>Total comprehensive income</w:t>
            </w: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for the period:</w:t>
            </w:r>
          </w:p>
        </w:tc>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Profit for the period</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18,122</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18,122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8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Other Comprehensive</w:t>
            </w:r>
          </w:p>
        </w:tc>
        <w:tc>
          <w:tcPr>
            <w:tcW w:w="9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w:t>
            </w:r>
          </w:p>
        </w:tc>
        <w:tc>
          <w:tcPr>
            <w:tcW w:w="9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(10,293)</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(10,293)</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22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5"/>
              </w:rPr>
              <w:t>Currency impact on long-term</w:t>
            </w: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funding</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1,693</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22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1"/>
              </w:rPr>
              <w:t>Tax on currency impact of long</w:t>
            </w: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term funding</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22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Unrealised capital gain on</w:t>
            </w: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372</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22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Tax benefit on exercise of</w:t>
            </w: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940</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22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Deferred tax movement on</w:t>
            </w: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unexercised options</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22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Total other comprehensive</w:t>
            </w: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945</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(8,757)</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372</w:t>
            </w: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22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8"/>
              </w:rPr>
              <w:t>Total comprehensive income</w:t>
            </w: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 the period</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945</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(8,757)</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372</w:t>
            </w: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18,122</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10,682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80" w:type="dxa"/>
            <w:vAlign w:val="bottom"/>
          </w:tcPr>
          <w:p>
            <w:pPr>
              <w:spacing w:after="0" w:line="194" w:lineRule="exact"/>
              <w:rPr>
                <w:sz w:val="20"/>
                <w:szCs w:val="20"/>
                <w:color w:val="auto"/>
              </w:rPr>
            </w:pPr>
            <w:r>
              <w:rPr>
                <w:rFonts w:ascii="Arial" w:cs="Arial" w:eastAsia="Arial" w:hAnsi="Arial"/>
                <w:sz w:val="18"/>
                <w:szCs w:val="18"/>
                <w:b w:val="1"/>
                <w:bCs w:val="1"/>
                <w:color w:val="auto"/>
                <w:w w:val="99"/>
              </w:rPr>
              <w:t>Transactions with owners,</w:t>
            </w: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recorded directly in equity</w:t>
            </w:r>
          </w:p>
        </w:tc>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Share-based payment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4,223</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4,223</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Exercise of share options</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282,596</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3,121</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3,143</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Share issue costs</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w w:val="91"/>
              </w:rPr>
              <w:t>Repurchase of ordinary shares</w:t>
            </w:r>
          </w:p>
        </w:tc>
        <w:tc>
          <w:tcPr>
            <w:tcW w:w="980" w:type="dxa"/>
            <w:vAlign w:val="bottom"/>
          </w:tcPr>
          <w:p>
            <w:pPr>
              <w:jc w:val="right"/>
              <w:spacing w:after="0"/>
              <w:rPr>
                <w:sz w:val="20"/>
                <w:szCs w:val="20"/>
                <w:color w:val="auto"/>
              </w:rPr>
            </w:pPr>
            <w:r>
              <w:rPr>
                <w:rFonts w:ascii="Arial" w:cs="Arial" w:eastAsia="Arial" w:hAnsi="Arial"/>
                <w:sz w:val="18"/>
                <w:szCs w:val="18"/>
                <w:color w:val="auto"/>
              </w:rPr>
              <w:t>(738,341)</w:t>
            </w:r>
          </w:p>
        </w:tc>
        <w:tc>
          <w:tcPr>
            <w:tcW w:w="820" w:type="dxa"/>
            <w:vAlign w:val="bottom"/>
          </w:tcPr>
          <w:p>
            <w:pPr>
              <w:jc w:val="right"/>
              <w:spacing w:after="0"/>
              <w:rPr>
                <w:sz w:val="20"/>
                <w:szCs w:val="20"/>
                <w:color w:val="auto"/>
              </w:rPr>
            </w:pPr>
            <w:r>
              <w:rPr>
                <w:rFonts w:ascii="Arial" w:cs="Arial" w:eastAsia="Arial" w:hAnsi="Arial"/>
                <w:sz w:val="18"/>
                <w:szCs w:val="18"/>
                <w:color w:val="auto"/>
              </w:rPr>
              <w:t>(56)</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56</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(15,605)</w:t>
            </w:r>
          </w:p>
        </w:tc>
        <w:tc>
          <w:tcPr>
            <w:tcW w:w="760" w:type="dxa"/>
            <w:vAlign w:val="bottom"/>
          </w:tcPr>
          <w:p>
            <w:pPr>
              <w:jc w:val="right"/>
              <w:spacing w:after="0"/>
              <w:rPr>
                <w:sz w:val="20"/>
                <w:szCs w:val="20"/>
                <w:color w:val="auto"/>
              </w:rPr>
            </w:pPr>
            <w:r>
              <w:rPr>
                <w:rFonts w:ascii="Arial" w:cs="Arial" w:eastAsia="Arial" w:hAnsi="Arial"/>
                <w:sz w:val="18"/>
                <w:szCs w:val="18"/>
                <w:color w:val="auto"/>
              </w:rPr>
              <w:t>(15,605)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Share repurchase costs</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(190)</w:t>
            </w:r>
          </w:p>
        </w:tc>
        <w:tc>
          <w:tcPr>
            <w:tcW w:w="76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2280" w:type="dxa"/>
            <w:vAlign w:val="bottom"/>
          </w:tcPr>
          <w:p>
            <w:pPr>
              <w:spacing w:after="0" w:line="200" w:lineRule="exact"/>
              <w:rPr>
                <w:sz w:val="20"/>
                <w:szCs w:val="20"/>
                <w:color w:val="auto"/>
              </w:rPr>
            </w:pPr>
            <w:r>
              <w:rPr>
                <w:rFonts w:ascii="Arial" w:cs="Arial" w:eastAsia="Arial" w:hAnsi="Arial"/>
                <w:sz w:val="18"/>
                <w:szCs w:val="18"/>
                <w:color w:val="auto"/>
              </w:rPr>
              <w:t>Transfer of exercised and</w:t>
            </w: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300" w:type="dxa"/>
            <w:vAlign w:val="bottom"/>
            <w:gridSpan w:val="2"/>
          </w:tcPr>
          <w:p>
            <w:pPr>
              <w:spacing w:after="0"/>
              <w:rPr>
                <w:sz w:val="20"/>
                <w:szCs w:val="20"/>
                <w:color w:val="auto"/>
              </w:rPr>
            </w:pPr>
            <w:r>
              <w:rPr>
                <w:rFonts w:ascii="Arial" w:cs="Arial" w:eastAsia="Arial" w:hAnsi="Arial"/>
                <w:sz w:val="18"/>
                <w:szCs w:val="18"/>
                <w:color w:val="auto"/>
                <w:w w:val="98"/>
              </w:rPr>
              <w:t>expired share–based awards</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(1,523)</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1,523</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2280" w:type="dxa"/>
            <w:vAlign w:val="bottom"/>
          </w:tcPr>
          <w:p>
            <w:pPr>
              <w:spacing w:after="0" w:line="200" w:lineRule="exact"/>
              <w:rPr>
                <w:sz w:val="20"/>
                <w:szCs w:val="20"/>
                <w:color w:val="auto"/>
              </w:rPr>
            </w:pPr>
            <w:r>
              <w:rPr>
                <w:rFonts w:ascii="Arial" w:cs="Arial" w:eastAsia="Arial" w:hAnsi="Arial"/>
                <w:sz w:val="18"/>
                <w:szCs w:val="18"/>
                <w:color w:val="auto"/>
              </w:rPr>
              <w:t>Total contributions by and</w:t>
            </w: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300" w:type="dxa"/>
            <w:vAlign w:val="bottom"/>
            <w:gridSpan w:val="2"/>
          </w:tcPr>
          <w:p>
            <w:pPr>
              <w:spacing w:after="0"/>
              <w:rPr>
                <w:sz w:val="20"/>
                <w:szCs w:val="20"/>
                <w:color w:val="auto"/>
              </w:rPr>
            </w:pPr>
            <w:r>
              <w:rPr>
                <w:rFonts w:ascii="Arial" w:cs="Arial" w:eastAsia="Arial" w:hAnsi="Arial"/>
                <w:sz w:val="18"/>
                <w:szCs w:val="18"/>
                <w:color w:val="auto"/>
              </w:rPr>
              <w:t>distributions to owners</w:t>
            </w:r>
          </w:p>
        </w:tc>
        <w:tc>
          <w:tcPr>
            <w:tcW w:w="980" w:type="dxa"/>
            <w:vAlign w:val="bottom"/>
          </w:tcPr>
          <w:p>
            <w:pPr>
              <w:jc w:val="right"/>
              <w:spacing w:after="0"/>
              <w:rPr>
                <w:sz w:val="20"/>
                <w:szCs w:val="20"/>
                <w:color w:val="auto"/>
              </w:rPr>
            </w:pPr>
            <w:r>
              <w:rPr>
                <w:rFonts w:ascii="Arial" w:cs="Arial" w:eastAsia="Arial" w:hAnsi="Arial"/>
                <w:sz w:val="18"/>
                <w:szCs w:val="18"/>
                <w:color w:val="auto"/>
              </w:rPr>
              <w:t>(455,745)</w:t>
            </w: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3,107</w:t>
            </w:r>
          </w:p>
        </w:tc>
        <w:tc>
          <w:tcPr>
            <w:tcW w:w="1060" w:type="dxa"/>
            <w:vAlign w:val="bottom"/>
          </w:tcPr>
          <w:p>
            <w:pPr>
              <w:jc w:val="right"/>
              <w:spacing w:after="0"/>
              <w:rPr>
                <w:sz w:val="20"/>
                <w:szCs w:val="20"/>
                <w:color w:val="auto"/>
              </w:rPr>
            </w:pPr>
            <w:r>
              <w:rPr>
                <w:rFonts w:ascii="Arial" w:cs="Arial" w:eastAsia="Arial" w:hAnsi="Arial"/>
                <w:sz w:val="18"/>
                <w:szCs w:val="18"/>
                <w:color w:val="auto"/>
              </w:rPr>
              <w:t>56</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2,700</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(14,272)</w:t>
            </w:r>
          </w:p>
        </w:tc>
        <w:tc>
          <w:tcPr>
            <w:tcW w:w="760" w:type="dxa"/>
            <w:vAlign w:val="bottom"/>
          </w:tcPr>
          <w:p>
            <w:pPr>
              <w:jc w:val="right"/>
              <w:spacing w:after="0"/>
              <w:rPr>
                <w:sz w:val="20"/>
                <w:szCs w:val="20"/>
                <w:color w:val="auto"/>
              </w:rPr>
            </w:pPr>
            <w:r>
              <w:rPr>
                <w:rFonts w:ascii="Arial" w:cs="Arial" w:eastAsia="Arial" w:hAnsi="Arial"/>
                <w:sz w:val="18"/>
                <w:szCs w:val="18"/>
                <w:color w:val="auto"/>
              </w:rPr>
              <w:t>(8,443)</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Total transactions with owners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(455,745)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3,107</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2,700</w:t>
            </w: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(14,272)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(8,443)</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at 30 June 2012</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3"/>
              </w:rPr>
              <w:t>59,679,858</w:t>
            </w: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5,021</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163,197</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43,074</w:t>
            </w: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7,422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495,787</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8"/>
              </w:rPr>
              <w:t>694,087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9"/>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15</w:t>
            </w: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8" w:name="page19"/>
    <w:bookmarkEnd w:id="18"/>
    <w:p>
      <w:pPr>
        <w:spacing w:after="0"/>
        <w:rPr>
          <w:sz w:val="20"/>
          <w:szCs w:val="20"/>
          <w:color w:val="auto"/>
        </w:rPr>
      </w:pPr>
      <w:r>
        <w:rPr>
          <w:rFonts w:ascii="Arial" w:cs="Arial" w:eastAsia="Arial" w:hAnsi="Arial"/>
          <w:sz w:val="25"/>
          <w:szCs w:val="25"/>
          <w:color w:val="auto"/>
        </w:rPr>
        <w:t>Condensed Consolidated Statement of Changes in Equity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six month period ended 30 June 2011</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b w:val="1"/>
                <w:bCs w:val="1"/>
                <w:color w:val="auto"/>
              </w:rPr>
              <w:t>Number</w:t>
            </w:r>
          </w:p>
        </w:tc>
        <w:tc>
          <w:tcPr>
            <w:tcW w:w="1020" w:type="dxa"/>
            <w:vAlign w:val="bottom"/>
          </w:tcPr>
          <w:p>
            <w:pPr>
              <w:jc w:val="right"/>
              <w:ind w:right="72"/>
              <w:spacing w:after="0"/>
              <w:rPr>
                <w:sz w:val="20"/>
                <w:szCs w:val="20"/>
                <w:color w:val="auto"/>
              </w:rPr>
            </w:pPr>
            <w:r>
              <w:rPr>
                <w:rFonts w:ascii="Arial" w:cs="Arial" w:eastAsia="Arial" w:hAnsi="Arial"/>
                <w:sz w:val="18"/>
                <w:szCs w:val="18"/>
                <w:b w:val="1"/>
                <w:bCs w:val="1"/>
                <w:color w:val="auto"/>
              </w:rPr>
              <w:t>Share</w:t>
            </w:r>
          </w:p>
        </w:tc>
        <w:tc>
          <w:tcPr>
            <w:tcW w:w="1080" w:type="dxa"/>
            <w:vAlign w:val="bottom"/>
          </w:tcPr>
          <w:p>
            <w:pPr>
              <w:jc w:val="right"/>
              <w:ind w:right="112"/>
              <w:spacing w:after="0"/>
              <w:rPr>
                <w:sz w:val="20"/>
                <w:szCs w:val="20"/>
                <w:color w:val="auto"/>
              </w:rPr>
            </w:pPr>
            <w:r>
              <w:rPr>
                <w:rFonts w:ascii="Arial" w:cs="Arial" w:eastAsia="Arial" w:hAnsi="Arial"/>
                <w:sz w:val="18"/>
                <w:szCs w:val="18"/>
                <w:b w:val="1"/>
                <w:bCs w:val="1"/>
                <w:color w:val="auto"/>
              </w:rPr>
              <w:t>Share</w:t>
            </w:r>
          </w:p>
        </w:tc>
        <w:tc>
          <w:tcPr>
            <w:tcW w:w="1280" w:type="dxa"/>
            <w:vAlign w:val="bottom"/>
          </w:tcPr>
          <w:p>
            <w:pPr>
              <w:jc w:val="right"/>
              <w:ind w:right="112"/>
              <w:spacing w:after="0"/>
              <w:rPr>
                <w:sz w:val="20"/>
                <w:szCs w:val="20"/>
                <w:color w:val="auto"/>
              </w:rPr>
            </w:pPr>
            <w:r>
              <w:rPr>
                <w:rFonts w:ascii="Arial" w:cs="Arial" w:eastAsia="Arial" w:hAnsi="Arial"/>
                <w:sz w:val="18"/>
                <w:szCs w:val="18"/>
                <w:b w:val="1"/>
                <w:bCs w:val="1"/>
                <w:color w:val="auto"/>
                <w:w w:val="97"/>
              </w:rPr>
              <w:t>Share Based</w:t>
            </w:r>
          </w:p>
        </w:tc>
        <w:tc>
          <w:tcPr>
            <w:tcW w:w="960" w:type="dxa"/>
            <w:vAlign w:val="bottom"/>
          </w:tcPr>
          <w:p>
            <w:pPr>
              <w:jc w:val="right"/>
              <w:ind w:right="52"/>
              <w:spacing w:after="0"/>
              <w:rPr>
                <w:sz w:val="20"/>
                <w:szCs w:val="20"/>
                <w:color w:val="auto"/>
              </w:rPr>
            </w:pPr>
            <w:r>
              <w:rPr>
                <w:rFonts w:ascii="Arial" w:cs="Arial" w:eastAsia="Arial" w:hAnsi="Arial"/>
                <w:sz w:val="18"/>
                <w:szCs w:val="18"/>
                <w:b w:val="1"/>
                <w:bCs w:val="1"/>
                <w:color w:val="auto"/>
              </w:rPr>
              <w:t>Other</w:t>
            </w:r>
          </w:p>
        </w:tc>
        <w:tc>
          <w:tcPr>
            <w:tcW w:w="1060" w:type="dxa"/>
            <w:vAlign w:val="bottom"/>
          </w:tcPr>
          <w:p>
            <w:pPr>
              <w:jc w:val="right"/>
              <w:ind w:right="112"/>
              <w:spacing w:after="0"/>
              <w:rPr>
                <w:sz w:val="20"/>
                <w:szCs w:val="20"/>
                <w:color w:val="auto"/>
              </w:rPr>
            </w:pPr>
            <w:r>
              <w:rPr>
                <w:rFonts w:ascii="Arial" w:cs="Arial" w:eastAsia="Arial" w:hAnsi="Arial"/>
                <w:sz w:val="18"/>
                <w:szCs w:val="18"/>
                <w:b w:val="1"/>
                <w:bCs w:val="1"/>
                <w:color w:val="auto"/>
              </w:rPr>
              <w:t>Currency</w:t>
            </w:r>
          </w:p>
        </w:tc>
        <w:tc>
          <w:tcPr>
            <w:tcW w:w="1000" w:type="dxa"/>
            <w:vAlign w:val="bottom"/>
          </w:tcPr>
          <w:p>
            <w:pPr>
              <w:jc w:val="right"/>
              <w:ind w:right="112"/>
              <w:spacing w:after="0"/>
              <w:rPr>
                <w:sz w:val="20"/>
                <w:szCs w:val="20"/>
                <w:color w:val="auto"/>
              </w:rPr>
            </w:pPr>
            <w:r>
              <w:rPr>
                <w:rFonts w:ascii="Arial" w:cs="Arial" w:eastAsia="Arial" w:hAnsi="Arial"/>
                <w:sz w:val="18"/>
                <w:szCs w:val="18"/>
                <w:b w:val="1"/>
                <w:bCs w:val="1"/>
                <w:color w:val="auto"/>
              </w:rPr>
              <w:t>Retained</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b w:val="1"/>
                <w:bCs w:val="1"/>
                <w:color w:val="auto"/>
              </w:rPr>
              <w:t>Payment</w:t>
            </w: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b w:val="1"/>
                <w:bCs w:val="1"/>
                <w:color w:val="auto"/>
              </w:rPr>
              <w:t>of shares</w:t>
            </w:r>
          </w:p>
        </w:tc>
        <w:tc>
          <w:tcPr>
            <w:tcW w:w="1020" w:type="dxa"/>
            <w:vAlign w:val="bottom"/>
          </w:tcPr>
          <w:p>
            <w:pPr>
              <w:jc w:val="right"/>
              <w:ind w:right="72"/>
              <w:spacing w:after="0"/>
              <w:rPr>
                <w:sz w:val="20"/>
                <w:szCs w:val="20"/>
                <w:color w:val="auto"/>
              </w:rPr>
            </w:pPr>
            <w:r>
              <w:rPr>
                <w:rFonts w:ascii="Arial" w:cs="Arial" w:eastAsia="Arial" w:hAnsi="Arial"/>
                <w:sz w:val="18"/>
                <w:szCs w:val="18"/>
                <w:b w:val="1"/>
                <w:bCs w:val="1"/>
                <w:color w:val="auto"/>
              </w:rPr>
              <w:t>Capital</w:t>
            </w:r>
          </w:p>
        </w:tc>
        <w:tc>
          <w:tcPr>
            <w:tcW w:w="1080" w:type="dxa"/>
            <w:vAlign w:val="bottom"/>
          </w:tcPr>
          <w:p>
            <w:pPr>
              <w:jc w:val="right"/>
              <w:ind w:right="112"/>
              <w:spacing w:after="0"/>
              <w:rPr>
                <w:sz w:val="20"/>
                <w:szCs w:val="20"/>
                <w:color w:val="auto"/>
              </w:rPr>
            </w:pPr>
            <w:r>
              <w:rPr>
                <w:rFonts w:ascii="Arial" w:cs="Arial" w:eastAsia="Arial" w:hAnsi="Arial"/>
                <w:sz w:val="18"/>
                <w:szCs w:val="18"/>
                <w:b w:val="1"/>
                <w:bCs w:val="1"/>
                <w:color w:val="auto"/>
              </w:rPr>
              <w:t>Premium</w:t>
            </w:r>
          </w:p>
        </w:tc>
        <w:tc>
          <w:tcPr>
            <w:tcW w:w="1280" w:type="dxa"/>
            <w:vAlign w:val="bottom"/>
          </w:tcPr>
          <w:p>
            <w:pPr>
              <w:jc w:val="right"/>
              <w:ind w:right="112"/>
              <w:spacing w:after="0"/>
              <w:rPr>
                <w:sz w:val="20"/>
                <w:szCs w:val="20"/>
                <w:color w:val="auto"/>
              </w:rPr>
            </w:pPr>
            <w:r>
              <w:rPr>
                <w:rFonts w:ascii="Arial" w:cs="Arial" w:eastAsia="Arial" w:hAnsi="Arial"/>
                <w:sz w:val="18"/>
                <w:szCs w:val="18"/>
                <w:b w:val="1"/>
                <w:bCs w:val="1"/>
                <w:color w:val="auto"/>
              </w:rPr>
              <w:t>Reserve</w:t>
            </w:r>
          </w:p>
        </w:tc>
        <w:tc>
          <w:tcPr>
            <w:tcW w:w="960" w:type="dxa"/>
            <w:vAlign w:val="bottom"/>
          </w:tcPr>
          <w:p>
            <w:pPr>
              <w:jc w:val="right"/>
              <w:ind w:right="52"/>
              <w:spacing w:after="0"/>
              <w:rPr>
                <w:sz w:val="20"/>
                <w:szCs w:val="20"/>
                <w:color w:val="auto"/>
              </w:rPr>
            </w:pPr>
            <w:r>
              <w:rPr>
                <w:rFonts w:ascii="Arial" w:cs="Arial" w:eastAsia="Arial" w:hAnsi="Arial"/>
                <w:sz w:val="18"/>
                <w:szCs w:val="18"/>
                <w:b w:val="1"/>
                <w:bCs w:val="1"/>
                <w:color w:val="auto"/>
                <w:w w:val="99"/>
              </w:rPr>
              <w:t>Reserves</w:t>
            </w:r>
          </w:p>
        </w:tc>
        <w:tc>
          <w:tcPr>
            <w:tcW w:w="1060" w:type="dxa"/>
            <w:vAlign w:val="bottom"/>
          </w:tcPr>
          <w:p>
            <w:pPr>
              <w:jc w:val="right"/>
              <w:ind w:right="112"/>
              <w:spacing w:after="0"/>
              <w:rPr>
                <w:sz w:val="20"/>
                <w:szCs w:val="20"/>
                <w:color w:val="auto"/>
              </w:rPr>
            </w:pPr>
            <w:r>
              <w:rPr>
                <w:rFonts w:ascii="Arial" w:cs="Arial" w:eastAsia="Arial" w:hAnsi="Arial"/>
                <w:sz w:val="18"/>
                <w:szCs w:val="18"/>
                <w:b w:val="1"/>
                <w:bCs w:val="1"/>
                <w:color w:val="auto"/>
              </w:rPr>
              <w:t>Reserve</w:t>
            </w:r>
          </w:p>
        </w:tc>
        <w:tc>
          <w:tcPr>
            <w:tcW w:w="1000" w:type="dxa"/>
            <w:vAlign w:val="bottom"/>
          </w:tcPr>
          <w:p>
            <w:pPr>
              <w:jc w:val="right"/>
              <w:ind w:right="112"/>
              <w:spacing w:after="0"/>
              <w:rPr>
                <w:sz w:val="20"/>
                <w:szCs w:val="20"/>
                <w:color w:val="auto"/>
              </w:rPr>
            </w:pPr>
            <w:r>
              <w:rPr>
                <w:rFonts w:ascii="Arial" w:cs="Arial" w:eastAsia="Arial" w:hAnsi="Arial"/>
                <w:sz w:val="18"/>
                <w:szCs w:val="18"/>
                <w:b w:val="1"/>
                <w:bCs w:val="1"/>
                <w:color w:val="auto"/>
              </w:rPr>
              <w:t>Earnings</w:t>
            </w: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424"/>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(Unaudited)</w:t>
            </w:r>
          </w:p>
        </w:tc>
        <w:tc>
          <w:tcPr>
            <w:tcW w:w="1060" w:type="dxa"/>
            <w:vAlign w:val="bottom"/>
          </w:tcPr>
          <w:p>
            <w:pPr>
              <w:spacing w:after="0"/>
              <w:rPr>
                <w:sz w:val="24"/>
                <w:szCs w:val="24"/>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b w:val="1"/>
                <w:bCs w:val="1"/>
                <w:color w:val="auto"/>
              </w:rPr>
              <w:t>US$’000</w:t>
            </w:r>
          </w:p>
        </w:tc>
        <w:tc>
          <w:tcPr>
            <w:tcW w:w="1080" w:type="dxa"/>
            <w:vAlign w:val="bottom"/>
          </w:tcPr>
          <w:p>
            <w:pPr>
              <w:jc w:val="right"/>
              <w:ind w:right="112"/>
              <w:spacing w:after="0"/>
              <w:rPr>
                <w:sz w:val="20"/>
                <w:szCs w:val="20"/>
                <w:color w:val="auto"/>
              </w:rPr>
            </w:pPr>
            <w:r>
              <w:rPr>
                <w:rFonts w:ascii="Arial" w:cs="Arial" w:eastAsia="Arial" w:hAnsi="Arial"/>
                <w:sz w:val="18"/>
                <w:szCs w:val="18"/>
                <w:b w:val="1"/>
                <w:bCs w:val="1"/>
                <w:color w:val="auto"/>
              </w:rPr>
              <w:t>US$’000</w:t>
            </w:r>
          </w:p>
        </w:tc>
        <w:tc>
          <w:tcPr>
            <w:tcW w:w="1280" w:type="dxa"/>
            <w:vAlign w:val="bottom"/>
          </w:tcPr>
          <w:p>
            <w:pPr>
              <w:jc w:val="right"/>
              <w:ind w:right="112"/>
              <w:spacing w:after="0"/>
              <w:rPr>
                <w:sz w:val="20"/>
                <w:szCs w:val="20"/>
                <w:color w:val="auto"/>
              </w:rPr>
            </w:pPr>
            <w:r>
              <w:rPr>
                <w:rFonts w:ascii="Arial" w:cs="Arial" w:eastAsia="Arial" w:hAnsi="Arial"/>
                <w:sz w:val="18"/>
                <w:szCs w:val="18"/>
                <w:b w:val="1"/>
                <w:bCs w:val="1"/>
                <w:color w:val="auto"/>
              </w:rPr>
              <w:t>US$’000</w:t>
            </w:r>
          </w:p>
        </w:tc>
        <w:tc>
          <w:tcPr>
            <w:tcW w:w="960" w:type="dxa"/>
            <w:vAlign w:val="bottom"/>
          </w:tcPr>
          <w:p>
            <w:pPr>
              <w:jc w:val="right"/>
              <w:ind w:right="52"/>
              <w:spacing w:after="0"/>
              <w:rPr>
                <w:sz w:val="20"/>
                <w:szCs w:val="20"/>
                <w:color w:val="auto"/>
              </w:rPr>
            </w:pPr>
            <w:r>
              <w:rPr>
                <w:rFonts w:ascii="Arial" w:cs="Arial" w:eastAsia="Arial" w:hAnsi="Arial"/>
                <w:sz w:val="18"/>
                <w:szCs w:val="18"/>
                <w:b w:val="1"/>
                <w:bCs w:val="1"/>
                <w:color w:val="auto"/>
              </w:rPr>
              <w:t>US$’000</w:t>
            </w:r>
          </w:p>
        </w:tc>
        <w:tc>
          <w:tcPr>
            <w:tcW w:w="1060" w:type="dxa"/>
            <w:vAlign w:val="bottom"/>
          </w:tcPr>
          <w:p>
            <w:pPr>
              <w:jc w:val="right"/>
              <w:ind w:right="112"/>
              <w:spacing w:after="0"/>
              <w:rPr>
                <w:sz w:val="20"/>
                <w:szCs w:val="20"/>
                <w:color w:val="auto"/>
              </w:rPr>
            </w:pPr>
            <w:r>
              <w:rPr>
                <w:rFonts w:ascii="Arial" w:cs="Arial" w:eastAsia="Arial" w:hAnsi="Arial"/>
                <w:sz w:val="18"/>
                <w:szCs w:val="18"/>
                <w:b w:val="1"/>
                <w:bCs w:val="1"/>
                <w:color w:val="auto"/>
              </w:rPr>
              <w:t>US$’000</w:t>
            </w:r>
          </w:p>
        </w:tc>
        <w:tc>
          <w:tcPr>
            <w:tcW w:w="1000" w:type="dxa"/>
            <w:vAlign w:val="bottom"/>
          </w:tcPr>
          <w:p>
            <w:pPr>
              <w:jc w:val="right"/>
              <w:ind w:right="112"/>
              <w:spacing w:after="0"/>
              <w:rPr>
                <w:sz w:val="20"/>
                <w:szCs w:val="20"/>
                <w:color w:val="auto"/>
              </w:rPr>
            </w:pPr>
            <w:r>
              <w:rPr>
                <w:rFonts w:ascii="Arial" w:cs="Arial" w:eastAsia="Arial" w:hAnsi="Arial"/>
                <w:sz w:val="18"/>
                <w:szCs w:val="18"/>
                <w:b w:val="1"/>
                <w:bCs w:val="1"/>
                <w:color w:val="auto"/>
              </w:rPr>
              <w:t>US$’000</w:t>
            </w: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US$’000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3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1 January 2011</w:t>
            </w:r>
          </w:p>
        </w:tc>
        <w:tc>
          <w:tcPr>
            <w:tcW w:w="10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3"/>
              </w:rPr>
              <w:t>60,247,092</w:t>
            </w: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5,063</w:t>
            </w: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155,537</w:t>
            </w:r>
          </w:p>
        </w:tc>
        <w:tc>
          <w:tcPr>
            <w:tcW w:w="12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31,478</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7,422</w:t>
            </w:r>
          </w:p>
        </w:tc>
        <w:tc>
          <w:tcPr>
            <w:tcW w:w="10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349</w:t>
            </w:r>
          </w:p>
        </w:tc>
        <w:tc>
          <w:tcPr>
            <w:tcW w:w="10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483,896</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683,745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02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w w:val="97"/>
              </w:rPr>
              <w:t>Total comprehensive income for the</w:t>
            </w:r>
          </w:p>
        </w:tc>
        <w:tc>
          <w:tcPr>
            <w:tcW w:w="10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period:</w:t>
            </w:r>
          </w:p>
        </w:tc>
        <w:tc>
          <w:tcPr>
            <w:tcW w:w="10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3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Profit for the period</w:t>
            </w:r>
          </w:p>
        </w:tc>
        <w:tc>
          <w:tcPr>
            <w:tcW w:w="10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22,075</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22,075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w:t>
            </w: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15,824</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15,824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9"/>
              </w:rPr>
              <w:t>Currency impact on long-term funding</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(1,921)</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3020" w:type="dxa"/>
            <w:vAlign w:val="bottom"/>
          </w:tcPr>
          <w:p>
            <w:pPr>
              <w:spacing w:after="0" w:line="200" w:lineRule="exact"/>
              <w:rPr>
                <w:sz w:val="20"/>
                <w:szCs w:val="20"/>
                <w:color w:val="auto"/>
              </w:rPr>
            </w:pPr>
            <w:r>
              <w:rPr>
                <w:rFonts w:ascii="Arial" w:cs="Arial" w:eastAsia="Arial" w:hAnsi="Arial"/>
                <w:sz w:val="18"/>
                <w:szCs w:val="18"/>
                <w:color w:val="auto"/>
              </w:rPr>
              <w:t>Tax on currency impact of long term</w:t>
            </w: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040" w:type="dxa"/>
            <w:vAlign w:val="bottom"/>
            <w:gridSpan w:val="2"/>
          </w:tcPr>
          <w:p>
            <w:pPr>
              <w:spacing w:after="0"/>
              <w:rPr>
                <w:sz w:val="20"/>
                <w:szCs w:val="20"/>
                <w:color w:val="auto"/>
              </w:rPr>
            </w:pPr>
            <w:r>
              <w:rPr>
                <w:rFonts w:ascii="Arial" w:cs="Arial" w:eastAsia="Arial" w:hAnsi="Arial"/>
                <w:sz w:val="18"/>
                <w:szCs w:val="18"/>
                <w:color w:val="auto"/>
              </w:rPr>
              <w:t>funding</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(246)</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Tax benefit on exercise of options</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285</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3020" w:type="dxa"/>
            <w:vAlign w:val="bottom"/>
          </w:tcPr>
          <w:p>
            <w:pPr>
              <w:spacing w:after="0" w:line="200" w:lineRule="exact"/>
              <w:rPr>
                <w:sz w:val="20"/>
                <w:szCs w:val="20"/>
                <w:color w:val="auto"/>
              </w:rPr>
            </w:pPr>
            <w:r>
              <w:rPr>
                <w:rFonts w:ascii="Arial" w:cs="Arial" w:eastAsia="Arial" w:hAnsi="Arial"/>
                <w:sz w:val="18"/>
                <w:szCs w:val="18"/>
                <w:color w:val="auto"/>
                <w:w w:val="95"/>
              </w:rPr>
              <w:t>Deferred tax movement on unexercised</w:t>
            </w: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3040" w:type="dxa"/>
            <w:vAlign w:val="bottom"/>
            <w:gridSpan w:val="2"/>
          </w:tcPr>
          <w:p>
            <w:pPr>
              <w:spacing w:after="0"/>
              <w:rPr>
                <w:sz w:val="20"/>
                <w:szCs w:val="20"/>
                <w:color w:val="auto"/>
              </w:rPr>
            </w:pPr>
            <w:r>
              <w:rPr>
                <w:rFonts w:ascii="Arial" w:cs="Arial" w:eastAsia="Arial" w:hAnsi="Arial"/>
                <w:sz w:val="18"/>
                <w:szCs w:val="18"/>
                <w:color w:val="auto"/>
              </w:rPr>
              <w:t>options</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8</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other comprehensive income</w:t>
            </w: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293</w:t>
            </w: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13,657</w:t>
            </w: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13,950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3020" w:type="dxa"/>
            <w:vAlign w:val="bottom"/>
          </w:tcPr>
          <w:p>
            <w:pPr>
              <w:spacing w:after="0" w:line="200" w:lineRule="exact"/>
              <w:rPr>
                <w:sz w:val="20"/>
                <w:szCs w:val="20"/>
                <w:color w:val="auto"/>
              </w:rPr>
            </w:pPr>
            <w:r>
              <w:rPr>
                <w:rFonts w:ascii="Arial" w:cs="Arial" w:eastAsia="Arial" w:hAnsi="Arial"/>
                <w:sz w:val="18"/>
                <w:szCs w:val="18"/>
                <w:color w:val="auto"/>
              </w:rPr>
              <w:t>Total comprehensive income for the</w:t>
            </w: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3040" w:type="dxa"/>
            <w:vAlign w:val="bottom"/>
            <w:gridSpan w:val="2"/>
          </w:tcPr>
          <w:p>
            <w:pPr>
              <w:spacing w:after="0"/>
              <w:rPr>
                <w:sz w:val="20"/>
                <w:szCs w:val="20"/>
                <w:color w:val="auto"/>
              </w:rPr>
            </w:pPr>
            <w:r>
              <w:rPr>
                <w:rFonts w:ascii="Arial" w:cs="Arial" w:eastAsia="Arial" w:hAnsi="Arial"/>
                <w:sz w:val="18"/>
                <w:szCs w:val="18"/>
                <w:color w:val="auto"/>
              </w:rPr>
              <w:t>period</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293</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13,657</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22,075</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36,025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020" w:type="dxa"/>
            <w:vAlign w:val="bottom"/>
          </w:tcPr>
          <w:p>
            <w:pPr>
              <w:spacing w:after="0" w:line="194" w:lineRule="exact"/>
              <w:rPr>
                <w:sz w:val="20"/>
                <w:szCs w:val="20"/>
                <w:color w:val="auto"/>
              </w:rPr>
            </w:pPr>
            <w:r>
              <w:rPr>
                <w:rFonts w:ascii="Arial" w:cs="Arial" w:eastAsia="Arial" w:hAnsi="Arial"/>
                <w:sz w:val="18"/>
                <w:szCs w:val="18"/>
                <w:b w:val="1"/>
                <w:bCs w:val="1"/>
                <w:color w:val="auto"/>
                <w:w w:val="97"/>
              </w:rPr>
              <w:t>Transactions with owners, recorded</w:t>
            </w: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directly in equity</w:t>
            </w: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Share-based payment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3,298</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3,298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Exercise of share options</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185,260</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16</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2,342</w:t>
            </w: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Share issue costs</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(67)</w:t>
            </w: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Issue of ordinary shares</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3,768</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3020" w:type="dxa"/>
            <w:vAlign w:val="bottom"/>
          </w:tcPr>
          <w:p>
            <w:pPr>
              <w:spacing w:after="0" w:line="200" w:lineRule="exact"/>
              <w:rPr>
                <w:sz w:val="20"/>
                <w:szCs w:val="20"/>
                <w:color w:val="auto"/>
              </w:rPr>
            </w:pPr>
            <w:r>
              <w:rPr>
                <w:rFonts w:ascii="Arial" w:cs="Arial" w:eastAsia="Arial" w:hAnsi="Arial"/>
                <w:sz w:val="18"/>
                <w:szCs w:val="18"/>
                <w:color w:val="auto"/>
                <w:w w:val="90"/>
              </w:rPr>
              <w:t>Transfer of exercised and expired share –</w:t>
            </w: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3040" w:type="dxa"/>
            <w:vAlign w:val="bottom"/>
            <w:gridSpan w:val="2"/>
          </w:tcPr>
          <w:p>
            <w:pPr>
              <w:spacing w:after="0"/>
              <w:rPr>
                <w:sz w:val="20"/>
                <w:szCs w:val="20"/>
                <w:color w:val="auto"/>
              </w:rPr>
            </w:pPr>
            <w:r>
              <w:rPr>
                <w:rFonts w:ascii="Arial" w:cs="Arial" w:eastAsia="Arial" w:hAnsi="Arial"/>
                <w:sz w:val="18"/>
                <w:szCs w:val="18"/>
                <w:color w:val="auto"/>
              </w:rPr>
              <w:t>based awards</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(1,941)</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1,941</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3020" w:type="dxa"/>
            <w:vAlign w:val="bottom"/>
          </w:tcPr>
          <w:p>
            <w:pPr>
              <w:spacing w:after="0" w:line="200" w:lineRule="exact"/>
              <w:rPr>
                <w:sz w:val="20"/>
                <w:szCs w:val="20"/>
                <w:color w:val="auto"/>
              </w:rPr>
            </w:pPr>
            <w:r>
              <w:rPr>
                <w:rFonts w:ascii="Arial" w:cs="Arial" w:eastAsia="Arial" w:hAnsi="Arial"/>
                <w:sz w:val="18"/>
                <w:szCs w:val="18"/>
                <w:color w:val="auto"/>
                <w:w w:val="91"/>
              </w:rPr>
              <w:t>Total contributions by and distributions to</w:t>
            </w: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3040" w:type="dxa"/>
            <w:vAlign w:val="bottom"/>
            <w:gridSpan w:val="2"/>
          </w:tcPr>
          <w:p>
            <w:pPr>
              <w:spacing w:after="0"/>
              <w:rPr>
                <w:sz w:val="20"/>
                <w:szCs w:val="20"/>
                <w:color w:val="auto"/>
              </w:rPr>
            </w:pPr>
            <w:r>
              <w:rPr>
                <w:rFonts w:ascii="Arial" w:cs="Arial" w:eastAsia="Arial" w:hAnsi="Arial"/>
                <w:sz w:val="18"/>
                <w:szCs w:val="18"/>
                <w:color w:val="auto"/>
              </w:rPr>
              <w:t>owners</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189,028</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16</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2,275</w:t>
            </w: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1,357</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1,941</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5,589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transactions with owners</w:t>
            </w: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189,028</w:t>
            </w: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16</w:t>
            </w:r>
          </w:p>
        </w:tc>
        <w:tc>
          <w:tcPr>
            <w:tcW w:w="10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2,275</w:t>
            </w:r>
          </w:p>
        </w:tc>
        <w:tc>
          <w:tcPr>
            <w:tcW w:w="12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1,357</w:t>
            </w: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1,941</w:t>
            </w: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5,589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at 30 June 2011</w:t>
            </w: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3"/>
              </w:rPr>
              <w:t>60,436,120</w:t>
            </w: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5,079</w:t>
            </w:r>
          </w:p>
        </w:tc>
        <w:tc>
          <w:tcPr>
            <w:tcW w:w="10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157,812</w:t>
            </w:r>
          </w:p>
        </w:tc>
        <w:tc>
          <w:tcPr>
            <w:tcW w:w="12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33,128</w:t>
            </w: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7,422</w:t>
            </w: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14,006</w:t>
            </w: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507,912</w:t>
            </w: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725,359</w:t>
            </w: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jc w:val="right"/>
              <w:ind w:right="312"/>
              <w:spacing w:after="0"/>
              <w:rPr>
                <w:sz w:val="20"/>
                <w:szCs w:val="20"/>
                <w:color w:val="auto"/>
              </w:rPr>
            </w:pPr>
            <w:r>
              <w:rPr>
                <w:rFonts w:ascii="Arial" w:cs="Arial" w:eastAsia="Arial" w:hAnsi="Arial"/>
                <w:sz w:val="18"/>
                <w:szCs w:val="18"/>
                <w:color w:val="auto"/>
              </w:rPr>
              <w:t>16</w:t>
            </w: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0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9" w:name="page20"/>
    <w:bookmarkEnd w:id="19"/>
    <w:p>
      <w:pPr>
        <w:spacing w:after="0"/>
        <w:rPr>
          <w:sz w:val="20"/>
          <w:szCs w:val="20"/>
          <w:color w:val="auto"/>
        </w:rPr>
      </w:pPr>
      <w:r>
        <w:rPr>
          <w:rFonts w:ascii="Arial" w:cs="Arial" w:eastAsia="Arial" w:hAnsi="Arial"/>
          <w:sz w:val="25"/>
          <w:szCs w:val="25"/>
          <w:color w:val="auto"/>
        </w:rPr>
        <w:t>Notes to the Condensed Consolidated Interim Financial Statements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preparation</w:t>
      </w:r>
    </w:p>
    <w:p>
      <w:pPr>
        <w:spacing w:after="0" w:line="250"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 xml:space="preserve">The condensed consolidated financial statements for the six months ended 30 June 2012 are unaudited but have been reviewed by the auditor whose report is set out on page 10. The financial information presented herein does not amount to statutory financial statements that are required by section 7 of the Companies (Amendment) Act, 1986, to be annexed to the annual return of the Company. The statutory financial statements for the financial year ended 31 December 2011 will be annexed to the annual return and filed with the Registrar of Companies. The audit report on those statutory financial statements was unqualified and did not contain any matters to which attention was drawn by way of emphasis. These condensed consolidated financial statements have been prepared in accordance with International Financial Reporting Standard, IAS 34 </w:t>
      </w:r>
      <w:r>
        <w:rPr>
          <w:rFonts w:ascii="Arial" w:cs="Arial" w:eastAsia="Arial" w:hAnsi="Arial"/>
          <w:sz w:val="15"/>
          <w:szCs w:val="15"/>
          <w:i w:val="1"/>
          <w:iCs w:val="1"/>
          <w:color w:val="auto"/>
        </w:rPr>
        <w:t>Interim Financial Reporting</w:t>
      </w:r>
      <w:r>
        <w:rPr>
          <w:rFonts w:ascii="Arial" w:cs="Arial" w:eastAsia="Arial" w:hAnsi="Arial"/>
          <w:sz w:val="15"/>
          <w:szCs w:val="15"/>
          <w:color w:val="auto"/>
        </w:rPr>
        <w:t>, as adopted by the EU.</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estimates and judgments</w:t>
      </w:r>
    </w:p>
    <w:p>
      <w:pPr>
        <w:spacing w:after="0" w:line="25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preparation of financial statements requires management to make judgments, estimates and assumptions that affect the application of accounting policies and the reported amounts of assets and liabilities, income and expense. Actual results may differ from these estimates. In preparing these condensed consolidated financial statements, the significant judgments made by management in applying the Group’s accounting policies and the key sources of estimation and uncertainty were the same as those that applied in the most recent consolidated financial statements for the year ended 31 December 2011 and include revenue recognition, goodwill, taxation and contingent consideration relating to business combinations.</w:t>
      </w:r>
    </w:p>
    <w:p>
      <w:pPr>
        <w:spacing w:after="0" w:line="204" w:lineRule="exact"/>
        <w:rPr>
          <w:sz w:val="20"/>
          <w:szCs w:val="20"/>
          <w:color w:val="auto"/>
        </w:rPr>
      </w:pPr>
    </w:p>
    <w:p>
      <w:pPr>
        <w:jc w:val="both"/>
        <w:ind w:right="20"/>
        <w:spacing w:after="0" w:line="366" w:lineRule="auto"/>
        <w:rPr>
          <w:sz w:val="20"/>
          <w:szCs w:val="20"/>
          <w:color w:val="auto"/>
        </w:rPr>
      </w:pPr>
      <w:r>
        <w:rPr>
          <w:rFonts w:ascii="Arial" w:cs="Arial" w:eastAsia="Arial" w:hAnsi="Arial"/>
          <w:sz w:val="15"/>
          <w:szCs w:val="15"/>
          <w:color w:val="auto"/>
        </w:rPr>
        <w:t>Estimates and judgments are based on historical experience and on other factors that are reasonable under current circumstances. Actual results may differ from these estimates if these assumptions prove to be incorrect or if conditions develop other than as assumed for the purposes of such estimates.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Accounting policies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same accounting policies and methods of computation are followed in these condensed consolidated financial statements as were applied in the consolidated financial statements for the year ended 31 December 2011, which were prepared in accordance with International Financial Reporting Standards as adopted by the EU (EU IFRS).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Seasonality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 Group’s operations are not materially impacted by seasonal factors.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0" w:name="page21"/>
    <w:bookmarkEnd w:id="20"/>
    <w:p>
      <w:pPr>
        <w:spacing w:after="0"/>
        <w:rPr>
          <w:sz w:val="20"/>
          <w:szCs w:val="20"/>
          <w:color w:val="auto"/>
        </w:rPr>
      </w:pPr>
      <w:r>
        <w:rPr>
          <w:rFonts w:ascii="Arial" w:cs="Arial" w:eastAsia="Arial" w:hAnsi="Arial"/>
          <w:sz w:val="25"/>
          <w:szCs w:val="25"/>
          <w:color w:val="auto"/>
        </w:rPr>
        <w:t xml:space="preserve">Notes to Condensed Consolidated Interim Financial Statements </w:t>
      </w:r>
      <w:r>
        <w:rPr>
          <w:rFonts w:ascii="Arial" w:cs="Arial" w:eastAsia="Arial" w:hAnsi="Arial"/>
          <w:sz w:val="25"/>
          <w:szCs w:val="25"/>
          <w:i w:val="1"/>
          <w:iCs w:val="1"/>
          <w:color w:val="auto"/>
        </w:rPr>
        <w:t>(continued)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Segmental information</w:t>
      </w:r>
    </w:p>
    <w:p>
      <w:pPr>
        <w:spacing w:after="0" w:line="25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Group is a contract research organisation (“CRO”), providing outsourced development services on a global basis to the pharmaceutical, biotechnology and medical device industries. It specialises in the strategic development, management and analysis of programmes that support all stages of the clinical development process - from compound selection to Phase I-IV clinical studies. The Group has expanded predominately through internal growth, together with a number of strategic acquisitions to enhance its expertise and capabilities in certain areas of the clinical development process. The Group has the ability to conduct clinical trials in most major therapeutic areas on a global basis and has the operational flexibility to provide development services on a stand-alone basis or as part of an integrated “full service” solution. These services include clinical trials management, biometric activities, consulting, imaging, contract staffing, and informatics. The Group also provides laboratory services through its central laboratory business, which includes the Group’s central laboratories located in Dublin, New York, India, Singapore and China.</w:t>
      </w:r>
    </w:p>
    <w:p>
      <w:pPr>
        <w:spacing w:after="0" w:line="20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The Group determines and presents operating segments in accordance with IFRS 8 </w:t>
      </w:r>
      <w:r>
        <w:rPr>
          <w:rFonts w:ascii="Arial" w:cs="Arial" w:eastAsia="Arial" w:hAnsi="Arial"/>
          <w:sz w:val="17"/>
          <w:szCs w:val="17"/>
          <w:i w:val="1"/>
          <w:iCs w:val="1"/>
          <w:color w:val="auto"/>
        </w:rPr>
        <w:t>Operating Segments</w:t>
      </w:r>
      <w:r>
        <w:rPr>
          <w:rFonts w:ascii="Arial" w:cs="Arial" w:eastAsia="Arial" w:hAnsi="Arial"/>
          <w:sz w:val="17"/>
          <w:szCs w:val="17"/>
          <w:color w:val="auto"/>
        </w:rPr>
        <w:t xml:space="preserve"> based on the information that internally is provided to the Chief Executive Officer (CEO) and Chief Financial Officer (CFO), who together are considered the Group’s chief operating decision makers. The Group has determined that it has two reportable segments, its Clinical research segment and Central laboratory segment. The Group’s primary listing for its shares is the NASDAQ market in the United States. Consequently, information reviewed by the chief operating decision makers and presented below is prepared in accordance with US generally accepted accounting principles (“US GAAP”). Reconciliations of the Group’s income from operations as stated under IFRS to income from operations as stated under US GAAP are set out in note 18.</w:t>
      </w:r>
    </w:p>
    <w:p>
      <w:pPr>
        <w:spacing w:after="0" w:line="207"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The Group’s areas of operation outside of Ireland include, the United States, United Kingdom, France, Germany, Italy, Spain, The Netherlands, Sweden, Finland, Denmark, Belgium, Switzerland, Poland, Czech Republic, Lithuania, Latvia, Russia, Ukraine, Hungary, Israel, Romania, Canada, Mexico, Brazil, Colombia, Argentina, Chile, Peru, India, China, South Korea, Japan, Thailand, Taiwan, Singapore, The Philippines, Australia, New Zealand, and South Africa.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b w:val="1"/>
                <w:bCs w:val="1"/>
                <w:color w:val="auto"/>
              </w:rPr>
              <w:t>(US GAAP)</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(US GAAP)</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b w:val="1"/>
                <w:bCs w:val="1"/>
                <w:color w:val="auto"/>
              </w:rPr>
              <w:t>30 June</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30 June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b w:val="1"/>
                <w:bCs w:val="1"/>
                <w:color w:val="auto"/>
              </w:rPr>
              <w:t>2012</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34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Segment Revenue</w:t>
            </w:r>
          </w:p>
        </w:tc>
        <w:tc>
          <w:tcPr>
            <w:tcW w:w="5280" w:type="dxa"/>
            <w:vAlign w:val="bottom"/>
          </w:tcPr>
          <w:p>
            <w:pPr>
              <w:spacing w:after="0"/>
              <w:rPr>
                <w:sz w:val="19"/>
                <w:szCs w:val="19"/>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b w:val="1"/>
                <w:bCs w:val="1"/>
                <w:color w:val="auto"/>
              </w:rPr>
              <w:t>US$’000</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173"/>
        </w:trPr>
        <w:tc>
          <w:tcPr>
            <w:tcW w:w="3480" w:type="dxa"/>
            <w:vAlign w:val="bottom"/>
            <w:gridSpan w:val="5"/>
            <w:vMerge w:val="continue"/>
          </w:tcPr>
          <w:p>
            <w:pPr>
              <w:spacing w:after="0"/>
              <w:rPr>
                <w:sz w:val="15"/>
                <w:szCs w:val="15"/>
                <w:color w:val="auto"/>
              </w:rPr>
            </w:pPr>
          </w:p>
        </w:tc>
        <w:tc>
          <w:tcPr>
            <w:tcW w:w="5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3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90"/>
              </w:rPr>
              <w:t>Central laboratory</w:t>
            </w:r>
          </w:p>
        </w:tc>
        <w:tc>
          <w:tcPr>
            <w:tcW w:w="2140" w:type="dxa"/>
            <w:vAlign w:val="bottom"/>
            <w:shd w:val="clear" w:color="auto" w:fill="CCEEFF"/>
          </w:tcPr>
          <w:p>
            <w:pPr>
              <w:spacing w:after="0"/>
              <w:rPr>
                <w:sz w:val="20"/>
                <w:szCs w:val="20"/>
                <w:color w:val="auto"/>
              </w:rPr>
            </w:pPr>
          </w:p>
        </w:tc>
        <w:tc>
          <w:tcPr>
            <w:tcW w:w="528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40,483</w:t>
            </w: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33,335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Clinical research</w:t>
            </w:r>
          </w:p>
        </w:tc>
        <w:tc>
          <w:tcPr>
            <w:tcW w:w="5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488,857</w:t>
            </w: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429,007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6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529,340</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462,342</w:t>
            </w: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280" w:type="dxa"/>
            <w:vAlign w:val="bottom"/>
          </w:tcPr>
          <w:p>
            <w:pPr>
              <w:jc w:val="right"/>
              <w:ind w:right="72"/>
              <w:spacing w:after="0"/>
              <w:rPr>
                <w:sz w:val="20"/>
                <w:szCs w:val="20"/>
                <w:color w:val="auto"/>
              </w:rPr>
            </w:pPr>
            <w:r>
              <w:rPr>
                <w:rFonts w:ascii="Arial" w:cs="Arial" w:eastAsia="Arial" w:hAnsi="Arial"/>
                <w:sz w:val="18"/>
                <w:szCs w:val="18"/>
                <w:b w:val="1"/>
                <w:bCs w:val="1"/>
                <w:color w:val="auto"/>
              </w:rPr>
              <w:t>(US GAAP)</w:t>
            </w:r>
          </w:p>
        </w:tc>
        <w:tc>
          <w:tcPr>
            <w:tcW w:w="1380" w:type="dxa"/>
            <w:vAlign w:val="bottom"/>
          </w:tcPr>
          <w:p>
            <w:pPr>
              <w:jc w:val="right"/>
              <w:ind w:right="72"/>
              <w:spacing w:after="0"/>
              <w:rPr>
                <w:sz w:val="20"/>
                <w:szCs w:val="20"/>
                <w:color w:val="auto"/>
              </w:rPr>
            </w:pPr>
            <w:r>
              <w:rPr>
                <w:rFonts w:ascii="Arial" w:cs="Arial" w:eastAsia="Arial" w:hAnsi="Arial"/>
                <w:sz w:val="18"/>
                <w:szCs w:val="18"/>
                <w:b w:val="1"/>
                <w:bCs w:val="1"/>
                <w:color w:val="auto"/>
              </w:rPr>
              <w:t>(US GAAP)</w:t>
            </w:r>
          </w:p>
        </w:tc>
        <w:tc>
          <w:tcPr>
            <w:tcW w:w="1280" w:type="dxa"/>
            <w:vAlign w:val="bottom"/>
          </w:tcPr>
          <w:p>
            <w:pPr>
              <w:jc w:val="right"/>
              <w:ind w:right="12"/>
              <w:spacing w:after="0"/>
              <w:rPr>
                <w:sz w:val="20"/>
                <w:szCs w:val="20"/>
                <w:color w:val="auto"/>
              </w:rPr>
            </w:pPr>
            <w:r>
              <w:rPr>
                <w:rFonts w:ascii="Arial" w:cs="Arial" w:eastAsia="Arial" w:hAnsi="Arial"/>
                <w:sz w:val="18"/>
                <w:szCs w:val="18"/>
                <w:b w:val="1"/>
                <w:bCs w:val="1"/>
                <w:color w:val="auto"/>
              </w:rPr>
              <w:t>(US GAAP)</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280" w:type="dxa"/>
            <w:vAlign w:val="bottom"/>
          </w:tcPr>
          <w:p>
            <w:pPr>
              <w:jc w:val="right"/>
              <w:ind w:right="72"/>
              <w:spacing w:after="0"/>
              <w:rPr>
                <w:sz w:val="20"/>
                <w:szCs w:val="20"/>
                <w:color w:val="auto"/>
              </w:rPr>
            </w:pPr>
            <w:r>
              <w:rPr>
                <w:rFonts w:ascii="Arial" w:cs="Arial" w:eastAsia="Arial" w:hAnsi="Arial"/>
                <w:sz w:val="18"/>
                <w:szCs w:val="18"/>
                <w:b w:val="1"/>
                <w:bCs w:val="1"/>
                <w:color w:val="auto"/>
              </w:rPr>
              <w:t>30 June</w:t>
            </w:r>
          </w:p>
        </w:tc>
        <w:tc>
          <w:tcPr>
            <w:tcW w:w="1380" w:type="dxa"/>
            <w:vAlign w:val="bottom"/>
          </w:tcPr>
          <w:p>
            <w:pPr>
              <w:jc w:val="right"/>
              <w:ind w:right="72"/>
              <w:spacing w:after="0"/>
              <w:rPr>
                <w:sz w:val="20"/>
                <w:szCs w:val="20"/>
                <w:color w:val="auto"/>
              </w:rPr>
            </w:pPr>
            <w:r>
              <w:rPr>
                <w:rFonts w:ascii="Arial" w:cs="Arial" w:eastAsia="Arial" w:hAnsi="Arial"/>
                <w:sz w:val="18"/>
                <w:szCs w:val="18"/>
                <w:b w:val="1"/>
                <w:bCs w:val="1"/>
                <w:color w:val="auto"/>
              </w:rPr>
              <w:t>30 June</w:t>
            </w:r>
          </w:p>
        </w:tc>
        <w:tc>
          <w:tcPr>
            <w:tcW w:w="1280" w:type="dxa"/>
            <w:vAlign w:val="bottom"/>
          </w:tcPr>
          <w:p>
            <w:pPr>
              <w:jc w:val="right"/>
              <w:ind w:right="12"/>
              <w:spacing w:after="0"/>
              <w:rPr>
                <w:sz w:val="20"/>
                <w:szCs w:val="20"/>
                <w:color w:val="auto"/>
              </w:rPr>
            </w:pPr>
            <w:r>
              <w:rPr>
                <w:rFonts w:ascii="Arial" w:cs="Arial" w:eastAsia="Arial" w:hAnsi="Arial"/>
                <w:sz w:val="18"/>
                <w:szCs w:val="18"/>
                <w:b w:val="1"/>
                <w:bCs w:val="1"/>
                <w:color w:val="auto"/>
              </w:rPr>
              <w:t>30 June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280" w:type="dxa"/>
            <w:vAlign w:val="bottom"/>
          </w:tcPr>
          <w:p>
            <w:pPr>
              <w:jc w:val="right"/>
              <w:ind w:right="72"/>
              <w:spacing w:after="0"/>
              <w:rPr>
                <w:sz w:val="20"/>
                <w:szCs w:val="20"/>
                <w:color w:val="auto"/>
              </w:rPr>
            </w:pPr>
            <w:r>
              <w:rPr>
                <w:rFonts w:ascii="Arial" w:cs="Arial" w:eastAsia="Arial" w:hAnsi="Arial"/>
                <w:sz w:val="18"/>
                <w:szCs w:val="18"/>
                <w:b w:val="1"/>
                <w:bCs w:val="1"/>
                <w:color w:val="auto"/>
              </w:rPr>
              <w:t>2012</w:t>
            </w:r>
          </w:p>
        </w:tc>
        <w:tc>
          <w:tcPr>
            <w:tcW w:w="1380" w:type="dxa"/>
            <w:vAlign w:val="bottom"/>
          </w:tcPr>
          <w:p>
            <w:pPr>
              <w:jc w:val="right"/>
              <w:ind w:right="72"/>
              <w:spacing w:after="0"/>
              <w:rPr>
                <w:sz w:val="20"/>
                <w:szCs w:val="20"/>
                <w:color w:val="auto"/>
              </w:rPr>
            </w:pPr>
            <w:r>
              <w:rPr>
                <w:rFonts w:ascii="Arial" w:cs="Arial" w:eastAsia="Arial" w:hAnsi="Arial"/>
                <w:sz w:val="18"/>
                <w:szCs w:val="18"/>
                <w:b w:val="1"/>
                <w:bCs w:val="1"/>
                <w:color w:val="auto"/>
              </w:rPr>
              <w:t>2012</w:t>
            </w:r>
          </w:p>
        </w:tc>
        <w:tc>
          <w:tcPr>
            <w:tcW w:w="1280" w:type="dxa"/>
            <w:vAlign w:val="bottom"/>
          </w:tcPr>
          <w:p>
            <w:pPr>
              <w:jc w:val="right"/>
              <w:ind w:right="12"/>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280" w:type="dxa"/>
            <w:vAlign w:val="bottom"/>
          </w:tcPr>
          <w:p>
            <w:pPr>
              <w:jc w:val="right"/>
              <w:ind w:right="72"/>
              <w:spacing w:after="0"/>
              <w:rPr>
                <w:sz w:val="20"/>
                <w:szCs w:val="20"/>
                <w:color w:val="auto"/>
              </w:rPr>
            </w:pPr>
            <w:r>
              <w:rPr>
                <w:rFonts w:ascii="Arial" w:cs="Arial" w:eastAsia="Arial" w:hAnsi="Arial"/>
                <w:sz w:val="18"/>
                <w:szCs w:val="18"/>
                <w:b w:val="1"/>
                <w:bCs w:val="1"/>
                <w:color w:val="auto"/>
              </w:rPr>
              <w:t>US$’000</w:t>
            </w:r>
          </w:p>
        </w:tc>
        <w:tc>
          <w:tcPr>
            <w:tcW w:w="1380" w:type="dxa"/>
            <w:vAlign w:val="bottom"/>
          </w:tcPr>
          <w:p>
            <w:pPr>
              <w:jc w:val="right"/>
              <w:ind w:right="72"/>
              <w:spacing w:after="0"/>
              <w:rPr>
                <w:sz w:val="20"/>
                <w:szCs w:val="20"/>
                <w:color w:val="auto"/>
              </w:rPr>
            </w:pPr>
            <w:r>
              <w:rPr>
                <w:rFonts w:ascii="Arial" w:cs="Arial" w:eastAsia="Arial" w:hAnsi="Arial"/>
                <w:sz w:val="18"/>
                <w:szCs w:val="18"/>
                <w:b w:val="1"/>
                <w:bCs w:val="1"/>
                <w:color w:val="auto"/>
              </w:rPr>
              <w:t>US$’000</w:t>
            </w:r>
          </w:p>
        </w:tc>
        <w:tc>
          <w:tcPr>
            <w:tcW w:w="1280" w:type="dxa"/>
            <w:vAlign w:val="bottom"/>
          </w:tcPr>
          <w:p>
            <w:pPr>
              <w:jc w:val="right"/>
              <w:ind w:right="12"/>
              <w:spacing w:after="0"/>
              <w:rPr>
                <w:sz w:val="20"/>
                <w:szCs w:val="20"/>
                <w:color w:val="auto"/>
              </w:rPr>
            </w:pPr>
            <w:r>
              <w:rPr>
                <w:rFonts w:ascii="Arial" w:cs="Arial" w:eastAsia="Arial" w:hAnsi="Arial"/>
                <w:sz w:val="18"/>
                <w:szCs w:val="18"/>
                <w:b w:val="1"/>
                <w:bCs w:val="1"/>
                <w:color w:val="auto"/>
              </w:rPr>
              <w:t>US$’000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280" w:type="dxa"/>
            <w:vAlign w:val="bottom"/>
          </w:tcPr>
          <w:p>
            <w:pPr>
              <w:jc w:val="right"/>
              <w:ind w:right="72"/>
              <w:spacing w:after="0"/>
              <w:rPr>
                <w:sz w:val="20"/>
                <w:szCs w:val="20"/>
                <w:color w:val="auto"/>
              </w:rPr>
            </w:pPr>
            <w:r>
              <w:rPr>
                <w:rFonts w:ascii="Arial" w:cs="Arial" w:eastAsia="Arial" w:hAnsi="Arial"/>
                <w:sz w:val="18"/>
                <w:szCs w:val="18"/>
                <w:b w:val="1"/>
                <w:bCs w:val="1"/>
                <w:color w:val="auto"/>
              </w:rPr>
              <w:t>Excluding</w:t>
            </w:r>
          </w:p>
        </w:tc>
        <w:tc>
          <w:tcPr>
            <w:tcW w:w="1380" w:type="dxa"/>
            <w:vAlign w:val="bottom"/>
          </w:tcPr>
          <w:p>
            <w:pPr>
              <w:spacing w:after="0"/>
              <w:rPr>
                <w:sz w:val="18"/>
                <w:szCs w:val="18"/>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b w:val="1"/>
                <w:bCs w:val="1"/>
                <w:color w:val="auto"/>
              </w:rPr>
              <w:t>Including</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280" w:type="dxa"/>
            <w:vAlign w:val="bottom"/>
          </w:tcPr>
          <w:p>
            <w:pPr>
              <w:jc w:val="right"/>
              <w:ind w:right="72"/>
              <w:spacing w:after="0"/>
              <w:rPr>
                <w:sz w:val="20"/>
                <w:szCs w:val="20"/>
                <w:color w:val="auto"/>
              </w:rPr>
            </w:pPr>
            <w:r>
              <w:rPr>
                <w:rFonts w:ascii="Arial" w:cs="Arial" w:eastAsia="Arial" w:hAnsi="Arial"/>
                <w:sz w:val="18"/>
                <w:szCs w:val="18"/>
                <w:b w:val="1"/>
                <w:bCs w:val="1"/>
                <w:color w:val="auto"/>
              </w:rPr>
              <w:t>Restructuring</w:t>
            </w:r>
          </w:p>
        </w:tc>
        <w:tc>
          <w:tcPr>
            <w:tcW w:w="1380" w:type="dxa"/>
            <w:vAlign w:val="bottom"/>
          </w:tcPr>
          <w:p>
            <w:pPr>
              <w:jc w:val="right"/>
              <w:ind w:right="72"/>
              <w:spacing w:after="0"/>
              <w:rPr>
                <w:sz w:val="20"/>
                <w:szCs w:val="20"/>
                <w:color w:val="auto"/>
              </w:rPr>
            </w:pPr>
            <w:r>
              <w:rPr>
                <w:rFonts w:ascii="Arial" w:cs="Arial" w:eastAsia="Arial" w:hAnsi="Arial"/>
                <w:sz w:val="18"/>
                <w:szCs w:val="18"/>
                <w:b w:val="1"/>
                <w:bCs w:val="1"/>
                <w:color w:val="auto"/>
              </w:rPr>
              <w:t>Restructuring</w:t>
            </w:r>
          </w:p>
        </w:tc>
        <w:tc>
          <w:tcPr>
            <w:tcW w:w="1280" w:type="dxa"/>
            <w:vAlign w:val="bottom"/>
          </w:tcPr>
          <w:p>
            <w:pPr>
              <w:jc w:val="right"/>
              <w:ind w:right="12"/>
              <w:spacing w:after="0"/>
              <w:rPr>
                <w:sz w:val="20"/>
                <w:szCs w:val="20"/>
                <w:color w:val="auto"/>
              </w:rPr>
            </w:pPr>
            <w:r>
              <w:rPr>
                <w:rFonts w:ascii="Arial" w:cs="Arial" w:eastAsia="Arial" w:hAnsi="Arial"/>
                <w:sz w:val="18"/>
                <w:szCs w:val="18"/>
                <w:b w:val="1"/>
                <w:bCs w:val="1"/>
                <w:color w:val="auto"/>
                <w:w w:val="98"/>
              </w:rPr>
              <w:t>Restructuring</w:t>
            </w:r>
          </w:p>
        </w:tc>
        <w:tc>
          <w:tcPr>
            <w:tcW w:w="0" w:type="dxa"/>
            <w:vAlign w:val="bottom"/>
          </w:tcPr>
          <w:p>
            <w:pPr>
              <w:spacing w:after="0"/>
              <w:rPr>
                <w:sz w:val="1"/>
                <w:szCs w:val="1"/>
                <w:color w:val="auto"/>
              </w:rPr>
            </w:pPr>
          </w:p>
        </w:tc>
      </w:tr>
      <w:tr>
        <w:trPr>
          <w:trHeight w:val="191"/>
        </w:trPr>
        <w:tc>
          <w:tcPr>
            <w:tcW w:w="1260" w:type="dxa"/>
            <w:vAlign w:val="bottom"/>
            <w:tcBorders>
              <w:bottom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w w:val="86"/>
              </w:rPr>
              <w:t>Segment Income</w:t>
            </w:r>
          </w:p>
        </w:tc>
        <w:tc>
          <w:tcPr>
            <w:tcW w:w="2220" w:type="dxa"/>
            <w:vAlign w:val="bottom"/>
            <w:gridSpan w:val="2"/>
          </w:tcPr>
          <w:p>
            <w:pPr>
              <w:spacing w:after="0"/>
              <w:rPr>
                <w:sz w:val="16"/>
                <w:szCs w:val="16"/>
                <w:color w:val="auto"/>
              </w:rPr>
            </w:pPr>
          </w:p>
        </w:tc>
        <w:tc>
          <w:tcPr>
            <w:tcW w:w="5280" w:type="dxa"/>
            <w:vAlign w:val="bottom"/>
          </w:tcPr>
          <w:p>
            <w:pPr>
              <w:jc w:val="right"/>
              <w:ind w:right="72"/>
              <w:spacing w:after="0" w:line="191" w:lineRule="exact"/>
              <w:rPr>
                <w:sz w:val="20"/>
                <w:szCs w:val="20"/>
                <w:color w:val="auto"/>
              </w:rPr>
            </w:pPr>
            <w:r>
              <w:rPr>
                <w:rFonts w:ascii="Arial" w:cs="Arial" w:eastAsia="Arial" w:hAnsi="Arial"/>
                <w:sz w:val="18"/>
                <w:szCs w:val="18"/>
                <w:b w:val="1"/>
                <w:bCs w:val="1"/>
                <w:color w:val="auto"/>
              </w:rPr>
              <w:t>and other</w:t>
            </w:r>
          </w:p>
        </w:tc>
        <w:tc>
          <w:tcPr>
            <w:tcW w:w="1380" w:type="dxa"/>
            <w:vAlign w:val="bottom"/>
          </w:tcPr>
          <w:p>
            <w:pPr>
              <w:jc w:val="right"/>
              <w:ind w:right="72"/>
              <w:spacing w:after="0" w:line="191" w:lineRule="exact"/>
              <w:rPr>
                <w:sz w:val="20"/>
                <w:szCs w:val="20"/>
                <w:color w:val="auto"/>
              </w:rPr>
            </w:pPr>
            <w:r>
              <w:rPr>
                <w:rFonts w:ascii="Arial" w:cs="Arial" w:eastAsia="Arial" w:hAnsi="Arial"/>
                <w:sz w:val="18"/>
                <w:szCs w:val="18"/>
                <w:b w:val="1"/>
                <w:bCs w:val="1"/>
                <w:color w:val="auto"/>
              </w:rPr>
              <w:t>and other</w:t>
            </w:r>
          </w:p>
        </w:tc>
        <w:tc>
          <w:tcPr>
            <w:tcW w:w="1280" w:type="dxa"/>
            <w:vAlign w:val="bottom"/>
          </w:tcPr>
          <w:p>
            <w:pPr>
              <w:jc w:val="right"/>
              <w:ind w:right="12"/>
              <w:spacing w:after="0" w:line="191" w:lineRule="exact"/>
              <w:rPr>
                <w:sz w:val="20"/>
                <w:szCs w:val="20"/>
                <w:color w:val="auto"/>
              </w:rPr>
            </w:pPr>
            <w:r>
              <w:rPr>
                <w:rFonts w:ascii="Arial" w:cs="Arial" w:eastAsia="Arial" w:hAnsi="Arial"/>
                <w:sz w:val="18"/>
                <w:szCs w:val="18"/>
                <w:b w:val="1"/>
                <w:bCs w:val="1"/>
                <w:color w:val="auto"/>
              </w:rPr>
              <w:t>and other</w:t>
            </w:r>
          </w:p>
        </w:tc>
        <w:tc>
          <w:tcPr>
            <w:tcW w:w="0" w:type="dxa"/>
            <w:vAlign w:val="bottom"/>
          </w:tcPr>
          <w:p>
            <w:pPr>
              <w:spacing w:after="0"/>
              <w:rPr>
                <w:sz w:val="1"/>
                <w:szCs w:val="1"/>
                <w:color w:val="auto"/>
              </w:rPr>
            </w:pPr>
          </w:p>
        </w:tc>
      </w:tr>
      <w:tr>
        <w:trPr>
          <w:trHeight w:val="192"/>
        </w:trPr>
        <w:tc>
          <w:tcPr>
            <w:tcW w:w="3480" w:type="dxa"/>
            <w:vAlign w:val="bottom"/>
            <w:gridSpan w:val="5"/>
          </w:tcPr>
          <w:p>
            <w:pPr>
              <w:spacing w:after="0" w:line="192" w:lineRule="exact"/>
              <w:rPr>
                <w:sz w:val="20"/>
                <w:szCs w:val="20"/>
                <w:color w:val="auto"/>
              </w:rPr>
            </w:pPr>
            <w:r>
              <w:rPr>
                <w:rFonts w:ascii="Arial" w:cs="Arial" w:eastAsia="Arial" w:hAnsi="Arial"/>
                <w:sz w:val="18"/>
                <w:szCs w:val="18"/>
                <w:b w:val="1"/>
                <w:bCs w:val="1"/>
                <w:color w:val="auto"/>
              </w:rPr>
              <w:t>from Operations</w:t>
            </w:r>
          </w:p>
        </w:tc>
        <w:tc>
          <w:tcPr>
            <w:tcW w:w="5280" w:type="dxa"/>
            <w:vAlign w:val="bottom"/>
          </w:tcPr>
          <w:p>
            <w:pPr>
              <w:jc w:val="right"/>
              <w:ind w:right="72"/>
              <w:spacing w:after="0" w:line="192" w:lineRule="exact"/>
              <w:rPr>
                <w:sz w:val="20"/>
                <w:szCs w:val="20"/>
                <w:color w:val="auto"/>
              </w:rPr>
            </w:pPr>
            <w:r>
              <w:rPr>
                <w:rFonts w:ascii="Arial" w:cs="Arial" w:eastAsia="Arial" w:hAnsi="Arial"/>
                <w:sz w:val="18"/>
                <w:szCs w:val="18"/>
                <w:b w:val="1"/>
                <w:bCs w:val="1"/>
                <w:color w:val="auto"/>
              </w:rPr>
              <w:t>non-recurring</w:t>
            </w:r>
          </w:p>
        </w:tc>
        <w:tc>
          <w:tcPr>
            <w:tcW w:w="1380" w:type="dxa"/>
            <w:vAlign w:val="bottom"/>
          </w:tcPr>
          <w:p>
            <w:pPr>
              <w:jc w:val="right"/>
              <w:ind w:right="72"/>
              <w:spacing w:after="0" w:line="192" w:lineRule="exact"/>
              <w:rPr>
                <w:sz w:val="20"/>
                <w:szCs w:val="20"/>
                <w:color w:val="auto"/>
              </w:rPr>
            </w:pPr>
            <w:r>
              <w:rPr>
                <w:rFonts w:ascii="Arial" w:cs="Arial" w:eastAsia="Arial" w:hAnsi="Arial"/>
                <w:sz w:val="18"/>
                <w:szCs w:val="18"/>
                <w:b w:val="1"/>
                <w:bCs w:val="1"/>
                <w:color w:val="auto"/>
              </w:rPr>
              <w:t>non-recurring</w:t>
            </w:r>
          </w:p>
        </w:tc>
        <w:tc>
          <w:tcPr>
            <w:tcW w:w="1280" w:type="dxa"/>
            <w:vAlign w:val="bottom"/>
          </w:tcPr>
          <w:p>
            <w:pPr>
              <w:jc w:val="right"/>
              <w:ind w:right="12"/>
              <w:spacing w:after="0" w:line="192" w:lineRule="exact"/>
              <w:rPr>
                <w:sz w:val="20"/>
                <w:szCs w:val="20"/>
                <w:color w:val="auto"/>
              </w:rPr>
            </w:pPr>
            <w:r>
              <w:rPr>
                <w:rFonts w:ascii="Arial" w:cs="Arial" w:eastAsia="Arial" w:hAnsi="Arial"/>
                <w:sz w:val="18"/>
                <w:szCs w:val="18"/>
                <w:b w:val="1"/>
                <w:bCs w:val="1"/>
                <w:color w:val="auto"/>
                <w:w w:val="98"/>
              </w:rPr>
              <w:t>non-recurring</w:t>
            </w:r>
          </w:p>
        </w:tc>
        <w:tc>
          <w:tcPr>
            <w:tcW w:w="0" w:type="dxa"/>
            <w:vAlign w:val="bottom"/>
          </w:tcPr>
          <w:p>
            <w:pPr>
              <w:spacing w:after="0"/>
              <w:rPr>
                <w:sz w:val="1"/>
                <w:szCs w:val="1"/>
                <w:color w:val="auto"/>
              </w:rPr>
            </w:pPr>
          </w:p>
        </w:tc>
      </w:tr>
      <w:tr>
        <w:trPr>
          <w:trHeight w:val="192"/>
        </w:trPr>
        <w:tc>
          <w:tcPr>
            <w:tcW w:w="1260" w:type="dxa"/>
            <w:vAlign w:val="bottom"/>
            <w:tcBorders>
              <w:top w:val="single" w:sz="8" w:color="auto"/>
            </w:tcBorders>
            <w:gridSpan w:val="3"/>
          </w:tcPr>
          <w:p>
            <w:pPr>
              <w:spacing w:after="0" w:line="192" w:lineRule="exact"/>
              <w:rPr>
                <w:sz w:val="20"/>
                <w:szCs w:val="20"/>
                <w:color w:val="auto"/>
              </w:rPr>
            </w:pPr>
            <w:r>
              <w:rPr>
                <w:rFonts w:ascii="Arial" w:cs="Arial" w:eastAsia="Arial" w:hAnsi="Arial"/>
                <w:sz w:val="18"/>
                <w:szCs w:val="18"/>
                <w:b w:val="1"/>
                <w:bCs w:val="1"/>
                <w:color w:val="auto"/>
              </w:rPr>
              <w:t>(note 18)</w:t>
            </w:r>
          </w:p>
        </w:tc>
        <w:tc>
          <w:tcPr>
            <w:tcW w:w="2220" w:type="dxa"/>
            <w:vAlign w:val="bottom"/>
            <w:gridSpan w:val="2"/>
          </w:tcPr>
          <w:p>
            <w:pPr>
              <w:spacing w:after="0"/>
              <w:rPr>
                <w:sz w:val="16"/>
                <w:szCs w:val="16"/>
                <w:color w:val="auto"/>
              </w:rPr>
            </w:pPr>
          </w:p>
        </w:tc>
        <w:tc>
          <w:tcPr>
            <w:tcW w:w="5280" w:type="dxa"/>
            <w:vAlign w:val="bottom"/>
          </w:tcPr>
          <w:p>
            <w:pPr>
              <w:jc w:val="right"/>
              <w:ind w:right="72"/>
              <w:spacing w:after="0" w:line="192" w:lineRule="exact"/>
              <w:rPr>
                <w:sz w:val="20"/>
                <w:szCs w:val="20"/>
                <w:color w:val="auto"/>
              </w:rPr>
            </w:pPr>
            <w:r>
              <w:rPr>
                <w:rFonts w:ascii="Arial" w:cs="Arial" w:eastAsia="Arial" w:hAnsi="Arial"/>
                <w:sz w:val="18"/>
                <w:szCs w:val="18"/>
                <w:b w:val="1"/>
                <w:bCs w:val="1"/>
                <w:color w:val="auto"/>
              </w:rPr>
              <w:t>items</w:t>
            </w:r>
          </w:p>
        </w:tc>
        <w:tc>
          <w:tcPr>
            <w:tcW w:w="1380" w:type="dxa"/>
            <w:vAlign w:val="bottom"/>
          </w:tcPr>
          <w:p>
            <w:pPr>
              <w:jc w:val="right"/>
              <w:ind w:right="72"/>
              <w:spacing w:after="0" w:line="192" w:lineRule="exact"/>
              <w:rPr>
                <w:sz w:val="20"/>
                <w:szCs w:val="20"/>
                <w:color w:val="auto"/>
              </w:rPr>
            </w:pPr>
            <w:r>
              <w:rPr>
                <w:rFonts w:ascii="Arial" w:cs="Arial" w:eastAsia="Arial" w:hAnsi="Arial"/>
                <w:sz w:val="18"/>
                <w:szCs w:val="18"/>
                <w:b w:val="1"/>
                <w:bCs w:val="1"/>
                <w:color w:val="auto"/>
              </w:rPr>
              <w:t>items</w:t>
            </w:r>
          </w:p>
        </w:tc>
        <w:tc>
          <w:tcPr>
            <w:tcW w:w="1280" w:type="dxa"/>
            <w:vAlign w:val="bottom"/>
          </w:tcPr>
          <w:p>
            <w:pPr>
              <w:jc w:val="right"/>
              <w:ind w:right="12"/>
              <w:spacing w:after="0" w:line="192" w:lineRule="exact"/>
              <w:rPr>
                <w:sz w:val="20"/>
                <w:szCs w:val="20"/>
                <w:color w:val="auto"/>
              </w:rPr>
            </w:pPr>
            <w:r>
              <w:rPr>
                <w:rFonts w:ascii="Arial" w:cs="Arial" w:eastAsia="Arial" w:hAnsi="Arial"/>
                <w:sz w:val="18"/>
                <w:szCs w:val="18"/>
                <w:b w:val="1"/>
                <w:bCs w:val="1"/>
                <w:color w:val="auto"/>
              </w:rPr>
              <w:t>items</w:t>
            </w:r>
          </w:p>
        </w:tc>
        <w:tc>
          <w:tcPr>
            <w:tcW w:w="0" w:type="dxa"/>
            <w:vAlign w:val="bottom"/>
          </w:tcPr>
          <w:p>
            <w:pPr>
              <w:spacing w:after="0"/>
              <w:rPr>
                <w:sz w:val="1"/>
                <w:szCs w:val="1"/>
                <w:color w:val="auto"/>
              </w:rPr>
            </w:pPr>
          </w:p>
        </w:tc>
      </w:tr>
      <w:tr>
        <w:trPr>
          <w:trHeight w:val="232"/>
        </w:trPr>
        <w:tc>
          <w:tcPr>
            <w:tcW w:w="20" w:type="dxa"/>
            <w:vAlign w:val="bottom"/>
            <w:vMerge w:val="restart"/>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52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2,133</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(158)</w:t>
            </w: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1,975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Clinical research</w:t>
            </w:r>
          </w:p>
        </w:tc>
        <w:tc>
          <w:tcPr>
            <w:tcW w:w="5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26,239</w:t>
            </w: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(5,478)</w:t>
            </w: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20,761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6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28,372</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(5,636)</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22,736</w:t>
            </w: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280" w:type="dxa"/>
            <w:vAlign w:val="bottom"/>
          </w:tcPr>
          <w:p>
            <w:pPr>
              <w:jc w:val="right"/>
              <w:ind w:right="2872"/>
              <w:spacing w:after="0"/>
              <w:rPr>
                <w:sz w:val="20"/>
                <w:szCs w:val="20"/>
                <w:color w:val="auto"/>
              </w:rPr>
            </w:pPr>
            <w:r>
              <w:rPr>
                <w:rFonts w:ascii="Arial" w:cs="Arial" w:eastAsia="Arial" w:hAnsi="Arial"/>
                <w:sz w:val="18"/>
                <w:szCs w:val="18"/>
                <w:color w:val="auto"/>
              </w:rPr>
              <w:t>18</w:t>
            </w: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140" w:type="dxa"/>
            <w:vAlign w:val="bottom"/>
            <w:tcBorders>
              <w:bottom w:val="single" w:sz="8" w:color="808080"/>
            </w:tcBorders>
          </w:tcPr>
          <w:p>
            <w:pPr>
              <w:spacing w:after="0"/>
              <w:rPr>
                <w:sz w:val="10"/>
                <w:szCs w:val="10"/>
                <w:color w:val="auto"/>
              </w:rPr>
            </w:pPr>
          </w:p>
        </w:tc>
        <w:tc>
          <w:tcPr>
            <w:tcW w:w="52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1" w:name="page22"/>
    <w:bookmarkEnd w:id="21"/>
    <w:p>
      <w:pPr>
        <w:spacing w:after="0"/>
        <w:rPr>
          <w:sz w:val="20"/>
          <w:szCs w:val="20"/>
          <w:color w:val="auto"/>
        </w:rPr>
      </w:pPr>
      <w:r>
        <w:rPr>
          <w:rFonts w:ascii="Arial" w:cs="Arial" w:eastAsia="Arial" w:hAnsi="Arial"/>
          <w:sz w:val="25"/>
          <w:szCs w:val="25"/>
          <w:color w:val="auto"/>
        </w:rPr>
        <w:t xml:space="preserve">Notes to Condensed Consolidated Interim Financial Statements </w:t>
      </w:r>
      <w:r>
        <w:rPr>
          <w:rFonts w:ascii="Arial" w:cs="Arial" w:eastAsia="Arial" w:hAnsi="Arial"/>
          <w:sz w:val="25"/>
          <w:szCs w:val="25"/>
          <w:i w:val="1"/>
          <w:iCs w:val="1"/>
          <w:color w:val="auto"/>
        </w:rPr>
        <w:t>(continued)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 Segmental information </w:t>
      </w:r>
      <w:r>
        <w:rPr>
          <w:rFonts w:ascii="Arial" w:cs="Arial" w:eastAsia="Arial" w:hAnsi="Arial"/>
          <w:sz w:val="18"/>
          <w:szCs w:val="18"/>
          <w:b w:val="1"/>
          <w:bCs w:val="1"/>
          <w:i w:val="1"/>
          <w:iCs w:val="1"/>
          <w:color w:val="auto"/>
        </w:rPr>
        <w:t>(continued)</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80" w:type="dxa"/>
            <w:vAlign w:val="bottom"/>
          </w:tcPr>
          <w:p>
            <w:pPr>
              <w:jc w:val="right"/>
              <w:ind w:right="132"/>
              <w:spacing w:after="0"/>
              <w:rPr>
                <w:sz w:val="20"/>
                <w:szCs w:val="20"/>
                <w:color w:val="auto"/>
              </w:rPr>
            </w:pPr>
            <w:r>
              <w:rPr>
                <w:rFonts w:ascii="Arial" w:cs="Arial" w:eastAsia="Arial" w:hAnsi="Arial"/>
                <w:sz w:val="18"/>
                <w:szCs w:val="18"/>
                <w:color w:val="auto"/>
              </w:rPr>
              <w:t>(US GAAP)</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(US GAAP)</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(US GAAP)</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80" w:type="dxa"/>
            <w:vAlign w:val="bottom"/>
          </w:tcPr>
          <w:p>
            <w:pPr>
              <w:jc w:val="right"/>
              <w:ind w:right="132"/>
              <w:spacing w:after="0"/>
              <w:rPr>
                <w:sz w:val="20"/>
                <w:szCs w:val="20"/>
                <w:color w:val="auto"/>
              </w:rPr>
            </w:pPr>
            <w:r>
              <w:rPr>
                <w:rFonts w:ascii="Arial" w:cs="Arial" w:eastAsia="Arial" w:hAnsi="Arial"/>
                <w:sz w:val="18"/>
                <w:szCs w:val="18"/>
                <w:color w:val="auto"/>
              </w:rPr>
              <w:t>30 June</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30 June</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30 June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80" w:type="dxa"/>
            <w:vAlign w:val="bottom"/>
          </w:tcPr>
          <w:p>
            <w:pPr>
              <w:jc w:val="right"/>
              <w:ind w:right="132"/>
              <w:spacing w:after="0"/>
              <w:rPr>
                <w:sz w:val="20"/>
                <w:szCs w:val="20"/>
                <w:color w:val="auto"/>
              </w:rPr>
            </w:pPr>
            <w:r>
              <w:rPr>
                <w:rFonts w:ascii="Arial" w:cs="Arial" w:eastAsia="Arial" w:hAnsi="Arial"/>
                <w:sz w:val="18"/>
                <w:szCs w:val="18"/>
                <w:color w:val="auto"/>
              </w:rPr>
              <w:t>2011</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2011</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80" w:type="dxa"/>
            <w:vAlign w:val="bottom"/>
          </w:tcPr>
          <w:p>
            <w:pPr>
              <w:jc w:val="right"/>
              <w:ind w:right="132"/>
              <w:spacing w:after="0"/>
              <w:rPr>
                <w:sz w:val="20"/>
                <w:szCs w:val="20"/>
                <w:color w:val="auto"/>
              </w:rPr>
            </w:pPr>
            <w:r>
              <w:rPr>
                <w:rFonts w:ascii="Arial" w:cs="Arial" w:eastAsia="Arial" w:hAnsi="Arial"/>
                <w:sz w:val="18"/>
                <w:szCs w:val="18"/>
                <w:color w:val="auto"/>
              </w:rPr>
              <w:t>US$’000</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US$’000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80" w:type="dxa"/>
            <w:vAlign w:val="bottom"/>
          </w:tcPr>
          <w:p>
            <w:pPr>
              <w:jc w:val="right"/>
              <w:ind w:right="132"/>
              <w:spacing w:after="0"/>
              <w:rPr>
                <w:sz w:val="20"/>
                <w:szCs w:val="20"/>
                <w:color w:val="auto"/>
              </w:rPr>
            </w:pPr>
            <w:r>
              <w:rPr>
                <w:rFonts w:ascii="Arial" w:cs="Arial" w:eastAsia="Arial" w:hAnsi="Arial"/>
                <w:sz w:val="18"/>
                <w:szCs w:val="18"/>
                <w:color w:val="auto"/>
              </w:rPr>
              <w:t>Excluding</w:t>
            </w:r>
          </w:p>
        </w:tc>
        <w:tc>
          <w:tcPr>
            <w:tcW w:w="1380" w:type="dxa"/>
            <w:vAlign w:val="bottom"/>
          </w:tcPr>
          <w:p>
            <w:pPr>
              <w:spacing w:after="0"/>
              <w:rPr>
                <w:sz w:val="18"/>
                <w:szCs w:val="18"/>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Including</w:t>
            </w:r>
          </w:p>
        </w:tc>
        <w:tc>
          <w:tcPr>
            <w:tcW w:w="0" w:type="dxa"/>
            <w:vAlign w:val="bottom"/>
          </w:tcPr>
          <w:p>
            <w:pPr>
              <w:spacing w:after="0"/>
              <w:rPr>
                <w:sz w:val="1"/>
                <w:szCs w:val="1"/>
                <w:color w:val="auto"/>
              </w:rPr>
            </w:pPr>
          </w:p>
        </w:tc>
      </w:tr>
      <w:tr>
        <w:trPr>
          <w:trHeight w:val="212"/>
        </w:trPr>
        <w:tc>
          <w:tcPr>
            <w:tcW w:w="1260" w:type="dxa"/>
            <w:vAlign w:val="bottom"/>
            <w:gridSpan w:val="4"/>
            <w:vMerge w:val="restart"/>
          </w:tcPr>
          <w:p>
            <w:pPr>
              <w:spacing w:after="0"/>
              <w:rPr>
                <w:sz w:val="20"/>
                <w:szCs w:val="20"/>
                <w:color w:val="auto"/>
              </w:rPr>
            </w:pPr>
            <w:r>
              <w:rPr>
                <w:rFonts w:ascii="Arial" w:cs="Arial" w:eastAsia="Arial" w:hAnsi="Arial"/>
                <w:sz w:val="18"/>
                <w:szCs w:val="18"/>
                <w:b w:val="1"/>
                <w:bCs w:val="1"/>
                <w:color w:val="auto"/>
                <w:w w:val="86"/>
              </w:rPr>
              <w:t>Segment Income</w:t>
            </w:r>
          </w:p>
        </w:tc>
        <w:tc>
          <w:tcPr>
            <w:tcW w:w="3080" w:type="dxa"/>
            <w:vAlign w:val="bottom"/>
            <w:gridSpan w:val="3"/>
            <w:vMerge w:val="restart"/>
          </w:tcPr>
          <w:p>
            <w:pPr>
              <w:spacing w:after="0"/>
              <w:rPr>
                <w:sz w:val="18"/>
                <w:szCs w:val="18"/>
                <w:color w:val="auto"/>
              </w:rPr>
            </w:pPr>
          </w:p>
        </w:tc>
        <w:tc>
          <w:tcPr>
            <w:tcW w:w="4480" w:type="dxa"/>
            <w:vAlign w:val="bottom"/>
          </w:tcPr>
          <w:p>
            <w:pPr>
              <w:jc w:val="right"/>
              <w:ind w:right="132"/>
              <w:spacing w:after="0"/>
              <w:rPr>
                <w:sz w:val="20"/>
                <w:szCs w:val="20"/>
                <w:color w:val="auto"/>
              </w:rPr>
            </w:pPr>
            <w:r>
              <w:rPr>
                <w:rFonts w:ascii="Arial" w:cs="Arial" w:eastAsia="Arial" w:hAnsi="Arial"/>
                <w:sz w:val="18"/>
                <w:szCs w:val="18"/>
                <w:color w:val="auto"/>
              </w:rPr>
              <w:t>Restructuring</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Restructuring</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Restructuring</w:t>
            </w:r>
          </w:p>
        </w:tc>
        <w:tc>
          <w:tcPr>
            <w:tcW w:w="0" w:type="dxa"/>
            <w:vAlign w:val="bottom"/>
          </w:tcPr>
          <w:p>
            <w:pPr>
              <w:spacing w:after="0"/>
              <w:rPr>
                <w:sz w:val="1"/>
                <w:szCs w:val="1"/>
                <w:color w:val="auto"/>
              </w:rPr>
            </w:pPr>
          </w:p>
        </w:tc>
      </w:tr>
      <w:tr>
        <w:trPr>
          <w:trHeight w:val="190"/>
        </w:trPr>
        <w:tc>
          <w:tcPr>
            <w:tcW w:w="1260" w:type="dxa"/>
            <w:vAlign w:val="bottom"/>
            <w:tcBorders>
              <w:bottom w:val="single" w:sz="8" w:color="auto"/>
            </w:tcBorders>
            <w:gridSpan w:val="4"/>
            <w:vMerge w:val="continue"/>
          </w:tcPr>
          <w:p>
            <w:pPr>
              <w:spacing w:after="0"/>
              <w:rPr>
                <w:sz w:val="16"/>
                <w:szCs w:val="16"/>
                <w:color w:val="auto"/>
              </w:rPr>
            </w:pPr>
          </w:p>
        </w:tc>
        <w:tc>
          <w:tcPr>
            <w:tcW w:w="3080" w:type="dxa"/>
            <w:vAlign w:val="bottom"/>
            <w:gridSpan w:val="3"/>
            <w:vMerge w:val="continue"/>
          </w:tcPr>
          <w:p>
            <w:pPr>
              <w:spacing w:after="0"/>
              <w:rPr>
                <w:sz w:val="16"/>
                <w:szCs w:val="16"/>
                <w:color w:val="auto"/>
              </w:rPr>
            </w:pPr>
          </w:p>
        </w:tc>
        <w:tc>
          <w:tcPr>
            <w:tcW w:w="4480" w:type="dxa"/>
            <w:vAlign w:val="bottom"/>
          </w:tcPr>
          <w:p>
            <w:pPr>
              <w:jc w:val="right"/>
              <w:ind w:right="132"/>
              <w:spacing w:after="0" w:line="185" w:lineRule="exact"/>
              <w:rPr>
                <w:sz w:val="20"/>
                <w:szCs w:val="20"/>
                <w:color w:val="auto"/>
              </w:rPr>
            </w:pPr>
            <w:r>
              <w:rPr>
                <w:rFonts w:ascii="Arial" w:cs="Arial" w:eastAsia="Arial" w:hAnsi="Arial"/>
                <w:sz w:val="18"/>
                <w:szCs w:val="18"/>
                <w:color w:val="auto"/>
              </w:rPr>
              <w:t>and other</w:t>
            </w:r>
          </w:p>
        </w:tc>
        <w:tc>
          <w:tcPr>
            <w:tcW w:w="1380" w:type="dxa"/>
            <w:vAlign w:val="bottom"/>
          </w:tcPr>
          <w:p>
            <w:pPr>
              <w:jc w:val="right"/>
              <w:ind w:right="132"/>
              <w:spacing w:after="0" w:line="185" w:lineRule="exact"/>
              <w:rPr>
                <w:sz w:val="20"/>
                <w:szCs w:val="20"/>
                <w:color w:val="auto"/>
              </w:rPr>
            </w:pPr>
            <w:r>
              <w:rPr>
                <w:rFonts w:ascii="Arial" w:cs="Arial" w:eastAsia="Arial" w:hAnsi="Arial"/>
                <w:sz w:val="18"/>
                <w:szCs w:val="18"/>
                <w:color w:val="auto"/>
              </w:rPr>
              <w:t>and other</w:t>
            </w:r>
          </w:p>
        </w:tc>
        <w:tc>
          <w:tcPr>
            <w:tcW w:w="1220" w:type="dxa"/>
            <w:vAlign w:val="bottom"/>
          </w:tcPr>
          <w:p>
            <w:pPr>
              <w:jc w:val="right"/>
              <w:ind w:right="12"/>
              <w:spacing w:after="0" w:line="185" w:lineRule="exact"/>
              <w:rPr>
                <w:sz w:val="20"/>
                <w:szCs w:val="20"/>
                <w:color w:val="auto"/>
              </w:rPr>
            </w:pPr>
            <w:r>
              <w:rPr>
                <w:rFonts w:ascii="Arial" w:cs="Arial" w:eastAsia="Arial" w:hAnsi="Arial"/>
                <w:sz w:val="18"/>
                <w:szCs w:val="18"/>
                <w:color w:val="auto"/>
              </w:rPr>
              <w:t>and other</w:t>
            </w:r>
          </w:p>
        </w:tc>
        <w:tc>
          <w:tcPr>
            <w:tcW w:w="0" w:type="dxa"/>
            <w:vAlign w:val="bottom"/>
          </w:tcPr>
          <w:p>
            <w:pPr>
              <w:spacing w:after="0"/>
              <w:rPr>
                <w:sz w:val="1"/>
                <w:szCs w:val="1"/>
                <w:color w:val="auto"/>
              </w:rPr>
            </w:pPr>
          </w:p>
        </w:tc>
      </w:tr>
      <w:tr>
        <w:trPr>
          <w:trHeight w:val="192"/>
        </w:trPr>
        <w:tc>
          <w:tcPr>
            <w:tcW w:w="4340" w:type="dxa"/>
            <w:vAlign w:val="bottom"/>
            <w:gridSpan w:val="7"/>
          </w:tcPr>
          <w:p>
            <w:pPr>
              <w:spacing w:after="0" w:line="192" w:lineRule="exact"/>
              <w:rPr>
                <w:sz w:val="20"/>
                <w:szCs w:val="20"/>
                <w:color w:val="auto"/>
              </w:rPr>
            </w:pPr>
            <w:r>
              <w:rPr>
                <w:rFonts w:ascii="Arial" w:cs="Arial" w:eastAsia="Arial" w:hAnsi="Arial"/>
                <w:sz w:val="18"/>
                <w:szCs w:val="18"/>
                <w:b w:val="1"/>
                <w:bCs w:val="1"/>
                <w:color w:val="auto"/>
              </w:rPr>
              <w:t>from Operations</w:t>
            </w:r>
          </w:p>
        </w:tc>
        <w:tc>
          <w:tcPr>
            <w:tcW w:w="4480" w:type="dxa"/>
            <w:vAlign w:val="bottom"/>
          </w:tcPr>
          <w:p>
            <w:pPr>
              <w:jc w:val="right"/>
              <w:ind w:right="132"/>
              <w:spacing w:after="0" w:line="192" w:lineRule="exact"/>
              <w:rPr>
                <w:sz w:val="20"/>
                <w:szCs w:val="20"/>
                <w:color w:val="auto"/>
              </w:rPr>
            </w:pPr>
            <w:r>
              <w:rPr>
                <w:rFonts w:ascii="Arial" w:cs="Arial" w:eastAsia="Arial" w:hAnsi="Arial"/>
                <w:sz w:val="18"/>
                <w:szCs w:val="18"/>
                <w:color w:val="auto"/>
              </w:rPr>
              <w:t>non-recurring</w:t>
            </w:r>
          </w:p>
        </w:tc>
        <w:tc>
          <w:tcPr>
            <w:tcW w:w="1380" w:type="dxa"/>
            <w:vAlign w:val="bottom"/>
          </w:tcPr>
          <w:p>
            <w:pPr>
              <w:jc w:val="right"/>
              <w:ind w:right="132"/>
              <w:spacing w:after="0" w:line="192" w:lineRule="exact"/>
              <w:rPr>
                <w:sz w:val="20"/>
                <w:szCs w:val="20"/>
                <w:color w:val="auto"/>
              </w:rPr>
            </w:pPr>
            <w:r>
              <w:rPr>
                <w:rFonts w:ascii="Arial" w:cs="Arial" w:eastAsia="Arial" w:hAnsi="Arial"/>
                <w:sz w:val="18"/>
                <w:szCs w:val="18"/>
                <w:color w:val="auto"/>
              </w:rPr>
              <w:t>non-recurring</w:t>
            </w:r>
          </w:p>
        </w:tc>
        <w:tc>
          <w:tcPr>
            <w:tcW w:w="1220" w:type="dxa"/>
            <w:vAlign w:val="bottom"/>
          </w:tcPr>
          <w:p>
            <w:pPr>
              <w:jc w:val="right"/>
              <w:ind w:right="12"/>
              <w:spacing w:after="0" w:line="192" w:lineRule="exact"/>
              <w:rPr>
                <w:sz w:val="20"/>
                <w:szCs w:val="20"/>
                <w:color w:val="auto"/>
              </w:rPr>
            </w:pPr>
            <w:r>
              <w:rPr>
                <w:rFonts w:ascii="Arial" w:cs="Arial" w:eastAsia="Arial" w:hAnsi="Arial"/>
                <w:sz w:val="18"/>
                <w:szCs w:val="18"/>
                <w:color w:val="auto"/>
              </w:rPr>
              <w:t>non-recurring</w:t>
            </w:r>
          </w:p>
        </w:tc>
        <w:tc>
          <w:tcPr>
            <w:tcW w:w="0" w:type="dxa"/>
            <w:vAlign w:val="bottom"/>
          </w:tcPr>
          <w:p>
            <w:pPr>
              <w:spacing w:after="0"/>
              <w:rPr>
                <w:sz w:val="1"/>
                <w:szCs w:val="1"/>
                <w:color w:val="auto"/>
              </w:rPr>
            </w:pPr>
          </w:p>
        </w:tc>
      </w:tr>
      <w:tr>
        <w:trPr>
          <w:trHeight w:val="192"/>
        </w:trPr>
        <w:tc>
          <w:tcPr>
            <w:tcW w:w="1260" w:type="dxa"/>
            <w:vAlign w:val="bottom"/>
            <w:tcBorders>
              <w:top w:val="single" w:sz="8" w:color="auto"/>
            </w:tcBorders>
            <w:gridSpan w:val="4"/>
          </w:tcPr>
          <w:p>
            <w:pPr>
              <w:spacing w:after="0" w:line="192" w:lineRule="exact"/>
              <w:rPr>
                <w:sz w:val="20"/>
                <w:szCs w:val="20"/>
                <w:color w:val="auto"/>
              </w:rPr>
            </w:pPr>
            <w:r>
              <w:rPr>
                <w:rFonts w:ascii="Arial" w:cs="Arial" w:eastAsia="Arial" w:hAnsi="Arial"/>
                <w:sz w:val="18"/>
                <w:szCs w:val="18"/>
                <w:b w:val="1"/>
                <w:bCs w:val="1"/>
                <w:color w:val="auto"/>
              </w:rPr>
              <w:t>(note 18)</w:t>
            </w:r>
          </w:p>
        </w:tc>
        <w:tc>
          <w:tcPr>
            <w:tcW w:w="3080" w:type="dxa"/>
            <w:vAlign w:val="bottom"/>
            <w:gridSpan w:val="3"/>
          </w:tcPr>
          <w:p>
            <w:pPr>
              <w:spacing w:after="0"/>
              <w:rPr>
                <w:sz w:val="16"/>
                <w:szCs w:val="16"/>
                <w:color w:val="auto"/>
              </w:rPr>
            </w:pPr>
          </w:p>
        </w:tc>
        <w:tc>
          <w:tcPr>
            <w:tcW w:w="4480" w:type="dxa"/>
            <w:vAlign w:val="bottom"/>
          </w:tcPr>
          <w:p>
            <w:pPr>
              <w:jc w:val="right"/>
              <w:ind w:right="132"/>
              <w:spacing w:after="0" w:line="192" w:lineRule="exact"/>
              <w:rPr>
                <w:sz w:val="20"/>
                <w:szCs w:val="20"/>
                <w:color w:val="auto"/>
              </w:rPr>
            </w:pPr>
            <w:r>
              <w:rPr>
                <w:rFonts w:ascii="Arial" w:cs="Arial" w:eastAsia="Arial" w:hAnsi="Arial"/>
                <w:sz w:val="18"/>
                <w:szCs w:val="18"/>
                <w:color w:val="auto"/>
              </w:rPr>
              <w:t>items</w:t>
            </w:r>
          </w:p>
        </w:tc>
        <w:tc>
          <w:tcPr>
            <w:tcW w:w="1380" w:type="dxa"/>
            <w:vAlign w:val="bottom"/>
          </w:tcPr>
          <w:p>
            <w:pPr>
              <w:jc w:val="right"/>
              <w:ind w:right="132"/>
              <w:spacing w:after="0" w:line="192" w:lineRule="exact"/>
              <w:rPr>
                <w:sz w:val="20"/>
                <w:szCs w:val="20"/>
                <w:color w:val="auto"/>
              </w:rPr>
            </w:pPr>
            <w:r>
              <w:rPr>
                <w:rFonts w:ascii="Arial" w:cs="Arial" w:eastAsia="Arial" w:hAnsi="Arial"/>
                <w:sz w:val="18"/>
                <w:szCs w:val="18"/>
                <w:color w:val="auto"/>
              </w:rPr>
              <w:t>items</w:t>
            </w:r>
          </w:p>
        </w:tc>
        <w:tc>
          <w:tcPr>
            <w:tcW w:w="1220" w:type="dxa"/>
            <w:vAlign w:val="bottom"/>
          </w:tcPr>
          <w:p>
            <w:pPr>
              <w:jc w:val="right"/>
              <w:ind w:right="12"/>
              <w:spacing w:after="0" w:line="192" w:lineRule="exact"/>
              <w:rPr>
                <w:sz w:val="20"/>
                <w:szCs w:val="20"/>
                <w:color w:val="auto"/>
              </w:rPr>
            </w:pPr>
            <w:r>
              <w:rPr>
                <w:rFonts w:ascii="Arial" w:cs="Arial" w:eastAsia="Arial" w:hAnsi="Arial"/>
                <w:sz w:val="18"/>
                <w:szCs w:val="18"/>
                <w:color w:val="auto"/>
              </w:rPr>
              <w:t>items</w:t>
            </w:r>
          </w:p>
        </w:tc>
        <w:tc>
          <w:tcPr>
            <w:tcW w:w="0" w:type="dxa"/>
            <w:vAlign w:val="bottom"/>
          </w:tcPr>
          <w:p>
            <w:pPr>
              <w:spacing w:after="0"/>
              <w:rPr>
                <w:sz w:val="1"/>
                <w:szCs w:val="1"/>
                <w:color w:val="auto"/>
              </w:rPr>
            </w:pPr>
          </w:p>
        </w:tc>
      </w:tr>
      <w:tr>
        <w:trPr>
          <w:trHeight w:val="232"/>
        </w:trPr>
        <w:tc>
          <w:tcPr>
            <w:tcW w:w="20" w:type="dxa"/>
            <w:vAlign w:val="bottom"/>
            <w:vMerge w:val="restart"/>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3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44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(2,139)</w:t>
            </w:r>
          </w:p>
        </w:tc>
        <w:tc>
          <w:tcPr>
            <w:tcW w:w="13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(1,545)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32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rPr>
              <w:t>Clinical research</w:t>
            </w:r>
          </w:p>
        </w:tc>
        <w:tc>
          <w:tcPr>
            <w:tcW w:w="44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33,616</w:t>
            </w:r>
          </w:p>
        </w:tc>
        <w:tc>
          <w:tcPr>
            <w:tcW w:w="13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(3,457)</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30,159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320" w:type="dxa"/>
            <w:vAlign w:val="bottom"/>
            <w:tcBorders>
              <w:bottom w:val="single" w:sz="8" w:color="auto"/>
            </w:tcBorders>
            <w:gridSpan w:val="6"/>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4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31,477</w:t>
            </w:r>
          </w:p>
        </w:tc>
        <w:tc>
          <w:tcPr>
            <w:tcW w:w="13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(5,002)</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26,475</w:t>
            </w:r>
          </w:p>
        </w:tc>
        <w:tc>
          <w:tcPr>
            <w:tcW w:w="0" w:type="dxa"/>
            <w:vAlign w:val="bottom"/>
          </w:tcPr>
          <w:p>
            <w:pPr>
              <w:spacing w:after="0"/>
              <w:rPr>
                <w:sz w:val="1"/>
                <w:szCs w:val="1"/>
                <w:color w:val="auto"/>
              </w:rPr>
            </w:pPr>
          </w:p>
        </w:tc>
      </w:tr>
      <w:tr>
        <w:trPr>
          <w:trHeight w:val="83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b w:val="1"/>
                <w:bCs w:val="1"/>
                <w:color w:val="auto"/>
              </w:rPr>
              <w:t>(US GAAP)</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(US GAAP)</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b w:val="1"/>
                <w:bCs w:val="1"/>
                <w:color w:val="auto"/>
              </w:rPr>
              <w:t>30 June</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30 June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434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Segment Depreciation and Amortisation</w:t>
            </w:r>
          </w:p>
        </w:tc>
        <w:tc>
          <w:tcPr>
            <w:tcW w:w="448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b w:val="1"/>
                <w:bCs w:val="1"/>
                <w:color w:val="auto"/>
              </w:rPr>
              <w:t>US$’000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173"/>
        </w:trPr>
        <w:tc>
          <w:tcPr>
            <w:tcW w:w="4340" w:type="dxa"/>
            <w:vAlign w:val="bottom"/>
            <w:gridSpan w:val="7"/>
            <w:vMerge w:val="continue"/>
          </w:tcPr>
          <w:p>
            <w:pPr>
              <w:spacing w:after="0"/>
              <w:rPr>
                <w:sz w:val="15"/>
                <w:szCs w:val="15"/>
                <w:color w:val="auto"/>
              </w:rPr>
            </w:pPr>
          </w:p>
        </w:tc>
        <w:tc>
          <w:tcPr>
            <w:tcW w:w="4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020" w:type="dxa"/>
            <w:vAlign w:val="bottom"/>
            <w:tcBorders>
              <w:top w:val="single" w:sz="8" w:color="auto"/>
            </w:tcBorders>
            <w:gridSpan w:val="5"/>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1300" w:type="dxa"/>
            <w:vAlign w:val="bottom"/>
            <w:shd w:val="clear" w:color="auto" w:fill="CCEEFF"/>
          </w:tcPr>
          <w:p>
            <w:pPr>
              <w:spacing w:after="0"/>
              <w:rPr>
                <w:sz w:val="20"/>
                <w:szCs w:val="20"/>
                <w:color w:val="auto"/>
              </w:rPr>
            </w:pPr>
          </w:p>
        </w:tc>
        <w:tc>
          <w:tcPr>
            <w:tcW w:w="448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1,730</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2,605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32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rPr>
              <w:t>Clinical research</w:t>
            </w:r>
          </w:p>
        </w:tc>
        <w:tc>
          <w:tcPr>
            <w:tcW w:w="44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19,902</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15,697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320" w:type="dxa"/>
            <w:vAlign w:val="bottom"/>
            <w:tcBorders>
              <w:bottom w:val="single" w:sz="8" w:color="auto"/>
            </w:tcBorders>
            <w:gridSpan w:val="6"/>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4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21,632</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18,302</w:t>
            </w:r>
          </w:p>
        </w:tc>
        <w:tc>
          <w:tcPr>
            <w:tcW w:w="0" w:type="dxa"/>
            <w:vAlign w:val="bottom"/>
          </w:tcPr>
          <w:p>
            <w:pPr>
              <w:spacing w:after="0"/>
              <w:rPr>
                <w:sz w:val="1"/>
                <w:szCs w:val="1"/>
                <w:color w:val="auto"/>
              </w:rPr>
            </w:pPr>
          </w:p>
        </w:tc>
      </w:tr>
      <w:tr>
        <w:trPr>
          <w:trHeight w:val="64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b w:val="1"/>
                <w:bCs w:val="1"/>
                <w:color w:val="auto"/>
              </w:rPr>
              <w:t>(US GAAP)</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(US GAAP)</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b w:val="1"/>
                <w:bCs w:val="1"/>
                <w:color w:val="auto"/>
              </w:rPr>
              <w:t>30 June</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434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Segment assets</w:t>
            </w:r>
          </w:p>
        </w:tc>
        <w:tc>
          <w:tcPr>
            <w:tcW w:w="4480" w:type="dxa"/>
            <w:vAlign w:val="bottom"/>
          </w:tcPr>
          <w:p>
            <w:pPr>
              <w:spacing w:after="0"/>
              <w:rPr>
                <w:sz w:val="19"/>
                <w:szCs w:val="19"/>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b w:val="1"/>
                <w:bCs w:val="1"/>
                <w:color w:val="auto"/>
              </w:rPr>
              <w:t>US$’000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173"/>
        </w:trPr>
        <w:tc>
          <w:tcPr>
            <w:tcW w:w="4340" w:type="dxa"/>
            <w:vAlign w:val="bottom"/>
            <w:gridSpan w:val="7"/>
            <w:vMerge w:val="continue"/>
          </w:tcPr>
          <w:p>
            <w:pPr>
              <w:spacing w:after="0"/>
              <w:rPr>
                <w:sz w:val="15"/>
                <w:szCs w:val="15"/>
                <w:color w:val="auto"/>
              </w:rPr>
            </w:pPr>
          </w:p>
        </w:tc>
        <w:tc>
          <w:tcPr>
            <w:tcW w:w="4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43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448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52,861</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55,184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32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rPr>
              <w:t>Clinical research</w:t>
            </w:r>
          </w:p>
        </w:tc>
        <w:tc>
          <w:tcPr>
            <w:tcW w:w="44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1,052,033</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980,283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320" w:type="dxa"/>
            <w:vAlign w:val="bottom"/>
            <w:tcBorders>
              <w:bottom w:val="single" w:sz="8" w:color="auto"/>
            </w:tcBorders>
            <w:gridSpan w:val="6"/>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4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1,104,894</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1,035,467</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380" w:type="dxa"/>
            <w:vAlign w:val="bottom"/>
          </w:tcPr>
          <w:p>
            <w:pPr>
              <w:jc w:val="right"/>
              <w:ind w:right="272"/>
              <w:spacing w:after="0"/>
              <w:rPr>
                <w:sz w:val="20"/>
                <w:szCs w:val="20"/>
                <w:color w:val="auto"/>
              </w:rPr>
            </w:pPr>
            <w:r>
              <w:rPr>
                <w:rFonts w:ascii="Arial" w:cs="Arial" w:eastAsia="Arial" w:hAnsi="Arial"/>
                <w:sz w:val="18"/>
                <w:szCs w:val="18"/>
                <w:b w:val="1"/>
                <w:bCs w:val="1"/>
                <w:color w:val="auto"/>
              </w:rPr>
              <w:t>30 June</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30 June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380" w:type="dxa"/>
            <w:vAlign w:val="bottom"/>
          </w:tcPr>
          <w:p>
            <w:pPr>
              <w:jc w:val="right"/>
              <w:ind w:right="272"/>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434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Major Customers</w:t>
            </w:r>
          </w:p>
        </w:tc>
        <w:tc>
          <w:tcPr>
            <w:tcW w:w="4480" w:type="dxa"/>
            <w:vAlign w:val="bottom"/>
          </w:tcPr>
          <w:p>
            <w:pPr>
              <w:spacing w:after="0"/>
              <w:rPr>
                <w:sz w:val="19"/>
                <w:szCs w:val="19"/>
                <w:color w:val="auto"/>
              </w:rPr>
            </w:pPr>
          </w:p>
        </w:tc>
        <w:tc>
          <w:tcPr>
            <w:tcW w:w="1380" w:type="dxa"/>
            <w:vAlign w:val="bottom"/>
          </w:tcPr>
          <w:p>
            <w:pPr>
              <w:jc w:val="right"/>
              <w:ind w:right="272"/>
              <w:spacing w:after="0"/>
              <w:rPr>
                <w:sz w:val="20"/>
                <w:szCs w:val="20"/>
                <w:color w:val="auto"/>
              </w:rPr>
            </w:pPr>
            <w:r>
              <w:rPr>
                <w:rFonts w:ascii="Arial" w:cs="Arial" w:eastAsia="Arial" w:hAnsi="Arial"/>
                <w:sz w:val="18"/>
                <w:szCs w:val="18"/>
                <w:b w:val="1"/>
                <w:bCs w:val="1"/>
                <w:color w:val="auto"/>
              </w:rPr>
              <w:t>% Revenue</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 Revenue</w:t>
            </w:r>
          </w:p>
        </w:tc>
        <w:tc>
          <w:tcPr>
            <w:tcW w:w="0" w:type="dxa"/>
            <w:vAlign w:val="bottom"/>
          </w:tcPr>
          <w:p>
            <w:pPr>
              <w:spacing w:after="0"/>
              <w:rPr>
                <w:sz w:val="1"/>
                <w:szCs w:val="1"/>
                <w:color w:val="auto"/>
              </w:rPr>
            </w:pPr>
          </w:p>
        </w:tc>
      </w:tr>
      <w:tr>
        <w:trPr>
          <w:trHeight w:val="173"/>
        </w:trPr>
        <w:tc>
          <w:tcPr>
            <w:tcW w:w="4340" w:type="dxa"/>
            <w:vAlign w:val="bottom"/>
            <w:gridSpan w:val="7"/>
            <w:vMerge w:val="continue"/>
          </w:tcPr>
          <w:p>
            <w:pPr>
              <w:spacing w:after="0"/>
              <w:rPr>
                <w:sz w:val="15"/>
                <w:szCs w:val="15"/>
                <w:color w:val="auto"/>
              </w:rPr>
            </w:pPr>
          </w:p>
        </w:tc>
        <w:tc>
          <w:tcPr>
            <w:tcW w:w="4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32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rPr>
              <w:t>Customer A</w:t>
            </w:r>
          </w:p>
        </w:tc>
        <w:tc>
          <w:tcPr>
            <w:tcW w:w="3000" w:type="dxa"/>
            <w:vAlign w:val="bottom"/>
            <w:gridSpan w:val="2"/>
            <w:shd w:val="clear" w:color="auto" w:fill="CCEEFF"/>
          </w:tcPr>
          <w:p>
            <w:pPr>
              <w:spacing w:after="0"/>
              <w:rPr>
                <w:sz w:val="20"/>
                <w:szCs w:val="20"/>
                <w:color w:val="auto"/>
              </w:rPr>
            </w:pPr>
          </w:p>
        </w:tc>
        <w:tc>
          <w:tcPr>
            <w:tcW w:w="448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14.0%</w:t>
            </w: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20" w:type="dxa"/>
            <w:vAlign w:val="bottom"/>
            <w:gridSpan w:val="6"/>
          </w:tcPr>
          <w:p>
            <w:pPr>
              <w:spacing w:after="0"/>
              <w:rPr>
                <w:sz w:val="20"/>
                <w:szCs w:val="20"/>
                <w:color w:val="auto"/>
              </w:rPr>
            </w:pPr>
            <w:r>
              <w:rPr>
                <w:rFonts w:ascii="Arial" w:cs="Arial" w:eastAsia="Arial" w:hAnsi="Arial"/>
                <w:sz w:val="18"/>
                <w:szCs w:val="18"/>
                <w:color w:val="auto"/>
              </w:rPr>
              <w:t>Customer B</w:t>
            </w:r>
          </w:p>
        </w:tc>
        <w:tc>
          <w:tcPr>
            <w:tcW w:w="4480" w:type="dxa"/>
            <w:vAlign w:val="bottom"/>
          </w:tcPr>
          <w:p>
            <w:pPr>
              <w:spacing w:after="0"/>
              <w:rPr>
                <w:sz w:val="18"/>
                <w:szCs w:val="18"/>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b w:val="1"/>
                <w:bCs w:val="1"/>
                <w:color w:val="auto"/>
              </w:rPr>
              <w:t>12.2%</w:t>
            </w:r>
          </w:p>
        </w:tc>
        <w:tc>
          <w:tcPr>
            <w:tcW w:w="122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320" w:type="dxa"/>
            <w:vAlign w:val="bottom"/>
            <w:tcBorders>
              <w:bottom w:val="single" w:sz="8" w:color="auto"/>
            </w:tcBorders>
            <w:gridSpan w:val="6"/>
            <w:shd w:val="clear" w:color="auto" w:fill="CCEEFF"/>
          </w:tcPr>
          <w:p>
            <w:pPr>
              <w:spacing w:after="0"/>
              <w:rPr>
                <w:sz w:val="20"/>
                <w:szCs w:val="20"/>
                <w:color w:val="auto"/>
              </w:rPr>
            </w:pPr>
            <w:r>
              <w:rPr>
                <w:rFonts w:ascii="Arial" w:cs="Arial" w:eastAsia="Arial" w:hAnsi="Arial"/>
                <w:sz w:val="18"/>
                <w:szCs w:val="18"/>
                <w:color w:val="auto"/>
              </w:rPr>
              <w:t>Customer C</w:t>
            </w:r>
          </w:p>
        </w:tc>
        <w:tc>
          <w:tcPr>
            <w:tcW w:w="44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10.5%</w:t>
            </w: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20" w:type="dxa"/>
            <w:vAlign w:val="bottom"/>
            <w:gridSpan w:val="6"/>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Did not exceed 10%</w:t>
            </w:r>
          </w:p>
        </w:tc>
        <w:tc>
          <w:tcPr>
            <w:tcW w:w="4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8"/>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80" w:type="dxa"/>
            <w:vAlign w:val="bottom"/>
          </w:tcPr>
          <w:p>
            <w:pPr>
              <w:jc w:val="right"/>
              <w:ind w:right="2932"/>
              <w:spacing w:after="0"/>
              <w:rPr>
                <w:sz w:val="20"/>
                <w:szCs w:val="20"/>
                <w:color w:val="auto"/>
              </w:rPr>
            </w:pPr>
            <w:r>
              <w:rPr>
                <w:rFonts w:ascii="Arial" w:cs="Arial" w:eastAsia="Arial" w:hAnsi="Arial"/>
                <w:sz w:val="18"/>
                <w:szCs w:val="18"/>
                <w:color w:val="auto"/>
              </w:rPr>
              <w:t>19</w:t>
            </w: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2" w:name="page23"/>
    <w:bookmarkEnd w:id="22"/>
    <w:p>
      <w:pPr>
        <w:spacing w:after="0"/>
        <w:rPr>
          <w:sz w:val="20"/>
          <w:szCs w:val="20"/>
          <w:color w:val="auto"/>
        </w:rPr>
      </w:pPr>
      <w:r>
        <w:rPr>
          <w:rFonts w:ascii="Arial" w:cs="Arial" w:eastAsia="Arial" w:hAnsi="Arial"/>
          <w:sz w:val="25"/>
          <w:szCs w:val="25"/>
          <w:color w:val="auto"/>
        </w:rPr>
        <w:t xml:space="preserve">Notes to Condensed Consolidated Interim Financial Statements </w:t>
      </w:r>
      <w:r>
        <w:rPr>
          <w:rFonts w:ascii="Arial" w:cs="Arial" w:eastAsia="Arial" w:hAnsi="Arial"/>
          <w:sz w:val="25"/>
          <w:szCs w:val="25"/>
          <w:i w:val="1"/>
          <w:iCs w:val="1"/>
          <w:color w:val="auto"/>
        </w:rPr>
        <w:t>(continued)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for basic and diluted net earnings per share for the six months ended 30 June 2012:</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820" w:type="dxa"/>
            <w:vAlign w:val="bottom"/>
          </w:tcPr>
          <w:p>
            <w:pPr>
              <w:jc w:val="right"/>
              <w:ind w:right="172"/>
              <w:spacing w:after="0"/>
              <w:rPr>
                <w:sz w:val="20"/>
                <w:szCs w:val="20"/>
                <w:color w:val="auto"/>
              </w:rPr>
            </w:pPr>
            <w:r>
              <w:rPr>
                <w:rFonts w:ascii="Arial" w:cs="Arial" w:eastAsia="Arial" w:hAnsi="Arial"/>
                <w:sz w:val="18"/>
                <w:szCs w:val="18"/>
                <w:b w:val="1"/>
                <w:bCs w:val="1"/>
                <w:color w:val="auto"/>
              </w:rPr>
              <w:t>30 June</w:t>
            </w:r>
          </w:p>
        </w:tc>
        <w:tc>
          <w:tcPr>
            <w:tcW w:w="1260" w:type="dxa"/>
            <w:vAlign w:val="bottom"/>
          </w:tcPr>
          <w:p>
            <w:pPr>
              <w:jc w:val="right"/>
              <w:ind w:right="32"/>
              <w:spacing w:after="0"/>
              <w:rPr>
                <w:sz w:val="20"/>
                <w:szCs w:val="20"/>
                <w:color w:val="auto"/>
              </w:rPr>
            </w:pPr>
            <w:r>
              <w:rPr>
                <w:rFonts w:ascii="Arial" w:cs="Arial" w:eastAsia="Arial" w:hAnsi="Arial"/>
                <w:sz w:val="18"/>
                <w:szCs w:val="18"/>
                <w:b w:val="1"/>
                <w:bCs w:val="1"/>
                <w:color w:val="auto"/>
              </w:rPr>
              <w:t>30 June</w:t>
            </w:r>
          </w:p>
        </w:tc>
        <w:tc>
          <w:tcPr>
            <w:tcW w:w="1400" w:type="dxa"/>
            <w:vAlign w:val="bottom"/>
            <w:tcBorders>
              <w:top w:val="single" w:sz="8" w:color="auto"/>
              <w:left w:val="single" w:sz="8" w:color="auto"/>
              <w:right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30 June</w:t>
            </w:r>
          </w:p>
        </w:tc>
        <w:tc>
          <w:tcPr>
            <w:tcW w:w="1480" w:type="dxa"/>
            <w:vAlign w:val="bottom"/>
          </w:tcPr>
          <w:p>
            <w:pPr>
              <w:jc w:val="right"/>
              <w:ind w:right="152"/>
              <w:spacing w:after="0"/>
              <w:rPr>
                <w:sz w:val="20"/>
                <w:szCs w:val="20"/>
                <w:color w:val="auto"/>
              </w:rPr>
            </w:pPr>
            <w:r>
              <w:rPr>
                <w:rFonts w:ascii="Arial" w:cs="Arial" w:eastAsia="Arial" w:hAnsi="Arial"/>
                <w:sz w:val="18"/>
                <w:szCs w:val="18"/>
                <w:color w:val="auto"/>
              </w:rPr>
              <w:t>30 June</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30 June</w:t>
            </w:r>
          </w:p>
        </w:tc>
        <w:tc>
          <w:tcPr>
            <w:tcW w:w="1340" w:type="dxa"/>
            <w:vAlign w:val="bottom"/>
            <w:tcBorders>
              <w:top w:val="single" w:sz="8" w:color="auto"/>
              <w:left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30 June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820" w:type="dxa"/>
            <w:vAlign w:val="bottom"/>
          </w:tcPr>
          <w:p>
            <w:pPr>
              <w:jc w:val="right"/>
              <w:ind w:right="172"/>
              <w:spacing w:after="0"/>
              <w:rPr>
                <w:sz w:val="20"/>
                <w:szCs w:val="20"/>
                <w:color w:val="auto"/>
              </w:rPr>
            </w:pPr>
            <w:r>
              <w:rPr>
                <w:rFonts w:ascii="Arial" w:cs="Arial" w:eastAsia="Arial" w:hAnsi="Arial"/>
                <w:sz w:val="18"/>
                <w:szCs w:val="18"/>
                <w:b w:val="1"/>
                <w:bCs w:val="1"/>
                <w:color w:val="auto"/>
              </w:rPr>
              <w:t>2012</w:t>
            </w:r>
          </w:p>
        </w:tc>
        <w:tc>
          <w:tcPr>
            <w:tcW w:w="1260" w:type="dxa"/>
            <w:vAlign w:val="bottom"/>
          </w:tcPr>
          <w:p>
            <w:pPr>
              <w:jc w:val="right"/>
              <w:ind w:right="32"/>
              <w:spacing w:after="0"/>
              <w:rPr>
                <w:sz w:val="20"/>
                <w:szCs w:val="20"/>
                <w:color w:val="auto"/>
              </w:rPr>
            </w:pPr>
            <w:r>
              <w:rPr>
                <w:rFonts w:ascii="Arial" w:cs="Arial" w:eastAsia="Arial" w:hAnsi="Arial"/>
                <w:sz w:val="18"/>
                <w:szCs w:val="18"/>
                <w:b w:val="1"/>
                <w:bCs w:val="1"/>
                <w:color w:val="auto"/>
              </w:rPr>
              <w:t>2012</w:t>
            </w:r>
          </w:p>
        </w:tc>
        <w:tc>
          <w:tcPr>
            <w:tcW w:w="1400" w:type="dxa"/>
            <w:vAlign w:val="bottom"/>
            <w:tcBorders>
              <w:left w:val="single" w:sz="8" w:color="auto"/>
              <w:right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2012</w:t>
            </w:r>
          </w:p>
        </w:tc>
        <w:tc>
          <w:tcPr>
            <w:tcW w:w="1480" w:type="dxa"/>
            <w:vAlign w:val="bottom"/>
          </w:tcPr>
          <w:p>
            <w:pPr>
              <w:jc w:val="right"/>
              <w:ind w:right="152"/>
              <w:spacing w:after="0"/>
              <w:rPr>
                <w:sz w:val="20"/>
                <w:szCs w:val="20"/>
                <w:color w:val="auto"/>
              </w:rPr>
            </w:pPr>
            <w:r>
              <w:rPr>
                <w:rFonts w:ascii="Arial" w:cs="Arial" w:eastAsia="Arial" w:hAnsi="Arial"/>
                <w:sz w:val="18"/>
                <w:szCs w:val="18"/>
                <w:color w:val="auto"/>
              </w:rPr>
              <w:t>2011</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1340" w:type="dxa"/>
            <w:vAlign w:val="bottom"/>
            <w:tcBorders>
              <w:left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820" w:type="dxa"/>
            <w:vAlign w:val="bottom"/>
          </w:tcPr>
          <w:p>
            <w:pPr>
              <w:jc w:val="right"/>
              <w:ind w:right="172"/>
              <w:spacing w:after="0"/>
              <w:rPr>
                <w:sz w:val="20"/>
                <w:szCs w:val="20"/>
                <w:color w:val="auto"/>
              </w:rPr>
            </w:pPr>
            <w:r>
              <w:rPr>
                <w:rFonts w:ascii="Arial" w:cs="Arial" w:eastAsia="Arial" w:hAnsi="Arial"/>
                <w:sz w:val="18"/>
                <w:szCs w:val="18"/>
                <w:b w:val="1"/>
                <w:bCs w:val="1"/>
                <w:color w:val="auto"/>
              </w:rPr>
              <w:t>US$’000</w:t>
            </w:r>
          </w:p>
        </w:tc>
        <w:tc>
          <w:tcPr>
            <w:tcW w:w="1260" w:type="dxa"/>
            <w:vAlign w:val="bottom"/>
          </w:tcPr>
          <w:p>
            <w:pPr>
              <w:jc w:val="right"/>
              <w:ind w:right="32"/>
              <w:spacing w:after="0"/>
              <w:rPr>
                <w:sz w:val="20"/>
                <w:szCs w:val="20"/>
                <w:color w:val="auto"/>
              </w:rPr>
            </w:pPr>
            <w:r>
              <w:rPr>
                <w:rFonts w:ascii="Arial" w:cs="Arial" w:eastAsia="Arial" w:hAnsi="Arial"/>
                <w:sz w:val="18"/>
                <w:szCs w:val="18"/>
                <w:b w:val="1"/>
                <w:bCs w:val="1"/>
                <w:color w:val="auto"/>
              </w:rPr>
              <w:t>US$’000</w:t>
            </w:r>
          </w:p>
        </w:tc>
        <w:tc>
          <w:tcPr>
            <w:tcW w:w="1400" w:type="dxa"/>
            <w:vAlign w:val="bottom"/>
            <w:tcBorders>
              <w:left w:val="single" w:sz="8" w:color="auto"/>
              <w:right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US$’000</w:t>
            </w:r>
          </w:p>
        </w:tc>
        <w:tc>
          <w:tcPr>
            <w:tcW w:w="1480" w:type="dxa"/>
            <w:vAlign w:val="bottom"/>
          </w:tcPr>
          <w:p>
            <w:pPr>
              <w:jc w:val="right"/>
              <w:ind w:right="152"/>
              <w:spacing w:after="0"/>
              <w:rPr>
                <w:sz w:val="20"/>
                <w:szCs w:val="20"/>
                <w:color w:val="auto"/>
              </w:rPr>
            </w:pPr>
            <w:r>
              <w:rPr>
                <w:rFonts w:ascii="Arial" w:cs="Arial" w:eastAsia="Arial" w:hAnsi="Arial"/>
                <w:sz w:val="18"/>
                <w:szCs w:val="18"/>
                <w:color w:val="auto"/>
              </w:rPr>
              <w:t>US$’000</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US$’000</w:t>
            </w:r>
          </w:p>
        </w:tc>
        <w:tc>
          <w:tcPr>
            <w:tcW w:w="1340" w:type="dxa"/>
            <w:vAlign w:val="bottom"/>
            <w:tcBorders>
              <w:left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820" w:type="dxa"/>
            <w:vAlign w:val="bottom"/>
          </w:tcPr>
          <w:p>
            <w:pPr>
              <w:jc w:val="right"/>
              <w:ind w:right="172"/>
              <w:spacing w:after="0"/>
              <w:rPr>
                <w:sz w:val="20"/>
                <w:szCs w:val="20"/>
                <w:color w:val="auto"/>
              </w:rPr>
            </w:pPr>
            <w:r>
              <w:rPr>
                <w:rFonts w:ascii="Arial" w:cs="Arial" w:eastAsia="Arial" w:hAnsi="Arial"/>
                <w:sz w:val="18"/>
                <w:szCs w:val="18"/>
                <w:b w:val="1"/>
                <w:bCs w:val="1"/>
                <w:color w:val="auto"/>
              </w:rPr>
              <w:t>Excluding</w:t>
            </w:r>
          </w:p>
        </w:tc>
        <w:tc>
          <w:tcPr>
            <w:tcW w:w="1260" w:type="dxa"/>
            <w:vAlign w:val="bottom"/>
          </w:tcPr>
          <w:p>
            <w:pPr>
              <w:spacing w:after="0"/>
              <w:rPr>
                <w:sz w:val="18"/>
                <w:szCs w:val="18"/>
                <w:color w:val="auto"/>
              </w:rPr>
            </w:pPr>
          </w:p>
        </w:tc>
        <w:tc>
          <w:tcPr>
            <w:tcW w:w="1400" w:type="dxa"/>
            <w:vAlign w:val="bottom"/>
            <w:tcBorders>
              <w:left w:val="single" w:sz="8" w:color="auto"/>
              <w:right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Including</w:t>
            </w:r>
          </w:p>
        </w:tc>
        <w:tc>
          <w:tcPr>
            <w:tcW w:w="1480" w:type="dxa"/>
            <w:vAlign w:val="bottom"/>
          </w:tcPr>
          <w:p>
            <w:pPr>
              <w:jc w:val="right"/>
              <w:ind w:right="152"/>
              <w:spacing w:after="0"/>
              <w:rPr>
                <w:sz w:val="20"/>
                <w:szCs w:val="20"/>
                <w:color w:val="auto"/>
              </w:rPr>
            </w:pPr>
            <w:r>
              <w:rPr>
                <w:rFonts w:ascii="Arial" w:cs="Arial" w:eastAsia="Arial" w:hAnsi="Arial"/>
                <w:sz w:val="18"/>
                <w:szCs w:val="18"/>
                <w:color w:val="auto"/>
              </w:rPr>
              <w:t>Excluding</w:t>
            </w:r>
          </w:p>
        </w:tc>
        <w:tc>
          <w:tcPr>
            <w:tcW w:w="1200" w:type="dxa"/>
            <w:vAlign w:val="bottom"/>
          </w:tcPr>
          <w:p>
            <w:pPr>
              <w:spacing w:after="0"/>
              <w:rPr>
                <w:sz w:val="18"/>
                <w:szCs w:val="18"/>
                <w:color w:val="auto"/>
              </w:rPr>
            </w:pPr>
          </w:p>
        </w:tc>
        <w:tc>
          <w:tcPr>
            <w:tcW w:w="1340" w:type="dxa"/>
            <w:vAlign w:val="bottom"/>
            <w:tcBorders>
              <w:left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Including</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820" w:type="dxa"/>
            <w:vAlign w:val="bottom"/>
          </w:tcPr>
          <w:p>
            <w:pPr>
              <w:jc w:val="right"/>
              <w:ind w:right="172"/>
              <w:spacing w:after="0"/>
              <w:rPr>
                <w:sz w:val="20"/>
                <w:szCs w:val="20"/>
                <w:color w:val="auto"/>
              </w:rPr>
            </w:pPr>
            <w:r>
              <w:rPr>
                <w:rFonts w:ascii="Arial" w:cs="Arial" w:eastAsia="Arial" w:hAnsi="Arial"/>
                <w:sz w:val="18"/>
                <w:szCs w:val="18"/>
                <w:b w:val="1"/>
                <w:bCs w:val="1"/>
                <w:color w:val="auto"/>
              </w:rPr>
              <w:t>Exceptional</w:t>
            </w:r>
          </w:p>
        </w:tc>
        <w:tc>
          <w:tcPr>
            <w:tcW w:w="1260" w:type="dxa"/>
            <w:vAlign w:val="bottom"/>
          </w:tcPr>
          <w:p>
            <w:pPr>
              <w:jc w:val="right"/>
              <w:ind w:right="32"/>
              <w:spacing w:after="0"/>
              <w:rPr>
                <w:sz w:val="20"/>
                <w:szCs w:val="20"/>
                <w:color w:val="auto"/>
              </w:rPr>
            </w:pPr>
            <w:r>
              <w:rPr>
                <w:rFonts w:ascii="Arial" w:cs="Arial" w:eastAsia="Arial" w:hAnsi="Arial"/>
                <w:sz w:val="18"/>
                <w:szCs w:val="18"/>
                <w:b w:val="1"/>
                <w:bCs w:val="1"/>
                <w:color w:val="auto"/>
              </w:rPr>
              <w:t>Exceptional</w:t>
            </w:r>
          </w:p>
        </w:tc>
        <w:tc>
          <w:tcPr>
            <w:tcW w:w="1400" w:type="dxa"/>
            <w:vAlign w:val="bottom"/>
            <w:tcBorders>
              <w:left w:val="single" w:sz="8" w:color="auto"/>
              <w:right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Exceptional</w:t>
            </w:r>
          </w:p>
        </w:tc>
        <w:tc>
          <w:tcPr>
            <w:tcW w:w="1480" w:type="dxa"/>
            <w:vAlign w:val="bottom"/>
          </w:tcPr>
          <w:p>
            <w:pPr>
              <w:jc w:val="right"/>
              <w:ind w:right="152"/>
              <w:spacing w:after="0"/>
              <w:rPr>
                <w:sz w:val="20"/>
                <w:szCs w:val="20"/>
                <w:color w:val="auto"/>
              </w:rPr>
            </w:pPr>
            <w:r>
              <w:rPr>
                <w:rFonts w:ascii="Arial" w:cs="Arial" w:eastAsia="Arial" w:hAnsi="Arial"/>
                <w:sz w:val="18"/>
                <w:szCs w:val="18"/>
                <w:color w:val="auto"/>
              </w:rPr>
              <w:t>Exceptional</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Exceptional</w:t>
            </w:r>
          </w:p>
        </w:tc>
        <w:tc>
          <w:tcPr>
            <w:tcW w:w="1340" w:type="dxa"/>
            <w:vAlign w:val="bottom"/>
            <w:tcBorders>
              <w:left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Exceptional</w:t>
            </w:r>
          </w:p>
        </w:tc>
        <w:tc>
          <w:tcPr>
            <w:tcW w:w="0" w:type="dxa"/>
            <w:vAlign w:val="bottom"/>
          </w:tcPr>
          <w:p>
            <w:pPr>
              <w:spacing w:after="0"/>
              <w:rPr>
                <w:sz w:val="1"/>
                <w:szCs w:val="1"/>
                <w:color w:val="auto"/>
              </w:rPr>
            </w:pPr>
          </w:p>
        </w:tc>
      </w:tr>
      <w:tr>
        <w:trPr>
          <w:trHeight w:val="229"/>
        </w:trPr>
        <w:tc>
          <w:tcPr>
            <w:tcW w:w="2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Numerator computations</w:t>
            </w:r>
          </w:p>
        </w:tc>
        <w:tc>
          <w:tcPr>
            <w:tcW w:w="1820" w:type="dxa"/>
            <w:vAlign w:val="bottom"/>
          </w:tcPr>
          <w:p>
            <w:pPr>
              <w:jc w:val="right"/>
              <w:ind w:right="172"/>
              <w:spacing w:after="0"/>
              <w:rPr>
                <w:sz w:val="20"/>
                <w:szCs w:val="20"/>
                <w:color w:val="auto"/>
              </w:rPr>
            </w:pPr>
            <w:r>
              <w:rPr>
                <w:rFonts w:ascii="Arial" w:cs="Arial" w:eastAsia="Arial" w:hAnsi="Arial"/>
                <w:sz w:val="18"/>
                <w:szCs w:val="18"/>
                <w:b w:val="1"/>
                <w:bCs w:val="1"/>
                <w:color w:val="auto"/>
              </w:rPr>
              <w:t>items</w:t>
            </w:r>
          </w:p>
        </w:tc>
        <w:tc>
          <w:tcPr>
            <w:tcW w:w="1260" w:type="dxa"/>
            <w:vAlign w:val="bottom"/>
          </w:tcPr>
          <w:p>
            <w:pPr>
              <w:jc w:val="right"/>
              <w:ind w:right="32"/>
              <w:spacing w:after="0"/>
              <w:rPr>
                <w:sz w:val="20"/>
                <w:szCs w:val="20"/>
                <w:color w:val="auto"/>
              </w:rPr>
            </w:pPr>
            <w:r>
              <w:rPr>
                <w:rFonts w:ascii="Arial" w:cs="Arial" w:eastAsia="Arial" w:hAnsi="Arial"/>
                <w:sz w:val="18"/>
                <w:szCs w:val="18"/>
                <w:b w:val="1"/>
                <w:bCs w:val="1"/>
                <w:color w:val="auto"/>
              </w:rPr>
              <w:t>items</w:t>
            </w:r>
          </w:p>
        </w:tc>
        <w:tc>
          <w:tcPr>
            <w:tcW w:w="1400" w:type="dxa"/>
            <w:vAlign w:val="bottom"/>
            <w:tcBorders>
              <w:left w:val="single" w:sz="8" w:color="auto"/>
              <w:right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items</w:t>
            </w:r>
          </w:p>
        </w:tc>
        <w:tc>
          <w:tcPr>
            <w:tcW w:w="1480" w:type="dxa"/>
            <w:vAlign w:val="bottom"/>
          </w:tcPr>
          <w:p>
            <w:pPr>
              <w:jc w:val="right"/>
              <w:ind w:right="152"/>
              <w:spacing w:after="0"/>
              <w:rPr>
                <w:sz w:val="20"/>
                <w:szCs w:val="20"/>
                <w:color w:val="auto"/>
              </w:rPr>
            </w:pPr>
            <w:r>
              <w:rPr>
                <w:rFonts w:ascii="Arial" w:cs="Arial" w:eastAsia="Arial" w:hAnsi="Arial"/>
                <w:sz w:val="18"/>
                <w:szCs w:val="18"/>
                <w:color w:val="auto"/>
              </w:rPr>
              <w:t>items</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items</w:t>
            </w:r>
          </w:p>
        </w:tc>
        <w:tc>
          <w:tcPr>
            <w:tcW w:w="1340" w:type="dxa"/>
            <w:vAlign w:val="bottom"/>
            <w:tcBorders>
              <w:left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items</w:t>
            </w:r>
          </w:p>
        </w:tc>
        <w:tc>
          <w:tcPr>
            <w:tcW w:w="0" w:type="dxa"/>
            <w:vAlign w:val="bottom"/>
          </w:tcPr>
          <w:p>
            <w:pPr>
              <w:spacing w:after="0"/>
              <w:rPr>
                <w:sz w:val="1"/>
                <w:szCs w:val="1"/>
                <w:color w:val="auto"/>
              </w:rPr>
            </w:pPr>
          </w:p>
        </w:tc>
      </w:tr>
      <w:tr>
        <w:trPr>
          <w:trHeight w:val="201"/>
        </w:trPr>
        <w:tc>
          <w:tcPr>
            <w:tcW w:w="2920" w:type="dxa"/>
            <w:vAlign w:val="bottom"/>
            <w:gridSpan w:val="2"/>
            <w:vMerge w:val="continue"/>
          </w:tcPr>
          <w:p>
            <w:pPr>
              <w:spacing w:after="0"/>
              <w:rPr>
                <w:sz w:val="17"/>
                <w:szCs w:val="17"/>
                <w:color w:val="auto"/>
              </w:rPr>
            </w:pPr>
          </w:p>
        </w:tc>
        <w:tc>
          <w:tcPr>
            <w:tcW w:w="1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0" w:type="dxa"/>
            <w:vAlign w:val="bottom"/>
            <w:tcBorders>
              <w:left w:val="single" w:sz="8" w:color="auto"/>
              <w:right w:val="single" w:sz="8" w:color="auto"/>
            </w:tcBorders>
          </w:tcPr>
          <w:p>
            <w:pPr>
              <w:spacing w:after="0"/>
              <w:rPr>
                <w:sz w:val="17"/>
                <w:szCs w:val="17"/>
                <w:color w:val="auto"/>
              </w:rPr>
            </w:pP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40" w:type="dxa"/>
            <w:vAlign w:val="bottom"/>
            <w:tcBorders>
              <w:left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920" w:type="dxa"/>
            <w:vAlign w:val="bottom"/>
            <w:gridSpan w:val="2"/>
          </w:tcPr>
          <w:p>
            <w:pPr>
              <w:spacing w:after="0"/>
              <w:rPr>
                <w:sz w:val="20"/>
                <w:szCs w:val="20"/>
                <w:color w:val="auto"/>
              </w:rPr>
            </w:pPr>
            <w:r>
              <w:rPr>
                <w:rFonts w:ascii="Arial" w:cs="Arial" w:eastAsia="Arial" w:hAnsi="Arial"/>
                <w:sz w:val="18"/>
                <w:szCs w:val="18"/>
                <w:i w:val="1"/>
                <w:iCs w:val="1"/>
                <w:color w:val="auto"/>
              </w:rPr>
              <w:t>Basic and diluted earnings</w:t>
            </w:r>
          </w:p>
        </w:tc>
        <w:tc>
          <w:tcPr>
            <w:tcW w:w="1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0" w:type="dxa"/>
            <w:vAlign w:val="bottom"/>
            <w:tcBorders>
              <w:left w:val="single" w:sz="8" w:color="auto"/>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40" w:type="dxa"/>
            <w:vAlign w:val="bottom"/>
            <w:tcBorders>
              <w:left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20" w:type="dxa"/>
            <w:vAlign w:val="bottom"/>
            <w:gridSpan w:val="2"/>
          </w:tcPr>
          <w:p>
            <w:pPr>
              <w:spacing w:after="0"/>
              <w:rPr>
                <w:sz w:val="20"/>
                <w:szCs w:val="20"/>
                <w:color w:val="auto"/>
              </w:rPr>
            </w:pPr>
            <w:r>
              <w:rPr>
                <w:rFonts w:ascii="Arial" w:cs="Arial" w:eastAsia="Arial" w:hAnsi="Arial"/>
                <w:sz w:val="18"/>
                <w:szCs w:val="18"/>
                <w:i w:val="1"/>
                <w:iCs w:val="1"/>
                <w:color w:val="auto"/>
              </w:rPr>
              <w:t>per share</w:t>
            </w:r>
          </w:p>
        </w:tc>
        <w:tc>
          <w:tcPr>
            <w:tcW w:w="18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0" w:type="dxa"/>
            <w:vAlign w:val="bottom"/>
            <w:tcBorders>
              <w:left w:val="single" w:sz="8" w:color="auto"/>
              <w:right w:val="single" w:sz="8" w:color="auto"/>
            </w:tcBorders>
          </w:tcPr>
          <w:p>
            <w:pPr>
              <w:spacing w:after="0"/>
              <w:rPr>
                <w:sz w:val="19"/>
                <w:szCs w:val="19"/>
                <w:color w:val="auto"/>
              </w:rPr>
            </w:pPr>
          </w:p>
        </w:tc>
        <w:tc>
          <w:tcPr>
            <w:tcW w:w="1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40" w:type="dxa"/>
            <w:vAlign w:val="bottom"/>
            <w:tcBorders>
              <w:left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Profit for the period</w:t>
            </w:r>
          </w:p>
        </w:tc>
        <w:tc>
          <w:tcPr>
            <w:tcW w:w="18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22,855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(4,733)</w:t>
            </w:r>
          </w:p>
        </w:tc>
        <w:tc>
          <w:tcPr>
            <w:tcW w:w="1400" w:type="dxa"/>
            <w:vAlign w:val="bottom"/>
            <w:tcBorders>
              <w:left w:val="single" w:sz="8" w:color="auto"/>
              <w:bottom w:val="single" w:sz="8" w:color="auto"/>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18,122</w:t>
            </w:r>
          </w:p>
        </w:tc>
        <w:tc>
          <w:tcPr>
            <w:tcW w:w="14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26,533</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(4,458)</w:t>
            </w:r>
          </w:p>
        </w:tc>
        <w:tc>
          <w:tcPr>
            <w:tcW w:w="1340" w:type="dxa"/>
            <w:vAlign w:val="bottom"/>
            <w:tcBorders>
              <w:left w:val="single" w:sz="8" w:color="auto"/>
              <w:bottom w:val="single" w:sz="8" w:color="auto"/>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22,075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0" w:type="dxa"/>
            <w:vAlign w:val="bottom"/>
            <w:tcBorders>
              <w:left w:val="single" w:sz="8" w:color="auto"/>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40" w:type="dxa"/>
            <w:vAlign w:val="bottom"/>
            <w:tcBorders>
              <w:left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29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Profit attributable to equity</w:t>
            </w:r>
          </w:p>
        </w:tc>
        <w:tc>
          <w:tcPr>
            <w:tcW w:w="1820" w:type="dxa"/>
            <w:vAlign w:val="bottom"/>
            <w:vMerge w:val="restart"/>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22,855</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(4,733)</w:t>
            </w:r>
          </w:p>
        </w:tc>
        <w:tc>
          <w:tcPr>
            <w:tcW w:w="1400" w:type="dxa"/>
            <w:vAlign w:val="bottom"/>
            <w:tcBorders>
              <w:left w:val="single" w:sz="8" w:color="auto"/>
              <w:right w:val="single" w:sz="8" w:color="auto"/>
            </w:tcBorders>
            <w:vMerge w:val="restart"/>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18,122</w:t>
            </w:r>
          </w:p>
        </w:tc>
        <w:tc>
          <w:tcPr>
            <w:tcW w:w="1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340" w:type="dxa"/>
            <w:vAlign w:val="bottom"/>
            <w:tcBorders>
              <w:left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holders</w:t>
            </w:r>
          </w:p>
        </w:tc>
        <w:tc>
          <w:tcPr>
            <w:tcW w:w="1820" w:type="dxa"/>
            <w:vAlign w:val="bottom"/>
            <w:tcBorders>
              <w:bottom w:val="single" w:sz="8" w:color="auto"/>
            </w:tcBorders>
            <w:vMerge w:val="continue"/>
            <w:shd w:val="clear" w:color="auto" w:fill="CCEEFF"/>
          </w:tcPr>
          <w:p>
            <w:pPr>
              <w:spacing w:after="0"/>
              <w:rPr>
                <w:sz w:val="22"/>
                <w:szCs w:val="22"/>
                <w:color w:val="auto"/>
              </w:rPr>
            </w:pPr>
          </w:p>
        </w:tc>
        <w:tc>
          <w:tcPr>
            <w:tcW w:w="1260" w:type="dxa"/>
            <w:vAlign w:val="bottom"/>
            <w:tcBorders>
              <w:bottom w:val="single" w:sz="8" w:color="auto"/>
            </w:tcBorders>
            <w:vMerge w:val="continue"/>
            <w:shd w:val="clear" w:color="auto" w:fill="CCEEFF"/>
          </w:tcPr>
          <w:p>
            <w:pPr>
              <w:spacing w:after="0"/>
              <w:rPr>
                <w:sz w:val="22"/>
                <w:szCs w:val="22"/>
                <w:color w:val="auto"/>
              </w:rPr>
            </w:pPr>
          </w:p>
        </w:tc>
        <w:tc>
          <w:tcPr>
            <w:tcW w:w="1400" w:type="dxa"/>
            <w:vAlign w:val="bottom"/>
            <w:tcBorders>
              <w:left w:val="single" w:sz="8" w:color="auto"/>
              <w:bottom w:val="single" w:sz="8" w:color="auto"/>
              <w:right w:val="single" w:sz="8" w:color="auto"/>
            </w:tcBorders>
            <w:vMerge w:val="continue"/>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26,533</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(4,458)</w:t>
            </w:r>
          </w:p>
        </w:tc>
        <w:tc>
          <w:tcPr>
            <w:tcW w:w="1340" w:type="dxa"/>
            <w:vAlign w:val="bottom"/>
            <w:tcBorders>
              <w:left w:val="single" w:sz="8" w:color="auto"/>
              <w:bottom w:val="single" w:sz="8" w:color="auto"/>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22,075</w:t>
            </w:r>
          </w:p>
        </w:tc>
        <w:tc>
          <w:tcPr>
            <w:tcW w:w="0" w:type="dxa"/>
            <w:vAlign w:val="bottom"/>
          </w:tcPr>
          <w:p>
            <w:pPr>
              <w:spacing w:after="0"/>
              <w:rPr>
                <w:sz w:val="1"/>
                <w:szCs w:val="1"/>
                <w:color w:val="auto"/>
              </w:rPr>
            </w:pPr>
          </w:p>
        </w:tc>
      </w:tr>
      <w:tr>
        <w:trPr>
          <w:trHeight w:val="443"/>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Denominator computations</w:t>
            </w:r>
          </w:p>
        </w:tc>
        <w:tc>
          <w:tcPr>
            <w:tcW w:w="1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80" w:type="dxa"/>
            <w:vAlign w:val="bottom"/>
            <w:gridSpan w:val="2"/>
          </w:tcPr>
          <w:p>
            <w:pPr>
              <w:jc w:val="right"/>
              <w:ind w:right="772"/>
              <w:spacing w:after="0"/>
              <w:rPr>
                <w:sz w:val="20"/>
                <w:szCs w:val="20"/>
                <w:color w:val="auto"/>
              </w:rPr>
            </w:pPr>
            <w:r>
              <w:rPr>
                <w:rFonts w:ascii="Arial" w:cs="Arial" w:eastAsia="Arial" w:hAnsi="Arial"/>
                <w:sz w:val="18"/>
                <w:szCs w:val="18"/>
                <w:b w:val="1"/>
                <w:bCs w:val="1"/>
                <w:color w:val="auto"/>
              </w:rPr>
              <w:t>Number of Shares</w:t>
            </w: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90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8"/>
                <w:szCs w:val="18"/>
                <w:color w:val="auto"/>
              </w:rPr>
              <w:t>Weighted average number of</w:t>
            </w:r>
          </w:p>
        </w:tc>
        <w:tc>
          <w:tcPr>
            <w:tcW w:w="18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left w:val="single" w:sz="8" w:color="auto"/>
              <w:right w:val="single" w:sz="8" w:color="auto"/>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left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 outstanding –</w:t>
            </w:r>
          </w:p>
        </w:tc>
        <w:tc>
          <w:tcPr>
            <w:tcW w:w="1820" w:type="dxa"/>
            <w:vAlign w:val="bottom"/>
            <w:vMerge w:val="restart"/>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60,032,306</w:t>
            </w:r>
          </w:p>
        </w:tc>
        <w:tc>
          <w:tcPr>
            <w:tcW w:w="12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60,032,306</w:t>
            </w:r>
          </w:p>
        </w:tc>
        <w:tc>
          <w:tcPr>
            <w:tcW w:w="1400" w:type="dxa"/>
            <w:vAlign w:val="bottom"/>
            <w:tcBorders>
              <w:left w:val="single" w:sz="8" w:color="auto"/>
              <w:right w:val="single" w:sz="8" w:color="auto"/>
            </w:tcBorders>
            <w:vMerge w:val="restart"/>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60,032,306</w:t>
            </w:r>
          </w:p>
        </w:tc>
        <w:tc>
          <w:tcPr>
            <w:tcW w:w="1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40" w:type="dxa"/>
            <w:vAlign w:val="bottom"/>
            <w:tcBorders>
              <w:left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82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400" w:type="dxa"/>
            <w:vAlign w:val="bottom"/>
            <w:tcBorders>
              <w:left w:val="single" w:sz="8" w:color="auto"/>
              <w:right w:val="single" w:sz="8" w:color="auto"/>
            </w:tcBorders>
            <w:vMerge w:val="continue"/>
            <w:shd w:val="clear" w:color="auto" w:fill="CCEEFF"/>
          </w:tcPr>
          <w:p>
            <w:pPr>
              <w:spacing w:after="0"/>
              <w:rPr>
                <w:sz w:val="19"/>
                <w:szCs w:val="19"/>
                <w:color w:val="auto"/>
              </w:rPr>
            </w:pPr>
          </w:p>
        </w:tc>
        <w:tc>
          <w:tcPr>
            <w:tcW w:w="14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60,336,993</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60,336,993</w:t>
            </w:r>
          </w:p>
        </w:tc>
        <w:tc>
          <w:tcPr>
            <w:tcW w:w="1340" w:type="dxa"/>
            <w:vAlign w:val="bottom"/>
            <w:tcBorders>
              <w:left w:val="single" w:sz="8" w:color="auto"/>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60,336,993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900" w:type="dxa"/>
            <w:vAlign w:val="bottom"/>
          </w:tcPr>
          <w:p>
            <w:pPr>
              <w:spacing w:after="0" w:line="200" w:lineRule="exact"/>
              <w:rPr>
                <w:sz w:val="20"/>
                <w:szCs w:val="20"/>
                <w:color w:val="auto"/>
              </w:rPr>
            </w:pPr>
            <w:r>
              <w:rPr>
                <w:rFonts w:ascii="Arial" w:cs="Arial" w:eastAsia="Arial" w:hAnsi="Arial"/>
                <w:sz w:val="18"/>
                <w:szCs w:val="18"/>
                <w:color w:val="auto"/>
              </w:rPr>
              <w:t>Effect of dilutive potential</w:t>
            </w:r>
          </w:p>
        </w:tc>
        <w:tc>
          <w:tcPr>
            <w:tcW w:w="1820" w:type="dxa"/>
            <w:vAlign w:val="bottom"/>
            <w:vMerge w:val="restart"/>
          </w:tcPr>
          <w:p>
            <w:pPr>
              <w:jc w:val="right"/>
              <w:ind w:right="172"/>
              <w:spacing w:after="0"/>
              <w:rPr>
                <w:sz w:val="20"/>
                <w:szCs w:val="20"/>
                <w:color w:val="auto"/>
              </w:rPr>
            </w:pPr>
            <w:r>
              <w:rPr>
                <w:rFonts w:ascii="Arial" w:cs="Arial" w:eastAsia="Arial" w:hAnsi="Arial"/>
                <w:sz w:val="18"/>
                <w:szCs w:val="18"/>
                <w:b w:val="1"/>
                <w:bCs w:val="1"/>
                <w:color w:val="auto"/>
              </w:rPr>
              <w:t>648,731</w:t>
            </w:r>
          </w:p>
        </w:tc>
        <w:tc>
          <w:tcPr>
            <w:tcW w:w="126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648,731</w:t>
            </w:r>
          </w:p>
        </w:tc>
        <w:tc>
          <w:tcPr>
            <w:tcW w:w="1400" w:type="dxa"/>
            <w:vAlign w:val="bottom"/>
            <w:tcBorders>
              <w:left w:val="single" w:sz="8" w:color="auto"/>
              <w:right w:val="single" w:sz="8" w:color="auto"/>
            </w:tcBorders>
            <w:vMerge w:val="restart"/>
          </w:tcPr>
          <w:p>
            <w:pPr>
              <w:jc w:val="right"/>
              <w:ind w:right="32"/>
              <w:spacing w:after="0"/>
              <w:rPr>
                <w:sz w:val="20"/>
                <w:szCs w:val="20"/>
                <w:color w:val="auto"/>
              </w:rPr>
            </w:pPr>
            <w:r>
              <w:rPr>
                <w:rFonts w:ascii="Arial" w:cs="Arial" w:eastAsia="Arial" w:hAnsi="Arial"/>
                <w:sz w:val="18"/>
                <w:szCs w:val="18"/>
                <w:b w:val="1"/>
                <w:bCs w:val="1"/>
                <w:color w:val="auto"/>
              </w:rPr>
              <w:t>648,731</w:t>
            </w: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40" w:type="dxa"/>
            <w:vAlign w:val="bottom"/>
            <w:tcBorders>
              <w:left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920" w:type="dxa"/>
            <w:vAlign w:val="bottom"/>
            <w:gridSpan w:val="2"/>
          </w:tcPr>
          <w:p>
            <w:pPr>
              <w:spacing w:after="0"/>
              <w:rPr>
                <w:sz w:val="20"/>
                <w:szCs w:val="20"/>
                <w:color w:val="auto"/>
              </w:rPr>
            </w:pPr>
            <w:r>
              <w:rPr>
                <w:rFonts w:ascii="Arial" w:cs="Arial" w:eastAsia="Arial" w:hAnsi="Arial"/>
                <w:sz w:val="18"/>
                <w:szCs w:val="18"/>
                <w:color w:val="auto"/>
              </w:rPr>
              <w:t>ordinary shares</w:t>
            </w:r>
          </w:p>
        </w:tc>
        <w:tc>
          <w:tcPr>
            <w:tcW w:w="1820" w:type="dxa"/>
            <w:vAlign w:val="bottom"/>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1400" w:type="dxa"/>
            <w:vAlign w:val="bottom"/>
            <w:tcBorders>
              <w:left w:val="single" w:sz="8" w:color="auto"/>
              <w:right w:val="single" w:sz="8" w:color="auto"/>
            </w:tcBorders>
            <w:vMerge w:val="continue"/>
          </w:tcPr>
          <w:p>
            <w:pPr>
              <w:spacing w:after="0"/>
              <w:rPr>
                <w:sz w:val="20"/>
                <w:szCs w:val="20"/>
                <w:color w:val="auto"/>
              </w:rPr>
            </w:pPr>
          </w:p>
        </w:tc>
        <w:tc>
          <w:tcPr>
            <w:tcW w:w="1480" w:type="dxa"/>
            <w:vAlign w:val="bottom"/>
          </w:tcPr>
          <w:p>
            <w:pPr>
              <w:jc w:val="right"/>
              <w:ind w:right="152"/>
              <w:spacing w:after="0"/>
              <w:rPr>
                <w:sz w:val="20"/>
                <w:szCs w:val="20"/>
                <w:color w:val="auto"/>
              </w:rPr>
            </w:pPr>
            <w:r>
              <w:rPr>
                <w:rFonts w:ascii="Arial" w:cs="Arial" w:eastAsia="Arial" w:hAnsi="Arial"/>
                <w:sz w:val="18"/>
                <w:szCs w:val="18"/>
                <w:color w:val="auto"/>
              </w:rPr>
              <w:t>857,039</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857,039</w:t>
            </w:r>
          </w:p>
        </w:tc>
        <w:tc>
          <w:tcPr>
            <w:tcW w:w="1340" w:type="dxa"/>
            <w:vAlign w:val="bottom"/>
            <w:tcBorders>
              <w:left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857,039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90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rPr>
              <w:t>Weighted average number</w:t>
            </w:r>
          </w:p>
        </w:tc>
        <w:tc>
          <w:tcPr>
            <w:tcW w:w="18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left w:val="single" w:sz="8" w:color="auto"/>
              <w:right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left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of ordinary shares outstanding -</w:t>
            </w:r>
          </w:p>
        </w:tc>
        <w:tc>
          <w:tcPr>
            <w:tcW w:w="1820" w:type="dxa"/>
            <w:vAlign w:val="bottom"/>
            <w:vMerge w:val="restart"/>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60,681,037</w:t>
            </w:r>
          </w:p>
        </w:tc>
        <w:tc>
          <w:tcPr>
            <w:tcW w:w="12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60,681,037</w:t>
            </w:r>
          </w:p>
        </w:tc>
        <w:tc>
          <w:tcPr>
            <w:tcW w:w="1400" w:type="dxa"/>
            <w:vAlign w:val="bottom"/>
            <w:tcBorders>
              <w:left w:val="single" w:sz="8" w:color="auto"/>
              <w:right w:val="single" w:sz="8" w:color="auto"/>
            </w:tcBorders>
            <w:vMerge w:val="restart"/>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60,681,037</w:t>
            </w:r>
          </w:p>
        </w:tc>
        <w:tc>
          <w:tcPr>
            <w:tcW w:w="1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40" w:type="dxa"/>
            <w:vAlign w:val="bottom"/>
            <w:tcBorders>
              <w:left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1820" w:type="dxa"/>
            <w:vAlign w:val="bottom"/>
            <w:tcBorders>
              <w:bottom w:val="single" w:sz="8" w:color="auto"/>
            </w:tcBorders>
            <w:vMerge w:val="continue"/>
            <w:shd w:val="clear" w:color="auto" w:fill="CCEEFF"/>
          </w:tcPr>
          <w:p>
            <w:pPr>
              <w:spacing w:after="0"/>
              <w:rPr>
                <w:sz w:val="22"/>
                <w:szCs w:val="22"/>
                <w:color w:val="auto"/>
              </w:rPr>
            </w:pPr>
          </w:p>
        </w:tc>
        <w:tc>
          <w:tcPr>
            <w:tcW w:w="1260" w:type="dxa"/>
            <w:vAlign w:val="bottom"/>
            <w:tcBorders>
              <w:bottom w:val="single" w:sz="8" w:color="auto"/>
            </w:tcBorders>
            <w:vMerge w:val="continue"/>
            <w:shd w:val="clear" w:color="auto" w:fill="CCEEFF"/>
          </w:tcPr>
          <w:p>
            <w:pPr>
              <w:spacing w:after="0"/>
              <w:rPr>
                <w:sz w:val="22"/>
                <w:szCs w:val="22"/>
                <w:color w:val="auto"/>
              </w:rPr>
            </w:pPr>
          </w:p>
        </w:tc>
        <w:tc>
          <w:tcPr>
            <w:tcW w:w="1400" w:type="dxa"/>
            <w:vAlign w:val="bottom"/>
            <w:tcBorders>
              <w:left w:val="single" w:sz="8" w:color="auto"/>
              <w:bottom w:val="single" w:sz="8" w:color="auto"/>
              <w:right w:val="single" w:sz="8" w:color="auto"/>
            </w:tcBorders>
            <w:vMerge w:val="continue"/>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61,194,032</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61,194,032</w:t>
            </w:r>
          </w:p>
        </w:tc>
        <w:tc>
          <w:tcPr>
            <w:tcW w:w="1340" w:type="dxa"/>
            <w:vAlign w:val="bottom"/>
            <w:tcBorders>
              <w:left w:val="single" w:sz="8" w:color="auto"/>
              <w:bottom w:val="single" w:sz="8" w:color="auto"/>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61,194,032</w:t>
            </w:r>
          </w:p>
        </w:tc>
        <w:tc>
          <w:tcPr>
            <w:tcW w:w="0" w:type="dxa"/>
            <w:vAlign w:val="bottom"/>
          </w:tcPr>
          <w:p>
            <w:pPr>
              <w:spacing w:after="0"/>
              <w:rPr>
                <w:sz w:val="1"/>
                <w:szCs w:val="1"/>
                <w:color w:val="auto"/>
              </w:rPr>
            </w:pPr>
          </w:p>
        </w:tc>
      </w:tr>
      <w:tr>
        <w:trPr>
          <w:trHeight w:val="232"/>
        </w:trPr>
        <w:tc>
          <w:tcPr>
            <w:tcW w:w="2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1820" w:type="dxa"/>
            <w:vAlign w:val="bottom"/>
            <w:vMerge w:val="restart"/>
          </w:tcPr>
          <w:p>
            <w:pPr>
              <w:jc w:val="right"/>
              <w:ind w:right="172"/>
              <w:spacing w:after="0"/>
              <w:rPr>
                <w:sz w:val="20"/>
                <w:szCs w:val="20"/>
                <w:color w:val="auto"/>
              </w:rPr>
            </w:pPr>
            <w:r>
              <w:rPr>
                <w:rFonts w:ascii="Arial" w:cs="Arial" w:eastAsia="Arial" w:hAnsi="Arial"/>
                <w:sz w:val="18"/>
                <w:szCs w:val="18"/>
                <w:b w:val="1"/>
                <w:bCs w:val="1"/>
                <w:color w:val="auto"/>
              </w:rPr>
              <w:t>US$</w:t>
            </w:r>
          </w:p>
        </w:tc>
        <w:tc>
          <w:tcPr>
            <w:tcW w:w="126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US$</w:t>
            </w:r>
          </w:p>
        </w:tc>
        <w:tc>
          <w:tcPr>
            <w:tcW w:w="1400" w:type="dxa"/>
            <w:vAlign w:val="bottom"/>
            <w:tcBorders>
              <w:bottom w:val="single" w:sz="8" w:color="auto"/>
            </w:tcBorders>
          </w:tcPr>
          <w:p>
            <w:pPr>
              <w:spacing w:after="0"/>
              <w:rPr>
                <w:sz w:val="20"/>
                <w:szCs w:val="20"/>
                <w:color w:val="auto"/>
              </w:rPr>
            </w:pPr>
          </w:p>
        </w:tc>
        <w:tc>
          <w:tcPr>
            <w:tcW w:w="1480" w:type="dxa"/>
            <w:vAlign w:val="bottom"/>
            <w:vMerge w:val="restart"/>
          </w:tcPr>
          <w:p>
            <w:pPr>
              <w:jc w:val="right"/>
              <w:ind w:right="152"/>
              <w:spacing w:after="0"/>
              <w:rPr>
                <w:sz w:val="20"/>
                <w:szCs w:val="20"/>
                <w:color w:val="auto"/>
              </w:rPr>
            </w:pPr>
            <w:r>
              <w:rPr>
                <w:rFonts w:ascii="Arial" w:cs="Arial" w:eastAsia="Arial" w:hAnsi="Arial"/>
                <w:sz w:val="18"/>
                <w:szCs w:val="18"/>
                <w:color w:val="auto"/>
              </w:rPr>
              <w:t>US$</w:t>
            </w:r>
          </w:p>
        </w:tc>
        <w:tc>
          <w:tcPr>
            <w:tcW w:w="1200" w:type="dxa"/>
            <w:vAlign w:val="bottom"/>
            <w:vMerge w:val="restart"/>
          </w:tcPr>
          <w:p>
            <w:pPr>
              <w:jc w:val="right"/>
              <w:ind w:right="12"/>
              <w:spacing w:after="0"/>
              <w:rPr>
                <w:sz w:val="20"/>
                <w:szCs w:val="20"/>
                <w:color w:val="auto"/>
              </w:rPr>
            </w:pPr>
            <w:r>
              <w:rPr>
                <w:rFonts w:ascii="Arial" w:cs="Arial" w:eastAsia="Arial" w:hAnsi="Arial"/>
                <w:sz w:val="18"/>
                <w:szCs w:val="18"/>
                <w:color w:val="auto"/>
              </w:rPr>
              <w:t>US$</w:t>
            </w: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920" w:type="dxa"/>
            <w:vAlign w:val="bottom"/>
            <w:gridSpan w:val="2"/>
            <w:vMerge w:val="continue"/>
          </w:tcPr>
          <w:p>
            <w:pPr>
              <w:spacing w:after="0"/>
              <w:rPr>
                <w:sz w:val="17"/>
                <w:szCs w:val="17"/>
                <w:color w:val="auto"/>
              </w:rPr>
            </w:pPr>
          </w:p>
        </w:tc>
        <w:tc>
          <w:tcPr>
            <w:tcW w:w="18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400" w:type="dxa"/>
            <w:vAlign w:val="bottom"/>
            <w:tcBorders>
              <w:left w:val="single" w:sz="8" w:color="auto"/>
              <w:right w:val="single" w:sz="8" w:color="auto"/>
            </w:tcBorders>
          </w:tcPr>
          <w:p>
            <w:pPr>
              <w:jc w:val="right"/>
              <w:ind w:right="32"/>
              <w:spacing w:after="0" w:line="206" w:lineRule="exact"/>
              <w:rPr>
                <w:sz w:val="20"/>
                <w:szCs w:val="20"/>
                <w:color w:val="auto"/>
              </w:rPr>
            </w:pPr>
            <w:r>
              <w:rPr>
                <w:rFonts w:ascii="Arial" w:cs="Arial" w:eastAsia="Arial" w:hAnsi="Arial"/>
                <w:sz w:val="18"/>
                <w:szCs w:val="18"/>
                <w:b w:val="1"/>
                <w:bCs w:val="1"/>
                <w:color w:val="auto"/>
              </w:rPr>
              <w:t>US$</w:t>
            </w:r>
          </w:p>
        </w:tc>
        <w:tc>
          <w:tcPr>
            <w:tcW w:w="14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340" w:type="dxa"/>
            <w:vAlign w:val="bottom"/>
            <w:tcBorders>
              <w:left w:val="single" w:sz="8" w:color="auto"/>
              <w:right w:val="single" w:sz="8" w:color="auto"/>
            </w:tcBorders>
          </w:tcPr>
          <w:p>
            <w:pPr>
              <w:jc w:val="right"/>
              <w:ind w:right="12"/>
              <w:spacing w:after="0" w:line="206" w:lineRule="exact"/>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9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Basic earnings per ordinary</w:t>
            </w:r>
          </w:p>
        </w:tc>
        <w:tc>
          <w:tcPr>
            <w:tcW w:w="1820" w:type="dxa"/>
            <w:vAlign w:val="bottom"/>
            <w:vMerge w:val="restart"/>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0.38</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(0.08)</w:t>
            </w:r>
          </w:p>
        </w:tc>
        <w:tc>
          <w:tcPr>
            <w:tcW w:w="1400" w:type="dxa"/>
            <w:vAlign w:val="bottom"/>
            <w:tcBorders>
              <w:left w:val="single" w:sz="8" w:color="auto"/>
              <w:right w:val="single" w:sz="8" w:color="auto"/>
            </w:tcBorders>
            <w:vMerge w:val="restart"/>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0.30</w:t>
            </w:r>
          </w:p>
        </w:tc>
        <w:tc>
          <w:tcPr>
            <w:tcW w:w="1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340" w:type="dxa"/>
            <w:vAlign w:val="bottom"/>
            <w:tcBorders>
              <w:left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share</w:t>
            </w:r>
          </w:p>
        </w:tc>
        <w:tc>
          <w:tcPr>
            <w:tcW w:w="182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left w:val="single" w:sz="8" w:color="auto"/>
              <w:bottom w:val="single" w:sz="8" w:color="auto"/>
              <w:right w:val="single" w:sz="8" w:color="auto"/>
            </w:tcBorders>
            <w:vMerge w:val="continue"/>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0.44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340" w:type="dxa"/>
            <w:vAlign w:val="bottom"/>
            <w:tcBorders>
              <w:left w:val="single" w:sz="8" w:color="auto"/>
              <w:bottom w:val="single" w:sz="8" w:color="auto"/>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900" w:type="dxa"/>
            <w:vAlign w:val="bottom"/>
          </w:tcPr>
          <w:p>
            <w:pPr>
              <w:spacing w:after="0" w:line="200" w:lineRule="exact"/>
              <w:rPr>
                <w:sz w:val="20"/>
                <w:szCs w:val="20"/>
                <w:color w:val="auto"/>
              </w:rPr>
            </w:pPr>
            <w:r>
              <w:rPr>
                <w:rFonts w:ascii="Arial" w:cs="Arial" w:eastAsia="Arial" w:hAnsi="Arial"/>
                <w:sz w:val="18"/>
                <w:szCs w:val="18"/>
                <w:color w:val="auto"/>
              </w:rPr>
              <w:t>Diluted earnings per ordinary</w:t>
            </w:r>
          </w:p>
        </w:tc>
        <w:tc>
          <w:tcPr>
            <w:tcW w:w="1820" w:type="dxa"/>
            <w:vAlign w:val="bottom"/>
            <w:vMerge w:val="restart"/>
          </w:tcPr>
          <w:p>
            <w:pPr>
              <w:jc w:val="right"/>
              <w:ind w:right="172"/>
              <w:spacing w:after="0"/>
              <w:rPr>
                <w:sz w:val="20"/>
                <w:szCs w:val="20"/>
                <w:color w:val="auto"/>
              </w:rPr>
            </w:pPr>
            <w:r>
              <w:rPr>
                <w:rFonts w:ascii="Arial" w:cs="Arial" w:eastAsia="Arial" w:hAnsi="Arial"/>
                <w:sz w:val="18"/>
                <w:szCs w:val="18"/>
                <w:b w:val="1"/>
                <w:bCs w:val="1"/>
                <w:color w:val="auto"/>
              </w:rPr>
              <w:t>0.38</w:t>
            </w: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(0.08)</w:t>
            </w:r>
          </w:p>
        </w:tc>
        <w:tc>
          <w:tcPr>
            <w:tcW w:w="1400" w:type="dxa"/>
            <w:vAlign w:val="bottom"/>
            <w:tcBorders>
              <w:left w:val="single" w:sz="8" w:color="auto"/>
              <w:right w:val="single" w:sz="8" w:color="auto"/>
            </w:tcBorders>
            <w:vMerge w:val="restart"/>
          </w:tcPr>
          <w:p>
            <w:pPr>
              <w:jc w:val="right"/>
              <w:ind w:right="32"/>
              <w:spacing w:after="0"/>
              <w:rPr>
                <w:sz w:val="20"/>
                <w:szCs w:val="20"/>
                <w:color w:val="auto"/>
              </w:rPr>
            </w:pPr>
            <w:r>
              <w:rPr>
                <w:rFonts w:ascii="Arial" w:cs="Arial" w:eastAsia="Arial" w:hAnsi="Arial"/>
                <w:sz w:val="18"/>
                <w:szCs w:val="18"/>
                <w:b w:val="1"/>
                <w:bCs w:val="1"/>
                <w:color w:val="auto"/>
              </w:rPr>
              <w:t>0.30</w:t>
            </w: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40" w:type="dxa"/>
            <w:vAlign w:val="bottom"/>
            <w:tcBorders>
              <w:left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920" w:type="dxa"/>
            <w:vAlign w:val="bottom"/>
            <w:gridSpan w:val="2"/>
          </w:tcPr>
          <w:p>
            <w:pPr>
              <w:spacing w:after="0"/>
              <w:rPr>
                <w:sz w:val="20"/>
                <w:szCs w:val="20"/>
                <w:color w:val="auto"/>
              </w:rPr>
            </w:pPr>
            <w:r>
              <w:rPr>
                <w:rFonts w:ascii="Arial" w:cs="Arial" w:eastAsia="Arial" w:hAnsi="Arial"/>
                <w:sz w:val="18"/>
                <w:szCs w:val="18"/>
                <w:color w:val="auto"/>
              </w:rPr>
              <w:t>share</w:t>
            </w:r>
          </w:p>
        </w:tc>
        <w:tc>
          <w:tcPr>
            <w:tcW w:w="182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1400" w:type="dxa"/>
            <w:vAlign w:val="bottom"/>
            <w:tcBorders>
              <w:left w:val="single" w:sz="8" w:color="auto"/>
              <w:right w:val="single" w:sz="8" w:color="auto"/>
            </w:tcBorders>
            <w:vMerge w:val="continue"/>
          </w:tcPr>
          <w:p>
            <w:pPr>
              <w:spacing w:after="0"/>
              <w:rPr>
                <w:sz w:val="19"/>
                <w:szCs w:val="19"/>
                <w:color w:val="auto"/>
              </w:rPr>
            </w:pPr>
          </w:p>
        </w:tc>
        <w:tc>
          <w:tcPr>
            <w:tcW w:w="1480" w:type="dxa"/>
            <w:vAlign w:val="bottom"/>
          </w:tcPr>
          <w:p>
            <w:pPr>
              <w:jc w:val="right"/>
              <w:ind w:right="152"/>
              <w:spacing w:after="0"/>
              <w:rPr>
                <w:sz w:val="20"/>
                <w:szCs w:val="20"/>
                <w:color w:val="auto"/>
              </w:rPr>
            </w:pPr>
            <w:r>
              <w:rPr>
                <w:rFonts w:ascii="Arial" w:cs="Arial" w:eastAsia="Arial" w:hAnsi="Arial"/>
                <w:sz w:val="18"/>
                <w:szCs w:val="18"/>
                <w:color w:val="auto"/>
              </w:rPr>
              <w:t>0.43</w:t>
            </w:r>
          </w:p>
        </w:tc>
        <w:tc>
          <w:tcPr>
            <w:tcW w:w="1200" w:type="dxa"/>
            <w:vAlign w:val="bottom"/>
          </w:tcPr>
          <w:p>
            <w:pPr>
              <w:jc w:val="right"/>
              <w:spacing w:after="0"/>
              <w:rPr>
                <w:sz w:val="20"/>
                <w:szCs w:val="20"/>
                <w:color w:val="auto"/>
              </w:rPr>
            </w:pPr>
            <w:r>
              <w:rPr>
                <w:rFonts w:ascii="Arial" w:cs="Arial" w:eastAsia="Arial" w:hAnsi="Arial"/>
                <w:sz w:val="18"/>
                <w:szCs w:val="18"/>
                <w:color w:val="auto"/>
              </w:rPr>
              <w:t>(0.07)</w:t>
            </w:r>
          </w:p>
        </w:tc>
        <w:tc>
          <w:tcPr>
            <w:tcW w:w="1340" w:type="dxa"/>
            <w:vAlign w:val="bottom"/>
            <w:tcBorders>
              <w:left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left w:val="single" w:sz="8" w:color="auto"/>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The Company had 4,170,858 anti-dilutive shares in issue at 30 June 2012 (30 June 2011: 3,183,479).</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3" w:name="page24"/>
    <w:bookmarkEnd w:id="23"/>
    <w:p>
      <w:pPr>
        <w:spacing w:after="0"/>
        <w:rPr>
          <w:sz w:val="20"/>
          <w:szCs w:val="20"/>
          <w:color w:val="auto"/>
        </w:rPr>
      </w:pPr>
      <w:r>
        <w:rPr>
          <w:rFonts w:ascii="Arial" w:cs="Arial" w:eastAsia="Arial" w:hAnsi="Arial"/>
          <w:sz w:val="25"/>
          <w:szCs w:val="25"/>
          <w:color w:val="auto"/>
        </w:rPr>
        <w:t xml:space="preserve">Notes to Condensed Consolidated Interim Financial Statements </w:t>
      </w:r>
      <w:r>
        <w:rPr>
          <w:rFonts w:ascii="Arial" w:cs="Arial" w:eastAsia="Arial" w:hAnsi="Arial"/>
          <w:sz w:val="25"/>
          <w:szCs w:val="25"/>
          <w:i w:val="1"/>
          <w:iCs w:val="1"/>
          <w:color w:val="auto"/>
        </w:rPr>
        <w:t>(continued)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Exceptional items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Exceptional items incurred during the six months ended 30 June 2012 comprised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4400" w:type="dxa"/>
            <w:vAlign w:val="bottom"/>
          </w:tcPr>
          <w:p>
            <w:pPr>
              <w:jc w:val="right"/>
              <w:ind w:right="592"/>
              <w:spacing w:after="0"/>
              <w:rPr>
                <w:sz w:val="20"/>
                <w:szCs w:val="20"/>
                <w:color w:val="auto"/>
              </w:rPr>
            </w:pPr>
            <w:r>
              <w:rPr>
                <w:rFonts w:ascii="Arial" w:cs="Arial" w:eastAsia="Arial" w:hAnsi="Arial"/>
                <w:sz w:val="18"/>
                <w:szCs w:val="18"/>
                <w:b w:val="1"/>
                <w:bCs w:val="1"/>
                <w:color w:val="auto"/>
              </w:rPr>
              <w:t>30 June</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30 June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4400" w:type="dxa"/>
            <w:vAlign w:val="bottom"/>
          </w:tcPr>
          <w:p>
            <w:pPr>
              <w:jc w:val="right"/>
              <w:ind w:right="592"/>
              <w:spacing w:after="0"/>
              <w:rPr>
                <w:sz w:val="20"/>
                <w:szCs w:val="20"/>
                <w:color w:val="auto"/>
              </w:rPr>
            </w:pPr>
            <w:r>
              <w:rPr>
                <w:rFonts w:ascii="Arial" w:cs="Arial" w:eastAsia="Arial" w:hAnsi="Arial"/>
                <w:sz w:val="18"/>
                <w:szCs w:val="18"/>
                <w:b w:val="1"/>
                <w:bCs w:val="1"/>
                <w:color w:val="auto"/>
              </w:rPr>
              <w:t>2012</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4400" w:type="dxa"/>
            <w:vAlign w:val="bottom"/>
          </w:tcPr>
          <w:p>
            <w:pPr>
              <w:jc w:val="right"/>
              <w:ind w:right="592"/>
              <w:spacing w:after="0"/>
              <w:rPr>
                <w:sz w:val="20"/>
                <w:szCs w:val="20"/>
                <w:color w:val="auto"/>
              </w:rPr>
            </w:pPr>
            <w:r>
              <w:rPr>
                <w:rFonts w:ascii="Arial" w:cs="Arial" w:eastAsia="Arial" w:hAnsi="Arial"/>
                <w:sz w:val="18"/>
                <w:szCs w:val="18"/>
                <w:b w:val="1"/>
                <w:bCs w:val="1"/>
                <w:color w:val="auto"/>
              </w:rPr>
              <w:t>US$’000</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w w:val="95"/>
              </w:rPr>
              <w:t>US$’000</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4400" w:type="dxa"/>
            <w:vAlign w:val="bottom"/>
          </w:tcPr>
          <w:p>
            <w:pPr>
              <w:jc w:val="right"/>
              <w:spacing w:after="0"/>
              <w:rPr>
                <w:sz w:val="20"/>
                <w:szCs w:val="20"/>
                <w:color w:val="auto"/>
              </w:rPr>
            </w:pPr>
            <w:r>
              <w:rPr>
                <w:rFonts w:ascii="Arial" w:cs="Arial" w:eastAsia="Arial" w:hAnsi="Arial"/>
                <w:sz w:val="18"/>
                <w:szCs w:val="18"/>
                <w:b w:val="1"/>
                <w:bCs w:val="1"/>
                <w:color w:val="auto"/>
              </w:rPr>
              <w:t>(in thousands)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4400" w:type="dxa"/>
            <w:vAlign w:val="bottom"/>
            <w:shd w:val="clear" w:color="auto" w:fill="CCEEFF"/>
          </w:tcPr>
          <w:p>
            <w:pPr>
              <w:jc w:val="right"/>
              <w:ind w:right="592"/>
              <w:spacing w:after="0"/>
              <w:rPr>
                <w:sz w:val="20"/>
                <w:szCs w:val="20"/>
                <w:color w:val="auto"/>
              </w:rPr>
            </w:pPr>
            <w:r>
              <w:rPr>
                <w:rFonts w:ascii="Arial" w:cs="Arial" w:eastAsia="Arial" w:hAnsi="Arial"/>
                <w:sz w:val="18"/>
                <w:szCs w:val="18"/>
                <w:b w:val="1"/>
                <w:bCs w:val="1"/>
                <w:color w:val="auto"/>
              </w:rPr>
              <w:t>4,644</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Release of prior year restructuring provision</w:t>
            </w:r>
          </w:p>
        </w:tc>
        <w:tc>
          <w:tcPr>
            <w:tcW w:w="4400" w:type="dxa"/>
            <w:vAlign w:val="bottom"/>
          </w:tcPr>
          <w:p>
            <w:pPr>
              <w:jc w:val="right"/>
              <w:ind w:right="532"/>
              <w:spacing w:after="0"/>
              <w:rPr>
                <w:sz w:val="20"/>
                <w:szCs w:val="20"/>
                <w:color w:val="auto"/>
              </w:rPr>
            </w:pPr>
            <w:r>
              <w:rPr>
                <w:rFonts w:ascii="Arial" w:cs="Arial" w:eastAsia="Arial" w:hAnsi="Arial"/>
                <w:sz w:val="18"/>
                <w:szCs w:val="18"/>
                <w:b w:val="1"/>
                <w:bCs w:val="1"/>
                <w:color w:val="auto"/>
              </w:rPr>
              <w:t>(119)</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exceptional items</w:t>
            </w:r>
          </w:p>
        </w:tc>
        <w:tc>
          <w:tcPr>
            <w:tcW w:w="4400" w:type="dxa"/>
            <w:vAlign w:val="bottom"/>
            <w:tcBorders>
              <w:bottom w:val="single" w:sz="8" w:color="auto"/>
            </w:tcBorders>
            <w:shd w:val="clear" w:color="auto" w:fill="CCEEFF"/>
          </w:tcPr>
          <w:p>
            <w:pPr>
              <w:jc w:val="right"/>
              <w:ind w:right="592"/>
              <w:spacing w:after="0"/>
              <w:rPr>
                <w:sz w:val="20"/>
                <w:szCs w:val="20"/>
                <w:color w:val="auto"/>
              </w:rPr>
            </w:pPr>
            <w:r>
              <w:rPr>
                <w:rFonts w:ascii="Arial" w:cs="Arial" w:eastAsia="Arial" w:hAnsi="Arial"/>
                <w:sz w:val="18"/>
                <w:szCs w:val="18"/>
                <w:b w:val="1"/>
                <w:bCs w:val="1"/>
                <w:color w:val="auto"/>
              </w:rPr>
              <w:t>913</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4400" w:type="dxa"/>
            <w:vAlign w:val="bottom"/>
          </w:tcPr>
          <w:p>
            <w:pPr>
              <w:jc w:val="right"/>
              <w:ind w:right="592"/>
              <w:spacing w:after="0"/>
              <w:rPr>
                <w:sz w:val="20"/>
                <w:szCs w:val="20"/>
                <w:color w:val="auto"/>
              </w:rPr>
            </w:pPr>
            <w:r>
              <w:rPr>
                <w:rFonts w:ascii="Arial" w:cs="Arial" w:eastAsia="Arial" w:hAnsi="Arial"/>
                <w:sz w:val="18"/>
                <w:szCs w:val="18"/>
                <w:b w:val="1"/>
                <w:bCs w:val="1"/>
                <w:color w:val="auto"/>
              </w:rPr>
              <w:t>5,438</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w:t>
            </w:r>
          </w:p>
        </w:tc>
        <w:tc>
          <w:tcPr>
            <w:tcW w:w="440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b w:val="1"/>
                <w:bCs w:val="1"/>
                <w:color w:val="auto"/>
              </w:rPr>
              <w:t>(705)</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tcPr>
          <w:p>
            <w:pPr>
              <w:spacing w:after="0"/>
              <w:rPr>
                <w:sz w:val="18"/>
                <w:szCs w:val="18"/>
                <w:color w:val="auto"/>
              </w:rPr>
            </w:pPr>
          </w:p>
        </w:tc>
        <w:tc>
          <w:tcPr>
            <w:tcW w:w="6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Exceptional items (net)</w:t>
            </w:r>
          </w:p>
        </w:tc>
        <w:tc>
          <w:tcPr>
            <w:tcW w:w="440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auto"/>
              </w:rPr>
              <w:t>4,733</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Borders>
              <w:bottom w:val="single" w:sz="8" w:color="auto"/>
            </w:tcBorders>
          </w:tcPr>
          <w:p>
            <w:pPr>
              <w:spacing w:after="0" w:line="20" w:lineRule="exact"/>
              <w:rPr>
                <w:sz w:val="1"/>
                <w:szCs w:val="1"/>
                <w:color w:val="auto"/>
              </w:rPr>
            </w:pPr>
          </w:p>
        </w:tc>
        <w:tc>
          <w:tcPr>
            <w:tcW w:w="4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six months ended 30 June 2012 the Company completed a review of its operations to improve resource utilisation throughout the business. This review resulted in the adoption of a restructuring plan, to include resource rationalisations in certain areas of the business and a re-organisation of available office space at the Company’s Philadelphia facility. A restructuring charge of $4.6 million was recognised during the six months ended 30 June 2012; $3.4 million in respect of resource rationalisations and $1.2 million in respect of lease termination and exit costs.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movement in the Restructuring Plan recognised during the six months ended 30 June 2012 are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3580" w:type="dxa"/>
            <w:vAlign w:val="bottom"/>
          </w:tcPr>
          <w:p>
            <w:pPr>
              <w:jc w:val="right"/>
              <w:ind w:right="52"/>
              <w:spacing w:after="0"/>
              <w:rPr>
                <w:sz w:val="20"/>
                <w:szCs w:val="20"/>
                <w:color w:val="auto"/>
              </w:rPr>
            </w:pPr>
            <w:r>
              <w:rPr>
                <w:rFonts w:ascii="Arial" w:cs="Arial" w:eastAsia="Arial" w:hAnsi="Arial"/>
                <w:sz w:val="18"/>
                <w:szCs w:val="18"/>
                <w:b w:val="1"/>
                <w:bCs w:val="1"/>
                <w:color w:val="auto"/>
              </w:rPr>
              <w:t>Workforce</w:t>
            </w:r>
          </w:p>
        </w:tc>
        <w:tc>
          <w:tcPr>
            <w:tcW w:w="1620" w:type="dxa"/>
            <w:vAlign w:val="bottom"/>
          </w:tcPr>
          <w:p>
            <w:pPr>
              <w:jc w:val="right"/>
              <w:ind w:right="292"/>
              <w:spacing w:after="0"/>
              <w:rPr>
                <w:sz w:val="20"/>
                <w:szCs w:val="20"/>
                <w:color w:val="auto"/>
              </w:rPr>
            </w:pPr>
            <w:r>
              <w:rPr>
                <w:rFonts w:ascii="Arial" w:cs="Arial" w:eastAsia="Arial" w:hAnsi="Arial"/>
                <w:sz w:val="18"/>
                <w:szCs w:val="18"/>
                <w:b w:val="1"/>
                <w:bCs w:val="1"/>
                <w:color w:val="auto"/>
              </w:rPr>
              <w:t>Office</w:t>
            </w:r>
          </w:p>
        </w:tc>
        <w:tc>
          <w:tcPr>
            <w:tcW w:w="106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3580" w:type="dxa"/>
            <w:vAlign w:val="bottom"/>
          </w:tcPr>
          <w:p>
            <w:pPr>
              <w:jc w:val="right"/>
              <w:ind w:right="52"/>
              <w:spacing w:after="0"/>
              <w:rPr>
                <w:sz w:val="20"/>
                <w:szCs w:val="20"/>
                <w:color w:val="auto"/>
              </w:rPr>
            </w:pPr>
            <w:r>
              <w:rPr>
                <w:rFonts w:ascii="Arial" w:cs="Arial" w:eastAsia="Arial" w:hAnsi="Arial"/>
                <w:sz w:val="18"/>
                <w:szCs w:val="18"/>
                <w:b w:val="1"/>
                <w:bCs w:val="1"/>
                <w:color w:val="auto"/>
              </w:rPr>
              <w:t>Reductions</w:t>
            </w:r>
          </w:p>
        </w:tc>
        <w:tc>
          <w:tcPr>
            <w:tcW w:w="1620" w:type="dxa"/>
            <w:vAlign w:val="bottom"/>
          </w:tcPr>
          <w:p>
            <w:pPr>
              <w:jc w:val="right"/>
              <w:ind w:right="292"/>
              <w:spacing w:after="0"/>
              <w:rPr>
                <w:sz w:val="20"/>
                <w:szCs w:val="20"/>
                <w:color w:val="auto"/>
              </w:rPr>
            </w:pPr>
            <w:r>
              <w:rPr>
                <w:rFonts w:ascii="Arial" w:cs="Arial" w:eastAsia="Arial" w:hAnsi="Arial"/>
                <w:sz w:val="18"/>
                <w:szCs w:val="18"/>
                <w:b w:val="1"/>
                <w:bCs w:val="1"/>
                <w:color w:val="auto"/>
                <w:w w:val="93"/>
              </w:rPr>
              <w:t>Consolidations</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Total</w:t>
            </w:r>
          </w:p>
        </w:tc>
      </w:tr>
      <w:tr>
        <w:trPr>
          <w:trHeight w:val="212"/>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620" w:type="dxa"/>
            <w:vAlign w:val="bottom"/>
          </w:tcPr>
          <w:p>
            <w:pPr>
              <w:jc w:val="right"/>
              <w:ind w:right="352"/>
              <w:spacing w:after="0"/>
              <w:rPr>
                <w:sz w:val="20"/>
                <w:szCs w:val="20"/>
                <w:color w:val="auto"/>
              </w:rPr>
            </w:pPr>
            <w:r>
              <w:rPr>
                <w:rFonts w:ascii="Arial" w:cs="Arial" w:eastAsia="Arial" w:hAnsi="Arial"/>
                <w:sz w:val="18"/>
                <w:szCs w:val="18"/>
                <w:b w:val="1"/>
                <w:bCs w:val="1"/>
                <w:color w:val="auto"/>
                <w:w w:val="93"/>
              </w:rPr>
              <w:t>(in thousands)</w:t>
            </w:r>
          </w:p>
        </w:tc>
        <w:tc>
          <w:tcPr>
            <w:tcW w:w="106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3580" w:type="dxa"/>
            <w:vAlign w:val="bottom"/>
          </w:tcPr>
          <w:p>
            <w:pPr>
              <w:jc w:val="right"/>
              <w:ind w:right="52"/>
              <w:spacing w:after="0"/>
              <w:rPr>
                <w:sz w:val="20"/>
                <w:szCs w:val="20"/>
                <w:color w:val="auto"/>
              </w:rPr>
            </w:pPr>
            <w:r>
              <w:rPr>
                <w:rFonts w:ascii="Arial" w:cs="Arial" w:eastAsia="Arial" w:hAnsi="Arial"/>
                <w:sz w:val="18"/>
                <w:szCs w:val="18"/>
                <w:b w:val="1"/>
                <w:bCs w:val="1"/>
                <w:color w:val="auto"/>
              </w:rPr>
              <w:t>US$’000</w:t>
            </w:r>
          </w:p>
        </w:tc>
        <w:tc>
          <w:tcPr>
            <w:tcW w:w="1620" w:type="dxa"/>
            <w:vAlign w:val="bottom"/>
          </w:tcPr>
          <w:p>
            <w:pPr>
              <w:jc w:val="right"/>
              <w:ind w:right="292"/>
              <w:spacing w:after="0"/>
              <w:rPr>
                <w:sz w:val="20"/>
                <w:szCs w:val="20"/>
                <w:color w:val="auto"/>
              </w:rPr>
            </w:pPr>
            <w:r>
              <w:rPr>
                <w:rFonts w:ascii="Arial" w:cs="Arial" w:eastAsia="Arial" w:hAnsi="Arial"/>
                <w:sz w:val="18"/>
                <w:szCs w:val="18"/>
                <w:b w:val="1"/>
                <w:bCs w:val="1"/>
                <w:color w:val="auto"/>
              </w:rPr>
              <w:t>US$’000</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US$’000</w:t>
            </w:r>
          </w:p>
        </w:tc>
      </w:tr>
      <w:tr>
        <w:trPr>
          <w:trHeight w:val="213"/>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Initial provision recognised</w:t>
            </w:r>
          </w:p>
        </w:tc>
        <w:tc>
          <w:tcPr>
            <w:tcW w:w="35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3,394</w:t>
            </w:r>
          </w:p>
        </w:tc>
        <w:tc>
          <w:tcPr>
            <w:tcW w:w="16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1,250</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4,644</w:t>
            </w:r>
          </w:p>
        </w:tc>
      </w:tr>
      <w:tr>
        <w:trPr>
          <w:trHeight w:val="212"/>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Cash payments</w:t>
            </w:r>
          </w:p>
        </w:tc>
        <w:tc>
          <w:tcPr>
            <w:tcW w:w="3580" w:type="dxa"/>
            <w:vAlign w:val="bottom"/>
          </w:tcPr>
          <w:p>
            <w:pPr>
              <w:jc w:val="right"/>
              <w:spacing w:after="0"/>
              <w:rPr>
                <w:sz w:val="20"/>
                <w:szCs w:val="20"/>
                <w:color w:val="auto"/>
              </w:rPr>
            </w:pPr>
            <w:r>
              <w:rPr>
                <w:rFonts w:ascii="Arial" w:cs="Arial" w:eastAsia="Arial" w:hAnsi="Arial"/>
                <w:sz w:val="18"/>
                <w:szCs w:val="18"/>
                <w:color w:val="auto"/>
              </w:rPr>
              <w:t>(2,719)</w:t>
            </w:r>
          </w:p>
        </w:tc>
        <w:tc>
          <w:tcPr>
            <w:tcW w:w="1620" w:type="dxa"/>
            <w:vAlign w:val="bottom"/>
          </w:tcPr>
          <w:p>
            <w:pPr>
              <w:jc w:val="right"/>
              <w:ind w:right="232"/>
              <w:spacing w:after="0"/>
              <w:rPr>
                <w:sz w:val="20"/>
                <w:szCs w:val="20"/>
                <w:color w:val="auto"/>
              </w:rPr>
            </w:pPr>
            <w:r>
              <w:rPr>
                <w:rFonts w:ascii="Arial" w:cs="Arial" w:eastAsia="Arial" w:hAnsi="Arial"/>
                <w:sz w:val="18"/>
                <w:szCs w:val="18"/>
                <w:color w:val="auto"/>
              </w:rPr>
              <w:t>(313)</w:t>
            </w:r>
          </w:p>
        </w:tc>
        <w:tc>
          <w:tcPr>
            <w:tcW w:w="1060" w:type="dxa"/>
            <w:vAlign w:val="bottom"/>
          </w:tcPr>
          <w:p>
            <w:pPr>
              <w:jc w:val="right"/>
              <w:spacing w:after="0"/>
              <w:rPr>
                <w:sz w:val="20"/>
                <w:szCs w:val="20"/>
                <w:color w:val="auto"/>
              </w:rPr>
            </w:pPr>
            <w:r>
              <w:rPr>
                <w:rFonts w:ascii="Arial" w:cs="Arial" w:eastAsia="Arial" w:hAnsi="Arial"/>
                <w:sz w:val="18"/>
                <w:szCs w:val="18"/>
                <w:color w:val="auto"/>
              </w:rPr>
              <w:t>(3,032)</w:t>
            </w:r>
          </w:p>
        </w:tc>
      </w:tr>
      <w:tr>
        <w:trPr>
          <w:trHeight w:val="219"/>
        </w:trPr>
        <w:tc>
          <w:tcPr>
            <w:tcW w:w="20" w:type="dxa"/>
            <w:vAlign w:val="bottom"/>
          </w:tcPr>
          <w:p>
            <w:pPr>
              <w:spacing w:after="0"/>
              <w:rPr>
                <w:sz w:val="19"/>
                <w:szCs w:val="19"/>
                <w:color w:val="auto"/>
              </w:rPr>
            </w:pPr>
          </w:p>
        </w:tc>
        <w:tc>
          <w:tcPr>
            <w:tcW w:w="5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3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2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344"/>
        </w:trPr>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Provision at 30 June 2012</w:t>
            </w:r>
          </w:p>
        </w:tc>
        <w:tc>
          <w:tcPr>
            <w:tcW w:w="35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671</w:t>
            </w:r>
          </w:p>
        </w:tc>
        <w:tc>
          <w:tcPr>
            <w:tcW w:w="16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937</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1,608</w:t>
            </w:r>
          </w:p>
        </w:tc>
      </w:tr>
      <w:tr>
        <w:trPr>
          <w:trHeight w:val="20"/>
        </w:trPr>
        <w:tc>
          <w:tcPr>
            <w:tcW w:w="5160" w:type="dxa"/>
            <w:vAlign w:val="bottom"/>
            <w:gridSpan w:val="2"/>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Prior Period Restructuring Charges</w:t>
            </w:r>
          </w:p>
        </w:tc>
        <w:tc>
          <w:tcPr>
            <w:tcW w:w="35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bl>
    <w:p>
      <w:pPr>
        <w:spacing w:after="0" w:line="215"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During the three months ended 31 March 2011 the Company commenced a review of its operations to improve resource utilisation within the business and better align resources to current and future growth opportunities of the business. This review resulted in the adoption of an initial restructuring plan, which resulted in the closure of the Company’s facility in Edinburgh, United Kingdom and resource rationalisations in certain of the more mature markets in which it operates. A restructuring charge of $5.0 million was recognised in respect of this plan during the three months ended 31 March 2011, $1.0 million in respect of lease termination and exit costs associated with the closure of the Edinburgh facility and $4.0 million in respect of workforce reductions. $3.5 million of costs recognised under this plan related to the clinical research segment, while $1.5 million related to the central laboratory business.</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three months ended 30 September 2011 the Company implemented a further restructuring plan which resulted in the relocation of the Company’s facility in Maryland, USA; and further resource rationalisations. A restructuring charge of $4.8 million was recognised in respect of this plan during the three months ended 30 September 2011, $0.9 million in respect of lease termination and exit costs associated with the closure of the existing Maryland facility and $3.9 million in respect of workforce reductions. All costs recognised under this plan related to the clinical research segment.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4" w:name="page25"/>
    <w:bookmarkEnd w:id="24"/>
    <w:p>
      <w:pPr>
        <w:spacing w:after="0"/>
        <w:rPr>
          <w:sz w:val="20"/>
          <w:szCs w:val="20"/>
          <w:color w:val="auto"/>
        </w:rPr>
      </w:pPr>
      <w:r>
        <w:rPr>
          <w:rFonts w:ascii="Arial" w:cs="Arial" w:eastAsia="Arial" w:hAnsi="Arial"/>
          <w:sz w:val="25"/>
          <w:szCs w:val="25"/>
          <w:color w:val="auto"/>
        </w:rPr>
        <w:t xml:space="preserve">Notes to Condensed Consolidated Interim Financial Statements </w:t>
      </w:r>
      <w:r>
        <w:rPr>
          <w:rFonts w:ascii="Arial" w:cs="Arial" w:eastAsia="Arial" w:hAnsi="Arial"/>
          <w:sz w:val="25"/>
          <w:szCs w:val="25"/>
          <w:i w:val="1"/>
          <w:iCs w:val="1"/>
          <w:color w:val="auto"/>
        </w:rPr>
        <w:t>(continued)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Exceptional items </w:t>
      </w:r>
      <w:r>
        <w:rPr>
          <w:rFonts w:ascii="Arial" w:cs="Arial" w:eastAsia="Arial" w:hAnsi="Arial"/>
          <w:sz w:val="18"/>
          <w:szCs w:val="18"/>
          <w:b w:val="1"/>
          <w:bCs w:val="1"/>
          <w:i w:val="1"/>
          <w:iCs w:val="1"/>
          <w:color w:val="auto"/>
        </w:rPr>
        <w:t>(continued)</w:t>
      </w:r>
    </w:p>
    <w:p>
      <w:pPr>
        <w:spacing w:after="0" w:line="25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Details of the movement in the 2011 Restructuring Plans recognised during the year ended December 31, 2011 and for the six months ended 30 June 2012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3460" w:type="dxa"/>
            <w:vAlign w:val="bottom"/>
          </w:tcPr>
          <w:p>
            <w:pPr>
              <w:jc w:val="right"/>
              <w:ind w:right="52"/>
              <w:spacing w:after="0"/>
              <w:rPr>
                <w:sz w:val="20"/>
                <w:szCs w:val="20"/>
                <w:color w:val="auto"/>
              </w:rPr>
            </w:pPr>
            <w:r>
              <w:rPr>
                <w:rFonts w:ascii="Arial" w:cs="Arial" w:eastAsia="Arial" w:hAnsi="Arial"/>
                <w:sz w:val="18"/>
                <w:szCs w:val="18"/>
                <w:b w:val="1"/>
                <w:bCs w:val="1"/>
                <w:color w:val="auto"/>
              </w:rPr>
              <w:t>Workforce</w:t>
            </w:r>
          </w:p>
        </w:tc>
        <w:tc>
          <w:tcPr>
            <w:tcW w:w="1620" w:type="dxa"/>
            <w:vAlign w:val="bottom"/>
          </w:tcPr>
          <w:p>
            <w:pPr>
              <w:jc w:val="right"/>
              <w:ind w:right="292"/>
              <w:spacing w:after="0"/>
              <w:rPr>
                <w:sz w:val="20"/>
                <w:szCs w:val="20"/>
                <w:color w:val="auto"/>
              </w:rPr>
            </w:pPr>
            <w:r>
              <w:rPr>
                <w:rFonts w:ascii="Arial" w:cs="Arial" w:eastAsia="Arial" w:hAnsi="Arial"/>
                <w:sz w:val="18"/>
                <w:szCs w:val="18"/>
                <w:b w:val="1"/>
                <w:bCs w:val="1"/>
                <w:color w:val="auto"/>
              </w:rPr>
              <w:t>Office</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3460" w:type="dxa"/>
            <w:vAlign w:val="bottom"/>
          </w:tcPr>
          <w:p>
            <w:pPr>
              <w:jc w:val="right"/>
              <w:ind w:right="52"/>
              <w:spacing w:after="0"/>
              <w:rPr>
                <w:sz w:val="20"/>
                <w:szCs w:val="20"/>
                <w:color w:val="auto"/>
              </w:rPr>
            </w:pPr>
            <w:r>
              <w:rPr>
                <w:rFonts w:ascii="Arial" w:cs="Arial" w:eastAsia="Arial" w:hAnsi="Arial"/>
                <w:sz w:val="18"/>
                <w:szCs w:val="18"/>
                <w:b w:val="1"/>
                <w:bCs w:val="1"/>
                <w:color w:val="auto"/>
              </w:rPr>
              <w:t>Reductions</w:t>
            </w:r>
          </w:p>
        </w:tc>
        <w:tc>
          <w:tcPr>
            <w:tcW w:w="1620" w:type="dxa"/>
            <w:vAlign w:val="bottom"/>
          </w:tcPr>
          <w:p>
            <w:pPr>
              <w:jc w:val="right"/>
              <w:ind w:right="292"/>
              <w:spacing w:after="0"/>
              <w:rPr>
                <w:sz w:val="20"/>
                <w:szCs w:val="20"/>
                <w:color w:val="auto"/>
              </w:rPr>
            </w:pPr>
            <w:r>
              <w:rPr>
                <w:rFonts w:ascii="Arial" w:cs="Arial" w:eastAsia="Arial" w:hAnsi="Arial"/>
                <w:sz w:val="18"/>
                <w:szCs w:val="18"/>
                <w:b w:val="1"/>
                <w:bCs w:val="1"/>
                <w:color w:val="auto"/>
                <w:w w:val="93"/>
              </w:rPr>
              <w:t>Consolidations</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620" w:type="dxa"/>
            <w:vAlign w:val="bottom"/>
          </w:tcPr>
          <w:p>
            <w:pPr>
              <w:jc w:val="right"/>
              <w:ind w:right="352"/>
              <w:spacing w:after="0"/>
              <w:rPr>
                <w:sz w:val="20"/>
                <w:szCs w:val="20"/>
                <w:color w:val="auto"/>
              </w:rPr>
            </w:pPr>
            <w:r>
              <w:rPr>
                <w:rFonts w:ascii="Arial" w:cs="Arial" w:eastAsia="Arial" w:hAnsi="Arial"/>
                <w:sz w:val="18"/>
                <w:szCs w:val="18"/>
                <w:b w:val="1"/>
                <w:bCs w:val="1"/>
                <w:color w:val="auto"/>
                <w:w w:val="93"/>
              </w:rPr>
              <w:t>(in thousands)</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3460" w:type="dxa"/>
            <w:vAlign w:val="bottom"/>
          </w:tcPr>
          <w:p>
            <w:pPr>
              <w:jc w:val="right"/>
              <w:ind w:right="52"/>
              <w:spacing w:after="0"/>
              <w:rPr>
                <w:sz w:val="20"/>
                <w:szCs w:val="20"/>
                <w:color w:val="auto"/>
              </w:rPr>
            </w:pPr>
            <w:r>
              <w:rPr>
                <w:rFonts w:ascii="Arial" w:cs="Arial" w:eastAsia="Arial" w:hAnsi="Arial"/>
                <w:sz w:val="18"/>
                <w:szCs w:val="18"/>
                <w:b w:val="1"/>
                <w:bCs w:val="1"/>
                <w:color w:val="auto"/>
              </w:rPr>
              <w:t>US$’000</w:t>
            </w:r>
          </w:p>
        </w:tc>
        <w:tc>
          <w:tcPr>
            <w:tcW w:w="1620" w:type="dxa"/>
            <w:vAlign w:val="bottom"/>
          </w:tcPr>
          <w:p>
            <w:pPr>
              <w:jc w:val="right"/>
              <w:ind w:right="292"/>
              <w:spacing w:after="0"/>
              <w:rPr>
                <w:sz w:val="20"/>
                <w:szCs w:val="20"/>
                <w:color w:val="auto"/>
              </w:rPr>
            </w:pPr>
            <w:r>
              <w:rPr>
                <w:rFonts w:ascii="Arial" w:cs="Arial" w:eastAsia="Arial" w:hAnsi="Arial"/>
                <w:sz w:val="18"/>
                <w:szCs w:val="18"/>
                <w:b w:val="1"/>
                <w:bCs w:val="1"/>
                <w:color w:val="auto"/>
              </w:rPr>
              <w:t>US$’000</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US$’000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Q1 Plan - initial provision recognised</w:t>
            </w:r>
          </w:p>
        </w:tc>
        <w:tc>
          <w:tcPr>
            <w:tcW w:w="34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3,956</w:t>
            </w:r>
          </w:p>
        </w:tc>
        <w:tc>
          <w:tcPr>
            <w:tcW w:w="16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1,046</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Q3 Plan - initial provision recognised</w:t>
            </w:r>
          </w:p>
        </w:tc>
        <w:tc>
          <w:tcPr>
            <w:tcW w:w="34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3,880</w:t>
            </w:r>
          </w:p>
        </w:tc>
        <w:tc>
          <w:tcPr>
            <w:tcW w:w="16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935</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4,815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recognised</w:t>
            </w:r>
          </w:p>
        </w:tc>
        <w:tc>
          <w:tcPr>
            <w:tcW w:w="34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7,836</w:t>
            </w:r>
          </w:p>
        </w:tc>
        <w:tc>
          <w:tcPr>
            <w:tcW w:w="16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1,981</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9,817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3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(5,438)</w:t>
            </w:r>
          </w:p>
        </w:tc>
        <w:tc>
          <w:tcPr>
            <w:tcW w:w="16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(251)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Property, plant and equipment write-off</w:t>
            </w:r>
          </w:p>
        </w:tc>
        <w:tc>
          <w:tcPr>
            <w:tcW w:w="34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32"/>
              <w:spacing w:after="0"/>
              <w:rPr>
                <w:sz w:val="20"/>
                <w:szCs w:val="20"/>
                <w:color w:val="auto"/>
              </w:rPr>
            </w:pPr>
            <w:r>
              <w:rPr>
                <w:rFonts w:ascii="Arial" w:cs="Arial" w:eastAsia="Arial" w:hAnsi="Arial"/>
                <w:sz w:val="18"/>
                <w:szCs w:val="18"/>
                <w:color w:val="auto"/>
              </w:rPr>
              <w:t>(55)</w:t>
            </w:r>
          </w:p>
        </w:tc>
        <w:tc>
          <w:tcPr>
            <w:tcW w:w="10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3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6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(35)</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351"/>
        </w:trPr>
        <w:tc>
          <w:tcPr>
            <w:tcW w:w="5280" w:type="dxa"/>
            <w:vAlign w:val="bottom"/>
            <w:gridSpan w:val="2"/>
          </w:tcPr>
          <w:p>
            <w:pPr>
              <w:spacing w:after="0"/>
              <w:rPr>
                <w:sz w:val="20"/>
                <w:szCs w:val="20"/>
                <w:color w:val="auto"/>
              </w:rPr>
            </w:pPr>
            <w:r>
              <w:rPr>
                <w:rFonts w:ascii="Arial" w:cs="Arial" w:eastAsia="Arial" w:hAnsi="Arial"/>
                <w:sz w:val="18"/>
                <w:szCs w:val="18"/>
                <w:color w:val="auto"/>
              </w:rPr>
              <w:t>Provision at December 31, 2011</w:t>
            </w:r>
          </w:p>
        </w:tc>
        <w:tc>
          <w:tcPr>
            <w:tcW w:w="3460" w:type="dxa"/>
            <w:vAlign w:val="bottom"/>
          </w:tcPr>
          <w:p>
            <w:pPr>
              <w:jc w:val="right"/>
              <w:ind w:right="52"/>
              <w:spacing w:after="0"/>
              <w:rPr>
                <w:sz w:val="20"/>
                <w:szCs w:val="20"/>
                <w:color w:val="auto"/>
              </w:rPr>
            </w:pPr>
            <w:r>
              <w:rPr>
                <w:rFonts w:ascii="Arial" w:cs="Arial" w:eastAsia="Arial" w:hAnsi="Arial"/>
                <w:sz w:val="18"/>
                <w:szCs w:val="18"/>
                <w:color w:val="auto"/>
              </w:rPr>
              <w:t>2,234</w:t>
            </w:r>
          </w:p>
        </w:tc>
        <w:tc>
          <w:tcPr>
            <w:tcW w:w="1620" w:type="dxa"/>
            <w:vAlign w:val="bottom"/>
          </w:tcPr>
          <w:p>
            <w:pPr>
              <w:jc w:val="right"/>
              <w:ind w:right="292"/>
              <w:spacing w:after="0"/>
              <w:rPr>
                <w:sz w:val="20"/>
                <w:szCs w:val="20"/>
                <w:color w:val="auto"/>
              </w:rPr>
            </w:pPr>
            <w:r>
              <w:rPr>
                <w:rFonts w:ascii="Arial" w:cs="Arial" w:eastAsia="Arial" w:hAnsi="Arial"/>
                <w:sz w:val="18"/>
                <w:szCs w:val="18"/>
                <w:color w:val="auto"/>
              </w:rPr>
              <w:t>1,640</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3,874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260" w:type="dxa"/>
            <w:vAlign w:val="bottom"/>
            <w:tcBorders>
              <w:top w:val="single" w:sz="8" w:color="auto"/>
            </w:tcBorders>
            <w:shd w:val="clear" w:color="auto" w:fill="CCEEFF"/>
          </w:tcPr>
          <w:p>
            <w:pPr>
              <w:spacing w:after="0"/>
              <w:rPr>
                <w:sz w:val="18"/>
                <w:szCs w:val="18"/>
                <w:color w:val="auto"/>
              </w:rPr>
            </w:pPr>
          </w:p>
        </w:tc>
        <w:tc>
          <w:tcPr>
            <w:tcW w:w="34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Cash payments</w:t>
            </w:r>
          </w:p>
        </w:tc>
        <w:tc>
          <w:tcPr>
            <w:tcW w:w="3460" w:type="dxa"/>
            <w:vAlign w:val="bottom"/>
          </w:tcPr>
          <w:p>
            <w:pPr>
              <w:jc w:val="right"/>
              <w:spacing w:after="0"/>
              <w:rPr>
                <w:sz w:val="20"/>
                <w:szCs w:val="20"/>
                <w:color w:val="auto"/>
              </w:rPr>
            </w:pPr>
            <w:r>
              <w:rPr>
                <w:rFonts w:ascii="Arial" w:cs="Arial" w:eastAsia="Arial" w:hAnsi="Arial"/>
                <w:sz w:val="18"/>
                <w:szCs w:val="18"/>
                <w:color w:val="auto"/>
              </w:rPr>
              <w:t>(2,123)</w:t>
            </w:r>
          </w:p>
        </w:tc>
        <w:tc>
          <w:tcPr>
            <w:tcW w:w="1620" w:type="dxa"/>
            <w:vAlign w:val="bottom"/>
          </w:tcPr>
          <w:p>
            <w:pPr>
              <w:jc w:val="right"/>
              <w:ind w:right="232"/>
              <w:spacing w:after="0"/>
              <w:rPr>
                <w:sz w:val="20"/>
                <w:szCs w:val="20"/>
                <w:color w:val="auto"/>
              </w:rPr>
            </w:pPr>
            <w:r>
              <w:rPr>
                <w:rFonts w:ascii="Arial" w:cs="Arial" w:eastAsia="Arial" w:hAnsi="Arial"/>
                <w:sz w:val="18"/>
                <w:szCs w:val="18"/>
                <w:color w:val="auto"/>
              </w:rPr>
              <w:t>(1,086)</w:t>
            </w:r>
          </w:p>
        </w:tc>
        <w:tc>
          <w:tcPr>
            <w:tcW w:w="1060" w:type="dxa"/>
            <w:vAlign w:val="bottom"/>
          </w:tcPr>
          <w:p>
            <w:pPr>
              <w:jc w:val="right"/>
              <w:spacing w:after="0"/>
              <w:rPr>
                <w:sz w:val="20"/>
                <w:szCs w:val="20"/>
                <w:color w:val="auto"/>
              </w:rPr>
            </w:pPr>
            <w:r>
              <w:rPr>
                <w:rFonts w:ascii="Arial" w:cs="Arial" w:eastAsia="Arial" w:hAnsi="Arial"/>
                <w:sz w:val="18"/>
                <w:szCs w:val="18"/>
                <w:color w:val="auto"/>
              </w:rPr>
              <w:t>(3,209)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Amounts released</w:t>
            </w:r>
          </w:p>
        </w:tc>
        <w:tc>
          <w:tcPr>
            <w:tcW w:w="3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(95)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Property, plant and equipment write-off</w:t>
            </w:r>
          </w:p>
        </w:tc>
        <w:tc>
          <w:tcPr>
            <w:tcW w:w="34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32"/>
              <w:spacing w:after="0"/>
              <w:rPr>
                <w:sz w:val="20"/>
                <w:szCs w:val="20"/>
                <w:color w:val="auto"/>
              </w:rPr>
            </w:pPr>
            <w:r>
              <w:rPr>
                <w:rFonts w:ascii="Arial" w:cs="Arial" w:eastAsia="Arial" w:hAnsi="Arial"/>
                <w:sz w:val="18"/>
                <w:szCs w:val="18"/>
                <w:color w:val="auto"/>
              </w:rPr>
              <w:t>(263)</w:t>
            </w:r>
          </w:p>
        </w:tc>
        <w:tc>
          <w:tcPr>
            <w:tcW w:w="1060" w:type="dxa"/>
            <w:vAlign w:val="bottom"/>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3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2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20</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44"/>
        </w:trPr>
        <w:tc>
          <w:tcPr>
            <w:tcW w:w="5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Provision at June 30, 2012</w:t>
            </w:r>
          </w:p>
        </w:tc>
        <w:tc>
          <w:tcPr>
            <w:tcW w:w="34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68</w:t>
            </w:r>
          </w:p>
        </w:tc>
        <w:tc>
          <w:tcPr>
            <w:tcW w:w="16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216</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Exceptional Items</w:t>
      </w:r>
    </w:p>
    <w:p>
      <w:pPr>
        <w:spacing w:after="0" w:line="24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30 September 2011 Mr. Peter Gray, Vice-Chairman of the Board, retired as Chief Executive Officer (“CEO”) of the Company, in accordance with the provisions of his service agreement, which was terminable on twelve months notice by either party. On 11 June 2012 the Company entered into an agreement with Mr. Gray whereby Mr. Gray’s employment and directorship of ICON plc and other ICON group companies would terminate on 19 July 2012. Under the terms of this agreement Mr. Gray would be entitled to be paid €160,000 ($200,000) in lieu of the balance of his notice period and to receive a discretionary bonus of €194,000 ($243,000) in respect of 2012. In addition, under the agreement Mr. Gray’s unvested share options would vest on the date of termination of his employment. The Company has recognised a share-based compensation charge of $422,000 in respect of these options during the six months ended 30 June 2012.</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600" w:right="239" w:bottom="1440" w:gutter="0" w:footer="0" w:header="0"/>
        </w:sectPr>
      </w:pPr>
    </w:p>
    <w:bookmarkStart w:id="25" w:name="page26"/>
    <w:bookmarkEnd w:id="25"/>
    <w:p>
      <w:pPr>
        <w:spacing w:after="0"/>
        <w:rPr>
          <w:sz w:val="20"/>
          <w:szCs w:val="20"/>
          <w:color w:val="auto"/>
        </w:rPr>
      </w:pPr>
      <w:r>
        <w:rPr>
          <w:rFonts w:ascii="Arial" w:cs="Arial" w:eastAsia="Arial" w:hAnsi="Arial"/>
          <w:sz w:val="25"/>
          <w:szCs w:val="25"/>
          <w:color w:val="auto"/>
        </w:rPr>
        <w:t xml:space="preserve">Notes to Condensed Consolidated Interim Financial Statements </w:t>
      </w:r>
      <w:r>
        <w:rPr>
          <w:rFonts w:ascii="Arial" w:cs="Arial" w:eastAsia="Arial" w:hAnsi="Arial"/>
          <w:sz w:val="25"/>
          <w:szCs w:val="25"/>
          <w:i w:val="1"/>
          <w:iCs w:val="1"/>
          <w:color w:val="auto"/>
        </w:rPr>
        <w:t>(continued)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8. Income tax expense</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7440" w:type="dxa"/>
            <w:vAlign w:val="bottom"/>
            <w:gridSpan w:val="2"/>
          </w:tcPr>
          <w:p>
            <w:pPr>
              <w:spacing w:after="0"/>
              <w:rPr>
                <w:sz w:val="20"/>
                <w:szCs w:val="20"/>
                <w:color w:val="auto"/>
              </w:rPr>
            </w:pPr>
            <w:r>
              <w:rPr>
                <w:rFonts w:ascii="Arial" w:cs="Arial" w:eastAsia="Arial" w:hAnsi="Arial"/>
                <w:sz w:val="18"/>
                <w:szCs w:val="18"/>
                <w:color w:val="auto"/>
              </w:rPr>
              <w:t>Income taxes recognized during the six months ended 30 June 2012 comprise:</w:t>
            </w:r>
          </w:p>
        </w:tc>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30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w w:val="83"/>
              </w:rPr>
              <w:t>June 30,</w:t>
            </w:r>
          </w:p>
        </w:tc>
        <w:tc>
          <w:tcPr>
            <w:tcW w:w="40" w:type="dxa"/>
            <w:vAlign w:val="bottom"/>
          </w:tcPr>
          <w:p>
            <w:pPr>
              <w:spacing w:after="0"/>
              <w:rPr>
                <w:sz w:val="24"/>
                <w:szCs w:val="24"/>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5"/>
              </w:rPr>
              <w:t>June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20" w:type="dxa"/>
            <w:vAlign w:val="bottom"/>
            <w:gridSpan w:val="2"/>
          </w:tcPr>
          <w:p>
            <w:pPr>
              <w:jc w:val="right"/>
              <w:spacing w:after="0" w:line="192" w:lineRule="exact"/>
              <w:rPr>
                <w:sz w:val="20"/>
                <w:szCs w:val="20"/>
                <w:color w:val="auto"/>
              </w:rPr>
            </w:pPr>
            <w:r>
              <w:rPr>
                <w:rFonts w:ascii="Arial" w:cs="Arial" w:eastAsia="Arial" w:hAnsi="Arial"/>
                <w:sz w:val="18"/>
                <w:szCs w:val="18"/>
                <w:b w:val="1"/>
                <w:bCs w:val="1"/>
                <w:color w:val="auto"/>
              </w:rPr>
              <w:t>2012</w:t>
            </w: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gridSpan w:val="3"/>
          </w:tcPr>
          <w:p>
            <w:pPr>
              <w:jc w:val="right"/>
              <w:ind w:right="100"/>
              <w:spacing w:after="0" w:line="192" w:lineRule="exact"/>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9"/>
              </w:rPr>
              <w:t>(in thousands)</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320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US$’000</w:t>
            </w:r>
          </w:p>
        </w:tc>
        <w:tc>
          <w:tcPr>
            <w:tcW w:w="78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94"/>
              </w:rPr>
              <w:t>US$’000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Provision for income taxes before exceptional items</w:t>
            </w:r>
          </w:p>
        </w:tc>
        <w:tc>
          <w:tcPr>
            <w:tcW w:w="3200" w:type="dxa"/>
            <w:vAlign w:val="bottom"/>
            <w:gridSpan w:val="4"/>
          </w:tcPr>
          <w:p>
            <w:pPr>
              <w:jc w:val="right"/>
              <w:ind w:right="680"/>
              <w:spacing w:after="0"/>
              <w:rPr>
                <w:sz w:val="20"/>
                <w:szCs w:val="20"/>
                <w:color w:val="auto"/>
              </w:rPr>
            </w:pPr>
            <w:r>
              <w:rPr>
                <w:rFonts w:ascii="Arial" w:cs="Arial" w:eastAsia="Arial" w:hAnsi="Arial"/>
                <w:sz w:val="18"/>
                <w:szCs w:val="18"/>
                <w:color w:val="auto"/>
              </w:rPr>
              <w:t>6,261</w:t>
            </w:r>
          </w:p>
        </w:tc>
        <w:tc>
          <w:tcPr>
            <w:tcW w:w="780" w:type="dxa"/>
            <w:vAlign w:val="bottom"/>
            <w:gridSpan w:val="4"/>
          </w:tcPr>
          <w:p>
            <w:pPr>
              <w:jc w:val="right"/>
              <w:ind w:right="100"/>
              <w:spacing w:after="0"/>
              <w:rPr>
                <w:sz w:val="20"/>
                <w:szCs w:val="20"/>
                <w:color w:val="auto"/>
              </w:rPr>
            </w:pPr>
            <w:r>
              <w:rPr>
                <w:rFonts w:ascii="Arial" w:cs="Arial" w:eastAsia="Arial" w:hAnsi="Arial"/>
                <w:sz w:val="18"/>
                <w:szCs w:val="18"/>
                <w:color w:val="auto"/>
              </w:rPr>
              <w:t>5,955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Tax impact on exceptional items</w:t>
            </w:r>
          </w:p>
        </w:tc>
        <w:tc>
          <w:tcPr>
            <w:tcW w:w="3200" w:type="dxa"/>
            <w:vAlign w:val="bottom"/>
            <w:tcBorders>
              <w:bottom w:val="single" w:sz="8" w:color="auto"/>
            </w:tcBorders>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(705)</w:t>
            </w:r>
          </w:p>
        </w:tc>
        <w:tc>
          <w:tcPr>
            <w:tcW w:w="780" w:type="dxa"/>
            <w:vAlign w:val="bottom"/>
            <w:tcBorders>
              <w:bottom w:val="single" w:sz="8" w:color="auto"/>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344"/>
        </w:trPr>
        <w:tc>
          <w:tcPr>
            <w:tcW w:w="7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Provision for income taxes before exceptional items</w:t>
            </w:r>
          </w:p>
        </w:tc>
        <w:tc>
          <w:tcPr>
            <w:tcW w:w="320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8"/>
                <w:szCs w:val="18"/>
                <w:color w:val="auto"/>
              </w:rPr>
              <w:t>5,556</w:t>
            </w:r>
          </w:p>
        </w:tc>
        <w:tc>
          <w:tcPr>
            <w:tcW w:w="7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5,411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As at 30 June 2012 the Group maintains a $6.9 million liability (31 December 2011: $7.7 million) for unrecognised tax benefit, which is comprised of $5.8 million (31 December 2011: $6.5 million) related to items generating unrecognised tax benefits and $1.1 million (31 December 2011: $1.2 million) for interest and related penalties to such items. The Group recognises interest accrued on unrecognised tax benefits as an additional income tax expense.</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Group has analysed filing positions in all of the significant federal, state and foreign jurisdictions where it is required to file income tax returns, as well as open tax years in these jurisdictions. The only periods subject to examination by the major tax jurisdictions where the Group does business are 2007 through 2011 tax years. The Group does not believe that the outcome of any examination will have a material impact on its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600" w:right="239" w:bottom="1440" w:gutter="0" w:footer="0" w:header="0"/>
        </w:sectPr>
      </w:pPr>
    </w:p>
    <w:bookmarkStart w:id="26" w:name="page27"/>
    <w:bookmarkEnd w:id="26"/>
    <w:p>
      <w:pPr>
        <w:spacing w:after="0"/>
        <w:rPr>
          <w:sz w:val="20"/>
          <w:szCs w:val="20"/>
          <w:color w:val="auto"/>
        </w:rPr>
      </w:pPr>
      <w:r>
        <w:rPr>
          <w:rFonts w:ascii="Arial" w:cs="Arial" w:eastAsia="Arial" w:hAnsi="Arial"/>
          <w:sz w:val="25"/>
          <w:szCs w:val="25"/>
          <w:color w:val="auto"/>
        </w:rPr>
        <w:t>Notes to Condensed Consolidated Interim Financial Statements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w w:val="92"/>
              </w:rPr>
              <w:t>9. Property, Plant and Equipment</w:t>
            </w:r>
          </w:p>
        </w:tc>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Group</w:t>
            </w: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Office</w:t>
            </w: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tcPr>
          <w:p>
            <w:pPr>
              <w:jc w:val="right"/>
              <w:ind w:right="112"/>
              <w:spacing w:after="0"/>
              <w:rPr>
                <w:sz w:val="20"/>
                <w:szCs w:val="20"/>
                <w:color w:val="auto"/>
              </w:rPr>
            </w:pPr>
            <w:r>
              <w:rPr>
                <w:rFonts w:ascii="Arial" w:cs="Arial" w:eastAsia="Arial" w:hAnsi="Arial"/>
                <w:sz w:val="18"/>
                <w:szCs w:val="18"/>
                <w:b w:val="1"/>
                <w:bCs w:val="1"/>
                <w:color w:val="auto"/>
              </w:rPr>
              <w:t>Leasehold</w:t>
            </w:r>
          </w:p>
        </w:tc>
        <w:tc>
          <w:tcPr>
            <w:tcW w:w="1060" w:type="dxa"/>
            <w:vAlign w:val="bottom"/>
          </w:tcPr>
          <w:p>
            <w:pPr>
              <w:jc w:val="right"/>
              <w:ind w:right="52"/>
              <w:spacing w:after="0"/>
              <w:rPr>
                <w:sz w:val="20"/>
                <w:szCs w:val="20"/>
                <w:color w:val="auto"/>
              </w:rPr>
            </w:pPr>
            <w:r>
              <w:rPr>
                <w:rFonts w:ascii="Arial" w:cs="Arial" w:eastAsia="Arial" w:hAnsi="Arial"/>
                <w:sz w:val="18"/>
                <w:szCs w:val="18"/>
                <w:b w:val="1"/>
                <w:bCs w:val="1"/>
                <w:color w:val="auto"/>
              </w:rPr>
              <w:t>Computer</w:t>
            </w: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furniture &amp;</w:t>
            </w:r>
          </w:p>
        </w:tc>
        <w:tc>
          <w:tcPr>
            <w:tcW w:w="1240" w:type="dxa"/>
            <w:vAlign w:val="bottom"/>
          </w:tcPr>
          <w:p>
            <w:pPr>
              <w:jc w:val="right"/>
              <w:ind w:right="192"/>
              <w:spacing w:after="0"/>
              <w:rPr>
                <w:sz w:val="20"/>
                <w:szCs w:val="20"/>
                <w:color w:val="auto"/>
              </w:rPr>
            </w:pPr>
            <w:r>
              <w:rPr>
                <w:rFonts w:ascii="Arial" w:cs="Arial" w:eastAsia="Arial" w:hAnsi="Arial"/>
                <w:sz w:val="18"/>
                <w:szCs w:val="18"/>
                <w:b w:val="1"/>
                <w:bCs w:val="1"/>
                <w:color w:val="auto"/>
                <w:w w:val="99"/>
              </w:rPr>
              <w:t>Laboratory</w:t>
            </w:r>
          </w:p>
        </w:tc>
        <w:tc>
          <w:tcPr>
            <w:tcW w:w="1100" w:type="dxa"/>
            <w:vAlign w:val="bottom"/>
          </w:tcPr>
          <w:p>
            <w:pPr>
              <w:jc w:val="right"/>
              <w:ind w:right="172"/>
              <w:spacing w:after="0"/>
              <w:rPr>
                <w:sz w:val="20"/>
                <w:szCs w:val="20"/>
                <w:color w:val="auto"/>
              </w:rPr>
            </w:pPr>
            <w:r>
              <w:rPr>
                <w:rFonts w:ascii="Arial" w:cs="Arial" w:eastAsia="Arial" w:hAnsi="Arial"/>
                <w:sz w:val="18"/>
                <w:szCs w:val="18"/>
                <w:b w:val="1"/>
                <w:bCs w:val="1"/>
                <w:color w:val="auto"/>
              </w:rPr>
              <w:t>Motor</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b w:val="1"/>
                <w:bCs w:val="1"/>
                <w:color w:val="auto"/>
              </w:rPr>
              <w:t>Land</w:t>
            </w:r>
          </w:p>
        </w:tc>
        <w:tc>
          <w:tcPr>
            <w:tcW w:w="1060" w:type="dxa"/>
            <w:vAlign w:val="bottom"/>
          </w:tcPr>
          <w:p>
            <w:pPr>
              <w:jc w:val="right"/>
              <w:ind w:right="52"/>
              <w:spacing w:after="0"/>
              <w:rPr>
                <w:sz w:val="20"/>
                <w:szCs w:val="20"/>
                <w:color w:val="auto"/>
              </w:rPr>
            </w:pPr>
            <w:r>
              <w:rPr>
                <w:rFonts w:ascii="Arial" w:cs="Arial" w:eastAsia="Arial" w:hAnsi="Arial"/>
                <w:sz w:val="18"/>
                <w:szCs w:val="18"/>
                <w:b w:val="1"/>
                <w:bCs w:val="1"/>
                <w:color w:val="auto"/>
              </w:rPr>
              <w:t>Buildings</w:t>
            </w:r>
          </w:p>
        </w:tc>
        <w:tc>
          <w:tcPr>
            <w:tcW w:w="1340" w:type="dxa"/>
            <w:vAlign w:val="bottom"/>
          </w:tcPr>
          <w:p>
            <w:pPr>
              <w:jc w:val="right"/>
              <w:ind w:right="112"/>
              <w:spacing w:after="0"/>
              <w:rPr>
                <w:sz w:val="20"/>
                <w:szCs w:val="20"/>
                <w:color w:val="auto"/>
              </w:rPr>
            </w:pPr>
            <w:r>
              <w:rPr>
                <w:rFonts w:ascii="Arial" w:cs="Arial" w:eastAsia="Arial" w:hAnsi="Arial"/>
                <w:sz w:val="18"/>
                <w:szCs w:val="18"/>
                <w:b w:val="1"/>
                <w:bCs w:val="1"/>
                <w:color w:val="auto"/>
                <w:w w:val="90"/>
              </w:rPr>
              <w:t>improvements</w:t>
            </w:r>
          </w:p>
        </w:tc>
        <w:tc>
          <w:tcPr>
            <w:tcW w:w="1060" w:type="dxa"/>
            <w:vAlign w:val="bottom"/>
          </w:tcPr>
          <w:p>
            <w:pPr>
              <w:jc w:val="right"/>
              <w:ind w:right="52"/>
              <w:spacing w:after="0"/>
              <w:rPr>
                <w:sz w:val="20"/>
                <w:szCs w:val="20"/>
                <w:color w:val="auto"/>
              </w:rPr>
            </w:pPr>
            <w:r>
              <w:rPr>
                <w:rFonts w:ascii="Arial" w:cs="Arial" w:eastAsia="Arial" w:hAnsi="Arial"/>
                <w:sz w:val="18"/>
                <w:szCs w:val="18"/>
                <w:b w:val="1"/>
                <w:bCs w:val="1"/>
                <w:color w:val="auto"/>
                <w:w w:val="98"/>
              </w:rPr>
              <w:t>equipment</w:t>
            </w: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fixtures</w:t>
            </w:r>
          </w:p>
        </w:tc>
        <w:tc>
          <w:tcPr>
            <w:tcW w:w="1240" w:type="dxa"/>
            <w:vAlign w:val="bottom"/>
          </w:tcPr>
          <w:p>
            <w:pPr>
              <w:jc w:val="right"/>
              <w:ind w:right="192"/>
              <w:spacing w:after="0"/>
              <w:rPr>
                <w:sz w:val="20"/>
                <w:szCs w:val="20"/>
                <w:color w:val="auto"/>
              </w:rPr>
            </w:pPr>
            <w:r>
              <w:rPr>
                <w:rFonts w:ascii="Arial" w:cs="Arial" w:eastAsia="Arial" w:hAnsi="Arial"/>
                <w:sz w:val="18"/>
                <w:szCs w:val="18"/>
                <w:b w:val="1"/>
                <w:bCs w:val="1"/>
                <w:color w:val="auto"/>
              </w:rPr>
              <w:t>equipment</w:t>
            </w:r>
          </w:p>
        </w:tc>
        <w:tc>
          <w:tcPr>
            <w:tcW w:w="1100" w:type="dxa"/>
            <w:vAlign w:val="bottom"/>
          </w:tcPr>
          <w:p>
            <w:pPr>
              <w:jc w:val="right"/>
              <w:ind w:right="172"/>
              <w:spacing w:after="0"/>
              <w:rPr>
                <w:sz w:val="20"/>
                <w:szCs w:val="20"/>
                <w:color w:val="auto"/>
              </w:rPr>
            </w:pPr>
            <w:r>
              <w:rPr>
                <w:rFonts w:ascii="Arial" w:cs="Arial" w:eastAsia="Arial" w:hAnsi="Arial"/>
                <w:sz w:val="18"/>
                <w:szCs w:val="18"/>
                <w:b w:val="1"/>
                <w:bCs w:val="1"/>
                <w:color w:val="auto"/>
              </w:rPr>
              <w:t>vehicles</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2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Cost</w:t>
            </w:r>
          </w:p>
        </w:tc>
        <w:tc>
          <w:tcPr>
            <w:tcW w:w="900" w:type="dxa"/>
            <w:vAlign w:val="bottom"/>
          </w:tcPr>
          <w:p>
            <w:pPr>
              <w:jc w:val="right"/>
              <w:ind w:right="112"/>
              <w:spacing w:after="0"/>
              <w:rPr>
                <w:sz w:val="20"/>
                <w:szCs w:val="20"/>
                <w:color w:val="auto"/>
              </w:rPr>
            </w:pPr>
            <w:r>
              <w:rPr>
                <w:rFonts w:ascii="Arial" w:cs="Arial" w:eastAsia="Arial" w:hAnsi="Arial"/>
                <w:sz w:val="18"/>
                <w:szCs w:val="18"/>
                <w:b w:val="1"/>
                <w:bCs w:val="1"/>
                <w:color w:val="auto"/>
                <w:w w:val="97"/>
              </w:rPr>
              <w:t>US$’000</w:t>
            </w:r>
          </w:p>
        </w:tc>
        <w:tc>
          <w:tcPr>
            <w:tcW w:w="1060" w:type="dxa"/>
            <w:vAlign w:val="bottom"/>
          </w:tcPr>
          <w:p>
            <w:pPr>
              <w:jc w:val="right"/>
              <w:ind w:right="52"/>
              <w:spacing w:after="0"/>
              <w:rPr>
                <w:sz w:val="20"/>
                <w:szCs w:val="20"/>
                <w:color w:val="auto"/>
              </w:rPr>
            </w:pPr>
            <w:r>
              <w:rPr>
                <w:rFonts w:ascii="Arial" w:cs="Arial" w:eastAsia="Arial" w:hAnsi="Arial"/>
                <w:sz w:val="18"/>
                <w:szCs w:val="18"/>
                <w:b w:val="1"/>
                <w:bCs w:val="1"/>
                <w:color w:val="auto"/>
              </w:rPr>
              <w:t>US$’000</w:t>
            </w:r>
          </w:p>
        </w:tc>
        <w:tc>
          <w:tcPr>
            <w:tcW w:w="1340" w:type="dxa"/>
            <w:vAlign w:val="bottom"/>
          </w:tcPr>
          <w:p>
            <w:pPr>
              <w:jc w:val="right"/>
              <w:ind w:right="112"/>
              <w:spacing w:after="0"/>
              <w:rPr>
                <w:sz w:val="20"/>
                <w:szCs w:val="20"/>
                <w:color w:val="auto"/>
              </w:rPr>
            </w:pPr>
            <w:r>
              <w:rPr>
                <w:rFonts w:ascii="Arial" w:cs="Arial" w:eastAsia="Arial" w:hAnsi="Arial"/>
                <w:sz w:val="18"/>
                <w:szCs w:val="18"/>
                <w:b w:val="1"/>
                <w:bCs w:val="1"/>
                <w:color w:val="auto"/>
              </w:rPr>
              <w:t>US$’000</w:t>
            </w:r>
          </w:p>
        </w:tc>
        <w:tc>
          <w:tcPr>
            <w:tcW w:w="1060" w:type="dxa"/>
            <w:vAlign w:val="bottom"/>
          </w:tcPr>
          <w:p>
            <w:pPr>
              <w:jc w:val="right"/>
              <w:ind w:right="52"/>
              <w:spacing w:after="0"/>
              <w:rPr>
                <w:sz w:val="20"/>
                <w:szCs w:val="20"/>
                <w:color w:val="auto"/>
              </w:rPr>
            </w:pPr>
            <w:r>
              <w:rPr>
                <w:rFonts w:ascii="Arial" w:cs="Arial" w:eastAsia="Arial" w:hAnsi="Arial"/>
                <w:sz w:val="18"/>
                <w:szCs w:val="18"/>
                <w:b w:val="1"/>
                <w:bCs w:val="1"/>
                <w:color w:val="auto"/>
              </w:rPr>
              <w:t>US$’000</w:t>
            </w: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US$’000</w:t>
            </w:r>
          </w:p>
        </w:tc>
        <w:tc>
          <w:tcPr>
            <w:tcW w:w="1240" w:type="dxa"/>
            <w:vAlign w:val="bottom"/>
          </w:tcPr>
          <w:p>
            <w:pPr>
              <w:jc w:val="right"/>
              <w:ind w:right="192"/>
              <w:spacing w:after="0"/>
              <w:rPr>
                <w:sz w:val="20"/>
                <w:szCs w:val="20"/>
                <w:color w:val="auto"/>
              </w:rPr>
            </w:pPr>
            <w:r>
              <w:rPr>
                <w:rFonts w:ascii="Arial" w:cs="Arial" w:eastAsia="Arial" w:hAnsi="Arial"/>
                <w:sz w:val="18"/>
                <w:szCs w:val="18"/>
                <w:b w:val="1"/>
                <w:bCs w:val="1"/>
                <w:color w:val="auto"/>
              </w:rPr>
              <w:t>US$’000</w:t>
            </w:r>
          </w:p>
        </w:tc>
        <w:tc>
          <w:tcPr>
            <w:tcW w:w="1100" w:type="dxa"/>
            <w:vAlign w:val="bottom"/>
          </w:tcPr>
          <w:p>
            <w:pPr>
              <w:jc w:val="right"/>
              <w:ind w:right="172"/>
              <w:spacing w:after="0"/>
              <w:rPr>
                <w:sz w:val="20"/>
                <w:szCs w:val="20"/>
                <w:color w:val="auto"/>
              </w:rPr>
            </w:pPr>
            <w:r>
              <w:rPr>
                <w:rFonts w:ascii="Arial" w:cs="Arial" w:eastAsia="Arial" w:hAnsi="Arial"/>
                <w:sz w:val="18"/>
                <w:szCs w:val="18"/>
                <w:b w:val="1"/>
                <w:bCs w:val="1"/>
                <w:color w:val="auto"/>
              </w:rPr>
              <w:t>US$’000</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US$’000</w:t>
            </w:r>
          </w:p>
        </w:tc>
        <w:tc>
          <w:tcPr>
            <w:tcW w:w="0" w:type="dxa"/>
            <w:vAlign w:val="bottom"/>
          </w:tcPr>
          <w:p>
            <w:pPr>
              <w:spacing w:after="0"/>
              <w:rPr>
                <w:sz w:val="1"/>
                <w:szCs w:val="1"/>
                <w:color w:val="auto"/>
              </w:rPr>
            </w:pPr>
          </w:p>
        </w:tc>
      </w:tr>
      <w:tr>
        <w:trPr>
          <w:trHeight w:val="212"/>
        </w:trPr>
        <w:tc>
          <w:tcPr>
            <w:tcW w:w="264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2012</w:t>
            </w:r>
          </w:p>
        </w:tc>
        <w:tc>
          <w:tcPr>
            <w:tcW w:w="9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4,212</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73,240</w:t>
            </w:r>
          </w:p>
        </w:tc>
        <w:tc>
          <w:tcPr>
            <w:tcW w:w="1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27,342</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79,925</w:t>
            </w: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58,096</w:t>
            </w:r>
          </w:p>
        </w:tc>
        <w:tc>
          <w:tcPr>
            <w:tcW w:w="12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24,195</w:t>
            </w:r>
          </w:p>
        </w:tc>
        <w:tc>
          <w:tcPr>
            <w:tcW w:w="11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43</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267,053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Additions</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13</w:t>
            </w:r>
          </w:p>
        </w:tc>
        <w:tc>
          <w:tcPr>
            <w:tcW w:w="1340" w:type="dxa"/>
            <w:vAlign w:val="bottom"/>
          </w:tcPr>
          <w:p>
            <w:pPr>
              <w:jc w:val="right"/>
              <w:ind w:right="112"/>
              <w:spacing w:after="0"/>
              <w:rPr>
                <w:sz w:val="20"/>
                <w:szCs w:val="20"/>
                <w:color w:val="auto"/>
              </w:rPr>
            </w:pPr>
            <w:r>
              <w:rPr>
                <w:rFonts w:ascii="Arial" w:cs="Arial" w:eastAsia="Arial" w:hAnsi="Arial"/>
                <w:sz w:val="18"/>
                <w:szCs w:val="18"/>
                <w:color w:val="auto"/>
              </w:rPr>
              <w:t>600</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3,359</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1,694</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643</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6,309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9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(2,178)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(492)</w:t>
            </w:r>
          </w:p>
        </w:tc>
        <w:tc>
          <w:tcPr>
            <w:tcW w:w="11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Acquisitions</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2"/>
              <w:spacing w:after="0"/>
              <w:rPr>
                <w:sz w:val="20"/>
                <w:szCs w:val="20"/>
                <w:color w:val="auto"/>
              </w:rPr>
            </w:pPr>
            <w:r>
              <w:rPr>
                <w:rFonts w:ascii="Arial" w:cs="Arial" w:eastAsia="Arial" w:hAnsi="Arial"/>
                <w:sz w:val="18"/>
                <w:szCs w:val="18"/>
                <w:color w:val="auto"/>
              </w:rPr>
              <w:t>85</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220</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114</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adjustment</w:t>
            </w:r>
          </w:p>
        </w:tc>
        <w:tc>
          <w:tcPr>
            <w:tcW w:w="9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140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13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(483)</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(231)</w:t>
            </w:r>
          </w:p>
        </w:tc>
        <w:tc>
          <w:tcPr>
            <w:tcW w:w="11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2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At 30 June 2012</w:t>
            </w:r>
          </w:p>
        </w:tc>
        <w:tc>
          <w:tcPr>
            <w:tcW w:w="9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4,352</w:t>
            </w: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70,023</w:t>
            </w:r>
          </w:p>
        </w:tc>
        <w:tc>
          <w:tcPr>
            <w:tcW w:w="13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25,366</w:t>
            </w: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81,322</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58,199</w:t>
            </w:r>
          </w:p>
        </w:tc>
        <w:tc>
          <w:tcPr>
            <w:tcW w:w="12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24,115</w:t>
            </w:r>
          </w:p>
        </w:tc>
        <w:tc>
          <w:tcPr>
            <w:tcW w:w="11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42</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263,419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w:t>
            </w:r>
          </w:p>
        </w:tc>
        <w:tc>
          <w:tcPr>
            <w:tcW w:w="9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At 1 January 2012</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8,668</w:t>
            </w:r>
          </w:p>
        </w:tc>
        <w:tc>
          <w:tcPr>
            <w:tcW w:w="1340" w:type="dxa"/>
            <w:vAlign w:val="bottom"/>
          </w:tcPr>
          <w:p>
            <w:pPr>
              <w:jc w:val="right"/>
              <w:ind w:right="112"/>
              <w:spacing w:after="0"/>
              <w:rPr>
                <w:sz w:val="20"/>
                <w:szCs w:val="20"/>
                <w:color w:val="auto"/>
              </w:rPr>
            </w:pPr>
            <w:r>
              <w:rPr>
                <w:rFonts w:ascii="Arial" w:cs="Arial" w:eastAsia="Arial" w:hAnsi="Arial"/>
                <w:sz w:val="18"/>
                <w:szCs w:val="18"/>
                <w:color w:val="auto"/>
              </w:rPr>
              <w:t>17,006</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60,733</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34,882</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16,349</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26</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137,664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Charge for year</w:t>
            </w:r>
          </w:p>
        </w:tc>
        <w:tc>
          <w:tcPr>
            <w:tcW w:w="9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905</w:t>
            </w:r>
          </w:p>
        </w:tc>
        <w:tc>
          <w:tcPr>
            <w:tcW w:w="1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1,771</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3,774</w:t>
            </w: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3,129</w:t>
            </w:r>
          </w:p>
        </w:tc>
        <w:tc>
          <w:tcPr>
            <w:tcW w:w="12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1,340</w:t>
            </w:r>
          </w:p>
        </w:tc>
        <w:tc>
          <w:tcPr>
            <w:tcW w:w="11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10,921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Eliminated on disposals</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(2,073)</w:t>
            </w:r>
          </w:p>
        </w:tc>
        <w:tc>
          <w:tcPr>
            <w:tcW w:w="1060" w:type="dxa"/>
            <w:vAlign w:val="bottom"/>
          </w:tcPr>
          <w:p>
            <w:pPr>
              <w:jc w:val="right"/>
              <w:spacing w:after="0"/>
              <w:rPr>
                <w:sz w:val="20"/>
                <w:szCs w:val="20"/>
                <w:color w:val="auto"/>
              </w:rPr>
            </w:pPr>
            <w:r>
              <w:rPr>
                <w:rFonts w:ascii="Arial" w:cs="Arial" w:eastAsia="Arial" w:hAnsi="Arial"/>
                <w:sz w:val="18"/>
                <w:szCs w:val="18"/>
                <w:color w:val="auto"/>
              </w:rPr>
              <w:t>(485)</w:t>
            </w:r>
          </w:p>
        </w:tc>
        <w:tc>
          <w:tcPr>
            <w:tcW w:w="1120" w:type="dxa"/>
            <w:vAlign w:val="bottom"/>
          </w:tcPr>
          <w:p>
            <w:pPr>
              <w:jc w:val="right"/>
              <w:spacing w:after="0"/>
              <w:rPr>
                <w:sz w:val="20"/>
                <w:szCs w:val="20"/>
                <w:color w:val="auto"/>
              </w:rPr>
            </w:pPr>
            <w:r>
              <w:rPr>
                <w:rFonts w:ascii="Arial" w:cs="Arial" w:eastAsia="Arial" w:hAnsi="Arial"/>
                <w:sz w:val="18"/>
                <w:szCs w:val="18"/>
                <w:color w:val="auto"/>
              </w:rPr>
              <w:t>(496)</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(492)</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(3,546)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adjustment</w:t>
            </w:r>
          </w:p>
        </w:tc>
        <w:tc>
          <w:tcPr>
            <w:tcW w:w="9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3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(222)</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(209)</w:t>
            </w:r>
          </w:p>
        </w:tc>
        <w:tc>
          <w:tcPr>
            <w:tcW w:w="11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2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At 30 June 2012</w:t>
            </w:r>
          </w:p>
        </w:tc>
        <w:tc>
          <w:tcPr>
            <w:tcW w:w="9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9,207</w:t>
            </w:r>
          </w:p>
        </w:tc>
        <w:tc>
          <w:tcPr>
            <w:tcW w:w="13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16,482</w:t>
            </w: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62,767</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36,784</w:t>
            </w:r>
          </w:p>
        </w:tc>
        <w:tc>
          <w:tcPr>
            <w:tcW w:w="12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16,988</w:t>
            </w:r>
          </w:p>
        </w:tc>
        <w:tc>
          <w:tcPr>
            <w:tcW w:w="11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27</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142,255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w:t>
            </w:r>
          </w:p>
        </w:tc>
        <w:tc>
          <w:tcPr>
            <w:tcW w:w="9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At 30 June 2012</w:t>
            </w:r>
          </w:p>
        </w:tc>
        <w:tc>
          <w:tcPr>
            <w:tcW w:w="9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4,352</w:t>
            </w: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60,816</w:t>
            </w:r>
          </w:p>
        </w:tc>
        <w:tc>
          <w:tcPr>
            <w:tcW w:w="13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8,884</w:t>
            </w: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18,555</w:t>
            </w: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21,415</w:t>
            </w:r>
          </w:p>
        </w:tc>
        <w:tc>
          <w:tcPr>
            <w:tcW w:w="12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7,127</w:t>
            </w:r>
          </w:p>
        </w:tc>
        <w:tc>
          <w:tcPr>
            <w:tcW w:w="11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15</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121,164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 31 December 2011</w:t>
            </w:r>
          </w:p>
        </w:tc>
        <w:tc>
          <w:tcPr>
            <w:tcW w:w="9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4,212</w:t>
            </w: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64,572</w:t>
            </w:r>
          </w:p>
        </w:tc>
        <w:tc>
          <w:tcPr>
            <w:tcW w:w="13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10,336</w:t>
            </w: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19,192</w:t>
            </w: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23,214</w:t>
            </w:r>
          </w:p>
        </w:tc>
        <w:tc>
          <w:tcPr>
            <w:tcW w:w="12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7,846</w:t>
            </w:r>
          </w:p>
        </w:tc>
        <w:tc>
          <w:tcPr>
            <w:tcW w:w="11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17</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129,389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9"/>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24</w:t>
            </w: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6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00" w:right="239" w:bottom="1440" w:gutter="0" w:footer="0" w:header="0"/>
        </w:sectPr>
      </w:pPr>
    </w:p>
    <w:bookmarkStart w:id="27" w:name="page28"/>
    <w:bookmarkEnd w:id="27"/>
    <w:p>
      <w:pPr>
        <w:spacing w:after="0"/>
        <w:rPr>
          <w:sz w:val="20"/>
          <w:szCs w:val="20"/>
          <w:color w:val="auto"/>
        </w:rPr>
      </w:pPr>
      <w:r>
        <w:rPr>
          <w:rFonts w:ascii="Arial" w:cs="Arial" w:eastAsia="Arial" w:hAnsi="Arial"/>
          <w:sz w:val="25"/>
          <w:szCs w:val="25"/>
          <w:color w:val="auto"/>
        </w:rPr>
        <w:t xml:space="preserve">Notes to Condensed Consolidated Interim Financial Statements </w:t>
      </w:r>
      <w:r>
        <w:rPr>
          <w:rFonts w:ascii="Arial" w:cs="Arial" w:eastAsia="Arial" w:hAnsi="Arial"/>
          <w:sz w:val="25"/>
          <w:szCs w:val="25"/>
          <w:i w:val="1"/>
          <w:iCs w:val="1"/>
          <w:color w:val="auto"/>
        </w:rPr>
        <w:t>(continued)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Intangible assets – goodwill and other</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b w:val="1"/>
                <w:bCs w:val="1"/>
                <w:color w:val="auto"/>
              </w:rPr>
              <w:t>Computer</w:t>
            </w:r>
          </w:p>
        </w:tc>
        <w:tc>
          <w:tcPr>
            <w:tcW w:w="1360" w:type="dxa"/>
            <w:vAlign w:val="bottom"/>
          </w:tcPr>
          <w:p>
            <w:pPr>
              <w:jc w:val="right"/>
              <w:ind w:right="132"/>
              <w:spacing w:after="0"/>
              <w:rPr>
                <w:sz w:val="20"/>
                <w:szCs w:val="20"/>
                <w:color w:val="auto"/>
              </w:rPr>
            </w:pPr>
            <w:r>
              <w:rPr>
                <w:rFonts w:ascii="Arial" w:cs="Arial" w:eastAsia="Arial" w:hAnsi="Arial"/>
                <w:sz w:val="18"/>
                <w:szCs w:val="18"/>
                <w:b w:val="1"/>
                <w:bCs w:val="1"/>
                <w:color w:val="auto"/>
              </w:rPr>
              <w:t>Customer</w:t>
            </w:r>
          </w:p>
        </w:tc>
        <w:tc>
          <w:tcPr>
            <w:tcW w:w="1120" w:type="dxa"/>
            <w:vAlign w:val="bottom"/>
          </w:tcPr>
          <w:p>
            <w:pPr>
              <w:jc w:val="right"/>
              <w:ind w:right="152"/>
              <w:spacing w:after="0"/>
              <w:rPr>
                <w:sz w:val="20"/>
                <w:szCs w:val="20"/>
                <w:color w:val="auto"/>
              </w:rPr>
            </w:pPr>
            <w:r>
              <w:rPr>
                <w:rFonts w:ascii="Arial" w:cs="Arial" w:eastAsia="Arial" w:hAnsi="Arial"/>
                <w:sz w:val="18"/>
                <w:szCs w:val="18"/>
                <w:b w:val="1"/>
                <w:bCs w:val="1"/>
                <w:color w:val="auto"/>
              </w:rPr>
              <w:t>Volunteer</w:t>
            </w:r>
          </w:p>
        </w:tc>
        <w:tc>
          <w:tcPr>
            <w:tcW w:w="1040" w:type="dxa"/>
            <w:vAlign w:val="bottom"/>
          </w:tcPr>
          <w:p>
            <w:pPr>
              <w:jc w:val="right"/>
              <w:ind w:right="72"/>
              <w:spacing w:after="0"/>
              <w:rPr>
                <w:sz w:val="20"/>
                <w:szCs w:val="20"/>
                <w:color w:val="auto"/>
              </w:rPr>
            </w:pPr>
            <w:r>
              <w:rPr>
                <w:rFonts w:ascii="Arial" w:cs="Arial" w:eastAsia="Arial" w:hAnsi="Arial"/>
                <w:sz w:val="18"/>
                <w:szCs w:val="18"/>
                <w:b w:val="1"/>
                <w:bCs w:val="1"/>
                <w:color w:val="auto"/>
              </w:rPr>
              <w:t>Order</w:t>
            </w:r>
          </w:p>
        </w:tc>
        <w:tc>
          <w:tcPr>
            <w:tcW w:w="1120" w:type="dxa"/>
            <w:vAlign w:val="bottom"/>
          </w:tcPr>
          <w:p>
            <w:pPr>
              <w:jc w:val="right"/>
              <w:ind w:right="72"/>
              <w:spacing w:after="0"/>
              <w:rPr>
                <w:sz w:val="20"/>
                <w:szCs w:val="20"/>
                <w:color w:val="auto"/>
              </w:rPr>
            </w:pPr>
            <w:r>
              <w:rPr>
                <w:rFonts w:ascii="Arial" w:cs="Arial" w:eastAsia="Arial" w:hAnsi="Arial"/>
                <w:sz w:val="18"/>
                <w:szCs w:val="18"/>
                <w:b w:val="1"/>
                <w:bCs w:val="1"/>
                <w:color w:val="auto"/>
                <w:w w:val="93"/>
              </w:rPr>
              <w:t>Technology</w:t>
            </w:r>
          </w:p>
        </w:tc>
        <w:tc>
          <w:tcPr>
            <w:tcW w:w="1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b w:val="1"/>
                <w:bCs w:val="1"/>
                <w:color w:val="auto"/>
              </w:rPr>
              <w:t>Software</w:t>
            </w:r>
          </w:p>
        </w:tc>
        <w:tc>
          <w:tcPr>
            <w:tcW w:w="1360" w:type="dxa"/>
            <w:vAlign w:val="bottom"/>
          </w:tcPr>
          <w:p>
            <w:pPr>
              <w:jc w:val="right"/>
              <w:ind w:right="132"/>
              <w:spacing w:after="0"/>
              <w:rPr>
                <w:sz w:val="20"/>
                <w:szCs w:val="20"/>
                <w:color w:val="auto"/>
              </w:rPr>
            </w:pPr>
            <w:r>
              <w:rPr>
                <w:rFonts w:ascii="Arial" w:cs="Arial" w:eastAsia="Arial" w:hAnsi="Arial"/>
                <w:sz w:val="18"/>
                <w:szCs w:val="18"/>
                <w:b w:val="1"/>
                <w:bCs w:val="1"/>
                <w:color w:val="auto"/>
                <w:w w:val="94"/>
              </w:rPr>
              <w:t>Relationships</w:t>
            </w:r>
          </w:p>
        </w:tc>
        <w:tc>
          <w:tcPr>
            <w:tcW w:w="1120" w:type="dxa"/>
            <w:vAlign w:val="bottom"/>
          </w:tcPr>
          <w:p>
            <w:pPr>
              <w:jc w:val="right"/>
              <w:ind w:right="152"/>
              <w:spacing w:after="0"/>
              <w:rPr>
                <w:sz w:val="20"/>
                <w:szCs w:val="20"/>
                <w:color w:val="auto"/>
              </w:rPr>
            </w:pPr>
            <w:r>
              <w:rPr>
                <w:rFonts w:ascii="Arial" w:cs="Arial" w:eastAsia="Arial" w:hAnsi="Arial"/>
                <w:sz w:val="18"/>
                <w:szCs w:val="18"/>
                <w:b w:val="1"/>
                <w:bCs w:val="1"/>
                <w:color w:val="auto"/>
              </w:rPr>
              <w:t>List</w:t>
            </w:r>
          </w:p>
        </w:tc>
        <w:tc>
          <w:tcPr>
            <w:tcW w:w="1040" w:type="dxa"/>
            <w:vAlign w:val="bottom"/>
          </w:tcPr>
          <w:p>
            <w:pPr>
              <w:jc w:val="right"/>
              <w:ind w:right="72"/>
              <w:spacing w:after="0"/>
              <w:rPr>
                <w:sz w:val="20"/>
                <w:szCs w:val="20"/>
                <w:color w:val="auto"/>
              </w:rPr>
            </w:pPr>
            <w:r>
              <w:rPr>
                <w:rFonts w:ascii="Arial" w:cs="Arial" w:eastAsia="Arial" w:hAnsi="Arial"/>
                <w:sz w:val="18"/>
                <w:szCs w:val="18"/>
                <w:b w:val="1"/>
                <w:bCs w:val="1"/>
                <w:color w:val="auto"/>
              </w:rPr>
              <w:t>Backlog</w:t>
            </w:r>
          </w:p>
        </w:tc>
        <w:tc>
          <w:tcPr>
            <w:tcW w:w="1120" w:type="dxa"/>
            <w:vAlign w:val="bottom"/>
          </w:tcPr>
          <w:p>
            <w:pPr>
              <w:jc w:val="right"/>
              <w:ind w:right="72"/>
              <w:spacing w:after="0"/>
              <w:rPr>
                <w:sz w:val="20"/>
                <w:szCs w:val="20"/>
                <w:color w:val="auto"/>
              </w:rPr>
            </w:pPr>
            <w:r>
              <w:rPr>
                <w:rFonts w:ascii="Arial" w:cs="Arial" w:eastAsia="Arial" w:hAnsi="Arial"/>
                <w:sz w:val="18"/>
                <w:szCs w:val="18"/>
                <w:b w:val="1"/>
                <w:bCs w:val="1"/>
                <w:color w:val="auto"/>
              </w:rPr>
              <w:t>Asset</w:t>
            </w:r>
          </w:p>
        </w:tc>
        <w:tc>
          <w:tcPr>
            <w:tcW w:w="1200" w:type="dxa"/>
            <w:vAlign w:val="bottom"/>
          </w:tcPr>
          <w:p>
            <w:pPr>
              <w:jc w:val="right"/>
              <w:ind w:right="172"/>
              <w:spacing w:after="0"/>
              <w:rPr>
                <w:sz w:val="20"/>
                <w:szCs w:val="20"/>
                <w:color w:val="auto"/>
              </w:rPr>
            </w:pPr>
            <w:r>
              <w:rPr>
                <w:rFonts w:ascii="Arial" w:cs="Arial" w:eastAsia="Arial" w:hAnsi="Arial"/>
                <w:sz w:val="18"/>
                <w:szCs w:val="18"/>
                <w:b w:val="1"/>
                <w:bCs w:val="1"/>
                <w:color w:val="auto"/>
                <w:w w:val="95"/>
              </w:rPr>
              <w:t>Tradename</w:t>
            </w:r>
          </w:p>
        </w:tc>
        <w:tc>
          <w:tcPr>
            <w:tcW w:w="1120" w:type="dxa"/>
            <w:vAlign w:val="bottom"/>
          </w:tcPr>
          <w:p>
            <w:pPr>
              <w:jc w:val="right"/>
              <w:ind w:right="172"/>
              <w:spacing w:after="0"/>
              <w:rPr>
                <w:sz w:val="20"/>
                <w:szCs w:val="20"/>
                <w:color w:val="auto"/>
              </w:rPr>
            </w:pPr>
            <w:r>
              <w:rPr>
                <w:rFonts w:ascii="Arial" w:cs="Arial" w:eastAsia="Arial" w:hAnsi="Arial"/>
                <w:sz w:val="18"/>
                <w:szCs w:val="18"/>
                <w:b w:val="1"/>
                <w:bCs w:val="1"/>
                <w:color w:val="auto"/>
              </w:rPr>
              <w:t>Goodwill</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2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Cost</w:t>
            </w:r>
          </w:p>
        </w:tc>
        <w:tc>
          <w:tcPr>
            <w:tcW w:w="1180" w:type="dxa"/>
            <w:vAlign w:val="bottom"/>
          </w:tcPr>
          <w:p>
            <w:pPr>
              <w:jc w:val="right"/>
              <w:ind w:right="72"/>
              <w:spacing w:after="0"/>
              <w:rPr>
                <w:sz w:val="20"/>
                <w:szCs w:val="20"/>
                <w:color w:val="auto"/>
              </w:rPr>
            </w:pPr>
            <w:r>
              <w:rPr>
                <w:rFonts w:ascii="Arial" w:cs="Arial" w:eastAsia="Arial" w:hAnsi="Arial"/>
                <w:sz w:val="18"/>
                <w:szCs w:val="18"/>
                <w:b w:val="1"/>
                <w:bCs w:val="1"/>
                <w:color w:val="auto"/>
              </w:rPr>
              <w:t>US$’000</w:t>
            </w:r>
          </w:p>
        </w:tc>
        <w:tc>
          <w:tcPr>
            <w:tcW w:w="1360" w:type="dxa"/>
            <w:vAlign w:val="bottom"/>
          </w:tcPr>
          <w:p>
            <w:pPr>
              <w:jc w:val="right"/>
              <w:ind w:right="132"/>
              <w:spacing w:after="0"/>
              <w:rPr>
                <w:sz w:val="20"/>
                <w:szCs w:val="20"/>
                <w:color w:val="auto"/>
              </w:rPr>
            </w:pPr>
            <w:r>
              <w:rPr>
                <w:rFonts w:ascii="Arial" w:cs="Arial" w:eastAsia="Arial" w:hAnsi="Arial"/>
                <w:sz w:val="18"/>
                <w:szCs w:val="18"/>
                <w:b w:val="1"/>
                <w:bCs w:val="1"/>
                <w:color w:val="auto"/>
              </w:rPr>
              <w:t>US$’000</w:t>
            </w:r>
          </w:p>
        </w:tc>
        <w:tc>
          <w:tcPr>
            <w:tcW w:w="1120" w:type="dxa"/>
            <w:vAlign w:val="bottom"/>
          </w:tcPr>
          <w:p>
            <w:pPr>
              <w:jc w:val="right"/>
              <w:ind w:right="152"/>
              <w:spacing w:after="0"/>
              <w:rPr>
                <w:sz w:val="20"/>
                <w:szCs w:val="20"/>
                <w:color w:val="auto"/>
              </w:rPr>
            </w:pPr>
            <w:r>
              <w:rPr>
                <w:rFonts w:ascii="Arial" w:cs="Arial" w:eastAsia="Arial" w:hAnsi="Arial"/>
                <w:sz w:val="18"/>
                <w:szCs w:val="18"/>
                <w:b w:val="1"/>
                <w:bCs w:val="1"/>
                <w:color w:val="auto"/>
              </w:rPr>
              <w:t>US$’000</w:t>
            </w:r>
          </w:p>
        </w:tc>
        <w:tc>
          <w:tcPr>
            <w:tcW w:w="1040" w:type="dxa"/>
            <w:vAlign w:val="bottom"/>
          </w:tcPr>
          <w:p>
            <w:pPr>
              <w:jc w:val="right"/>
              <w:ind w:right="72"/>
              <w:spacing w:after="0"/>
              <w:rPr>
                <w:sz w:val="20"/>
                <w:szCs w:val="20"/>
                <w:color w:val="auto"/>
              </w:rPr>
            </w:pPr>
            <w:r>
              <w:rPr>
                <w:rFonts w:ascii="Arial" w:cs="Arial" w:eastAsia="Arial" w:hAnsi="Arial"/>
                <w:sz w:val="18"/>
                <w:szCs w:val="18"/>
                <w:b w:val="1"/>
                <w:bCs w:val="1"/>
                <w:color w:val="auto"/>
              </w:rPr>
              <w:t>US$’000</w:t>
            </w:r>
          </w:p>
        </w:tc>
        <w:tc>
          <w:tcPr>
            <w:tcW w:w="1120" w:type="dxa"/>
            <w:vAlign w:val="bottom"/>
          </w:tcPr>
          <w:p>
            <w:pPr>
              <w:jc w:val="right"/>
              <w:ind w:right="72"/>
              <w:spacing w:after="0"/>
              <w:rPr>
                <w:sz w:val="20"/>
                <w:szCs w:val="20"/>
                <w:color w:val="auto"/>
              </w:rPr>
            </w:pPr>
            <w:r>
              <w:rPr>
                <w:rFonts w:ascii="Arial" w:cs="Arial" w:eastAsia="Arial" w:hAnsi="Arial"/>
                <w:sz w:val="18"/>
                <w:szCs w:val="18"/>
                <w:b w:val="1"/>
                <w:bCs w:val="1"/>
                <w:color w:val="auto"/>
              </w:rPr>
              <w:t>US$’000</w:t>
            </w:r>
          </w:p>
        </w:tc>
        <w:tc>
          <w:tcPr>
            <w:tcW w:w="1200" w:type="dxa"/>
            <w:vAlign w:val="bottom"/>
          </w:tcPr>
          <w:p>
            <w:pPr>
              <w:jc w:val="right"/>
              <w:ind w:right="172"/>
              <w:spacing w:after="0"/>
              <w:rPr>
                <w:sz w:val="20"/>
                <w:szCs w:val="20"/>
                <w:color w:val="auto"/>
              </w:rPr>
            </w:pPr>
            <w:r>
              <w:rPr>
                <w:rFonts w:ascii="Arial" w:cs="Arial" w:eastAsia="Arial" w:hAnsi="Arial"/>
                <w:sz w:val="18"/>
                <w:szCs w:val="18"/>
                <w:b w:val="1"/>
                <w:bCs w:val="1"/>
                <w:color w:val="auto"/>
              </w:rPr>
              <w:t>US$’000</w:t>
            </w:r>
          </w:p>
        </w:tc>
        <w:tc>
          <w:tcPr>
            <w:tcW w:w="1120" w:type="dxa"/>
            <w:vAlign w:val="bottom"/>
          </w:tcPr>
          <w:p>
            <w:pPr>
              <w:jc w:val="right"/>
              <w:ind w:right="172"/>
              <w:spacing w:after="0"/>
              <w:rPr>
                <w:sz w:val="20"/>
                <w:szCs w:val="20"/>
                <w:color w:val="auto"/>
              </w:rPr>
            </w:pPr>
            <w:r>
              <w:rPr>
                <w:rFonts w:ascii="Arial" w:cs="Arial" w:eastAsia="Arial" w:hAnsi="Arial"/>
                <w:sz w:val="18"/>
                <w:szCs w:val="18"/>
                <w:b w:val="1"/>
                <w:bCs w:val="1"/>
                <w:color w:val="auto"/>
              </w:rPr>
              <w:t>US$’000</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US$’000</w:t>
            </w:r>
          </w:p>
        </w:tc>
        <w:tc>
          <w:tcPr>
            <w:tcW w:w="0" w:type="dxa"/>
            <w:vAlign w:val="bottom"/>
          </w:tcPr>
          <w:p>
            <w:pPr>
              <w:spacing w:after="0"/>
              <w:rPr>
                <w:sz w:val="1"/>
                <w:szCs w:val="1"/>
                <w:color w:val="auto"/>
              </w:rPr>
            </w:pPr>
          </w:p>
        </w:tc>
      </w:tr>
      <w:tr>
        <w:trPr>
          <w:trHeight w:val="212"/>
        </w:trPr>
        <w:tc>
          <w:tcPr>
            <w:tcW w:w="2320" w:type="dxa"/>
            <w:vAlign w:val="bottom"/>
            <w:gridSpan w:val="2"/>
            <w:vMerge w:val="continue"/>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2012</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95,477</w:t>
            </w: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23,646</w:t>
            </w:r>
          </w:p>
        </w:tc>
        <w:tc>
          <w:tcPr>
            <w:tcW w:w="11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1,325</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3,151</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10,202</w:t>
            </w:r>
          </w:p>
        </w:tc>
        <w:tc>
          <w:tcPr>
            <w:tcW w:w="12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1,239</w:t>
            </w: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267,402</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402,442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Additions</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9,244</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9,244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Disposal</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Arising on acquisition</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9</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68,512</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68,521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Prior period acquisitions</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534</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Foreign exchange movement</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(2,886)</w:t>
            </w:r>
          </w:p>
        </w:tc>
        <w:tc>
          <w:tcPr>
            <w:tcW w:w="13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(162)</w:t>
            </w:r>
          </w:p>
        </w:tc>
        <w:tc>
          <w:tcPr>
            <w:tcW w:w="11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(421)</w:t>
            </w:r>
          </w:p>
        </w:tc>
        <w:tc>
          <w:tcPr>
            <w:tcW w:w="12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(51)</w:t>
            </w:r>
          </w:p>
        </w:tc>
        <w:tc>
          <w:tcPr>
            <w:tcW w:w="11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(3,343)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(6,904)</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2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30 June 2012</w:t>
            </w: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101,782</w:t>
            </w:r>
          </w:p>
        </w:tc>
        <w:tc>
          <w:tcPr>
            <w:tcW w:w="13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23,484</w:t>
            </w:r>
          </w:p>
        </w:tc>
        <w:tc>
          <w:tcPr>
            <w:tcW w:w="11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1,325</w:t>
            </w: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3,110</w:t>
            </w:r>
          </w:p>
        </w:tc>
        <w:tc>
          <w:tcPr>
            <w:tcW w:w="11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9,781</w:t>
            </w:r>
          </w:p>
        </w:tc>
        <w:tc>
          <w:tcPr>
            <w:tcW w:w="12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1,188</w:t>
            </w:r>
          </w:p>
        </w:tc>
        <w:tc>
          <w:tcPr>
            <w:tcW w:w="11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333,105</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473,775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Amortisation</w:t>
            </w:r>
          </w:p>
        </w:tc>
        <w:tc>
          <w:tcPr>
            <w:tcW w:w="1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At 1 January 2012</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56,406</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7,626</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841</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2,084</w:t>
            </w: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623</w:t>
            </w: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126</w:t>
            </w: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67,706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Amortised in the year*</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6,648</w:t>
            </w: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1,658</w:t>
            </w:r>
          </w:p>
        </w:tc>
        <w:tc>
          <w:tcPr>
            <w:tcW w:w="11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109</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704</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689</w:t>
            </w:r>
          </w:p>
        </w:tc>
        <w:tc>
          <w:tcPr>
            <w:tcW w:w="12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139</w:t>
            </w: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9,947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Disposal</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(62)</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Foreign exchange movement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(1,921)</w:t>
            </w:r>
          </w:p>
        </w:tc>
        <w:tc>
          <w:tcPr>
            <w:tcW w:w="13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(39)</w:t>
            </w:r>
          </w:p>
        </w:tc>
        <w:tc>
          <w:tcPr>
            <w:tcW w:w="11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c>
          <w:tcPr>
            <w:tcW w:w="12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(13)</w:t>
            </w:r>
          </w:p>
        </w:tc>
        <w:tc>
          <w:tcPr>
            <w:tcW w:w="11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351"/>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30 June 2012</w:t>
            </w:r>
          </w:p>
        </w:tc>
        <w:tc>
          <w:tcPr>
            <w:tcW w:w="1180" w:type="dxa"/>
            <w:vAlign w:val="bottom"/>
          </w:tcPr>
          <w:p>
            <w:pPr>
              <w:jc w:val="right"/>
              <w:ind w:right="72"/>
              <w:spacing w:after="0"/>
              <w:rPr>
                <w:sz w:val="20"/>
                <w:szCs w:val="20"/>
                <w:color w:val="auto"/>
              </w:rPr>
            </w:pPr>
            <w:r>
              <w:rPr>
                <w:rFonts w:ascii="Arial" w:cs="Arial" w:eastAsia="Arial" w:hAnsi="Arial"/>
                <w:sz w:val="18"/>
                <w:szCs w:val="18"/>
                <w:b w:val="1"/>
                <w:bCs w:val="1"/>
                <w:color w:val="auto"/>
              </w:rPr>
              <w:t>61,071</w:t>
            </w:r>
          </w:p>
        </w:tc>
        <w:tc>
          <w:tcPr>
            <w:tcW w:w="1360" w:type="dxa"/>
            <w:vAlign w:val="bottom"/>
          </w:tcPr>
          <w:p>
            <w:pPr>
              <w:jc w:val="right"/>
              <w:ind w:right="132"/>
              <w:spacing w:after="0"/>
              <w:rPr>
                <w:sz w:val="20"/>
                <w:szCs w:val="20"/>
                <w:color w:val="auto"/>
              </w:rPr>
            </w:pPr>
            <w:r>
              <w:rPr>
                <w:rFonts w:ascii="Arial" w:cs="Arial" w:eastAsia="Arial" w:hAnsi="Arial"/>
                <w:sz w:val="18"/>
                <w:szCs w:val="18"/>
                <w:b w:val="1"/>
                <w:bCs w:val="1"/>
                <w:color w:val="auto"/>
              </w:rPr>
              <w:t>9,245</w:t>
            </w:r>
          </w:p>
        </w:tc>
        <w:tc>
          <w:tcPr>
            <w:tcW w:w="1120" w:type="dxa"/>
            <w:vAlign w:val="bottom"/>
          </w:tcPr>
          <w:p>
            <w:pPr>
              <w:jc w:val="right"/>
              <w:ind w:right="152"/>
              <w:spacing w:after="0"/>
              <w:rPr>
                <w:sz w:val="20"/>
                <w:szCs w:val="20"/>
                <w:color w:val="auto"/>
              </w:rPr>
            </w:pPr>
            <w:r>
              <w:rPr>
                <w:rFonts w:ascii="Arial" w:cs="Arial" w:eastAsia="Arial" w:hAnsi="Arial"/>
                <w:sz w:val="18"/>
                <w:szCs w:val="18"/>
                <w:b w:val="1"/>
                <w:bCs w:val="1"/>
                <w:color w:val="auto"/>
              </w:rPr>
              <w:t>950</w:t>
            </w:r>
          </w:p>
        </w:tc>
        <w:tc>
          <w:tcPr>
            <w:tcW w:w="1040" w:type="dxa"/>
            <w:vAlign w:val="bottom"/>
          </w:tcPr>
          <w:p>
            <w:pPr>
              <w:jc w:val="right"/>
              <w:ind w:right="72"/>
              <w:spacing w:after="0"/>
              <w:rPr>
                <w:sz w:val="20"/>
                <w:szCs w:val="20"/>
                <w:color w:val="auto"/>
              </w:rPr>
            </w:pPr>
            <w:r>
              <w:rPr>
                <w:rFonts w:ascii="Arial" w:cs="Arial" w:eastAsia="Arial" w:hAnsi="Arial"/>
                <w:sz w:val="18"/>
                <w:szCs w:val="18"/>
                <w:b w:val="1"/>
                <w:bCs w:val="1"/>
                <w:color w:val="auto"/>
              </w:rPr>
              <w:t>2,743</w:t>
            </w:r>
          </w:p>
        </w:tc>
        <w:tc>
          <w:tcPr>
            <w:tcW w:w="1120" w:type="dxa"/>
            <w:vAlign w:val="bottom"/>
          </w:tcPr>
          <w:p>
            <w:pPr>
              <w:jc w:val="right"/>
              <w:ind w:right="72"/>
              <w:spacing w:after="0"/>
              <w:rPr>
                <w:sz w:val="20"/>
                <w:szCs w:val="20"/>
                <w:color w:val="auto"/>
              </w:rPr>
            </w:pPr>
            <w:r>
              <w:rPr>
                <w:rFonts w:ascii="Arial" w:cs="Arial" w:eastAsia="Arial" w:hAnsi="Arial"/>
                <w:sz w:val="18"/>
                <w:szCs w:val="18"/>
                <w:b w:val="1"/>
                <w:bCs w:val="1"/>
                <w:color w:val="auto"/>
              </w:rPr>
              <w:t>1,250</w:t>
            </w:r>
          </w:p>
        </w:tc>
        <w:tc>
          <w:tcPr>
            <w:tcW w:w="1200" w:type="dxa"/>
            <w:vAlign w:val="bottom"/>
          </w:tcPr>
          <w:p>
            <w:pPr>
              <w:jc w:val="right"/>
              <w:ind w:right="172"/>
              <w:spacing w:after="0"/>
              <w:rPr>
                <w:sz w:val="20"/>
                <w:szCs w:val="20"/>
                <w:color w:val="auto"/>
              </w:rPr>
            </w:pPr>
            <w:r>
              <w:rPr>
                <w:rFonts w:ascii="Arial" w:cs="Arial" w:eastAsia="Arial" w:hAnsi="Arial"/>
                <w:sz w:val="18"/>
                <w:szCs w:val="18"/>
                <w:b w:val="1"/>
                <w:bCs w:val="1"/>
                <w:color w:val="auto"/>
              </w:rPr>
              <w:t>252</w:t>
            </w:r>
          </w:p>
        </w:tc>
        <w:tc>
          <w:tcPr>
            <w:tcW w:w="1120" w:type="dxa"/>
            <w:vAlign w:val="bottom"/>
          </w:tcPr>
          <w:p>
            <w:pPr>
              <w:jc w:val="right"/>
              <w:ind w:right="172"/>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75,511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b w:val="1"/>
                <w:bCs w:val="1"/>
                <w:color w:val="auto"/>
              </w:rPr>
              <w:t>Net book value</w:t>
            </w: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2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30 June 2012</w:t>
            </w: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40,711</w:t>
            </w:r>
          </w:p>
        </w:tc>
        <w:tc>
          <w:tcPr>
            <w:tcW w:w="13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14,239</w:t>
            </w:r>
          </w:p>
        </w:tc>
        <w:tc>
          <w:tcPr>
            <w:tcW w:w="11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375</w:t>
            </w: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367</w:t>
            </w:r>
          </w:p>
        </w:tc>
        <w:tc>
          <w:tcPr>
            <w:tcW w:w="11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8,531</w:t>
            </w:r>
          </w:p>
        </w:tc>
        <w:tc>
          <w:tcPr>
            <w:tcW w:w="12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936</w:t>
            </w:r>
          </w:p>
        </w:tc>
        <w:tc>
          <w:tcPr>
            <w:tcW w:w="11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333,105</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398,264</w:t>
            </w:r>
          </w:p>
        </w:tc>
        <w:tc>
          <w:tcPr>
            <w:tcW w:w="0" w:type="dxa"/>
            <w:vAlign w:val="bottom"/>
          </w:tcPr>
          <w:p>
            <w:pPr>
              <w:spacing w:after="0"/>
              <w:rPr>
                <w:sz w:val="1"/>
                <w:szCs w:val="1"/>
                <w:color w:val="auto"/>
              </w:rPr>
            </w:pPr>
          </w:p>
        </w:tc>
      </w:tr>
      <w:tr>
        <w:trPr>
          <w:trHeight w:val="205"/>
        </w:trPr>
        <w:tc>
          <w:tcPr>
            <w:tcW w:w="2320" w:type="dxa"/>
            <w:vAlign w:val="bottom"/>
            <w:gridSpan w:val="2"/>
          </w:tcPr>
          <w:p>
            <w:pPr>
              <w:spacing w:after="0"/>
              <w:rPr>
                <w:sz w:val="17"/>
                <w:szCs w:val="17"/>
                <w:color w:val="auto"/>
              </w:rPr>
            </w:pPr>
          </w:p>
        </w:tc>
        <w:tc>
          <w:tcPr>
            <w:tcW w:w="1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2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At 31 December 2011</w:t>
            </w: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39,071</w:t>
            </w:r>
          </w:p>
        </w:tc>
        <w:tc>
          <w:tcPr>
            <w:tcW w:w="13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16,020</w:t>
            </w:r>
          </w:p>
        </w:tc>
        <w:tc>
          <w:tcPr>
            <w:tcW w:w="11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484</w:t>
            </w: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1,067</w:t>
            </w:r>
          </w:p>
        </w:tc>
        <w:tc>
          <w:tcPr>
            <w:tcW w:w="11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9,579</w:t>
            </w:r>
          </w:p>
        </w:tc>
        <w:tc>
          <w:tcPr>
            <w:tcW w:w="12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1,113</w:t>
            </w:r>
          </w:p>
        </w:tc>
        <w:tc>
          <w:tcPr>
            <w:tcW w:w="11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267,402</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334,736</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320" w:right="340" w:firstLine="4"/>
        <w:spacing w:after="0" w:line="265" w:lineRule="auto"/>
        <w:tabs>
          <w:tab w:leader="none" w:pos="453" w:val="left"/>
        </w:tabs>
        <w:numPr>
          <w:ilvl w:val="0"/>
          <w:numId w:val="2"/>
        </w:numPr>
        <w:rPr>
          <w:rFonts w:ascii="Arial" w:cs="Arial" w:eastAsia="Arial" w:hAnsi="Arial"/>
          <w:sz w:val="18"/>
          <w:szCs w:val="18"/>
          <w:color w:val="auto"/>
        </w:rPr>
      </w:pPr>
      <w:r>
        <w:rPr>
          <w:rFonts w:ascii="Arial" w:cs="Arial" w:eastAsia="Arial" w:hAnsi="Arial"/>
          <w:sz w:val="18"/>
          <w:szCs w:val="18"/>
          <w:color w:val="auto"/>
        </w:rPr>
        <w:t>Excludes $0.8 million intangible asset amortisation included within other liabilities at 30 June 2012 pending finalisation of the Group’s purchase price allocation relating to the BeijingWits Medical and PriceSpective acquisitions completed during the period.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8" w:name="page29"/>
    <w:bookmarkEnd w:id="28"/>
    <w:p>
      <w:pPr>
        <w:spacing w:after="0"/>
        <w:rPr>
          <w:sz w:val="20"/>
          <w:szCs w:val="20"/>
          <w:color w:val="auto"/>
        </w:rPr>
      </w:pPr>
      <w:r>
        <w:rPr>
          <w:rFonts w:ascii="Arial" w:cs="Arial" w:eastAsia="Arial" w:hAnsi="Arial"/>
          <w:sz w:val="25"/>
          <w:szCs w:val="25"/>
          <w:color w:val="auto"/>
        </w:rPr>
        <w:t xml:space="preserve">Notes to Condensed Consolidated Interim Financial Statements </w:t>
      </w:r>
      <w:r>
        <w:rPr>
          <w:rFonts w:ascii="Arial" w:cs="Arial" w:eastAsia="Arial" w:hAnsi="Arial"/>
          <w:sz w:val="25"/>
          <w:szCs w:val="25"/>
          <w:i w:val="1"/>
          <w:iCs w:val="1"/>
          <w:color w:val="auto"/>
        </w:rPr>
        <w:t>(continued)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Business Combinations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PriceSpective</w:t>
      </w:r>
    </w:p>
    <w:p>
      <w:pPr>
        <w:spacing w:after="0" w:line="24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28 February 2012 the Company acquired 100% of the common stock of PriceSpective, a global leader in value strategy consulting, for an initial cash consideration of $37.1 million. Headquartered in Philadelphia, and with offices in London, Los Angeles, San Diego, Raleigh and Boston, PriceSpective is a premier consultancy that has a strong reputation for excellence in strategic pricing, market access, Health Economics and Outcomes Research (“HEOR”), due diligence support and payer engagement services. Since PriceSpective’s inception in 2003, it has developed strategies for dozens of new product launches, and hundreds of development and in-market products, across 40+ disease areas. Further consideration of up to $15.0 million may become payable if certain performance milestones are achieved in respect of periods up to December 2012. At 30 June 2012 the Company has recorded a liability of $15.0 million in respect of this additional consideration. On 14 August 2012 the Company paid a further $5.0 million in respect of certain elements of the additional consideration.</w:t>
      </w:r>
    </w:p>
    <w:p>
      <w:pPr>
        <w:spacing w:after="0" w:line="22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acquisition of PriceSpective has been accounted for as a business combination in accordance with IFRS 3 Business Combinations. The following table summarises the provisional fair values of the assets acquired and the liabilities assumed:</w:t>
      </w:r>
    </w:p>
    <w:p>
      <w:pPr>
        <w:spacing w:after="0" w:line="200" w:lineRule="exact"/>
        <w:rPr>
          <w:sz w:val="20"/>
          <w:szCs w:val="20"/>
          <w:color w:val="auto"/>
        </w:rPr>
      </w:pPr>
    </w:p>
    <w:tbl>
      <w:tblPr>
        <w:tblLayout w:type="fixed"/>
        <w:tblInd w:w="58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3340" w:type="dxa"/>
            <w:vAlign w:val="bottom"/>
          </w:tcPr>
          <w:p>
            <w:pPr>
              <w:jc w:val="right"/>
              <w:ind w:right="132"/>
              <w:spacing w:after="0"/>
              <w:rPr>
                <w:sz w:val="20"/>
                <w:szCs w:val="20"/>
                <w:color w:val="auto"/>
              </w:rPr>
            </w:pPr>
            <w:r>
              <w:rPr>
                <w:rFonts w:ascii="Arial" w:cs="Arial" w:eastAsia="Arial" w:hAnsi="Arial"/>
                <w:sz w:val="18"/>
                <w:szCs w:val="18"/>
                <w:b w:val="1"/>
                <w:bCs w:val="1"/>
                <w:color w:val="auto"/>
              </w:rPr>
              <w:t>Carrying</w:t>
            </w:r>
          </w:p>
        </w:tc>
        <w:tc>
          <w:tcPr>
            <w:tcW w:w="1400" w:type="dxa"/>
            <w:vAlign w:val="bottom"/>
          </w:tcPr>
          <w:p>
            <w:pPr>
              <w:jc w:val="right"/>
              <w:ind w:right="232"/>
              <w:spacing w:after="0"/>
              <w:rPr>
                <w:sz w:val="20"/>
                <w:szCs w:val="20"/>
                <w:color w:val="auto"/>
              </w:rPr>
            </w:pPr>
            <w:r>
              <w:rPr>
                <w:rFonts w:ascii="Arial" w:cs="Arial" w:eastAsia="Arial" w:hAnsi="Arial"/>
                <w:sz w:val="18"/>
                <w:szCs w:val="18"/>
                <w:b w:val="1"/>
                <w:bCs w:val="1"/>
                <w:color w:val="auto"/>
              </w:rPr>
              <w:t>Fair Value</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Fair</w:t>
            </w:r>
          </w:p>
        </w:tc>
      </w:tr>
      <w:tr>
        <w:trPr>
          <w:trHeight w:val="212"/>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3340" w:type="dxa"/>
            <w:vAlign w:val="bottom"/>
          </w:tcPr>
          <w:p>
            <w:pPr>
              <w:jc w:val="right"/>
              <w:ind w:right="132"/>
              <w:spacing w:after="0"/>
              <w:rPr>
                <w:sz w:val="20"/>
                <w:szCs w:val="20"/>
                <w:color w:val="auto"/>
              </w:rPr>
            </w:pPr>
            <w:r>
              <w:rPr>
                <w:rFonts w:ascii="Arial" w:cs="Arial" w:eastAsia="Arial" w:hAnsi="Arial"/>
                <w:sz w:val="18"/>
                <w:szCs w:val="18"/>
                <w:b w:val="1"/>
                <w:bCs w:val="1"/>
                <w:color w:val="auto"/>
              </w:rPr>
              <w:t>Value</w:t>
            </w:r>
          </w:p>
        </w:tc>
        <w:tc>
          <w:tcPr>
            <w:tcW w:w="1400" w:type="dxa"/>
            <w:vAlign w:val="bottom"/>
          </w:tcPr>
          <w:p>
            <w:pPr>
              <w:jc w:val="right"/>
              <w:ind w:right="252"/>
              <w:spacing w:after="0"/>
              <w:rPr>
                <w:sz w:val="20"/>
                <w:szCs w:val="20"/>
                <w:color w:val="auto"/>
              </w:rPr>
            </w:pPr>
            <w:r>
              <w:rPr>
                <w:rFonts w:ascii="Arial" w:cs="Arial" w:eastAsia="Arial" w:hAnsi="Arial"/>
                <w:sz w:val="18"/>
                <w:szCs w:val="18"/>
                <w:b w:val="1"/>
                <w:bCs w:val="1"/>
                <w:color w:val="auto"/>
              </w:rPr>
              <w:t>Adjustment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Value</w:t>
            </w:r>
          </w:p>
        </w:tc>
      </w:tr>
      <w:tr>
        <w:trPr>
          <w:trHeight w:val="229"/>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3340" w:type="dxa"/>
            <w:vAlign w:val="bottom"/>
          </w:tcPr>
          <w:p>
            <w:pPr>
              <w:jc w:val="right"/>
              <w:ind w:right="132"/>
              <w:spacing w:after="0"/>
              <w:rPr>
                <w:sz w:val="20"/>
                <w:szCs w:val="20"/>
                <w:color w:val="auto"/>
              </w:rPr>
            </w:pPr>
            <w:r>
              <w:rPr>
                <w:rFonts w:ascii="Arial" w:cs="Arial" w:eastAsia="Arial" w:hAnsi="Arial"/>
                <w:sz w:val="18"/>
                <w:szCs w:val="18"/>
                <w:b w:val="1"/>
                <w:bCs w:val="1"/>
                <w:color w:val="auto"/>
              </w:rPr>
              <w:t>US$’000</w:t>
            </w:r>
          </w:p>
        </w:tc>
        <w:tc>
          <w:tcPr>
            <w:tcW w:w="1400" w:type="dxa"/>
            <w:vAlign w:val="bottom"/>
          </w:tcPr>
          <w:p>
            <w:pPr>
              <w:jc w:val="right"/>
              <w:ind w:right="252"/>
              <w:spacing w:after="0"/>
              <w:rPr>
                <w:sz w:val="20"/>
                <w:szCs w:val="20"/>
                <w:color w:val="auto"/>
              </w:rPr>
            </w:pPr>
            <w:r>
              <w:rPr>
                <w:rFonts w:ascii="Arial" w:cs="Arial" w:eastAsia="Arial" w:hAnsi="Arial"/>
                <w:sz w:val="18"/>
                <w:szCs w:val="18"/>
                <w:b w:val="1"/>
                <w:bCs w:val="1"/>
                <w:color w:val="auto"/>
              </w:rPr>
              <w:t>US$’000</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US$’000</w:t>
            </w:r>
          </w:p>
        </w:tc>
      </w:tr>
      <w:tr>
        <w:trPr>
          <w:trHeight w:val="213"/>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247</w:t>
            </w:r>
          </w:p>
        </w:tc>
        <w:tc>
          <w:tcPr>
            <w:tcW w:w="14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247</w:t>
            </w:r>
          </w:p>
        </w:tc>
      </w:tr>
      <w:tr>
        <w:trPr>
          <w:trHeight w:val="212"/>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Intangible asset - computer software</w:t>
            </w:r>
          </w:p>
        </w:tc>
        <w:tc>
          <w:tcPr>
            <w:tcW w:w="3340" w:type="dxa"/>
            <w:vAlign w:val="bottom"/>
          </w:tcPr>
          <w:p>
            <w:pPr>
              <w:jc w:val="right"/>
              <w:ind w:right="132"/>
              <w:spacing w:after="0"/>
              <w:rPr>
                <w:sz w:val="20"/>
                <w:szCs w:val="20"/>
                <w:color w:val="auto"/>
              </w:rPr>
            </w:pPr>
            <w:r>
              <w:rPr>
                <w:rFonts w:ascii="Arial" w:cs="Arial" w:eastAsia="Arial" w:hAnsi="Arial"/>
                <w:sz w:val="18"/>
                <w:szCs w:val="18"/>
                <w:color w:val="auto"/>
              </w:rPr>
              <w:t>9</w:t>
            </w:r>
          </w:p>
        </w:tc>
        <w:tc>
          <w:tcPr>
            <w:tcW w:w="14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w:t>
            </w:r>
          </w:p>
        </w:tc>
      </w:tr>
      <w:tr>
        <w:trPr>
          <w:trHeight w:val="212"/>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2,311</w:t>
            </w:r>
          </w:p>
        </w:tc>
        <w:tc>
          <w:tcPr>
            <w:tcW w:w="14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2,311</w:t>
            </w:r>
          </w:p>
        </w:tc>
      </w:tr>
      <w:tr>
        <w:trPr>
          <w:trHeight w:val="212"/>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Accounts receivable</w:t>
            </w:r>
          </w:p>
        </w:tc>
        <w:tc>
          <w:tcPr>
            <w:tcW w:w="3340" w:type="dxa"/>
            <w:vAlign w:val="bottom"/>
          </w:tcPr>
          <w:p>
            <w:pPr>
              <w:jc w:val="right"/>
              <w:ind w:right="132"/>
              <w:spacing w:after="0"/>
              <w:rPr>
                <w:sz w:val="20"/>
                <w:szCs w:val="20"/>
                <w:color w:val="auto"/>
              </w:rPr>
            </w:pPr>
            <w:r>
              <w:rPr>
                <w:rFonts w:ascii="Arial" w:cs="Arial" w:eastAsia="Arial" w:hAnsi="Arial"/>
                <w:sz w:val="18"/>
                <w:szCs w:val="18"/>
                <w:color w:val="auto"/>
              </w:rPr>
              <w:t>2,662</w:t>
            </w:r>
          </w:p>
        </w:tc>
        <w:tc>
          <w:tcPr>
            <w:tcW w:w="14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2,662</w:t>
            </w:r>
          </w:p>
        </w:tc>
      </w:tr>
      <w:tr>
        <w:trPr>
          <w:trHeight w:val="212"/>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3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1,140</w:t>
            </w:r>
          </w:p>
        </w:tc>
        <w:tc>
          <w:tcPr>
            <w:tcW w:w="14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1,140</w:t>
            </w:r>
          </w:p>
        </w:tc>
      </w:tr>
      <w:tr>
        <w:trPr>
          <w:trHeight w:val="212"/>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Other current assets</w:t>
            </w:r>
          </w:p>
        </w:tc>
        <w:tc>
          <w:tcPr>
            <w:tcW w:w="3340" w:type="dxa"/>
            <w:vAlign w:val="bottom"/>
          </w:tcPr>
          <w:p>
            <w:pPr>
              <w:jc w:val="right"/>
              <w:ind w:right="132"/>
              <w:spacing w:after="0"/>
              <w:rPr>
                <w:sz w:val="20"/>
                <w:szCs w:val="20"/>
                <w:color w:val="auto"/>
              </w:rPr>
            </w:pPr>
            <w:r>
              <w:rPr>
                <w:rFonts w:ascii="Arial" w:cs="Arial" w:eastAsia="Arial" w:hAnsi="Arial"/>
                <w:sz w:val="18"/>
                <w:szCs w:val="18"/>
                <w:color w:val="auto"/>
              </w:rPr>
              <w:t>236</w:t>
            </w:r>
          </w:p>
        </w:tc>
        <w:tc>
          <w:tcPr>
            <w:tcW w:w="14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236</w:t>
            </w:r>
          </w:p>
        </w:tc>
      </w:tr>
      <w:tr>
        <w:trPr>
          <w:trHeight w:val="212"/>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(7,846)</w:t>
            </w:r>
          </w:p>
        </w:tc>
        <w:tc>
          <w:tcPr>
            <w:tcW w:w="14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(7,846)</w:t>
            </w:r>
          </w:p>
        </w:tc>
      </w:tr>
      <w:tr>
        <w:trPr>
          <w:trHeight w:val="219"/>
        </w:trPr>
        <w:tc>
          <w:tcPr>
            <w:tcW w:w="20" w:type="dxa"/>
            <w:vAlign w:val="bottom"/>
          </w:tcPr>
          <w:p>
            <w:pPr>
              <w:spacing w:after="0"/>
              <w:rPr>
                <w:sz w:val="19"/>
                <w:szCs w:val="19"/>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Goodwill</w:t>
            </w:r>
          </w:p>
        </w:tc>
        <w:tc>
          <w:tcPr>
            <w:tcW w:w="3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53,373</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53,373</w:t>
            </w:r>
          </w:p>
        </w:tc>
      </w:tr>
      <w:tr>
        <w:trPr>
          <w:trHeight w:val="252"/>
        </w:trPr>
        <w:tc>
          <w:tcPr>
            <w:tcW w:w="20" w:type="dxa"/>
            <w:vAlign w:val="bottom"/>
          </w:tcPr>
          <w:p>
            <w:pPr>
              <w:spacing w:after="0"/>
              <w:rPr>
                <w:sz w:val="21"/>
                <w:szCs w:val="21"/>
                <w:color w:val="auto"/>
              </w:rPr>
            </w:pPr>
          </w:p>
        </w:tc>
        <w:tc>
          <w:tcPr>
            <w:tcW w:w="5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33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52,132</w:t>
            </w:r>
          </w:p>
        </w:tc>
      </w:tr>
    </w:tbl>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Goodwill represents the acquisition of an established workforce with experience in strategic pricing, market access, HEOR, due diligence support and payer engagement services.</w:t>
      </w:r>
    </w:p>
    <w:p>
      <w:pPr>
        <w:spacing w:after="0" w:line="206"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The carrying values of accounts receivable, unbilled revenue and other current assets above are carried at amortised cost and assumed to be approximate to their fair values due to the short term nature of these balances. There is no evidence that the Group will not be able to collect all amounts due.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600" w:right="239" w:bottom="1440" w:gutter="0" w:footer="0" w:header="0"/>
        </w:sectPr>
      </w:pPr>
    </w:p>
    <w:bookmarkStart w:id="29" w:name="page30"/>
    <w:bookmarkEnd w:id="29"/>
    <w:p>
      <w:pPr>
        <w:spacing w:after="0"/>
        <w:rPr>
          <w:sz w:val="20"/>
          <w:szCs w:val="20"/>
          <w:color w:val="auto"/>
        </w:rPr>
      </w:pPr>
      <w:r>
        <w:rPr>
          <w:rFonts w:ascii="Arial" w:cs="Arial" w:eastAsia="Arial" w:hAnsi="Arial"/>
          <w:sz w:val="25"/>
          <w:szCs w:val="25"/>
          <w:color w:val="auto"/>
        </w:rPr>
        <w:t xml:space="preserve">Notes to Condensed Consolidated Interim Financial Statements </w:t>
      </w:r>
      <w:r>
        <w:rPr>
          <w:rFonts w:ascii="Arial" w:cs="Arial" w:eastAsia="Arial" w:hAnsi="Arial"/>
          <w:sz w:val="25"/>
          <w:szCs w:val="25"/>
          <w:i w:val="1"/>
          <w:iCs w:val="1"/>
          <w:color w:val="auto"/>
        </w:rPr>
        <w:t>(continued)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 Business Combinations </w:t>
      </w:r>
      <w:r>
        <w:rPr>
          <w:rFonts w:ascii="Arial" w:cs="Arial" w:eastAsia="Arial" w:hAnsi="Arial"/>
          <w:sz w:val="18"/>
          <w:szCs w:val="18"/>
          <w:b w:val="1"/>
          <w:bCs w:val="1"/>
          <w:i w:val="1"/>
          <w:iCs w:val="1"/>
          <w:color w:val="auto"/>
        </w:rPr>
        <w:t>(continued)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BeijingWits Medical</w:t>
      </w:r>
    </w:p>
    <w:p>
      <w:pPr>
        <w:spacing w:after="0" w:line="244"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On 15 February 2012 the Company acquired 100% of the common stock of BeijingWits Medical, a leading Chinese CRO, for an initial cash consideration of $9.0 million. BeijingWits Medical offers full-service clinical development capabilities and has a strong track record in clinical trial execution in China. It is a renowned expert in Chinese regulatory processes and a leading advocate of International Conference on Harmonisation Good Clinical Practice (“ICH GCP”) in China. In addition to boosting the Company’s service capabilities in the region, BeijingWits Medical will also strengthen the Company’s presence through the addition of over 100 highly qualified and experienced professionals in Beijing, Shanghai, Chengdu, Guangzhou, Wuhan and Hong Kong. Further consideration of up to $7.0 million may become payable if certain performance milestones are achieved in respect of periods up to 31 December 2013. At 30 June 2012 the Company has recorded a liability of $7.0 million in respect of the additional consideration.</w:t>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acquisition of BeijingWits has been accounted for as a business combination in accordance with IFRS 3 Business Combinations. The following table summarises the provisional fair values of the assets acquired and the liabilities assumed:</w:t>
      </w:r>
    </w:p>
    <w:p>
      <w:pPr>
        <w:spacing w:after="0" w:line="200" w:lineRule="exact"/>
        <w:rPr>
          <w:sz w:val="20"/>
          <w:szCs w:val="20"/>
          <w:color w:val="auto"/>
        </w:rPr>
      </w:pPr>
    </w:p>
    <w:tbl>
      <w:tblPr>
        <w:tblLayout w:type="fixed"/>
        <w:tblInd w:w="58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3580" w:type="dxa"/>
            <w:vAlign w:val="bottom"/>
          </w:tcPr>
          <w:p>
            <w:pPr>
              <w:jc w:val="right"/>
              <w:ind w:right="132"/>
              <w:spacing w:after="0"/>
              <w:rPr>
                <w:sz w:val="20"/>
                <w:szCs w:val="20"/>
                <w:color w:val="auto"/>
              </w:rPr>
            </w:pPr>
            <w:r>
              <w:rPr>
                <w:rFonts w:ascii="Arial" w:cs="Arial" w:eastAsia="Arial" w:hAnsi="Arial"/>
                <w:sz w:val="18"/>
                <w:szCs w:val="18"/>
                <w:b w:val="1"/>
                <w:bCs w:val="1"/>
                <w:color w:val="auto"/>
              </w:rPr>
              <w:t>Carrying</w:t>
            </w:r>
          </w:p>
        </w:tc>
        <w:tc>
          <w:tcPr>
            <w:tcW w:w="1400" w:type="dxa"/>
            <w:vAlign w:val="bottom"/>
          </w:tcPr>
          <w:p>
            <w:pPr>
              <w:jc w:val="right"/>
              <w:ind w:right="232"/>
              <w:spacing w:after="0"/>
              <w:rPr>
                <w:sz w:val="20"/>
                <w:szCs w:val="20"/>
                <w:color w:val="auto"/>
              </w:rPr>
            </w:pPr>
            <w:r>
              <w:rPr>
                <w:rFonts w:ascii="Arial" w:cs="Arial" w:eastAsia="Arial" w:hAnsi="Arial"/>
                <w:sz w:val="18"/>
                <w:szCs w:val="18"/>
                <w:b w:val="1"/>
                <w:bCs w:val="1"/>
                <w:color w:val="auto"/>
              </w:rPr>
              <w:t>Fair Value</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Fair</w:t>
            </w:r>
          </w:p>
        </w:tc>
      </w:tr>
      <w:tr>
        <w:trPr>
          <w:trHeight w:val="212"/>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3580" w:type="dxa"/>
            <w:vAlign w:val="bottom"/>
          </w:tcPr>
          <w:p>
            <w:pPr>
              <w:jc w:val="right"/>
              <w:ind w:right="132"/>
              <w:spacing w:after="0"/>
              <w:rPr>
                <w:sz w:val="20"/>
                <w:szCs w:val="20"/>
                <w:color w:val="auto"/>
              </w:rPr>
            </w:pPr>
            <w:r>
              <w:rPr>
                <w:rFonts w:ascii="Arial" w:cs="Arial" w:eastAsia="Arial" w:hAnsi="Arial"/>
                <w:sz w:val="18"/>
                <w:szCs w:val="18"/>
                <w:b w:val="1"/>
                <w:bCs w:val="1"/>
                <w:color w:val="auto"/>
              </w:rPr>
              <w:t>Value</w:t>
            </w:r>
          </w:p>
        </w:tc>
        <w:tc>
          <w:tcPr>
            <w:tcW w:w="1400" w:type="dxa"/>
            <w:vAlign w:val="bottom"/>
          </w:tcPr>
          <w:p>
            <w:pPr>
              <w:jc w:val="right"/>
              <w:ind w:right="252"/>
              <w:spacing w:after="0"/>
              <w:rPr>
                <w:sz w:val="20"/>
                <w:szCs w:val="20"/>
                <w:color w:val="auto"/>
              </w:rPr>
            </w:pPr>
            <w:r>
              <w:rPr>
                <w:rFonts w:ascii="Arial" w:cs="Arial" w:eastAsia="Arial" w:hAnsi="Arial"/>
                <w:sz w:val="18"/>
                <w:szCs w:val="18"/>
                <w:b w:val="1"/>
                <w:bCs w:val="1"/>
                <w:color w:val="auto"/>
              </w:rPr>
              <w:t>Adjustment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Value</w:t>
            </w:r>
          </w:p>
        </w:tc>
      </w:tr>
      <w:tr>
        <w:trPr>
          <w:trHeight w:val="229"/>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3580" w:type="dxa"/>
            <w:vAlign w:val="bottom"/>
          </w:tcPr>
          <w:p>
            <w:pPr>
              <w:jc w:val="right"/>
              <w:ind w:right="132"/>
              <w:spacing w:after="0"/>
              <w:rPr>
                <w:sz w:val="20"/>
                <w:szCs w:val="20"/>
                <w:color w:val="auto"/>
              </w:rPr>
            </w:pPr>
            <w:r>
              <w:rPr>
                <w:rFonts w:ascii="Arial" w:cs="Arial" w:eastAsia="Arial" w:hAnsi="Arial"/>
                <w:sz w:val="18"/>
                <w:szCs w:val="18"/>
                <w:b w:val="1"/>
                <w:bCs w:val="1"/>
                <w:color w:val="auto"/>
              </w:rPr>
              <w:t>US$’000</w:t>
            </w:r>
          </w:p>
        </w:tc>
        <w:tc>
          <w:tcPr>
            <w:tcW w:w="1400" w:type="dxa"/>
            <w:vAlign w:val="bottom"/>
          </w:tcPr>
          <w:p>
            <w:pPr>
              <w:jc w:val="right"/>
              <w:ind w:right="252"/>
              <w:spacing w:after="0"/>
              <w:rPr>
                <w:sz w:val="20"/>
                <w:szCs w:val="20"/>
                <w:color w:val="auto"/>
              </w:rPr>
            </w:pPr>
            <w:r>
              <w:rPr>
                <w:rFonts w:ascii="Arial" w:cs="Arial" w:eastAsia="Arial" w:hAnsi="Arial"/>
                <w:sz w:val="18"/>
                <w:szCs w:val="18"/>
                <w:b w:val="1"/>
                <w:bCs w:val="1"/>
                <w:color w:val="auto"/>
              </w:rPr>
              <w:t>US$’000</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US$’000</w:t>
            </w:r>
          </w:p>
        </w:tc>
      </w:tr>
      <w:tr>
        <w:trPr>
          <w:trHeight w:val="213"/>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172</w:t>
            </w:r>
          </w:p>
        </w:tc>
        <w:tc>
          <w:tcPr>
            <w:tcW w:w="14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172</w:t>
            </w:r>
          </w:p>
        </w:tc>
      </w:tr>
      <w:tr>
        <w:trPr>
          <w:trHeight w:val="212"/>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580" w:type="dxa"/>
            <w:vAlign w:val="bottom"/>
          </w:tcPr>
          <w:p>
            <w:pPr>
              <w:jc w:val="right"/>
              <w:ind w:right="132"/>
              <w:spacing w:after="0"/>
              <w:rPr>
                <w:sz w:val="20"/>
                <w:szCs w:val="20"/>
                <w:color w:val="auto"/>
              </w:rPr>
            </w:pPr>
            <w:r>
              <w:rPr>
                <w:rFonts w:ascii="Arial" w:cs="Arial" w:eastAsia="Arial" w:hAnsi="Arial"/>
                <w:sz w:val="18"/>
                <w:szCs w:val="18"/>
                <w:color w:val="auto"/>
              </w:rPr>
              <w:t>587</w:t>
            </w:r>
          </w:p>
        </w:tc>
        <w:tc>
          <w:tcPr>
            <w:tcW w:w="14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587</w:t>
            </w:r>
          </w:p>
        </w:tc>
      </w:tr>
      <w:tr>
        <w:trPr>
          <w:trHeight w:val="212"/>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657</w:t>
            </w:r>
          </w:p>
        </w:tc>
        <w:tc>
          <w:tcPr>
            <w:tcW w:w="14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657</w:t>
            </w:r>
          </w:p>
        </w:tc>
      </w:tr>
      <w:tr>
        <w:trPr>
          <w:trHeight w:val="212"/>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Unbilled Revenue</w:t>
            </w:r>
          </w:p>
        </w:tc>
        <w:tc>
          <w:tcPr>
            <w:tcW w:w="3580" w:type="dxa"/>
            <w:vAlign w:val="bottom"/>
          </w:tcPr>
          <w:p>
            <w:pPr>
              <w:jc w:val="right"/>
              <w:ind w:right="132"/>
              <w:spacing w:after="0"/>
              <w:rPr>
                <w:sz w:val="20"/>
                <w:szCs w:val="20"/>
                <w:color w:val="auto"/>
              </w:rPr>
            </w:pPr>
            <w:r>
              <w:rPr>
                <w:rFonts w:ascii="Arial" w:cs="Arial" w:eastAsia="Arial" w:hAnsi="Arial"/>
                <w:sz w:val="18"/>
                <w:szCs w:val="18"/>
                <w:color w:val="auto"/>
              </w:rPr>
              <w:t>176</w:t>
            </w:r>
          </w:p>
        </w:tc>
        <w:tc>
          <w:tcPr>
            <w:tcW w:w="14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176</w:t>
            </w:r>
          </w:p>
        </w:tc>
      </w:tr>
      <w:tr>
        <w:trPr>
          <w:trHeight w:val="212"/>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228</w:t>
            </w:r>
          </w:p>
        </w:tc>
        <w:tc>
          <w:tcPr>
            <w:tcW w:w="14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228</w:t>
            </w:r>
          </w:p>
        </w:tc>
      </w:tr>
      <w:tr>
        <w:trPr>
          <w:trHeight w:val="212"/>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Non current assets</w:t>
            </w:r>
          </w:p>
        </w:tc>
        <w:tc>
          <w:tcPr>
            <w:tcW w:w="3580" w:type="dxa"/>
            <w:vAlign w:val="bottom"/>
          </w:tcPr>
          <w:p>
            <w:pPr>
              <w:jc w:val="right"/>
              <w:ind w:right="132"/>
              <w:spacing w:after="0"/>
              <w:rPr>
                <w:sz w:val="20"/>
                <w:szCs w:val="20"/>
                <w:color w:val="auto"/>
              </w:rPr>
            </w:pPr>
            <w:r>
              <w:rPr>
                <w:rFonts w:ascii="Arial" w:cs="Arial" w:eastAsia="Arial" w:hAnsi="Arial"/>
                <w:sz w:val="18"/>
                <w:szCs w:val="18"/>
                <w:color w:val="auto"/>
              </w:rPr>
              <w:t>48</w:t>
            </w:r>
          </w:p>
        </w:tc>
        <w:tc>
          <w:tcPr>
            <w:tcW w:w="14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48</w:t>
            </w:r>
          </w:p>
        </w:tc>
      </w:tr>
      <w:tr>
        <w:trPr>
          <w:trHeight w:val="212"/>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(1,007)</w:t>
            </w:r>
          </w:p>
        </w:tc>
        <w:tc>
          <w:tcPr>
            <w:tcW w:w="14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r>
      <w:tr>
        <w:trPr>
          <w:trHeight w:val="219"/>
        </w:trPr>
        <w:tc>
          <w:tcPr>
            <w:tcW w:w="20" w:type="dxa"/>
            <w:vAlign w:val="bottom"/>
          </w:tcPr>
          <w:p>
            <w:pPr>
              <w:spacing w:after="0"/>
              <w:rPr>
                <w:sz w:val="19"/>
                <w:szCs w:val="19"/>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Goodwill</w:t>
            </w:r>
          </w:p>
        </w:tc>
        <w:tc>
          <w:tcPr>
            <w:tcW w:w="3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15,139</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15,139</w:t>
            </w:r>
          </w:p>
        </w:tc>
      </w:tr>
      <w:tr>
        <w:trPr>
          <w:trHeight w:val="252"/>
        </w:trPr>
        <w:tc>
          <w:tcPr>
            <w:tcW w:w="20" w:type="dxa"/>
            <w:vAlign w:val="bottom"/>
          </w:tcPr>
          <w:p>
            <w:pPr>
              <w:spacing w:after="0"/>
              <w:rPr>
                <w:sz w:val="21"/>
                <w:szCs w:val="21"/>
                <w:color w:val="auto"/>
              </w:rPr>
            </w:pPr>
          </w:p>
        </w:tc>
        <w:tc>
          <w:tcPr>
            <w:tcW w:w="4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35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16,000</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Goodwill represents the acquisition of an established workforce with experience in clinical trial execution and regulatory processes in China.</w:t>
      </w:r>
    </w:p>
    <w:p>
      <w:pPr>
        <w:spacing w:after="0" w:line="244"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The carrying values of accounts receivable, unbilled revenue and other current assets in the above table are carried at amortised cost and assumed to be approximate to their fair values due to the short term nature of these balances. There is no evidence that the Group will not be able to collect all amounts due.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600" w:right="239" w:bottom="1440" w:gutter="0" w:footer="0" w:header="0"/>
        </w:sectPr>
      </w:pPr>
    </w:p>
    <w:bookmarkStart w:id="30" w:name="page31"/>
    <w:bookmarkEnd w:id="30"/>
    <w:p>
      <w:pPr>
        <w:spacing w:after="0"/>
        <w:rPr>
          <w:sz w:val="20"/>
          <w:szCs w:val="20"/>
          <w:color w:val="auto"/>
        </w:rPr>
      </w:pPr>
      <w:r>
        <w:rPr>
          <w:rFonts w:ascii="Arial" w:cs="Arial" w:eastAsia="Arial" w:hAnsi="Arial"/>
          <w:sz w:val="25"/>
          <w:szCs w:val="25"/>
          <w:color w:val="auto"/>
        </w:rPr>
        <w:t xml:space="preserve">Notes to Condensed Consolidated Interim Financial Statements </w:t>
      </w:r>
      <w:r>
        <w:rPr>
          <w:rFonts w:ascii="Arial" w:cs="Arial" w:eastAsia="Arial" w:hAnsi="Arial"/>
          <w:sz w:val="25"/>
          <w:szCs w:val="25"/>
          <w:i w:val="1"/>
          <w:iCs w:val="1"/>
          <w:color w:val="auto"/>
        </w:rPr>
        <w:t>(continued)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12. Accounts receivable, unbilled revenue and payments on account</w:t>
            </w:r>
          </w:p>
        </w:tc>
        <w:tc>
          <w:tcPr>
            <w:tcW w:w="30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3000" w:type="dxa"/>
            <w:vAlign w:val="bottom"/>
          </w:tcPr>
          <w:p>
            <w:pPr>
              <w:jc w:val="right"/>
              <w:ind w:right="152"/>
              <w:spacing w:after="0"/>
              <w:rPr>
                <w:sz w:val="20"/>
                <w:szCs w:val="20"/>
                <w:color w:val="auto"/>
              </w:rPr>
            </w:pPr>
            <w:r>
              <w:rPr>
                <w:rFonts w:ascii="Arial" w:cs="Arial" w:eastAsia="Arial" w:hAnsi="Arial"/>
                <w:sz w:val="18"/>
                <w:szCs w:val="18"/>
                <w:b w:val="1"/>
                <w:bCs w:val="1"/>
                <w:color w:val="auto"/>
              </w:rPr>
              <w:t>30 June</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3000" w:type="dxa"/>
            <w:vAlign w:val="bottom"/>
          </w:tcPr>
          <w:p>
            <w:pPr>
              <w:jc w:val="right"/>
              <w:ind w:right="152"/>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3000" w:type="dxa"/>
            <w:vAlign w:val="bottom"/>
          </w:tcPr>
          <w:p>
            <w:pPr>
              <w:jc w:val="right"/>
              <w:ind w:right="152"/>
              <w:spacing w:after="0"/>
              <w:rPr>
                <w:sz w:val="20"/>
                <w:szCs w:val="20"/>
                <w:color w:val="auto"/>
              </w:rPr>
            </w:pPr>
            <w:r>
              <w:rPr>
                <w:rFonts w:ascii="Arial" w:cs="Arial" w:eastAsia="Arial" w:hAnsi="Arial"/>
                <w:sz w:val="18"/>
                <w:szCs w:val="18"/>
                <w:b w:val="1"/>
                <w:bCs w:val="1"/>
                <w:color w:val="auto"/>
              </w:rPr>
              <w:t>US$’000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0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233,017</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206,864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amounts provided for doubtful debts</w:t>
            </w:r>
          </w:p>
        </w:tc>
        <w:tc>
          <w:tcPr>
            <w:tcW w:w="3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(4,802)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30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228,215</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201,338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30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115,407</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126,850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Payments on account</w:t>
            </w:r>
          </w:p>
        </w:tc>
        <w:tc>
          <w:tcPr>
            <w:tcW w:w="3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(194,514)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(150,792)</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7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 outstanding</w:t>
            </w:r>
          </w:p>
        </w:tc>
        <w:tc>
          <w:tcPr>
            <w:tcW w:w="30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149,108</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177,396</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Clinical research and development contracts are generally fixed price with some variable components and range in duration from a few months to several years. Revenue from contracts is generally recognised as income on the basis of the relationship between time incurred and the total estimated contract duration or on a fee-for-service basis. The cash flow from contracts typically consists of a small down payment paid at the time the contract is entered into, with the balance paid in instalments over the contract's duration and in some cases upon the achievement of certain milestones. Accordingly, cash receipts do not necessarily correspond to costs incurred and revenue recognised on contracts. Revenue outstanding comprises accounts receivable and unbilled revenue, less payments on account. The dollar values of these amounts and the related days revenue outstanding can vary due to the achievement of contractual milestones, including contract signing, and the timing of cash receipts. The number of days revenue outstanding at 30 June 2012 was 36 days compared to 47 days at 31 December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 aged analysis of the Company’s accounts receivable is set out in the tables below:</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20" w:type="dxa"/>
            <w:vAlign w:val="bottom"/>
          </w:tcPr>
          <w:p>
            <w:pPr>
              <w:jc w:val="right"/>
              <w:ind w:right="152"/>
              <w:spacing w:after="0"/>
              <w:rPr>
                <w:sz w:val="20"/>
                <w:szCs w:val="20"/>
                <w:color w:val="auto"/>
              </w:rPr>
            </w:pPr>
            <w:r>
              <w:rPr>
                <w:rFonts w:ascii="Arial" w:cs="Arial" w:eastAsia="Arial" w:hAnsi="Arial"/>
                <w:sz w:val="18"/>
                <w:szCs w:val="18"/>
                <w:b w:val="1"/>
                <w:bCs w:val="1"/>
                <w:color w:val="auto"/>
              </w:rPr>
              <w:t>Gross</w:t>
            </w:r>
          </w:p>
        </w:tc>
        <w:tc>
          <w:tcPr>
            <w:tcW w:w="1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Gross</w:t>
            </w:r>
          </w:p>
        </w:tc>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20" w:type="dxa"/>
            <w:vAlign w:val="bottom"/>
          </w:tcPr>
          <w:p>
            <w:pPr>
              <w:jc w:val="right"/>
              <w:ind w:right="152"/>
              <w:spacing w:after="0"/>
              <w:rPr>
                <w:sz w:val="20"/>
                <w:szCs w:val="20"/>
                <w:color w:val="auto"/>
              </w:rPr>
            </w:pPr>
            <w:r>
              <w:rPr>
                <w:rFonts w:ascii="Arial" w:cs="Arial" w:eastAsia="Arial" w:hAnsi="Arial"/>
                <w:sz w:val="18"/>
                <w:szCs w:val="18"/>
                <w:b w:val="1"/>
                <w:bCs w:val="1"/>
                <w:color w:val="auto"/>
              </w:rPr>
              <w:t>accounts</w:t>
            </w:r>
          </w:p>
        </w:tc>
        <w:tc>
          <w:tcPr>
            <w:tcW w:w="1400" w:type="dxa"/>
            <w:vAlign w:val="bottom"/>
          </w:tcPr>
          <w:p>
            <w:pPr>
              <w:jc w:val="right"/>
              <w:ind w:right="152"/>
              <w:spacing w:after="0"/>
              <w:rPr>
                <w:sz w:val="20"/>
                <w:szCs w:val="20"/>
                <w:color w:val="auto"/>
              </w:rPr>
            </w:pPr>
            <w:r>
              <w:rPr>
                <w:rFonts w:ascii="Arial" w:cs="Arial" w:eastAsia="Arial" w:hAnsi="Arial"/>
                <w:sz w:val="18"/>
                <w:szCs w:val="18"/>
                <w:b w:val="1"/>
                <w:bCs w:val="1"/>
                <w:color w:val="auto"/>
              </w:rPr>
              <w:t>Impairment</w:t>
            </w:r>
          </w:p>
        </w:tc>
        <w:tc>
          <w:tcPr>
            <w:tcW w:w="1360" w:type="dxa"/>
            <w:vAlign w:val="bottom"/>
          </w:tcPr>
          <w:p>
            <w:pPr>
              <w:jc w:val="right"/>
              <w:ind w:right="112"/>
              <w:spacing w:after="0"/>
              <w:rPr>
                <w:sz w:val="20"/>
                <w:szCs w:val="20"/>
                <w:color w:val="auto"/>
              </w:rPr>
            </w:pPr>
            <w:r>
              <w:rPr>
                <w:rFonts w:ascii="Arial" w:cs="Arial" w:eastAsia="Arial" w:hAnsi="Arial"/>
                <w:sz w:val="18"/>
                <w:szCs w:val="18"/>
                <w:b w:val="1"/>
                <w:bCs w:val="1"/>
                <w:color w:val="auto"/>
              </w:rPr>
              <w:t>Net accounts</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accounts</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Impairment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Net accounts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20" w:type="dxa"/>
            <w:vAlign w:val="bottom"/>
          </w:tcPr>
          <w:p>
            <w:pPr>
              <w:jc w:val="right"/>
              <w:ind w:right="152"/>
              <w:spacing w:after="0"/>
              <w:rPr>
                <w:sz w:val="20"/>
                <w:szCs w:val="20"/>
                <w:color w:val="auto"/>
              </w:rPr>
            </w:pPr>
            <w:r>
              <w:rPr>
                <w:rFonts w:ascii="Arial" w:cs="Arial" w:eastAsia="Arial" w:hAnsi="Arial"/>
                <w:sz w:val="18"/>
                <w:szCs w:val="18"/>
                <w:b w:val="1"/>
                <w:bCs w:val="1"/>
                <w:color w:val="auto"/>
              </w:rPr>
              <w:t>receivable</w:t>
            </w:r>
          </w:p>
        </w:tc>
        <w:tc>
          <w:tcPr>
            <w:tcW w:w="1400" w:type="dxa"/>
            <w:vAlign w:val="bottom"/>
          </w:tcPr>
          <w:p>
            <w:pPr>
              <w:jc w:val="right"/>
              <w:ind w:right="152"/>
              <w:spacing w:after="0"/>
              <w:rPr>
                <w:sz w:val="20"/>
                <w:szCs w:val="20"/>
                <w:color w:val="auto"/>
              </w:rPr>
            </w:pPr>
            <w:r>
              <w:rPr>
                <w:rFonts w:ascii="Arial" w:cs="Arial" w:eastAsia="Arial" w:hAnsi="Arial"/>
                <w:sz w:val="18"/>
                <w:szCs w:val="18"/>
                <w:b w:val="1"/>
                <w:bCs w:val="1"/>
                <w:color w:val="auto"/>
              </w:rPr>
              <w:t>provision</w:t>
            </w:r>
          </w:p>
        </w:tc>
        <w:tc>
          <w:tcPr>
            <w:tcW w:w="1360" w:type="dxa"/>
            <w:vAlign w:val="bottom"/>
          </w:tcPr>
          <w:p>
            <w:pPr>
              <w:jc w:val="right"/>
              <w:ind w:right="112"/>
              <w:spacing w:after="0"/>
              <w:rPr>
                <w:sz w:val="20"/>
                <w:szCs w:val="20"/>
                <w:color w:val="auto"/>
              </w:rPr>
            </w:pPr>
            <w:r>
              <w:rPr>
                <w:rFonts w:ascii="Arial" w:cs="Arial" w:eastAsia="Arial" w:hAnsi="Arial"/>
                <w:sz w:val="18"/>
                <w:szCs w:val="18"/>
                <w:b w:val="1"/>
                <w:bCs w:val="1"/>
                <w:color w:val="auto"/>
              </w:rPr>
              <w:t>receivable</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receivable</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provision</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receivable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20" w:type="dxa"/>
            <w:vAlign w:val="bottom"/>
          </w:tcPr>
          <w:p>
            <w:pPr>
              <w:jc w:val="right"/>
              <w:ind w:right="152"/>
              <w:spacing w:after="0"/>
              <w:rPr>
                <w:sz w:val="20"/>
                <w:szCs w:val="20"/>
                <w:color w:val="auto"/>
              </w:rPr>
            </w:pPr>
            <w:r>
              <w:rPr>
                <w:rFonts w:ascii="Arial" w:cs="Arial" w:eastAsia="Arial" w:hAnsi="Arial"/>
                <w:sz w:val="18"/>
                <w:szCs w:val="18"/>
                <w:b w:val="1"/>
                <w:bCs w:val="1"/>
                <w:color w:val="auto"/>
              </w:rPr>
              <w:t>30 June</w:t>
            </w:r>
          </w:p>
        </w:tc>
        <w:tc>
          <w:tcPr>
            <w:tcW w:w="1400" w:type="dxa"/>
            <w:vAlign w:val="bottom"/>
          </w:tcPr>
          <w:p>
            <w:pPr>
              <w:jc w:val="right"/>
              <w:ind w:right="152"/>
              <w:spacing w:after="0"/>
              <w:rPr>
                <w:sz w:val="20"/>
                <w:szCs w:val="20"/>
                <w:color w:val="auto"/>
              </w:rPr>
            </w:pPr>
            <w:r>
              <w:rPr>
                <w:rFonts w:ascii="Arial" w:cs="Arial" w:eastAsia="Arial" w:hAnsi="Arial"/>
                <w:sz w:val="18"/>
                <w:szCs w:val="18"/>
                <w:b w:val="1"/>
                <w:bCs w:val="1"/>
                <w:color w:val="auto"/>
              </w:rPr>
              <w:t>30 June</w:t>
            </w:r>
          </w:p>
        </w:tc>
        <w:tc>
          <w:tcPr>
            <w:tcW w:w="1360" w:type="dxa"/>
            <w:vAlign w:val="bottom"/>
          </w:tcPr>
          <w:p>
            <w:pPr>
              <w:jc w:val="right"/>
              <w:ind w:right="112"/>
              <w:spacing w:after="0"/>
              <w:rPr>
                <w:sz w:val="20"/>
                <w:szCs w:val="20"/>
                <w:color w:val="auto"/>
              </w:rPr>
            </w:pPr>
            <w:r>
              <w:rPr>
                <w:rFonts w:ascii="Arial" w:cs="Arial" w:eastAsia="Arial" w:hAnsi="Arial"/>
                <w:sz w:val="18"/>
                <w:szCs w:val="18"/>
                <w:b w:val="1"/>
                <w:bCs w:val="1"/>
                <w:color w:val="auto"/>
              </w:rPr>
              <w:t>30 June</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31 December</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31 December</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20" w:type="dxa"/>
            <w:vAlign w:val="bottom"/>
          </w:tcPr>
          <w:p>
            <w:pPr>
              <w:jc w:val="right"/>
              <w:ind w:right="152"/>
              <w:spacing w:after="0"/>
              <w:rPr>
                <w:sz w:val="20"/>
                <w:szCs w:val="20"/>
                <w:color w:val="auto"/>
              </w:rPr>
            </w:pPr>
            <w:r>
              <w:rPr>
                <w:rFonts w:ascii="Arial" w:cs="Arial" w:eastAsia="Arial" w:hAnsi="Arial"/>
                <w:sz w:val="18"/>
                <w:szCs w:val="18"/>
                <w:b w:val="1"/>
                <w:bCs w:val="1"/>
                <w:color w:val="auto"/>
              </w:rPr>
              <w:t>2012</w:t>
            </w:r>
          </w:p>
        </w:tc>
        <w:tc>
          <w:tcPr>
            <w:tcW w:w="1400" w:type="dxa"/>
            <w:vAlign w:val="bottom"/>
          </w:tcPr>
          <w:p>
            <w:pPr>
              <w:jc w:val="right"/>
              <w:ind w:right="152"/>
              <w:spacing w:after="0"/>
              <w:rPr>
                <w:sz w:val="20"/>
                <w:szCs w:val="20"/>
                <w:color w:val="auto"/>
              </w:rPr>
            </w:pPr>
            <w:r>
              <w:rPr>
                <w:rFonts w:ascii="Arial" w:cs="Arial" w:eastAsia="Arial" w:hAnsi="Arial"/>
                <w:sz w:val="18"/>
                <w:szCs w:val="18"/>
                <w:b w:val="1"/>
                <w:bCs w:val="1"/>
                <w:color w:val="auto"/>
              </w:rPr>
              <w:t>2012</w:t>
            </w:r>
          </w:p>
        </w:tc>
        <w:tc>
          <w:tcPr>
            <w:tcW w:w="1360" w:type="dxa"/>
            <w:vAlign w:val="bottom"/>
          </w:tcPr>
          <w:p>
            <w:pPr>
              <w:jc w:val="right"/>
              <w:ind w:right="112"/>
              <w:spacing w:after="0"/>
              <w:rPr>
                <w:sz w:val="20"/>
                <w:szCs w:val="20"/>
                <w:color w:val="auto"/>
              </w:rPr>
            </w:pPr>
            <w:r>
              <w:rPr>
                <w:rFonts w:ascii="Arial" w:cs="Arial" w:eastAsia="Arial" w:hAnsi="Arial"/>
                <w:sz w:val="18"/>
                <w:szCs w:val="18"/>
                <w:b w:val="1"/>
                <w:bCs w:val="1"/>
                <w:color w:val="auto"/>
              </w:rPr>
              <w:t>2012</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2011</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2011</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220" w:type="dxa"/>
            <w:vAlign w:val="bottom"/>
          </w:tcPr>
          <w:p>
            <w:pPr>
              <w:jc w:val="right"/>
              <w:ind w:right="152"/>
              <w:spacing w:after="0"/>
              <w:rPr>
                <w:sz w:val="20"/>
                <w:szCs w:val="20"/>
                <w:color w:val="auto"/>
              </w:rPr>
            </w:pPr>
            <w:r>
              <w:rPr>
                <w:rFonts w:ascii="Arial" w:cs="Arial" w:eastAsia="Arial" w:hAnsi="Arial"/>
                <w:sz w:val="18"/>
                <w:szCs w:val="18"/>
                <w:b w:val="1"/>
                <w:bCs w:val="1"/>
                <w:color w:val="auto"/>
              </w:rPr>
              <w:t>US$’000</w:t>
            </w:r>
          </w:p>
        </w:tc>
        <w:tc>
          <w:tcPr>
            <w:tcW w:w="1400" w:type="dxa"/>
            <w:vAlign w:val="bottom"/>
          </w:tcPr>
          <w:p>
            <w:pPr>
              <w:jc w:val="right"/>
              <w:ind w:right="152"/>
              <w:spacing w:after="0"/>
              <w:rPr>
                <w:sz w:val="20"/>
                <w:szCs w:val="20"/>
                <w:color w:val="auto"/>
              </w:rPr>
            </w:pPr>
            <w:r>
              <w:rPr>
                <w:rFonts w:ascii="Arial" w:cs="Arial" w:eastAsia="Arial" w:hAnsi="Arial"/>
                <w:sz w:val="18"/>
                <w:szCs w:val="18"/>
                <w:b w:val="1"/>
                <w:bCs w:val="1"/>
                <w:color w:val="auto"/>
              </w:rPr>
              <w:t>US$’000</w:t>
            </w:r>
          </w:p>
        </w:tc>
        <w:tc>
          <w:tcPr>
            <w:tcW w:w="1360" w:type="dxa"/>
            <w:vAlign w:val="bottom"/>
          </w:tcPr>
          <w:p>
            <w:pPr>
              <w:jc w:val="right"/>
              <w:ind w:right="112"/>
              <w:spacing w:after="0"/>
              <w:rPr>
                <w:sz w:val="20"/>
                <w:szCs w:val="20"/>
                <w:color w:val="auto"/>
              </w:rPr>
            </w:pPr>
            <w:r>
              <w:rPr>
                <w:rFonts w:ascii="Arial" w:cs="Arial" w:eastAsia="Arial" w:hAnsi="Arial"/>
                <w:sz w:val="18"/>
                <w:szCs w:val="18"/>
                <w:b w:val="1"/>
                <w:bCs w:val="1"/>
                <w:color w:val="auto"/>
              </w:rPr>
              <w:t>US$’000</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US$’000</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US$’000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4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Not past due</w:t>
            </w:r>
          </w:p>
        </w:tc>
        <w:tc>
          <w:tcPr>
            <w:tcW w:w="22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159,493</w:t>
            </w:r>
          </w:p>
        </w:tc>
        <w:tc>
          <w:tcPr>
            <w:tcW w:w="14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159,493</w:t>
            </w: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146,421</w:t>
            </w:r>
          </w:p>
        </w:tc>
        <w:tc>
          <w:tcPr>
            <w:tcW w:w="1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(290)</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146,131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80" w:type="dxa"/>
            <w:vAlign w:val="bottom"/>
          </w:tcPr>
          <w:p>
            <w:pPr>
              <w:spacing w:after="0" w:line="200" w:lineRule="exact"/>
              <w:rPr>
                <w:sz w:val="20"/>
                <w:szCs w:val="20"/>
                <w:color w:val="auto"/>
              </w:rPr>
            </w:pPr>
            <w:r>
              <w:rPr>
                <w:rFonts w:ascii="Arial" w:cs="Arial" w:eastAsia="Arial" w:hAnsi="Arial"/>
                <w:sz w:val="18"/>
                <w:szCs w:val="18"/>
                <w:color w:val="auto"/>
              </w:rPr>
              <w:t>0 to 30 days past</w:t>
            </w:r>
          </w:p>
        </w:tc>
        <w:tc>
          <w:tcPr>
            <w:tcW w:w="222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29,158</w:t>
            </w:r>
          </w:p>
        </w:tc>
        <w:tc>
          <w:tcPr>
            <w:tcW w:w="1400" w:type="dxa"/>
            <w:vAlign w:val="bottom"/>
            <w:vMerge w:val="restart"/>
          </w:tcPr>
          <w:p>
            <w:pPr>
              <w:jc w:val="right"/>
              <w:ind w:right="92"/>
              <w:spacing w:after="0"/>
              <w:rPr>
                <w:sz w:val="20"/>
                <w:szCs w:val="20"/>
                <w:color w:val="auto"/>
              </w:rPr>
            </w:pPr>
            <w:r>
              <w:rPr>
                <w:rFonts w:ascii="Arial" w:cs="Arial" w:eastAsia="Arial" w:hAnsi="Arial"/>
                <w:sz w:val="18"/>
                <w:szCs w:val="18"/>
                <w:b w:val="1"/>
                <w:bCs w:val="1"/>
                <w:color w:val="auto"/>
              </w:rPr>
              <w:t>(16)</w:t>
            </w:r>
          </w:p>
        </w:tc>
        <w:tc>
          <w:tcPr>
            <w:tcW w:w="1360" w:type="dxa"/>
            <w:vAlign w:val="bottom"/>
            <w:vMerge w:val="restart"/>
          </w:tcPr>
          <w:p>
            <w:pPr>
              <w:jc w:val="right"/>
              <w:ind w:right="112"/>
              <w:spacing w:after="0"/>
              <w:rPr>
                <w:sz w:val="20"/>
                <w:szCs w:val="20"/>
                <w:color w:val="auto"/>
              </w:rPr>
            </w:pPr>
            <w:r>
              <w:rPr>
                <w:rFonts w:ascii="Arial" w:cs="Arial" w:eastAsia="Arial" w:hAnsi="Arial"/>
                <w:sz w:val="18"/>
                <w:szCs w:val="18"/>
                <w:b w:val="1"/>
                <w:bCs w:val="1"/>
                <w:color w:val="auto"/>
              </w:rPr>
              <w:t>29,142</w:t>
            </w: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500" w:type="dxa"/>
            <w:vAlign w:val="bottom"/>
            <w:gridSpan w:val="2"/>
          </w:tcPr>
          <w:p>
            <w:pPr>
              <w:spacing w:after="0"/>
              <w:rPr>
                <w:sz w:val="20"/>
                <w:szCs w:val="20"/>
                <w:color w:val="auto"/>
              </w:rPr>
            </w:pPr>
            <w:r>
              <w:rPr>
                <w:rFonts w:ascii="Arial" w:cs="Arial" w:eastAsia="Arial" w:hAnsi="Arial"/>
                <w:sz w:val="18"/>
                <w:szCs w:val="18"/>
                <w:color w:val="auto"/>
              </w:rPr>
              <w:t>due</w:t>
            </w:r>
          </w:p>
        </w:tc>
        <w:tc>
          <w:tcPr>
            <w:tcW w:w="2220" w:type="dxa"/>
            <w:vAlign w:val="bottom"/>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31,481</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(829)</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30,652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31 to 60 days past</w:t>
            </w:r>
          </w:p>
        </w:tc>
        <w:tc>
          <w:tcPr>
            <w:tcW w:w="222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17,050</w:t>
            </w:r>
          </w:p>
        </w:tc>
        <w:tc>
          <w:tcPr>
            <w:tcW w:w="140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(44)</w:t>
            </w:r>
          </w:p>
        </w:tc>
        <w:tc>
          <w:tcPr>
            <w:tcW w:w="136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17,006</w:t>
            </w:r>
          </w:p>
        </w:tc>
        <w:tc>
          <w:tcPr>
            <w:tcW w:w="13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due</w:t>
            </w:r>
          </w:p>
        </w:tc>
        <w:tc>
          <w:tcPr>
            <w:tcW w:w="2220" w:type="dxa"/>
            <w:vAlign w:val="bottom"/>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8,744</w:t>
            </w: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8,744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61+ days past due</w:t>
            </w:r>
          </w:p>
        </w:tc>
        <w:tc>
          <w:tcPr>
            <w:tcW w:w="22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27,316</w:t>
            </w:r>
          </w:p>
        </w:tc>
        <w:tc>
          <w:tcPr>
            <w:tcW w:w="14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(4,742)</w:t>
            </w:r>
          </w:p>
        </w:tc>
        <w:tc>
          <w:tcPr>
            <w:tcW w:w="13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22,574</w:t>
            </w:r>
          </w:p>
        </w:tc>
        <w:tc>
          <w:tcPr>
            <w:tcW w:w="13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20,218</w:t>
            </w:r>
          </w:p>
        </w:tc>
        <w:tc>
          <w:tcPr>
            <w:tcW w:w="13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(4,407)</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15,811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2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233,017</w:t>
            </w:r>
          </w:p>
        </w:tc>
        <w:tc>
          <w:tcPr>
            <w:tcW w:w="14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(4,802)</w:t>
            </w:r>
          </w:p>
        </w:tc>
        <w:tc>
          <w:tcPr>
            <w:tcW w:w="13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228,215</w:t>
            </w:r>
          </w:p>
        </w:tc>
        <w:tc>
          <w:tcPr>
            <w:tcW w:w="13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206,864</w:t>
            </w:r>
          </w:p>
        </w:tc>
        <w:tc>
          <w:tcPr>
            <w:tcW w:w="13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(5,526)</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201,338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9"/>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00" w:type="dxa"/>
            <w:vAlign w:val="bottom"/>
          </w:tcPr>
          <w:p>
            <w:pPr>
              <w:jc w:val="right"/>
              <w:ind w:right="232"/>
              <w:spacing w:after="0"/>
              <w:rPr>
                <w:sz w:val="20"/>
                <w:szCs w:val="20"/>
                <w:color w:val="auto"/>
              </w:rPr>
            </w:pPr>
            <w:r>
              <w:rPr>
                <w:rFonts w:ascii="Arial" w:cs="Arial" w:eastAsia="Arial" w:hAnsi="Arial"/>
                <w:sz w:val="18"/>
                <w:szCs w:val="18"/>
                <w:color w:val="auto"/>
              </w:rPr>
              <w:t>28</w:t>
            </w: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80" w:type="dxa"/>
            <w:vAlign w:val="bottom"/>
            <w:tcBorders>
              <w:bottom w:val="single" w:sz="8" w:color="808080"/>
            </w:tcBorders>
          </w:tcPr>
          <w:p>
            <w:pPr>
              <w:spacing w:after="0"/>
              <w:rPr>
                <w:sz w:val="10"/>
                <w:szCs w:val="10"/>
                <w:color w:val="auto"/>
              </w:rPr>
            </w:pPr>
          </w:p>
        </w:tc>
        <w:tc>
          <w:tcPr>
            <w:tcW w:w="222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00" w:right="239" w:bottom="1440" w:gutter="0" w:footer="0" w:header="0"/>
        </w:sectPr>
      </w:pPr>
    </w:p>
    <w:bookmarkStart w:id="31" w:name="page32"/>
    <w:bookmarkEnd w:id="31"/>
    <w:p>
      <w:pPr>
        <w:spacing w:after="0"/>
        <w:rPr>
          <w:sz w:val="20"/>
          <w:szCs w:val="20"/>
          <w:color w:val="auto"/>
        </w:rPr>
      </w:pPr>
      <w:r>
        <w:rPr>
          <w:rFonts w:ascii="Arial" w:cs="Arial" w:eastAsia="Arial" w:hAnsi="Arial"/>
          <w:sz w:val="25"/>
          <w:szCs w:val="25"/>
          <w:color w:val="auto"/>
        </w:rPr>
        <w:t xml:space="preserve">Notes to Condensed Consolidated Interim Financial Statements </w:t>
      </w:r>
      <w:r>
        <w:rPr>
          <w:rFonts w:ascii="Arial" w:cs="Arial" w:eastAsia="Arial" w:hAnsi="Arial"/>
          <w:sz w:val="25"/>
          <w:szCs w:val="25"/>
          <w:i w:val="1"/>
          <w:iCs w:val="1"/>
          <w:color w:val="auto"/>
        </w:rPr>
        <w:t>(continued)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20" w:type="dxa"/>
            <w:vAlign w:val="bottom"/>
          </w:tcPr>
          <w:p>
            <w:pPr>
              <w:spacing w:after="0"/>
              <w:rPr>
                <w:sz w:val="20"/>
                <w:szCs w:val="20"/>
                <w:color w:val="auto"/>
              </w:rPr>
            </w:pPr>
            <w:r>
              <w:rPr>
                <w:rFonts w:ascii="Arial" w:cs="Arial" w:eastAsia="Arial" w:hAnsi="Arial"/>
                <w:sz w:val="18"/>
                <w:szCs w:val="18"/>
                <w:b w:val="1"/>
                <w:bCs w:val="1"/>
                <w:color w:val="auto"/>
              </w:rPr>
              <w:t>13. Prepayments and other current assets</w:t>
            </w:r>
          </w:p>
        </w:tc>
        <w:tc>
          <w:tcPr>
            <w:tcW w:w="36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33"/>
        </w:trPr>
        <w:tc>
          <w:tcPr>
            <w:tcW w:w="6520" w:type="dxa"/>
            <w:vAlign w:val="bottom"/>
          </w:tcPr>
          <w:p>
            <w:pPr>
              <w:spacing w:after="0"/>
              <w:rPr>
                <w:sz w:val="24"/>
                <w:szCs w:val="24"/>
                <w:color w:val="auto"/>
              </w:rPr>
            </w:pPr>
          </w:p>
        </w:tc>
        <w:tc>
          <w:tcPr>
            <w:tcW w:w="3640" w:type="dxa"/>
            <w:vAlign w:val="bottom"/>
          </w:tcPr>
          <w:p>
            <w:pPr>
              <w:jc w:val="right"/>
              <w:ind w:right="112"/>
              <w:spacing w:after="0"/>
              <w:rPr>
                <w:sz w:val="20"/>
                <w:szCs w:val="20"/>
                <w:color w:val="auto"/>
              </w:rPr>
            </w:pPr>
            <w:r>
              <w:rPr>
                <w:rFonts w:ascii="Arial" w:cs="Arial" w:eastAsia="Arial" w:hAnsi="Arial"/>
                <w:sz w:val="18"/>
                <w:szCs w:val="18"/>
                <w:b w:val="1"/>
                <w:bCs w:val="1"/>
                <w:color w:val="auto"/>
              </w:rPr>
              <w:t>30 June</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r>
      <w:tr>
        <w:trPr>
          <w:trHeight w:val="212"/>
        </w:trPr>
        <w:tc>
          <w:tcPr>
            <w:tcW w:w="6520" w:type="dxa"/>
            <w:vAlign w:val="bottom"/>
          </w:tcPr>
          <w:p>
            <w:pPr>
              <w:spacing w:after="0"/>
              <w:rPr>
                <w:sz w:val="18"/>
                <w:szCs w:val="18"/>
                <w:color w:val="auto"/>
              </w:rPr>
            </w:pPr>
          </w:p>
        </w:tc>
        <w:tc>
          <w:tcPr>
            <w:tcW w:w="3640" w:type="dxa"/>
            <w:vAlign w:val="bottom"/>
          </w:tcPr>
          <w:p>
            <w:pPr>
              <w:jc w:val="right"/>
              <w:ind w:right="112"/>
              <w:spacing w:after="0"/>
              <w:rPr>
                <w:sz w:val="20"/>
                <w:szCs w:val="20"/>
                <w:color w:val="auto"/>
              </w:rPr>
            </w:pPr>
            <w:r>
              <w:rPr>
                <w:rFonts w:ascii="Arial" w:cs="Arial" w:eastAsia="Arial" w:hAnsi="Arial"/>
                <w:sz w:val="18"/>
                <w:szCs w:val="18"/>
                <w:b w:val="1"/>
                <w:bCs w:val="1"/>
                <w:color w:val="auto"/>
              </w:rPr>
              <w:t>2012</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2011</w:t>
            </w:r>
          </w:p>
        </w:tc>
      </w:tr>
      <w:tr>
        <w:trPr>
          <w:trHeight w:val="229"/>
        </w:trPr>
        <w:tc>
          <w:tcPr>
            <w:tcW w:w="6520" w:type="dxa"/>
            <w:vAlign w:val="bottom"/>
          </w:tcPr>
          <w:p>
            <w:pPr>
              <w:spacing w:after="0"/>
              <w:rPr>
                <w:sz w:val="19"/>
                <w:szCs w:val="19"/>
                <w:color w:val="auto"/>
              </w:rPr>
            </w:pPr>
          </w:p>
        </w:tc>
        <w:tc>
          <w:tcPr>
            <w:tcW w:w="3640" w:type="dxa"/>
            <w:vAlign w:val="bottom"/>
          </w:tcPr>
          <w:p>
            <w:pPr>
              <w:jc w:val="right"/>
              <w:ind w:right="112"/>
              <w:spacing w:after="0"/>
              <w:rPr>
                <w:sz w:val="20"/>
                <w:szCs w:val="20"/>
                <w:color w:val="auto"/>
              </w:rPr>
            </w:pPr>
            <w:r>
              <w:rPr>
                <w:rFonts w:ascii="Arial" w:cs="Arial" w:eastAsia="Arial" w:hAnsi="Arial"/>
                <w:sz w:val="18"/>
                <w:szCs w:val="18"/>
                <w:b w:val="1"/>
                <w:bCs w:val="1"/>
                <w:color w:val="auto"/>
              </w:rPr>
              <w:t>US$’000</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US$’000</w:t>
            </w:r>
          </w:p>
        </w:tc>
      </w:tr>
      <w:tr>
        <w:trPr>
          <w:trHeight w:val="407"/>
        </w:trPr>
        <w:tc>
          <w:tcPr>
            <w:tcW w:w="6520" w:type="dxa"/>
            <w:vAlign w:val="bottom"/>
          </w:tcPr>
          <w:p>
            <w:pPr>
              <w:spacing w:after="0"/>
              <w:rPr>
                <w:sz w:val="20"/>
                <w:szCs w:val="20"/>
                <w:color w:val="auto"/>
              </w:rPr>
            </w:pPr>
            <w:r>
              <w:rPr>
                <w:rFonts w:ascii="Arial" w:cs="Arial" w:eastAsia="Arial" w:hAnsi="Arial"/>
                <w:sz w:val="18"/>
                <w:szCs w:val="18"/>
                <w:color w:val="auto"/>
              </w:rPr>
              <w:t>Personnel related prepayments</w:t>
            </w:r>
          </w:p>
        </w:tc>
        <w:tc>
          <w:tcPr>
            <w:tcW w:w="3640" w:type="dxa"/>
            <w:vAlign w:val="bottom"/>
          </w:tcPr>
          <w:p>
            <w:pPr>
              <w:jc w:val="right"/>
              <w:ind w:right="112"/>
              <w:spacing w:after="0"/>
              <w:rPr>
                <w:sz w:val="20"/>
                <w:szCs w:val="20"/>
                <w:color w:val="auto"/>
              </w:rPr>
            </w:pPr>
            <w:r>
              <w:rPr>
                <w:rFonts w:ascii="Arial" w:cs="Arial" w:eastAsia="Arial" w:hAnsi="Arial"/>
                <w:sz w:val="18"/>
                <w:szCs w:val="18"/>
                <w:b w:val="1"/>
                <w:bCs w:val="1"/>
                <w:color w:val="auto"/>
              </w:rPr>
              <w:t>945</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1,056</w:t>
            </w:r>
          </w:p>
        </w:tc>
      </w:tr>
      <w:tr>
        <w:trPr>
          <w:trHeight w:val="212"/>
        </w:trPr>
        <w:tc>
          <w:tcPr>
            <w:tcW w:w="6520" w:type="dxa"/>
            <w:vAlign w:val="bottom"/>
          </w:tcPr>
          <w:p>
            <w:pPr>
              <w:spacing w:after="0"/>
              <w:rPr>
                <w:sz w:val="20"/>
                <w:szCs w:val="20"/>
                <w:color w:val="auto"/>
              </w:rPr>
            </w:pPr>
            <w:r>
              <w:rPr>
                <w:rFonts w:ascii="Arial" w:cs="Arial" w:eastAsia="Arial" w:hAnsi="Arial"/>
                <w:sz w:val="18"/>
                <w:szCs w:val="18"/>
                <w:color w:val="auto"/>
              </w:rPr>
              <w:t>Facility and information system related prepayments</w:t>
            </w:r>
          </w:p>
        </w:tc>
        <w:tc>
          <w:tcPr>
            <w:tcW w:w="3640" w:type="dxa"/>
            <w:vAlign w:val="bottom"/>
          </w:tcPr>
          <w:p>
            <w:pPr>
              <w:jc w:val="right"/>
              <w:ind w:right="112"/>
              <w:spacing w:after="0"/>
              <w:rPr>
                <w:sz w:val="20"/>
                <w:szCs w:val="20"/>
                <w:color w:val="auto"/>
              </w:rPr>
            </w:pPr>
            <w:r>
              <w:rPr>
                <w:rFonts w:ascii="Arial" w:cs="Arial" w:eastAsia="Arial" w:hAnsi="Arial"/>
                <w:sz w:val="18"/>
                <w:szCs w:val="18"/>
                <w:b w:val="1"/>
                <w:bCs w:val="1"/>
                <w:color w:val="auto"/>
              </w:rPr>
              <w:t>10,733</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11,361</w:t>
            </w:r>
          </w:p>
        </w:tc>
      </w:tr>
      <w:tr>
        <w:trPr>
          <w:trHeight w:val="212"/>
        </w:trPr>
        <w:tc>
          <w:tcPr>
            <w:tcW w:w="6520" w:type="dxa"/>
            <w:vAlign w:val="bottom"/>
          </w:tcPr>
          <w:p>
            <w:pPr>
              <w:spacing w:after="0"/>
              <w:rPr>
                <w:sz w:val="20"/>
                <w:szCs w:val="20"/>
                <w:color w:val="auto"/>
              </w:rPr>
            </w:pPr>
            <w:r>
              <w:rPr>
                <w:rFonts w:ascii="Arial" w:cs="Arial" w:eastAsia="Arial" w:hAnsi="Arial"/>
                <w:sz w:val="18"/>
                <w:szCs w:val="18"/>
                <w:color w:val="auto"/>
              </w:rPr>
              <w:t>General overhead prepayments</w:t>
            </w:r>
          </w:p>
        </w:tc>
        <w:tc>
          <w:tcPr>
            <w:tcW w:w="3640" w:type="dxa"/>
            <w:vAlign w:val="bottom"/>
          </w:tcPr>
          <w:p>
            <w:pPr>
              <w:jc w:val="right"/>
              <w:ind w:right="112"/>
              <w:spacing w:after="0"/>
              <w:rPr>
                <w:sz w:val="20"/>
                <w:szCs w:val="20"/>
                <w:color w:val="auto"/>
              </w:rPr>
            </w:pPr>
            <w:r>
              <w:rPr>
                <w:rFonts w:ascii="Arial" w:cs="Arial" w:eastAsia="Arial" w:hAnsi="Arial"/>
                <w:sz w:val="18"/>
                <w:szCs w:val="18"/>
                <w:b w:val="1"/>
                <w:bCs w:val="1"/>
                <w:color w:val="auto"/>
              </w:rPr>
              <w:t>3,499</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3,872</w:t>
            </w:r>
          </w:p>
        </w:tc>
      </w:tr>
      <w:tr>
        <w:trPr>
          <w:trHeight w:val="212"/>
        </w:trPr>
        <w:tc>
          <w:tcPr>
            <w:tcW w:w="6520" w:type="dxa"/>
            <w:vAlign w:val="bottom"/>
          </w:tcPr>
          <w:p>
            <w:pPr>
              <w:spacing w:after="0"/>
              <w:rPr>
                <w:sz w:val="20"/>
                <w:szCs w:val="20"/>
                <w:color w:val="auto"/>
              </w:rPr>
            </w:pPr>
            <w:r>
              <w:rPr>
                <w:rFonts w:ascii="Arial" w:cs="Arial" w:eastAsia="Arial" w:hAnsi="Arial"/>
                <w:sz w:val="18"/>
                <w:szCs w:val="18"/>
                <w:color w:val="auto"/>
              </w:rPr>
              <w:t>Sales tax recoverable</w:t>
            </w:r>
          </w:p>
        </w:tc>
        <w:tc>
          <w:tcPr>
            <w:tcW w:w="3640" w:type="dxa"/>
            <w:vAlign w:val="bottom"/>
          </w:tcPr>
          <w:p>
            <w:pPr>
              <w:jc w:val="right"/>
              <w:ind w:right="112"/>
              <w:spacing w:after="0"/>
              <w:rPr>
                <w:sz w:val="20"/>
                <w:szCs w:val="20"/>
                <w:color w:val="auto"/>
              </w:rPr>
            </w:pPr>
            <w:r>
              <w:rPr>
                <w:rFonts w:ascii="Arial" w:cs="Arial" w:eastAsia="Arial" w:hAnsi="Arial"/>
                <w:sz w:val="18"/>
                <w:szCs w:val="18"/>
                <w:b w:val="1"/>
                <w:bCs w:val="1"/>
                <w:color w:val="auto"/>
              </w:rPr>
              <w:t>4,811</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5,588</w:t>
            </w:r>
          </w:p>
        </w:tc>
      </w:tr>
      <w:tr>
        <w:trPr>
          <w:trHeight w:val="237"/>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receivables</w:t>
            </w:r>
          </w:p>
        </w:tc>
        <w:tc>
          <w:tcPr>
            <w:tcW w:w="36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4,461</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4,532</w:t>
            </w:r>
          </w:p>
        </w:tc>
      </w:tr>
      <w:tr>
        <w:trPr>
          <w:trHeight w:val="424"/>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36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24,449</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26,409</w:t>
            </w:r>
          </w:p>
        </w:tc>
      </w:tr>
      <w:tr>
        <w:trPr>
          <w:trHeight w:val="20"/>
        </w:trPr>
        <w:tc>
          <w:tcPr>
            <w:tcW w:w="652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color w:val="auto"/>
        </w:rPr>
        <w:t>Other current assets do not contain any impaired assets. The maximum exposure to credit risk at the reporting date is the carrying value of each receivable. The Group does not hold any collateral as security</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14. Current asset investments</w:t>
            </w:r>
          </w:p>
        </w:tc>
        <w:tc>
          <w:tcPr>
            <w:tcW w:w="39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3900" w:type="dxa"/>
            <w:vAlign w:val="bottom"/>
          </w:tcPr>
          <w:p>
            <w:pPr>
              <w:jc w:val="right"/>
              <w:ind w:right="152"/>
              <w:spacing w:after="0"/>
              <w:rPr>
                <w:sz w:val="20"/>
                <w:szCs w:val="20"/>
                <w:color w:val="auto"/>
              </w:rPr>
            </w:pPr>
            <w:r>
              <w:rPr>
                <w:rFonts w:ascii="Arial" w:cs="Arial" w:eastAsia="Arial" w:hAnsi="Arial"/>
                <w:sz w:val="18"/>
                <w:szCs w:val="18"/>
                <w:b w:val="1"/>
                <w:bCs w:val="1"/>
                <w:color w:val="auto"/>
              </w:rPr>
              <w:t>30 June</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3900" w:type="dxa"/>
            <w:vAlign w:val="bottom"/>
          </w:tcPr>
          <w:p>
            <w:pPr>
              <w:jc w:val="right"/>
              <w:ind w:right="152"/>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3900" w:type="dxa"/>
            <w:vAlign w:val="bottom"/>
          </w:tcPr>
          <w:p>
            <w:pPr>
              <w:jc w:val="right"/>
              <w:ind w:right="152"/>
              <w:spacing w:after="0"/>
              <w:rPr>
                <w:sz w:val="20"/>
                <w:szCs w:val="20"/>
                <w:color w:val="auto"/>
              </w:rPr>
            </w:pPr>
            <w:r>
              <w:rPr>
                <w:rFonts w:ascii="Arial" w:cs="Arial" w:eastAsia="Arial" w:hAnsi="Arial"/>
                <w:sz w:val="18"/>
                <w:szCs w:val="18"/>
                <w:b w:val="1"/>
                <w:bCs w:val="1"/>
                <w:color w:val="auto"/>
              </w:rPr>
              <w:t>US$’000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At start of period/year</w:t>
            </w:r>
          </w:p>
        </w:tc>
        <w:tc>
          <w:tcPr>
            <w:tcW w:w="39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54,940</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Additions</w:t>
            </w:r>
          </w:p>
        </w:tc>
        <w:tc>
          <w:tcPr>
            <w:tcW w:w="3900" w:type="dxa"/>
            <w:vAlign w:val="bottom"/>
          </w:tcPr>
          <w:p>
            <w:pPr>
              <w:jc w:val="right"/>
              <w:ind w:right="152"/>
              <w:spacing w:after="0"/>
              <w:rPr>
                <w:sz w:val="20"/>
                <w:szCs w:val="20"/>
                <w:color w:val="auto"/>
              </w:rPr>
            </w:pPr>
            <w:r>
              <w:rPr>
                <w:rFonts w:ascii="Arial" w:cs="Arial" w:eastAsia="Arial" w:hAnsi="Arial"/>
                <w:sz w:val="18"/>
                <w:szCs w:val="18"/>
                <w:b w:val="1"/>
                <w:bCs w:val="1"/>
                <w:color w:val="auto"/>
              </w:rPr>
              <w:t>63,492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56,000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390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(45,688)</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Unrealised capital gains/(losses) - investments</w:t>
            </w:r>
          </w:p>
        </w:tc>
        <w:tc>
          <w:tcPr>
            <w:tcW w:w="39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372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vMerge w:val="continue"/>
          </w:tcPr>
          <w:p>
            <w:pPr>
              <w:spacing w:after="0"/>
              <w:rPr>
                <w:sz w:val="18"/>
                <w:szCs w:val="18"/>
                <w:color w:val="auto"/>
              </w:rPr>
            </w:pPr>
          </w:p>
        </w:tc>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 end of period/year</w:t>
            </w:r>
          </w:p>
        </w:tc>
        <w:tc>
          <w:tcPr>
            <w:tcW w:w="39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73,116</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54,940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Borders>
              <w:bottom w:val="single" w:sz="8" w:color="auto"/>
            </w:tcBorders>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Company actively manages its available cash resources to try to ensure optimum returns. Surplus cash balances are invested in cash equivalents and current asset investments, which comprise both floating rate and minimum “AA” rated corporate securities. Such current asset investments are categorised as available for sale assets and therefore reported at fair value, with unrealised gains or losses recorded in other comprehensive income.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32" w:name="page33"/>
    <w:bookmarkEnd w:id="32"/>
    <w:p>
      <w:pPr>
        <w:spacing w:after="0"/>
        <w:rPr>
          <w:sz w:val="20"/>
          <w:szCs w:val="20"/>
          <w:color w:val="auto"/>
        </w:rPr>
      </w:pPr>
      <w:r>
        <w:rPr>
          <w:rFonts w:ascii="Arial" w:cs="Arial" w:eastAsia="Arial" w:hAnsi="Arial"/>
          <w:sz w:val="25"/>
          <w:szCs w:val="25"/>
          <w:color w:val="auto"/>
        </w:rPr>
        <w:t xml:space="preserve">Notes to Condensed Consolidated Interim Financial Statements </w:t>
      </w:r>
      <w:r>
        <w:rPr>
          <w:rFonts w:ascii="Arial" w:cs="Arial" w:eastAsia="Arial" w:hAnsi="Arial"/>
          <w:sz w:val="25"/>
          <w:szCs w:val="25"/>
          <w:i w:val="1"/>
          <w:iCs w:val="1"/>
          <w:color w:val="auto"/>
        </w:rPr>
        <w:t>(continued)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15. Provisions</w:t>
            </w:r>
          </w:p>
        </w:tc>
        <w:tc>
          <w:tcPr>
            <w:tcW w:w="4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4580" w:type="dxa"/>
            <w:vAlign w:val="bottom"/>
          </w:tcPr>
          <w:p>
            <w:pPr>
              <w:jc w:val="right"/>
              <w:ind w:right="112"/>
              <w:spacing w:after="0"/>
              <w:rPr>
                <w:sz w:val="20"/>
                <w:szCs w:val="20"/>
                <w:color w:val="auto"/>
              </w:rPr>
            </w:pPr>
            <w:r>
              <w:rPr>
                <w:rFonts w:ascii="Arial" w:cs="Arial" w:eastAsia="Arial" w:hAnsi="Arial"/>
                <w:sz w:val="18"/>
                <w:szCs w:val="18"/>
                <w:b w:val="1"/>
                <w:bCs w:val="1"/>
                <w:color w:val="auto"/>
              </w:rPr>
              <w:t>30 June</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4580" w:type="dxa"/>
            <w:vAlign w:val="bottom"/>
          </w:tcPr>
          <w:p>
            <w:pPr>
              <w:jc w:val="right"/>
              <w:ind w:right="112"/>
              <w:spacing w:after="0"/>
              <w:rPr>
                <w:sz w:val="20"/>
                <w:szCs w:val="20"/>
                <w:color w:val="auto"/>
              </w:rPr>
            </w:pPr>
            <w:r>
              <w:rPr>
                <w:rFonts w:ascii="Arial" w:cs="Arial" w:eastAsia="Arial" w:hAnsi="Arial"/>
                <w:sz w:val="18"/>
                <w:szCs w:val="18"/>
                <w:b w:val="1"/>
                <w:bCs w:val="1"/>
                <w:color w:val="auto"/>
              </w:rPr>
              <w:t>2012</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5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Non-current provisions</w:t>
            </w:r>
          </w:p>
        </w:tc>
        <w:tc>
          <w:tcPr>
            <w:tcW w:w="4580" w:type="dxa"/>
            <w:vAlign w:val="bottom"/>
          </w:tcPr>
          <w:p>
            <w:pPr>
              <w:jc w:val="right"/>
              <w:ind w:right="112"/>
              <w:spacing w:after="0"/>
              <w:rPr>
                <w:sz w:val="20"/>
                <w:szCs w:val="20"/>
                <w:color w:val="auto"/>
              </w:rPr>
            </w:pPr>
            <w:r>
              <w:rPr>
                <w:rFonts w:ascii="Arial" w:cs="Arial" w:eastAsia="Arial" w:hAnsi="Arial"/>
                <w:sz w:val="18"/>
                <w:szCs w:val="18"/>
                <w:b w:val="1"/>
                <w:bCs w:val="1"/>
                <w:color w:val="auto"/>
              </w:rPr>
              <w:t>US$’000</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2"/>
        </w:trPr>
        <w:tc>
          <w:tcPr>
            <w:tcW w:w="5580" w:type="dxa"/>
            <w:vAlign w:val="bottom"/>
            <w:gridSpan w:val="2"/>
            <w:vMerge w:val="continue"/>
          </w:tcPr>
          <w:p>
            <w:pPr>
              <w:spacing w:after="0"/>
              <w:rPr>
                <w:sz w:val="18"/>
                <w:szCs w:val="18"/>
                <w:color w:val="auto"/>
              </w:rPr>
            </w:pPr>
          </w:p>
        </w:tc>
        <w:tc>
          <w:tcPr>
            <w:tcW w:w="4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Acquisition consideration payable (note 11)</w:t>
            </w:r>
          </w:p>
        </w:tc>
        <w:tc>
          <w:tcPr>
            <w:tcW w:w="45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16,631</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11,903</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5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5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16,631</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11,903</w:t>
            </w:r>
          </w:p>
        </w:tc>
        <w:tc>
          <w:tcPr>
            <w:tcW w:w="0" w:type="dxa"/>
            <w:vAlign w:val="bottom"/>
          </w:tcPr>
          <w:p>
            <w:pPr>
              <w:spacing w:after="0"/>
              <w:rPr>
                <w:sz w:val="1"/>
                <w:szCs w:val="1"/>
                <w:color w:val="auto"/>
              </w:rPr>
            </w:pPr>
          </w:p>
        </w:tc>
      </w:tr>
      <w:tr>
        <w:trPr>
          <w:trHeight w:val="443"/>
        </w:trPr>
        <w:tc>
          <w:tcPr>
            <w:tcW w:w="5580" w:type="dxa"/>
            <w:vAlign w:val="bottom"/>
            <w:gridSpan w:val="2"/>
          </w:tcPr>
          <w:p>
            <w:pPr>
              <w:spacing w:after="0"/>
              <w:rPr>
                <w:sz w:val="20"/>
                <w:szCs w:val="20"/>
                <w:color w:val="auto"/>
              </w:rPr>
            </w:pPr>
            <w:r>
              <w:rPr>
                <w:rFonts w:ascii="Arial" w:cs="Arial" w:eastAsia="Arial" w:hAnsi="Arial"/>
                <w:sz w:val="18"/>
                <w:szCs w:val="18"/>
                <w:color w:val="auto"/>
                <w:w w:val="91"/>
              </w:rPr>
              <w:t>Acquisition consideration is payable within two years from the reporting date.</w:t>
            </w:r>
          </w:p>
        </w:tc>
        <w:tc>
          <w:tcPr>
            <w:tcW w:w="4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2"/>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4580" w:type="dxa"/>
            <w:vAlign w:val="bottom"/>
          </w:tcPr>
          <w:p>
            <w:pPr>
              <w:jc w:val="right"/>
              <w:ind w:right="112"/>
              <w:spacing w:after="0"/>
              <w:rPr>
                <w:sz w:val="20"/>
                <w:szCs w:val="20"/>
                <w:color w:val="auto"/>
              </w:rPr>
            </w:pPr>
            <w:r>
              <w:rPr>
                <w:rFonts w:ascii="Arial" w:cs="Arial" w:eastAsia="Arial" w:hAnsi="Arial"/>
                <w:sz w:val="18"/>
                <w:szCs w:val="18"/>
                <w:b w:val="1"/>
                <w:bCs w:val="1"/>
                <w:color w:val="auto"/>
              </w:rPr>
              <w:t>30 June</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4580" w:type="dxa"/>
            <w:vAlign w:val="bottom"/>
          </w:tcPr>
          <w:p>
            <w:pPr>
              <w:jc w:val="right"/>
              <w:ind w:right="112"/>
              <w:spacing w:after="0"/>
              <w:rPr>
                <w:sz w:val="20"/>
                <w:szCs w:val="20"/>
                <w:color w:val="auto"/>
              </w:rPr>
            </w:pPr>
            <w:r>
              <w:rPr>
                <w:rFonts w:ascii="Arial" w:cs="Arial" w:eastAsia="Arial" w:hAnsi="Arial"/>
                <w:sz w:val="18"/>
                <w:szCs w:val="18"/>
                <w:b w:val="1"/>
                <w:bCs w:val="1"/>
                <w:color w:val="auto"/>
              </w:rPr>
              <w:t>2012</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5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Current provisions</w:t>
            </w:r>
          </w:p>
        </w:tc>
        <w:tc>
          <w:tcPr>
            <w:tcW w:w="4580" w:type="dxa"/>
            <w:vAlign w:val="bottom"/>
          </w:tcPr>
          <w:p>
            <w:pPr>
              <w:jc w:val="right"/>
              <w:ind w:right="112"/>
              <w:spacing w:after="0"/>
              <w:rPr>
                <w:sz w:val="20"/>
                <w:szCs w:val="20"/>
                <w:color w:val="auto"/>
              </w:rPr>
            </w:pPr>
            <w:r>
              <w:rPr>
                <w:rFonts w:ascii="Arial" w:cs="Arial" w:eastAsia="Arial" w:hAnsi="Arial"/>
                <w:sz w:val="18"/>
                <w:szCs w:val="18"/>
                <w:b w:val="1"/>
                <w:bCs w:val="1"/>
                <w:color w:val="auto"/>
              </w:rPr>
              <w:t>US$’000</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2"/>
        </w:trPr>
        <w:tc>
          <w:tcPr>
            <w:tcW w:w="5580" w:type="dxa"/>
            <w:vAlign w:val="bottom"/>
            <w:gridSpan w:val="2"/>
            <w:vMerge w:val="continue"/>
          </w:tcPr>
          <w:p>
            <w:pPr>
              <w:spacing w:after="0"/>
              <w:rPr>
                <w:sz w:val="18"/>
                <w:szCs w:val="18"/>
                <w:color w:val="auto"/>
              </w:rPr>
            </w:pPr>
          </w:p>
        </w:tc>
        <w:tc>
          <w:tcPr>
            <w:tcW w:w="4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provision (note 7)</w:t>
            </w:r>
          </w:p>
        </w:tc>
        <w:tc>
          <w:tcPr>
            <w:tcW w:w="458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1,892</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3,874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 exceptional items (note 7)</w:t>
            </w:r>
          </w:p>
        </w:tc>
        <w:tc>
          <w:tcPr>
            <w:tcW w:w="4580" w:type="dxa"/>
            <w:vAlign w:val="bottom"/>
          </w:tcPr>
          <w:p>
            <w:pPr>
              <w:jc w:val="right"/>
              <w:ind w:right="112"/>
              <w:spacing w:after="0"/>
              <w:rPr>
                <w:sz w:val="20"/>
                <w:szCs w:val="20"/>
                <w:color w:val="auto"/>
              </w:rPr>
            </w:pPr>
            <w:r>
              <w:rPr>
                <w:rFonts w:ascii="Arial" w:cs="Arial" w:eastAsia="Arial" w:hAnsi="Arial"/>
                <w:sz w:val="18"/>
                <w:szCs w:val="18"/>
                <w:b w:val="1"/>
                <w:bCs w:val="1"/>
                <w:color w:val="auto"/>
              </w:rPr>
              <w:t>913</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Acquisition consideration payable (note 11)</w:t>
            </w:r>
          </w:p>
        </w:tc>
        <w:tc>
          <w:tcPr>
            <w:tcW w:w="45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48,268</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37,615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5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5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51,073</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41,489</w:t>
            </w: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4580" w:type="dxa"/>
            <w:vAlign w:val="bottom"/>
          </w:tcPr>
          <w:p>
            <w:pPr>
              <w:jc w:val="right"/>
              <w:ind w:right="4272"/>
              <w:spacing w:after="0"/>
              <w:rPr>
                <w:sz w:val="20"/>
                <w:szCs w:val="20"/>
                <w:color w:val="auto"/>
              </w:rPr>
            </w:pPr>
            <w:r>
              <w:rPr>
                <w:rFonts w:ascii="Arial" w:cs="Arial" w:eastAsia="Arial" w:hAnsi="Arial"/>
                <w:sz w:val="18"/>
                <w:szCs w:val="18"/>
                <w:color w:val="auto"/>
                <w:w w:val="99"/>
              </w:rPr>
              <w:t>30</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60" w:type="dxa"/>
            <w:vAlign w:val="bottom"/>
            <w:tcBorders>
              <w:bottom w:val="single" w:sz="8" w:color="808080"/>
            </w:tcBorders>
          </w:tcPr>
          <w:p>
            <w:pPr>
              <w:spacing w:after="0"/>
              <w:rPr>
                <w:sz w:val="10"/>
                <w:szCs w:val="10"/>
                <w:color w:val="auto"/>
              </w:rPr>
            </w:pPr>
          </w:p>
        </w:tc>
        <w:tc>
          <w:tcPr>
            <w:tcW w:w="45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00" w:right="239" w:bottom="1440" w:gutter="0" w:footer="0" w:header="0"/>
        </w:sectPr>
      </w:pPr>
    </w:p>
    <w:bookmarkStart w:id="33" w:name="page34"/>
    <w:bookmarkEnd w:id="33"/>
    <w:p>
      <w:pPr>
        <w:spacing w:after="0"/>
        <w:rPr>
          <w:sz w:val="20"/>
          <w:szCs w:val="20"/>
          <w:color w:val="auto"/>
        </w:rPr>
      </w:pPr>
      <w:r>
        <w:rPr>
          <w:rFonts w:ascii="Arial" w:cs="Arial" w:eastAsia="Arial" w:hAnsi="Arial"/>
          <w:sz w:val="25"/>
          <w:szCs w:val="25"/>
          <w:color w:val="auto"/>
        </w:rPr>
        <w:t xml:space="preserve">Notes to Condensed Consolidated Interim Financial Statements </w:t>
      </w:r>
      <w:r>
        <w:rPr>
          <w:rFonts w:ascii="Arial" w:cs="Arial" w:eastAsia="Arial" w:hAnsi="Arial"/>
          <w:sz w:val="25"/>
          <w:szCs w:val="25"/>
          <w:i w:val="1"/>
          <w:iCs w:val="1"/>
          <w:color w:val="auto"/>
        </w:rPr>
        <w:t>(continued)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16. Share capital</w:t>
            </w:r>
          </w:p>
        </w:tc>
        <w:tc>
          <w:tcPr>
            <w:tcW w:w="28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Authorised share capital:</w:t>
            </w:r>
          </w:p>
        </w:tc>
        <w:tc>
          <w:tcPr>
            <w:tcW w:w="410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No. of Ordinary Shares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Ordinary shares of par value €0.06</w:t>
            </w:r>
          </w:p>
        </w:tc>
        <w:tc>
          <w:tcPr>
            <w:tcW w:w="28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880" w:type="dxa"/>
            <w:vAlign w:val="bottom"/>
          </w:tcPr>
          <w:p>
            <w:pPr>
              <w:jc w:val="right"/>
              <w:ind w:right="152"/>
              <w:spacing w:after="0"/>
              <w:rPr>
                <w:sz w:val="20"/>
                <w:szCs w:val="20"/>
                <w:color w:val="auto"/>
              </w:rPr>
            </w:pPr>
            <w:r>
              <w:rPr>
                <w:rFonts w:ascii="Arial" w:cs="Arial" w:eastAsia="Arial" w:hAnsi="Arial"/>
                <w:sz w:val="18"/>
                <w:szCs w:val="18"/>
                <w:b w:val="1"/>
                <w:bCs w:val="1"/>
                <w:color w:val="auto"/>
              </w:rPr>
              <w:t>30 June</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880" w:type="dxa"/>
            <w:vAlign w:val="bottom"/>
          </w:tcPr>
          <w:p>
            <w:pPr>
              <w:jc w:val="right"/>
              <w:ind w:right="152"/>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7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Allotted, called up and fully paid</w:t>
            </w:r>
          </w:p>
        </w:tc>
        <w:tc>
          <w:tcPr>
            <w:tcW w:w="2880" w:type="dxa"/>
            <w:vAlign w:val="bottom"/>
          </w:tcPr>
          <w:p>
            <w:pPr>
              <w:jc w:val="right"/>
              <w:ind w:right="152"/>
              <w:spacing w:after="0"/>
              <w:rPr>
                <w:sz w:val="20"/>
                <w:szCs w:val="20"/>
                <w:color w:val="auto"/>
              </w:rPr>
            </w:pPr>
            <w:r>
              <w:rPr>
                <w:rFonts w:ascii="Arial" w:cs="Arial" w:eastAsia="Arial" w:hAnsi="Arial"/>
                <w:sz w:val="18"/>
                <w:szCs w:val="18"/>
                <w:b w:val="1"/>
                <w:bCs w:val="1"/>
                <w:color w:val="auto"/>
              </w:rPr>
              <w:t>US$’000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3"/>
        </w:trPr>
        <w:tc>
          <w:tcPr>
            <w:tcW w:w="7320" w:type="dxa"/>
            <w:vAlign w:val="bottom"/>
            <w:gridSpan w:val="2"/>
            <w:vMerge w:val="continue"/>
          </w:tcPr>
          <w:p>
            <w:pPr>
              <w:spacing w:after="0"/>
              <w:rPr>
                <w:sz w:val="18"/>
                <w:szCs w:val="18"/>
                <w:color w:val="auto"/>
              </w:rPr>
            </w:pPr>
          </w:p>
        </w:tc>
        <w:tc>
          <w:tcPr>
            <w:tcW w:w="2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7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59,679,858 (31 December 2011: 60,135,603) ordinary shares of €0.06 each</w:t>
            </w:r>
          </w:p>
        </w:tc>
        <w:tc>
          <w:tcPr>
            <w:tcW w:w="28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5,021</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5,055</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880" w:type="dxa"/>
            <w:vAlign w:val="bottom"/>
          </w:tcPr>
          <w:p>
            <w:pPr>
              <w:jc w:val="right"/>
              <w:ind w:right="152"/>
              <w:spacing w:after="0"/>
              <w:rPr>
                <w:sz w:val="20"/>
                <w:szCs w:val="20"/>
                <w:color w:val="auto"/>
              </w:rPr>
            </w:pPr>
            <w:r>
              <w:rPr>
                <w:rFonts w:ascii="Arial" w:cs="Arial" w:eastAsia="Arial" w:hAnsi="Arial"/>
                <w:sz w:val="18"/>
                <w:szCs w:val="18"/>
                <w:b w:val="1"/>
                <w:bCs w:val="1"/>
                <w:color w:val="auto"/>
              </w:rPr>
              <w:t>30 June</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880" w:type="dxa"/>
            <w:vAlign w:val="bottom"/>
          </w:tcPr>
          <w:p>
            <w:pPr>
              <w:jc w:val="right"/>
              <w:ind w:right="152"/>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7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Issued, fully paid share capital</w:t>
            </w:r>
          </w:p>
        </w:tc>
        <w:tc>
          <w:tcPr>
            <w:tcW w:w="2880" w:type="dxa"/>
            <w:vAlign w:val="bottom"/>
          </w:tcPr>
          <w:p>
            <w:pPr>
              <w:jc w:val="right"/>
              <w:ind w:right="152"/>
              <w:spacing w:after="0"/>
              <w:rPr>
                <w:sz w:val="20"/>
                <w:szCs w:val="20"/>
                <w:color w:val="auto"/>
              </w:rPr>
            </w:pPr>
            <w:r>
              <w:rPr>
                <w:rFonts w:ascii="Arial" w:cs="Arial" w:eastAsia="Arial" w:hAnsi="Arial"/>
                <w:sz w:val="18"/>
                <w:szCs w:val="18"/>
                <w:b w:val="1"/>
                <w:bCs w:val="1"/>
                <w:color w:val="auto"/>
              </w:rPr>
              <w:t>US$’000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2"/>
        </w:trPr>
        <w:tc>
          <w:tcPr>
            <w:tcW w:w="7320" w:type="dxa"/>
            <w:vAlign w:val="bottom"/>
            <w:gridSpan w:val="2"/>
            <w:vMerge w:val="continue"/>
          </w:tcPr>
          <w:p>
            <w:pPr>
              <w:spacing w:after="0"/>
              <w:rPr>
                <w:sz w:val="18"/>
                <w:szCs w:val="18"/>
                <w:color w:val="auto"/>
              </w:rPr>
            </w:pPr>
          </w:p>
        </w:tc>
        <w:tc>
          <w:tcPr>
            <w:tcW w:w="2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At beginning of period/year</w:t>
            </w:r>
          </w:p>
        </w:tc>
        <w:tc>
          <w:tcPr>
            <w:tcW w:w="28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5,055</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5,063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Employee share options exercised</w:t>
            </w:r>
          </w:p>
        </w:tc>
        <w:tc>
          <w:tcPr>
            <w:tcW w:w="2880" w:type="dxa"/>
            <w:vAlign w:val="bottom"/>
          </w:tcPr>
          <w:p>
            <w:pPr>
              <w:jc w:val="right"/>
              <w:ind w:right="152"/>
              <w:spacing w:after="0"/>
              <w:rPr>
                <w:sz w:val="20"/>
                <w:szCs w:val="20"/>
                <w:color w:val="auto"/>
              </w:rPr>
            </w:pPr>
            <w:r>
              <w:rPr>
                <w:rFonts w:ascii="Arial" w:cs="Arial" w:eastAsia="Arial" w:hAnsi="Arial"/>
                <w:sz w:val="18"/>
                <w:szCs w:val="18"/>
                <w:b w:val="1"/>
                <w:bCs w:val="1"/>
                <w:color w:val="auto"/>
              </w:rPr>
              <w:t>22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Repurchase of ordinary shares</w:t>
            </w:r>
          </w:p>
        </w:tc>
        <w:tc>
          <w:tcPr>
            <w:tcW w:w="28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(56)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7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At end of period/year</w:t>
            </w:r>
          </w:p>
        </w:tc>
        <w:tc>
          <w:tcPr>
            <w:tcW w:w="28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5,021</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5,055</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Company’s Ordinary Shares. Holders of Ordinary Shares have no conversion or redemption rights. On a show of hands, every holder of an ordinary share present in person or proxy at a general meeting of shareholders shall have one vote, with no individual having more than one vote.</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During the six month period ended 30 June 2012, 282,596 options were exercised by employees for total proceeds of $3.1 million. During the six month period ended 30 June 2011, 185,260 options were exercised by employees for total proceeds of $2.4 million. In addition, 3,768 ordinary shares were issued during the six months ended 30 June 2011 in respect of certain restricted share units previously awarded but which vested during the period.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programme</w:t>
      </w:r>
    </w:p>
    <w:p>
      <w:pPr>
        <w:spacing w:after="0" w:line="24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27 October 2011, the Company announced its intention to commence a share repurchase programme of up to $50 million. On 22 November 2011, the Company entered into two separate share repurchase plans of up to $10 million each, covering the periods 23 November 2011 to 31 December 2011 and 1 January 2012 to 20 February 2012 respectively. On 21 February 2012 the Company entered into a third share repurchase plan of up to $20 million, covering the period 22 February 2012 to 22 April 2012. On 27 April 2012 the Company entered into a fourth share repurchase plan of up to $20 million, covering the period 27 April 2012 to 18 July 2012. On 30 July 2012 the Company entered into a fifth share repurchase plan of up to $10 million, covering the period 30 July 2012 to 26 October 2012. The Company may enter further share repurchase plans to effect the share repurchase programme in accordance with Rule 10b-18 and Rule 10b5-1 of the Securities Exchange Act of 1934, the authorisation granted at the Company’s annual general meeting, applicable laws and regulations and the Listing Rules of the Irish Stock Exchange.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34" w:name="page35"/>
    <w:bookmarkEnd w:id="34"/>
    <w:p>
      <w:pPr>
        <w:spacing w:after="0"/>
        <w:rPr>
          <w:sz w:val="20"/>
          <w:szCs w:val="20"/>
          <w:color w:val="auto"/>
        </w:rPr>
      </w:pPr>
      <w:r>
        <w:rPr>
          <w:rFonts w:ascii="Arial" w:cs="Arial" w:eastAsia="Arial" w:hAnsi="Arial"/>
          <w:sz w:val="25"/>
          <w:szCs w:val="25"/>
          <w:color w:val="auto"/>
        </w:rPr>
        <w:t xml:space="preserve">Notes to Condensed Consolidated Interim Financial Statements </w:t>
      </w:r>
      <w:r>
        <w:rPr>
          <w:rFonts w:ascii="Arial" w:cs="Arial" w:eastAsia="Arial" w:hAnsi="Arial"/>
          <w:sz w:val="25"/>
          <w:szCs w:val="25"/>
          <w:i w:val="1"/>
          <w:iCs w:val="1"/>
          <w:color w:val="auto"/>
        </w:rPr>
        <w:t>(continued)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16. Share capital </w:t>
      </w:r>
      <w:r>
        <w:rPr>
          <w:rFonts w:ascii="Arial" w:cs="Arial" w:eastAsia="Arial" w:hAnsi="Arial"/>
          <w:sz w:val="18"/>
          <w:szCs w:val="18"/>
          <w:b w:val="1"/>
          <w:bCs w:val="1"/>
          <w:i w:val="1"/>
          <w:iCs w:val="1"/>
          <w:color w:val="auto"/>
        </w:rPr>
        <w:t>(continued)</w:t>
      </w:r>
    </w:p>
    <w:p>
      <w:pPr>
        <w:spacing w:after="0" w:line="25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Under the share repurchase programme, a broker will purchase the Company’s American Depositary Shares (“ADSs”) from time to time on the open market or in privately negotiated transactions in accordance with agreed terms and limitations. ADSs purchased will be deposited with the Depositary under the Company’s ADR facility against delivery of the underlying Ordinary Shares, which will be repurchased by the Company on the Irish Stock Exchange in compliance with the Company’s share repurchase authorisation and applicable laws and regulations. Separately, Ordinary Shares traded on the Irish Stock Exchange may also be repurchased on behalf of the Company. The programme is designed to allow share repurchases during periods when the Company would ordinarily not be permitted to do so because it may be in possession of material non-public or price-sensitive information, applicable insider trading laws or self-imposed trading blackout periods. The Company’s instructions to the broker are irrevocable and the trading decisions in respect of the repurchase programme will be made independently of and uninfluenced by the Company. The Company confirms that, on entering all three share repurchase plans outlined above, it had no material non-public, price-sensitive or inside information regarding the Company or its securities. Furthermore, the Company will not enter into additional plans whilst in possession of such information.</w:t>
      </w:r>
    </w:p>
    <w:p>
      <w:pPr>
        <w:spacing w:after="0" w:line="21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timing and actual number of shares repurchased will be dependent on market conditions, legal and regulatory requirements and the other terms and limitations contained in the plans. In addition, share repurchases may be suspended or discontinued in certain circumstances in accordance with the agreed terms. Therefore, there can be no assurance as to the timing or number of shares that may be repurchased under the repurchase programme. All Ordinary Shares repurchased by the Company will be cancelled.</w:t>
      </w:r>
    </w:p>
    <w:p>
      <w:pPr>
        <w:spacing w:after="0" w:line="218"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During the six months ended 30 June 2012, 738,341 ordinary shares were repurchased by the Company for a total consideration of $15.6 million. As at 30 June, 2012 1,283,938 ordinary shares have been repurchased by the Company for a total consideration of $24.6 million. All ordinary shares repurchased by the Company were cancelled, and the nominal value of these shares transferred to a capital redemption reserve fund as required under Irish Company Law.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6180" w:type="dxa"/>
            <w:vAlign w:val="bottom"/>
          </w:tcPr>
          <w:p>
            <w:pPr>
              <w:jc w:val="right"/>
              <w:ind w:right="152"/>
              <w:spacing w:after="0"/>
              <w:rPr>
                <w:sz w:val="20"/>
                <w:szCs w:val="20"/>
                <w:color w:val="auto"/>
              </w:rPr>
            </w:pPr>
            <w:r>
              <w:rPr>
                <w:rFonts w:ascii="Arial" w:cs="Arial" w:eastAsia="Arial" w:hAnsi="Arial"/>
                <w:sz w:val="18"/>
                <w:szCs w:val="18"/>
                <w:b w:val="1"/>
                <w:bCs w:val="1"/>
                <w:color w:val="auto"/>
              </w:rPr>
              <w:t>30 June</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6180" w:type="dxa"/>
            <w:vAlign w:val="bottom"/>
          </w:tcPr>
          <w:p>
            <w:pPr>
              <w:jc w:val="right"/>
              <w:ind w:right="152"/>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4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Share premium</w:t>
            </w:r>
          </w:p>
        </w:tc>
        <w:tc>
          <w:tcPr>
            <w:tcW w:w="6180" w:type="dxa"/>
            <w:vAlign w:val="bottom"/>
          </w:tcPr>
          <w:p>
            <w:pPr>
              <w:jc w:val="right"/>
              <w:ind w:right="152"/>
              <w:spacing w:after="0"/>
              <w:rPr>
                <w:sz w:val="20"/>
                <w:szCs w:val="20"/>
                <w:color w:val="auto"/>
              </w:rPr>
            </w:pPr>
            <w:r>
              <w:rPr>
                <w:rFonts w:ascii="Arial" w:cs="Arial" w:eastAsia="Arial" w:hAnsi="Arial"/>
                <w:sz w:val="18"/>
                <w:szCs w:val="18"/>
                <w:b w:val="1"/>
                <w:bCs w:val="1"/>
                <w:color w:val="auto"/>
              </w:rPr>
              <w:t>US$’000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2"/>
        </w:trPr>
        <w:tc>
          <w:tcPr>
            <w:tcW w:w="4020" w:type="dxa"/>
            <w:vAlign w:val="bottom"/>
            <w:gridSpan w:val="2"/>
            <w:vMerge w:val="continue"/>
          </w:tcPr>
          <w:p>
            <w:pPr>
              <w:spacing w:after="0"/>
              <w:rPr>
                <w:sz w:val="18"/>
                <w:szCs w:val="18"/>
                <w:color w:val="auto"/>
              </w:rPr>
            </w:pPr>
          </w:p>
        </w:tc>
        <w:tc>
          <w:tcPr>
            <w:tcW w:w="6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At beginning of period/year</w:t>
            </w:r>
          </w:p>
        </w:tc>
        <w:tc>
          <w:tcPr>
            <w:tcW w:w="61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160,090</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155,537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Employee share options exercised</w:t>
            </w:r>
          </w:p>
        </w:tc>
        <w:tc>
          <w:tcPr>
            <w:tcW w:w="6180" w:type="dxa"/>
            <w:vAlign w:val="bottom"/>
          </w:tcPr>
          <w:p>
            <w:pPr>
              <w:jc w:val="right"/>
              <w:ind w:right="152"/>
              <w:spacing w:after="0"/>
              <w:rPr>
                <w:sz w:val="20"/>
                <w:szCs w:val="20"/>
                <w:color w:val="auto"/>
              </w:rPr>
            </w:pPr>
            <w:r>
              <w:rPr>
                <w:rFonts w:ascii="Arial" w:cs="Arial" w:eastAsia="Arial" w:hAnsi="Arial"/>
                <w:sz w:val="18"/>
                <w:szCs w:val="18"/>
                <w:b w:val="1"/>
                <w:bCs w:val="1"/>
                <w:color w:val="auto"/>
              </w:rPr>
              <w:t>3,121</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4,629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Share issue costs</w:t>
            </w:r>
          </w:p>
        </w:tc>
        <w:tc>
          <w:tcPr>
            <w:tcW w:w="61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(14)</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4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At end of period/year</w:t>
            </w:r>
          </w:p>
        </w:tc>
        <w:tc>
          <w:tcPr>
            <w:tcW w:w="61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163,197</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160,090</w:t>
            </w: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180" w:type="dxa"/>
            <w:vAlign w:val="bottom"/>
          </w:tcPr>
          <w:p>
            <w:pPr>
              <w:jc w:val="right"/>
              <w:ind w:right="4312"/>
              <w:spacing w:after="0"/>
              <w:rPr>
                <w:sz w:val="20"/>
                <w:szCs w:val="20"/>
                <w:color w:val="auto"/>
              </w:rPr>
            </w:pPr>
            <w:r>
              <w:rPr>
                <w:rFonts w:ascii="Arial" w:cs="Arial" w:eastAsia="Arial" w:hAnsi="Arial"/>
                <w:sz w:val="18"/>
                <w:szCs w:val="18"/>
                <w:color w:val="auto"/>
              </w:rPr>
              <w:t>32</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000" w:type="dxa"/>
            <w:vAlign w:val="bottom"/>
            <w:tcBorders>
              <w:bottom w:val="single" w:sz="8" w:color="808080"/>
            </w:tcBorders>
          </w:tcPr>
          <w:p>
            <w:pPr>
              <w:spacing w:after="0"/>
              <w:rPr>
                <w:sz w:val="10"/>
                <w:szCs w:val="10"/>
                <w:color w:val="auto"/>
              </w:rPr>
            </w:pPr>
          </w:p>
        </w:tc>
        <w:tc>
          <w:tcPr>
            <w:tcW w:w="61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35" w:name="page36"/>
    <w:bookmarkEnd w:id="35"/>
    <w:p>
      <w:pPr>
        <w:spacing w:after="0"/>
        <w:rPr>
          <w:sz w:val="20"/>
          <w:szCs w:val="20"/>
          <w:color w:val="auto"/>
        </w:rPr>
      </w:pPr>
      <w:r>
        <w:rPr>
          <w:rFonts w:ascii="Arial" w:cs="Arial" w:eastAsia="Arial" w:hAnsi="Arial"/>
          <w:sz w:val="25"/>
          <w:szCs w:val="25"/>
          <w:color w:val="auto"/>
        </w:rPr>
        <w:t xml:space="preserve">Notes to Condensed Consolidated Interim Financial Statements </w:t>
      </w:r>
      <w:r>
        <w:rPr>
          <w:rFonts w:ascii="Arial" w:cs="Arial" w:eastAsia="Arial" w:hAnsi="Arial"/>
          <w:sz w:val="25"/>
          <w:szCs w:val="25"/>
          <w:i w:val="1"/>
          <w:iCs w:val="1"/>
          <w:color w:val="auto"/>
        </w:rPr>
        <w:t>(continued)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party transactions</w:t>
      </w:r>
    </w:p>
    <w:p>
      <w:pPr>
        <w:spacing w:after="0" w:line="250" w:lineRule="exact"/>
        <w:rPr>
          <w:sz w:val="20"/>
          <w:szCs w:val="20"/>
          <w:color w:val="auto"/>
        </w:rPr>
      </w:pPr>
    </w:p>
    <w:p>
      <w:pPr>
        <w:ind w:left="960" w:hanging="95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Transactions with Directors and Executive Officers</w:t>
      </w:r>
    </w:p>
    <w:p>
      <w:pPr>
        <w:spacing w:after="0" w:line="244" w:lineRule="exact"/>
        <w:rPr>
          <w:sz w:val="20"/>
          <w:szCs w:val="20"/>
          <w:color w:val="auto"/>
        </w:rPr>
      </w:pPr>
    </w:p>
    <w:p>
      <w:pPr>
        <w:ind w:right="600"/>
        <w:spacing w:after="0" w:line="265" w:lineRule="auto"/>
        <w:rPr>
          <w:sz w:val="20"/>
          <w:szCs w:val="20"/>
          <w:color w:val="auto"/>
        </w:rPr>
      </w:pPr>
      <w:r>
        <w:rPr>
          <w:rFonts w:ascii="Arial" w:cs="Arial" w:eastAsia="Arial" w:hAnsi="Arial"/>
          <w:sz w:val="18"/>
          <w:szCs w:val="18"/>
          <w:color w:val="auto"/>
        </w:rPr>
        <w:t>The total compensation of the Directors and Executive Officers (key management remuneration) for the six months ended 30 June 2012 and 2011 was as follows: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900" w:type="dxa"/>
            <w:vAlign w:val="bottom"/>
          </w:tcPr>
          <w:p>
            <w:pPr>
              <w:jc w:val="right"/>
              <w:ind w:right="192"/>
              <w:spacing w:after="0"/>
              <w:rPr>
                <w:sz w:val="20"/>
                <w:szCs w:val="20"/>
                <w:color w:val="auto"/>
              </w:rPr>
            </w:pPr>
            <w:r>
              <w:rPr>
                <w:rFonts w:ascii="Arial" w:cs="Arial" w:eastAsia="Arial" w:hAnsi="Arial"/>
                <w:sz w:val="18"/>
                <w:szCs w:val="18"/>
                <w:b w:val="1"/>
                <w:bCs w:val="1"/>
                <w:color w:val="auto"/>
              </w:rPr>
              <w:t>Six months</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Six months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900" w:type="dxa"/>
            <w:vAlign w:val="bottom"/>
          </w:tcPr>
          <w:p>
            <w:pPr>
              <w:jc w:val="right"/>
              <w:ind w:right="192"/>
              <w:spacing w:after="0"/>
              <w:rPr>
                <w:sz w:val="20"/>
                <w:szCs w:val="20"/>
                <w:color w:val="auto"/>
              </w:rPr>
            </w:pPr>
            <w:r>
              <w:rPr>
                <w:rFonts w:ascii="Arial" w:cs="Arial" w:eastAsia="Arial" w:hAnsi="Arial"/>
                <w:sz w:val="18"/>
                <w:szCs w:val="18"/>
                <w:b w:val="1"/>
                <w:bCs w:val="1"/>
                <w:color w:val="auto"/>
              </w:rPr>
              <w:t>ended</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900" w:type="dxa"/>
            <w:vAlign w:val="bottom"/>
          </w:tcPr>
          <w:p>
            <w:pPr>
              <w:jc w:val="right"/>
              <w:ind w:right="192"/>
              <w:spacing w:after="0"/>
              <w:rPr>
                <w:sz w:val="20"/>
                <w:szCs w:val="20"/>
                <w:color w:val="auto"/>
              </w:rPr>
            </w:pPr>
            <w:r>
              <w:rPr>
                <w:rFonts w:ascii="Arial" w:cs="Arial" w:eastAsia="Arial" w:hAnsi="Arial"/>
                <w:sz w:val="18"/>
                <w:szCs w:val="18"/>
                <w:b w:val="1"/>
                <w:bCs w:val="1"/>
                <w:color w:val="auto"/>
              </w:rPr>
              <w:t>30 June</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30 June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900" w:type="dxa"/>
            <w:vAlign w:val="bottom"/>
          </w:tcPr>
          <w:p>
            <w:pPr>
              <w:jc w:val="right"/>
              <w:ind w:right="192"/>
              <w:spacing w:after="0"/>
              <w:rPr>
                <w:sz w:val="20"/>
                <w:szCs w:val="20"/>
                <w:color w:val="auto"/>
              </w:rPr>
            </w:pPr>
            <w:r>
              <w:rPr>
                <w:rFonts w:ascii="Arial" w:cs="Arial" w:eastAsia="Arial" w:hAnsi="Arial"/>
                <w:sz w:val="18"/>
                <w:szCs w:val="18"/>
                <w:b w:val="1"/>
                <w:bCs w:val="1"/>
                <w:color w:val="auto"/>
              </w:rPr>
              <w:t>2012</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4900" w:type="dxa"/>
            <w:vAlign w:val="bottom"/>
          </w:tcPr>
          <w:p>
            <w:pPr>
              <w:jc w:val="right"/>
              <w:ind w:right="192"/>
              <w:spacing w:after="0"/>
              <w:rPr>
                <w:sz w:val="20"/>
                <w:szCs w:val="20"/>
                <w:color w:val="auto"/>
              </w:rPr>
            </w:pPr>
            <w:r>
              <w:rPr>
                <w:rFonts w:ascii="Arial" w:cs="Arial" w:eastAsia="Arial" w:hAnsi="Arial"/>
                <w:sz w:val="18"/>
                <w:szCs w:val="18"/>
                <w:b w:val="1"/>
                <w:bCs w:val="1"/>
                <w:color w:val="auto"/>
              </w:rPr>
              <w:t>US$’000</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Salary and fees</w:t>
            </w:r>
          </w:p>
        </w:tc>
        <w:tc>
          <w:tcPr>
            <w:tcW w:w="490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1,529</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Bonus</w:t>
            </w:r>
          </w:p>
        </w:tc>
        <w:tc>
          <w:tcPr>
            <w:tcW w:w="4900" w:type="dxa"/>
            <w:vAlign w:val="bottom"/>
          </w:tcPr>
          <w:p>
            <w:pPr>
              <w:jc w:val="right"/>
              <w:ind w:right="192"/>
              <w:spacing w:after="0"/>
              <w:rPr>
                <w:sz w:val="20"/>
                <w:szCs w:val="20"/>
                <w:color w:val="auto"/>
              </w:rPr>
            </w:pPr>
            <w:r>
              <w:rPr>
                <w:rFonts w:ascii="Arial" w:cs="Arial" w:eastAsia="Arial" w:hAnsi="Arial"/>
                <w:sz w:val="18"/>
                <w:szCs w:val="18"/>
                <w:b w:val="1"/>
                <w:bCs w:val="1"/>
                <w:color w:val="auto"/>
              </w:rPr>
              <w:t>602</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benefits</w:t>
            </w:r>
          </w:p>
        </w:tc>
        <w:tc>
          <w:tcPr>
            <w:tcW w:w="490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79</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Pension contributions</w:t>
            </w:r>
          </w:p>
        </w:tc>
        <w:tc>
          <w:tcPr>
            <w:tcW w:w="4900" w:type="dxa"/>
            <w:vAlign w:val="bottom"/>
          </w:tcPr>
          <w:p>
            <w:pPr>
              <w:jc w:val="right"/>
              <w:ind w:right="192"/>
              <w:spacing w:after="0"/>
              <w:rPr>
                <w:sz w:val="20"/>
                <w:szCs w:val="20"/>
                <w:color w:val="auto"/>
              </w:rPr>
            </w:pPr>
            <w:r>
              <w:rPr>
                <w:rFonts w:ascii="Arial" w:cs="Arial" w:eastAsia="Arial" w:hAnsi="Arial"/>
                <w:sz w:val="18"/>
                <w:szCs w:val="18"/>
                <w:b w:val="1"/>
                <w:bCs w:val="1"/>
                <w:color w:val="auto"/>
              </w:rPr>
              <w:t>145</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Share based payment</w:t>
            </w:r>
          </w:p>
        </w:tc>
        <w:tc>
          <w:tcPr>
            <w:tcW w:w="49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1,690</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9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4,045</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30 September 2011 Mr. Peter Gray, Vice-Chairman of the Board, retired as Chief Executive Officer (“CEO”) of the Company, in accordance with the provisions of his service agreement, which was terminable on twelve months notice by either party. On 11 June 2012 the Company entered into an agreement with Mr. Gray whereby Mr. Gray’s employment and directorship of ICON plc and other ICON group companies would terminate on 19 July 2012. Under the terms of this agreement Mr. Gray would be entitled to be paid €160,000 ($200,000) in lieu of the balance of his notice period and to receive a discretionary bonus of €194,000 ($243,000) in respect of 2012. In addition, under the agreement Mr. Gray’s unvested share options would vest on the date of termination of his employment. The Company has recognised a share-based compensation charge of $422,000 in respect of these options during the six months ended 30 June 2012. These amounts are included in the above table.</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six months ended 30 June 2012 101,000 share options were granted to the Directors and Executive officers of the Company at exercise prices of $20.59 and $22.30. These options vest over 5 years from the date of the grant. In addition, during the six months ended 30 June 2012 80,000 restricted Share Units (“RSU’s) were awarded to certain key executives of the Group.</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During the six months ended 30 June 2011 98,000 share options were granted to the Directors and Executive officers of the Company at an exercise price of $20.28. These options vest over 5 years from the date of the grant. In addition, during the six months ended 30 June 2011 150,000 restricted Share Units (“RSU’s) were awarded to certain key executives of the Group (inclusive of 100,000 RSU’s granted to Mr. Peter Gray which will not vest).</w:t>
      </w:r>
    </w:p>
    <w:p>
      <w:pPr>
        <w:spacing w:after="0" w:line="200" w:lineRule="exact"/>
        <w:rPr>
          <w:sz w:val="20"/>
          <w:szCs w:val="20"/>
          <w:color w:val="auto"/>
        </w:rPr>
      </w:pPr>
    </w:p>
    <w:p>
      <w:pPr>
        <w:spacing w:after="0" w:line="237" w:lineRule="exact"/>
        <w:rPr>
          <w:sz w:val="20"/>
          <w:szCs w:val="20"/>
          <w:color w:val="auto"/>
        </w:rPr>
      </w:pPr>
    </w:p>
    <w:p>
      <w:pPr>
        <w:ind w:left="960" w:hanging="95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Other Related Party Transactions</w:t>
      </w:r>
    </w:p>
    <w:p>
      <w:pPr>
        <w:spacing w:after="0" w:line="2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were no related party transactions during the six month period ended 30 June 2012 that have materially affected the financial position or performance of the Group. In addition, there were no changes in related party transactions from the last annual report that could have had a material effect on the financial performance of the Group during the period.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36" w:name="page37"/>
    <w:bookmarkEnd w:id="36"/>
    <w:p>
      <w:pPr>
        <w:spacing w:after="0"/>
        <w:rPr>
          <w:sz w:val="20"/>
          <w:szCs w:val="20"/>
          <w:color w:val="auto"/>
        </w:rPr>
      </w:pPr>
      <w:r>
        <w:rPr>
          <w:rFonts w:ascii="Arial" w:cs="Arial" w:eastAsia="Arial" w:hAnsi="Arial"/>
          <w:sz w:val="25"/>
          <w:szCs w:val="25"/>
          <w:color w:val="auto"/>
        </w:rPr>
        <w:t xml:space="preserve">Notes to Condensed Consolidated Interim Financial Statements </w:t>
      </w:r>
      <w:r>
        <w:rPr>
          <w:rFonts w:ascii="Arial" w:cs="Arial" w:eastAsia="Arial" w:hAnsi="Arial"/>
          <w:sz w:val="25"/>
          <w:szCs w:val="25"/>
          <w:i w:val="1"/>
          <w:iCs w:val="1"/>
          <w:color w:val="auto"/>
        </w:rPr>
        <w:t>(continued)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00" w:type="dxa"/>
            <w:vAlign w:val="bottom"/>
            <w:gridSpan w:val="3"/>
          </w:tcPr>
          <w:p>
            <w:pPr>
              <w:spacing w:after="0"/>
              <w:rPr>
                <w:sz w:val="20"/>
                <w:szCs w:val="20"/>
                <w:color w:val="auto"/>
              </w:rPr>
            </w:pPr>
            <w:r>
              <w:rPr>
                <w:rFonts w:ascii="Arial" w:cs="Arial" w:eastAsia="Arial" w:hAnsi="Arial"/>
                <w:sz w:val="18"/>
                <w:szCs w:val="18"/>
                <w:b w:val="1"/>
                <w:bCs w:val="1"/>
                <w:color w:val="auto"/>
              </w:rPr>
              <w:t>18. Reconciliation between IFRS and US GAAP</w:t>
            </w:r>
          </w:p>
        </w:tc>
        <w:tc>
          <w:tcPr>
            <w:tcW w:w="3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3500" w:type="dxa"/>
            <w:vAlign w:val="bottom"/>
          </w:tcPr>
          <w:p>
            <w:pPr>
              <w:jc w:val="right"/>
              <w:ind w:right="152"/>
              <w:spacing w:after="0"/>
              <w:rPr>
                <w:sz w:val="20"/>
                <w:szCs w:val="20"/>
                <w:color w:val="auto"/>
              </w:rPr>
            </w:pPr>
            <w:r>
              <w:rPr>
                <w:rFonts w:ascii="Arial" w:cs="Arial" w:eastAsia="Arial" w:hAnsi="Arial"/>
                <w:sz w:val="18"/>
                <w:szCs w:val="18"/>
                <w:b w:val="1"/>
                <w:bCs w:val="1"/>
                <w:color w:val="auto"/>
              </w:rPr>
              <w:t>Six months</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Six months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500" w:type="dxa"/>
            <w:vAlign w:val="bottom"/>
          </w:tcPr>
          <w:p>
            <w:pPr>
              <w:jc w:val="right"/>
              <w:ind w:right="152"/>
              <w:spacing w:after="0"/>
              <w:rPr>
                <w:sz w:val="20"/>
                <w:szCs w:val="20"/>
                <w:color w:val="auto"/>
              </w:rPr>
            </w:pPr>
            <w:r>
              <w:rPr>
                <w:rFonts w:ascii="Arial" w:cs="Arial" w:eastAsia="Arial" w:hAnsi="Arial"/>
                <w:sz w:val="18"/>
                <w:szCs w:val="18"/>
                <w:b w:val="1"/>
                <w:bCs w:val="1"/>
                <w:color w:val="auto"/>
              </w:rPr>
              <w:t>ended</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500" w:type="dxa"/>
            <w:vAlign w:val="bottom"/>
          </w:tcPr>
          <w:p>
            <w:pPr>
              <w:jc w:val="right"/>
              <w:ind w:right="152"/>
              <w:spacing w:after="0"/>
              <w:rPr>
                <w:sz w:val="20"/>
                <w:szCs w:val="20"/>
                <w:color w:val="auto"/>
              </w:rPr>
            </w:pPr>
            <w:r>
              <w:rPr>
                <w:rFonts w:ascii="Arial" w:cs="Arial" w:eastAsia="Arial" w:hAnsi="Arial"/>
                <w:sz w:val="18"/>
                <w:szCs w:val="18"/>
                <w:b w:val="1"/>
                <w:bCs w:val="1"/>
                <w:color w:val="auto"/>
              </w:rPr>
              <w:t>30 June</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30 June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500" w:type="dxa"/>
            <w:vAlign w:val="bottom"/>
          </w:tcPr>
          <w:p>
            <w:pPr>
              <w:jc w:val="right"/>
              <w:ind w:right="152"/>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3500" w:type="dxa"/>
            <w:vAlign w:val="bottom"/>
          </w:tcPr>
          <w:p>
            <w:pPr>
              <w:jc w:val="right"/>
              <w:ind w:right="152"/>
              <w:spacing w:after="0"/>
              <w:rPr>
                <w:sz w:val="20"/>
                <w:szCs w:val="20"/>
                <w:color w:val="auto"/>
              </w:rPr>
            </w:pPr>
            <w:r>
              <w:rPr>
                <w:rFonts w:ascii="Arial" w:cs="Arial" w:eastAsia="Arial" w:hAnsi="Arial"/>
                <w:sz w:val="18"/>
                <w:szCs w:val="18"/>
                <w:b w:val="1"/>
                <w:bCs w:val="1"/>
                <w:color w:val="auto"/>
              </w:rPr>
              <w:t>US$’000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 as stated under IFRS</w:t>
            </w:r>
          </w:p>
        </w:tc>
        <w:tc>
          <w:tcPr>
            <w:tcW w:w="35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23,944</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27,314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6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680" w:type="dxa"/>
            <w:vAlign w:val="bottom"/>
            <w:tcBorders>
              <w:bottom w:val="single" w:sz="8" w:color="auto"/>
            </w:tcBorders>
            <w:shd w:val="clear" w:color="auto" w:fill="CCEEFF"/>
          </w:tcPr>
          <w:p>
            <w:pPr>
              <w:spacing w:after="0" w:line="172" w:lineRule="exact"/>
              <w:rPr>
                <w:sz w:val="20"/>
                <w:szCs w:val="20"/>
                <w:color w:val="auto"/>
              </w:rPr>
            </w:pPr>
            <w:r>
              <w:rPr>
                <w:rFonts w:ascii="Arial" w:cs="Arial" w:eastAsia="Arial" w:hAnsi="Arial"/>
                <w:sz w:val="18"/>
                <w:szCs w:val="18"/>
                <w:color w:val="auto"/>
                <w:w w:val="88"/>
              </w:rPr>
              <w:t>US GAAP adjustments:</w:t>
            </w:r>
          </w:p>
        </w:tc>
        <w:tc>
          <w:tcPr>
            <w:tcW w:w="5000" w:type="dxa"/>
            <w:vAlign w:val="bottom"/>
            <w:tcBorders>
              <w:bottom w:val="single" w:sz="8" w:color="CCEEFF"/>
            </w:tcBorders>
            <w:shd w:val="clear" w:color="auto" w:fill="CCEEFF"/>
          </w:tcPr>
          <w:p>
            <w:pPr>
              <w:spacing w:after="0"/>
              <w:rPr>
                <w:sz w:val="16"/>
                <w:szCs w:val="16"/>
                <w:color w:val="auto"/>
              </w:rPr>
            </w:pPr>
          </w:p>
        </w:tc>
        <w:tc>
          <w:tcPr>
            <w:tcW w:w="35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Non-cash stock compensation expense under IFRS</w:t>
            </w:r>
          </w:p>
        </w:tc>
        <w:tc>
          <w:tcPr>
            <w:tcW w:w="3500" w:type="dxa"/>
            <w:vAlign w:val="bottom"/>
          </w:tcPr>
          <w:p>
            <w:pPr>
              <w:jc w:val="right"/>
              <w:ind w:right="152"/>
              <w:spacing w:after="0"/>
              <w:rPr>
                <w:sz w:val="20"/>
                <w:szCs w:val="20"/>
                <w:color w:val="auto"/>
              </w:rPr>
            </w:pPr>
            <w:r>
              <w:rPr>
                <w:rFonts w:ascii="Arial" w:cs="Arial" w:eastAsia="Arial" w:hAnsi="Arial"/>
                <w:sz w:val="18"/>
                <w:szCs w:val="18"/>
                <w:b w:val="1"/>
                <w:bCs w:val="1"/>
                <w:color w:val="auto"/>
              </w:rPr>
              <w:t>4,645</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3,298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6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Non-cash stock compensation expense under U.S. GAAP</w:t>
            </w:r>
          </w:p>
        </w:tc>
        <w:tc>
          <w:tcPr>
            <w:tcW w:w="35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(5,853)</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6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66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 as stated under U.S. GAAP (note 5)</w:t>
            </w:r>
          </w:p>
        </w:tc>
        <w:tc>
          <w:tcPr>
            <w:tcW w:w="35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22,736</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26,475</w:t>
            </w:r>
          </w:p>
        </w:tc>
        <w:tc>
          <w:tcPr>
            <w:tcW w:w="0" w:type="dxa"/>
            <w:vAlign w:val="bottom"/>
          </w:tcPr>
          <w:p>
            <w:pPr>
              <w:spacing w:after="0"/>
              <w:rPr>
                <w:sz w:val="1"/>
                <w:szCs w:val="1"/>
                <w:color w:val="auto"/>
              </w:rPr>
            </w:pPr>
          </w:p>
        </w:tc>
      </w:tr>
      <w:tr>
        <w:trPr>
          <w:trHeight w:val="903"/>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3500" w:type="dxa"/>
            <w:vAlign w:val="bottom"/>
          </w:tcPr>
          <w:p>
            <w:pPr>
              <w:jc w:val="right"/>
              <w:ind w:right="152"/>
              <w:spacing w:after="0"/>
              <w:rPr>
                <w:sz w:val="20"/>
                <w:szCs w:val="20"/>
                <w:color w:val="auto"/>
              </w:rPr>
            </w:pPr>
            <w:r>
              <w:rPr>
                <w:rFonts w:ascii="Arial" w:cs="Arial" w:eastAsia="Arial" w:hAnsi="Arial"/>
                <w:sz w:val="18"/>
                <w:szCs w:val="18"/>
                <w:b w:val="1"/>
                <w:bCs w:val="1"/>
                <w:color w:val="auto"/>
              </w:rPr>
              <w:t>30 June</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500" w:type="dxa"/>
            <w:vAlign w:val="bottom"/>
          </w:tcPr>
          <w:p>
            <w:pPr>
              <w:jc w:val="right"/>
              <w:ind w:right="152"/>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3500" w:type="dxa"/>
            <w:vAlign w:val="bottom"/>
          </w:tcPr>
          <w:p>
            <w:pPr>
              <w:jc w:val="right"/>
              <w:ind w:right="152"/>
              <w:spacing w:after="0"/>
              <w:rPr>
                <w:sz w:val="20"/>
                <w:szCs w:val="20"/>
                <w:color w:val="auto"/>
              </w:rPr>
            </w:pPr>
            <w:r>
              <w:rPr>
                <w:rFonts w:ascii="Arial" w:cs="Arial" w:eastAsia="Arial" w:hAnsi="Arial"/>
                <w:sz w:val="18"/>
                <w:szCs w:val="18"/>
                <w:b w:val="1"/>
                <w:bCs w:val="1"/>
                <w:color w:val="auto"/>
              </w:rPr>
              <w:t>US$’000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 as stated under IFRS</w:t>
            </w:r>
          </w:p>
        </w:tc>
        <w:tc>
          <w:tcPr>
            <w:tcW w:w="35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1,099,908</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1,029,352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6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GAAP adjustments:</w:t>
            </w:r>
          </w:p>
        </w:tc>
        <w:tc>
          <w:tcPr>
            <w:tcW w:w="3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Goodwill arising on merger with PRAI</w:t>
            </w:r>
          </w:p>
        </w:tc>
        <w:tc>
          <w:tcPr>
            <w:tcW w:w="3500" w:type="dxa"/>
            <w:vAlign w:val="bottom"/>
          </w:tcPr>
          <w:p>
            <w:pPr>
              <w:jc w:val="right"/>
              <w:ind w:right="92"/>
              <w:spacing w:after="0"/>
              <w:rPr>
                <w:sz w:val="20"/>
                <w:szCs w:val="20"/>
                <w:color w:val="auto"/>
              </w:rPr>
            </w:pPr>
            <w:r>
              <w:rPr>
                <w:rFonts w:ascii="Arial" w:cs="Arial" w:eastAsia="Arial" w:hAnsi="Arial"/>
                <w:sz w:val="18"/>
                <w:szCs w:val="18"/>
                <w:b w:val="1"/>
                <w:bCs w:val="1"/>
                <w:color w:val="auto"/>
              </w:rPr>
              <w:t>(15,010)</w:t>
            </w:r>
          </w:p>
        </w:tc>
        <w:tc>
          <w:tcPr>
            <w:tcW w:w="1220" w:type="dxa"/>
            <w:vAlign w:val="bottom"/>
          </w:tcPr>
          <w:p>
            <w:pPr>
              <w:jc w:val="right"/>
              <w:spacing w:after="0"/>
              <w:rPr>
                <w:sz w:val="20"/>
                <w:szCs w:val="20"/>
                <w:color w:val="auto"/>
              </w:rPr>
            </w:pPr>
            <w:r>
              <w:rPr>
                <w:rFonts w:ascii="Arial" w:cs="Arial" w:eastAsia="Arial" w:hAnsi="Arial"/>
                <w:sz w:val="18"/>
                <w:szCs w:val="18"/>
                <w:color w:val="auto"/>
              </w:rPr>
              <w:t>(15,010)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Amortisation of goodwill arising on merger with PRAI</w:t>
            </w:r>
          </w:p>
        </w:tc>
        <w:tc>
          <w:tcPr>
            <w:tcW w:w="35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1,001</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Deferred tax adjustments on share based payments</w:t>
            </w:r>
          </w:p>
        </w:tc>
        <w:tc>
          <w:tcPr>
            <w:tcW w:w="3500" w:type="dxa"/>
            <w:vAlign w:val="bottom"/>
          </w:tcPr>
          <w:p>
            <w:pPr>
              <w:jc w:val="right"/>
              <w:ind w:right="152"/>
              <w:spacing w:after="0"/>
              <w:rPr>
                <w:sz w:val="20"/>
                <w:szCs w:val="20"/>
                <w:color w:val="auto"/>
              </w:rPr>
            </w:pPr>
            <w:r>
              <w:rPr>
                <w:rFonts w:ascii="Arial" w:cs="Arial" w:eastAsia="Arial" w:hAnsi="Arial"/>
                <w:sz w:val="18"/>
                <w:szCs w:val="18"/>
                <w:b w:val="1"/>
                <w:bCs w:val="1"/>
                <w:color w:val="auto"/>
              </w:rPr>
              <w:t>3,721</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3,705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6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Offset between deferred tax assets and liabilities</w:t>
            </w:r>
          </w:p>
        </w:tc>
        <w:tc>
          <w:tcPr>
            <w:tcW w:w="35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15,274</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16,419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6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66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Total assets as stated under U.S. GAAP</w:t>
            </w:r>
          </w:p>
        </w:tc>
        <w:tc>
          <w:tcPr>
            <w:tcW w:w="35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1,104,894</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1,035,467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Further information on the US GAAP adjustments above are set out on pages 131 to 133 of the Company’s Annual Report for the year ended 31 December 2011.</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7011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sectPr>
      <w:pgSz w:w="11900" w:h="16838" w:orient="portrait"/>
      <w:cols w:equalWidth="0" w:num="1">
        <w:col w:w="11420"/>
      </w:cols>
      <w:pgMar w:left="240" w:top="60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1"/>
    </w:lvl>
    <w:lvl w:ilvl="1">
      <w:lvlJc w:val="left"/>
      <w:lvlText w:val="(%2)"/>
      <w:numFmt w:val="lowerRoman"/>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Roman"/>
      <w:start w:val="1"/>
    </w:lvl>
  </w:abstractNum>
  <w:abstractNum w:abstractNumId="3">
    <w:nsid w:val="625558EC"/>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2019-12-09T13:27:37Z</dcterms:created>
  <dcterms:modified xsi:type="dcterms:W3CDTF">2019-12-09T13:27:37Z</dcterms:modified>
</cp:coreProperties>
</file>