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February, 2014</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Full Year and Q4 Results Press Release issued February 20,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February 20, 2014</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121" w:right="45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jc w:val="both"/>
        <w:ind w:right="220"/>
        <w:spacing w:after="0" w:line="243" w:lineRule="auto"/>
        <w:rPr>
          <w:sz w:val="20"/>
          <w:szCs w:val="20"/>
          <w:color w:val="auto"/>
        </w:rPr>
      </w:pPr>
      <w:r>
        <w:rPr>
          <w:rFonts w:ascii="Arial" w:cs="Arial" w:eastAsia="Arial" w:hAnsi="Arial"/>
          <w:sz w:val="22"/>
          <w:szCs w:val="22"/>
          <w:b w:val="1"/>
          <w:bCs w:val="1"/>
          <w:color w:val="auto"/>
        </w:rPr>
        <w:t>ICON Reports Fourth Quarter 2013 Revenue of $345 million, up 15% year on year and EPS of 53c, up 56% year on year. Full Year 2013 Revenue was $1.34 billion, up 20% year on year, EPS was $1.77 up 77% year on year. Guidance issued for 2014.</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 Fourth Quarter and Full year ended December 31, 2013.</w:t>
      </w:r>
    </w:p>
    <w:p>
      <w:pPr>
        <w:spacing w:after="0" w:line="206" w:lineRule="exact"/>
        <w:rPr>
          <w:sz w:val="20"/>
          <w:szCs w:val="20"/>
          <w:color w:val="auto"/>
        </w:rPr>
      </w:pPr>
    </w:p>
    <w:p>
      <w:pPr>
        <w:ind w:left="540" w:right="20"/>
        <w:spacing w:after="0" w:line="256" w:lineRule="auto"/>
        <w:rPr>
          <w:sz w:val="20"/>
          <w:szCs w:val="20"/>
          <w:color w:val="auto"/>
        </w:rPr>
      </w:pPr>
      <w:r>
        <w:rPr>
          <w:rFonts w:ascii="Arial" w:cs="Arial" w:eastAsia="Arial" w:hAnsi="Arial"/>
          <w:sz w:val="22"/>
          <w:szCs w:val="22"/>
          <w:b w:val="1"/>
          <w:bCs w:val="1"/>
          <w:color w:val="auto"/>
        </w:rPr>
        <w:t>Quarter 4 net revenue increased 15% year on year to $345 million. Full Year 2013 net revenue increased 20% to $1.34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520"/>
        <w:spacing w:after="0" w:line="256" w:lineRule="auto"/>
        <w:rPr>
          <w:sz w:val="20"/>
          <w:szCs w:val="20"/>
          <w:color w:val="auto"/>
        </w:rPr>
      </w:pPr>
      <w:r>
        <w:rPr>
          <w:rFonts w:ascii="Arial" w:cs="Arial" w:eastAsia="Arial" w:hAnsi="Arial"/>
          <w:sz w:val="22"/>
          <w:szCs w:val="22"/>
          <w:b w:val="1"/>
          <w:bCs w:val="1"/>
          <w:color w:val="auto"/>
        </w:rPr>
        <w:t>Quarter 4 operating income was $38.7 million or 11.2% of revenue. Full Year 2013 operating income before non-recurring charges was $130.2 million or 9.7%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160"/>
        <w:spacing w:after="0" w:line="256" w:lineRule="auto"/>
        <w:rPr>
          <w:sz w:val="20"/>
          <w:szCs w:val="20"/>
          <w:color w:val="auto"/>
        </w:rPr>
      </w:pPr>
      <w:r>
        <w:rPr>
          <w:rFonts w:ascii="Arial" w:cs="Arial" w:eastAsia="Arial" w:hAnsi="Arial"/>
          <w:sz w:val="22"/>
          <w:szCs w:val="22"/>
          <w:b w:val="1"/>
          <w:bCs w:val="1"/>
          <w:color w:val="auto"/>
        </w:rPr>
        <w:t>Earnings per share for Quarter 4 were $0.53. Earnings per share for the full year before non-recurring charges were $1.77.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80"/>
        <w:spacing w:after="0" w:line="243" w:lineRule="auto"/>
        <w:rPr>
          <w:sz w:val="20"/>
          <w:szCs w:val="20"/>
          <w:color w:val="auto"/>
        </w:rPr>
      </w:pPr>
      <w:r>
        <w:rPr>
          <w:rFonts w:ascii="Arial" w:cs="Arial" w:eastAsia="Arial" w:hAnsi="Arial"/>
          <w:sz w:val="22"/>
          <w:szCs w:val="22"/>
          <w:b w:val="1"/>
          <w:bCs w:val="1"/>
          <w:color w:val="auto"/>
        </w:rPr>
        <w:t>Quarter 4 gross business awards were $540 million, representing a book to bill of 1.56. Quarter 4 net business awards were $446 million representing a book to bill of 1.29. Full Year net new business awards were $1.6 billion, representing a book to bill of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Backlog increased 11.6% year on year to $3.1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160"/>
        <w:spacing w:after="0" w:line="256" w:lineRule="auto"/>
        <w:rPr>
          <w:sz w:val="20"/>
          <w:szCs w:val="20"/>
          <w:color w:val="auto"/>
        </w:rPr>
      </w:pPr>
      <w:r>
        <w:rPr>
          <w:rFonts w:ascii="Arial" w:cs="Arial" w:eastAsia="Arial" w:hAnsi="Arial"/>
          <w:sz w:val="22"/>
          <w:szCs w:val="22"/>
          <w:b w:val="1"/>
          <w:bCs w:val="1"/>
          <w:color w:val="auto"/>
        </w:rPr>
        <w:t>Full year 2014 revenue guidance in the range of $1,415 – $1,465 million, representing growth of 6-10%, and earnings per share guidance in the range of $2.05 - $2.20, an increase of 16-24%.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color w:val="auto"/>
        </w:rPr>
        <w:t>DUBLIN--(BUSINESS WIRE)--February 20, 2014--</w:t>
      </w:r>
      <w:r>
        <w:rPr>
          <w:rFonts w:ascii="Arial" w:cs="Arial" w:eastAsia="Arial" w:hAnsi="Arial"/>
          <w:sz w:val="22"/>
          <w:szCs w:val="22"/>
          <w:b w:val="1"/>
          <w:bCs w:val="1"/>
          <w:color w:val="auto"/>
        </w:rPr>
        <w:t>ICON plc</w:t>
      </w:r>
      <w:r>
        <w:rPr>
          <w:rFonts w:ascii="Arial" w:cs="Arial" w:eastAsia="Arial" w:hAnsi="Arial"/>
          <w:sz w:val="22"/>
          <w:szCs w:val="22"/>
          <w:color w:val="auto"/>
        </w:rPr>
        <w:t xml:space="preserve">, </w:t>
      </w:r>
      <w:r>
        <w:rPr>
          <w:rFonts w:ascii="Arial" w:cs="Arial" w:eastAsia="Arial" w:hAnsi="Arial"/>
          <w:sz w:val="22"/>
          <w:szCs w:val="22"/>
          <w:b w:val="1"/>
          <w:bCs w:val="1"/>
          <w:color w:val="auto"/>
        </w:rPr>
        <w:t>(NASDAQ:ICLR),</w:t>
      </w:r>
      <w:r>
        <w:rPr>
          <w:rFonts w:ascii="Arial" w:cs="Arial" w:eastAsia="Arial" w:hAnsi="Arial"/>
          <w:sz w:val="22"/>
          <w:szCs w:val="22"/>
          <w:color w:val="auto"/>
        </w:rPr>
        <w:t xml:space="preserve"> a global provider of outsourced development services to the pharmaceutical, biotechnology and medical device industries, today reported its financial results for the full year and fourth quarter ended December 31, 2013.</w:t>
      </w:r>
    </w:p>
    <w:p>
      <w:pPr>
        <w:spacing w:after="0" w:line="183"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For the fourth quarter net revenue grew 15% year on year to $345 million. Operating income was $38.7 million compared to $24.4 million in the same quarter last year. Operating margin was 11.2% of revenue, compared to 8.1% of revenue for the same quarter last year.</w:t>
      </w:r>
    </w:p>
    <w:p>
      <w:pPr>
        <w:spacing w:after="0" w:line="186"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Net income was $33.5 million compared with $20.7 million last year representing growth of 62%, or $0.53 per share compared to $0.34 in the same quarter last year.</w:t>
      </w:r>
    </w:p>
    <w:p>
      <w:pPr>
        <w:spacing w:after="0" w:line="173" w:lineRule="exact"/>
        <w:rPr>
          <w:sz w:val="20"/>
          <w:szCs w:val="20"/>
          <w:color w:val="auto"/>
        </w:rPr>
      </w:pPr>
    </w:p>
    <w:p>
      <w:pPr>
        <w:jc w:val="both"/>
        <w:ind w:right="340"/>
        <w:spacing w:after="0"/>
        <w:rPr>
          <w:sz w:val="20"/>
          <w:szCs w:val="20"/>
          <w:color w:val="auto"/>
        </w:rPr>
      </w:pPr>
      <w:r>
        <w:rPr>
          <w:rFonts w:ascii="Arial" w:cs="Arial" w:eastAsia="Arial" w:hAnsi="Arial"/>
          <w:sz w:val="22"/>
          <w:szCs w:val="22"/>
          <w:color w:val="auto"/>
        </w:rPr>
        <w:t>For the full year revenue grew 20% to $1.34 billion. Operating income before restructuring and other items was $130.2 million compared to $73.7 million last year an increase of 77%. Operating margin for the full year 2013 was 9.7% of revenue compared with 6.6% of revenue in 2012.</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On a US GAAP basis, income from operations was $121.2 million or 9.1% compared with $68.0 million or 6.1% in the prior year.</w:t>
      </w:r>
    </w:p>
    <w:p>
      <w:pPr>
        <w:spacing w:after="0" w:line="241"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For the full year net income before restructuring and other items was $110.0 million, compared to $60.4 million last year and net margin was 8.2% of revenue, compared with 5.4%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EPS before restructuring and other items for 2013 was $1.77 per share compared with $1.00 in 2012.</w:t>
      </w:r>
    </w:p>
    <w:p>
      <w:pPr>
        <w:spacing w:after="0" w:line="207"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On a US GAAP basis net income for the full year was $102.8 million, compared to $55.4 million last year. Net margin for the full year 2013 was 7.7% of revenue, up from 5.0% in 2012. EPS on a US GAAP basis for 2013 was $1.65 per share compared with $0.92 in 2012.</w:t>
      </w:r>
    </w:p>
    <w:p>
      <w:pPr>
        <w:spacing w:after="0" w:line="186"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32 days at December 31, 2013 compared with 40 days at December 31, 2012.</w:t>
      </w:r>
    </w:p>
    <w:p>
      <w:pPr>
        <w:spacing w:after="0" w:line="173"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For the quarter ended December 31, 2013, cash provided by operating activities was $97.4 million and capital expenditure was $6.1 million. For the full year 2013 cash flow from operating activities was $221.2 million and capital expenditure was $29.5 million. In addition $92.5 million was invested on acquisitions. As a result the company’s net cash amounted to $321 million at December 31, 2013 compared to $190 million of net cash at December 31, 2012.</w:t>
      </w:r>
    </w:p>
    <w:p>
      <w:pPr>
        <w:spacing w:after="0" w:line="185"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 xml:space="preserve">CEO Ciaran Murray commented, </w:t>
      </w:r>
      <w:r>
        <w:rPr>
          <w:rFonts w:ascii="Arial" w:cs="Arial" w:eastAsia="Arial" w:hAnsi="Arial"/>
          <w:sz w:val="19"/>
          <w:szCs w:val="19"/>
          <w:i w:val="1"/>
          <w:iCs w:val="1"/>
          <w:color w:val="auto"/>
        </w:rPr>
        <w:t>“ICON made significant progress in 2013. Revenue grew 20% to $1.34 billion and earnings per</w:t>
      </w:r>
      <w:r>
        <w:rPr>
          <w:rFonts w:ascii="Arial" w:cs="Arial" w:eastAsia="Arial" w:hAnsi="Arial"/>
          <w:sz w:val="19"/>
          <w:szCs w:val="19"/>
          <w:color w:val="auto"/>
        </w:rPr>
        <w:t xml:space="preserve"> </w:t>
      </w:r>
      <w:r>
        <w:rPr>
          <w:rFonts w:ascii="Arial" w:cs="Arial" w:eastAsia="Arial" w:hAnsi="Arial"/>
          <w:sz w:val="19"/>
          <w:szCs w:val="19"/>
          <w:i w:val="1"/>
          <w:iCs w:val="1"/>
          <w:color w:val="auto"/>
        </w:rPr>
        <w:t>share increased by 77% to $1.77. During the quarter we booked $446 million of net new business, a book to bill of 1.29x. As a result we enter 2014 with a backlog in excess of $3 billion and consequently we are guiding revenue in the range of $1,415 – 1,465 million an increase of 6-10% and for earnings to increase by 16-24% in the range $2.05 - $2.20.”</w:t>
      </w:r>
    </w:p>
    <w:p>
      <w:pPr>
        <w:spacing w:after="0" w:line="143"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 xml:space="preserve">ICON will hold its fourth quarter conference call today, February 20, 2014 at 9:00 EST [14:00 Ireland &amp; UK]. This call and linked slide presentation can be accessed live from our website at </w:t>
      </w:r>
      <w:r>
        <w:rPr>
          <w:rFonts w:ascii="Arial" w:cs="Arial" w:eastAsia="Arial" w:hAnsi="Arial"/>
          <w:sz w:val="21"/>
          <w:szCs w:val="21"/>
          <w:u w:val="single" w:color="auto"/>
          <w:color w:val="auto"/>
        </w:rPr>
        <w:t>http://investor.iconplc.com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77 locations in 38 countries and has approximately 10,300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 : Investor Relations 1-888-381-7923 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Chief Financial Officer + 353–1-291-2000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Simon Holmes EVP Investor Relations and Corporate Development + 353–1-291-2000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860"/>
          </w:cols>
          <w:pgMar w:left="240" w:top="118" w:right="7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 (Unaudited)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(Before restructuring and other items)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Twelve Months ended December 31, 2013 and December 31, 2012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4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(Dollars, in thousands, except share and per share data)</w:t>
            </w: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4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24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December 31,</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1"/>
                <w:szCs w:val="21"/>
                <w:color w:val="auto"/>
              </w:rPr>
            </w:pPr>
          </w:p>
        </w:tc>
        <w:tc>
          <w:tcPr>
            <w:tcW w:w="44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400" w:type="dxa"/>
            <w:vAlign w:val="bottom"/>
          </w:tcPr>
          <w:p>
            <w:pPr>
              <w:spacing w:after="0"/>
              <w:rPr>
                <w:sz w:val="20"/>
                <w:szCs w:val="20"/>
                <w:color w:val="auto"/>
              </w:rPr>
            </w:pPr>
            <w:r>
              <w:rPr>
                <w:rFonts w:ascii="Arial" w:cs="Arial" w:eastAsia="Arial" w:hAnsi="Arial"/>
                <w:sz w:val="18"/>
                <w:szCs w:val="18"/>
                <w:color w:val="auto"/>
              </w:rPr>
              <w:t>Gross Revenue</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450,062</w:t>
            </w:r>
          </w:p>
        </w:tc>
        <w:tc>
          <w:tcPr>
            <w:tcW w:w="1180" w:type="dxa"/>
            <w:vAlign w:val="bottom"/>
          </w:tcPr>
          <w:p>
            <w:pPr>
              <w:jc w:val="right"/>
              <w:spacing w:after="0"/>
              <w:rPr>
                <w:sz w:val="20"/>
                <w:szCs w:val="20"/>
                <w:color w:val="auto"/>
              </w:rPr>
            </w:pPr>
            <w:r>
              <w:rPr>
                <w:rFonts w:ascii="Arial" w:cs="Arial" w:eastAsia="Arial" w:hAnsi="Arial"/>
                <w:sz w:val="18"/>
                <w:szCs w:val="18"/>
                <w:color w:val="auto"/>
              </w:rPr>
              <w:t>406,353</w:t>
            </w:r>
          </w:p>
        </w:tc>
        <w:tc>
          <w:tcPr>
            <w:tcW w:w="1240" w:type="dxa"/>
            <w:vAlign w:val="bottom"/>
          </w:tcPr>
          <w:p>
            <w:pPr>
              <w:jc w:val="right"/>
              <w:spacing w:after="0"/>
              <w:rPr>
                <w:sz w:val="20"/>
                <w:szCs w:val="20"/>
                <w:color w:val="auto"/>
              </w:rPr>
            </w:pPr>
            <w:r>
              <w:rPr>
                <w:rFonts w:ascii="Arial" w:cs="Arial" w:eastAsia="Arial" w:hAnsi="Arial"/>
                <w:sz w:val="18"/>
                <w:szCs w:val="18"/>
                <w:color w:val="auto"/>
              </w:rPr>
              <w:t>1,784,345</w:t>
            </w:r>
          </w:p>
        </w:tc>
        <w:tc>
          <w:tcPr>
            <w:tcW w:w="1160" w:type="dxa"/>
            <w:vAlign w:val="bottom"/>
          </w:tcPr>
          <w:p>
            <w:pPr>
              <w:jc w:val="right"/>
              <w:spacing w:after="0"/>
              <w:rPr>
                <w:sz w:val="20"/>
                <w:szCs w:val="20"/>
                <w:color w:val="auto"/>
              </w:rPr>
            </w:pPr>
            <w:r>
              <w:rPr>
                <w:rFonts w:ascii="Arial" w:cs="Arial" w:eastAsia="Arial" w:hAnsi="Arial"/>
                <w:sz w:val="18"/>
                <w:szCs w:val="18"/>
                <w:color w:val="auto"/>
              </w:rPr>
              <w:t>1,503,993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400" w:type="dxa"/>
            <w:vAlign w:val="bottom"/>
          </w:tcPr>
          <w:p>
            <w:pPr>
              <w:spacing w:after="0"/>
              <w:rPr>
                <w:sz w:val="20"/>
                <w:szCs w:val="20"/>
                <w:color w:val="auto"/>
              </w:rPr>
            </w:pPr>
            <w:r>
              <w:rPr>
                <w:rFonts w:ascii="Arial" w:cs="Arial" w:eastAsia="Arial" w:hAnsi="Arial"/>
                <w:sz w:val="18"/>
                <w:szCs w:val="18"/>
                <w:color w:val="auto"/>
              </w:rPr>
              <w:t>Reimbursable expenses</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104,821</w:t>
            </w:r>
          </w:p>
        </w:tc>
        <w:tc>
          <w:tcPr>
            <w:tcW w:w="1180" w:type="dxa"/>
            <w:vAlign w:val="bottom"/>
          </w:tcPr>
          <w:p>
            <w:pPr>
              <w:jc w:val="right"/>
              <w:spacing w:after="0"/>
              <w:rPr>
                <w:sz w:val="20"/>
                <w:szCs w:val="20"/>
                <w:color w:val="auto"/>
              </w:rPr>
            </w:pPr>
            <w:r>
              <w:rPr>
                <w:rFonts w:ascii="Arial" w:cs="Arial" w:eastAsia="Arial" w:hAnsi="Arial"/>
                <w:sz w:val="18"/>
                <w:szCs w:val="18"/>
                <w:color w:val="auto"/>
              </w:rPr>
              <w:t>106,190</w:t>
            </w:r>
          </w:p>
        </w:tc>
        <w:tc>
          <w:tcPr>
            <w:tcW w:w="1240" w:type="dxa"/>
            <w:vAlign w:val="bottom"/>
          </w:tcPr>
          <w:p>
            <w:pPr>
              <w:jc w:val="right"/>
              <w:spacing w:after="0"/>
              <w:rPr>
                <w:sz w:val="20"/>
                <w:szCs w:val="20"/>
                <w:color w:val="auto"/>
              </w:rPr>
            </w:pPr>
            <w:r>
              <w:rPr>
                <w:rFonts w:ascii="Arial" w:cs="Arial" w:eastAsia="Arial" w:hAnsi="Arial"/>
                <w:sz w:val="18"/>
                <w:szCs w:val="18"/>
                <w:color w:val="auto"/>
              </w:rPr>
              <w:t>448,287</w:t>
            </w:r>
          </w:p>
        </w:tc>
        <w:tc>
          <w:tcPr>
            <w:tcW w:w="1160" w:type="dxa"/>
            <w:vAlign w:val="bottom"/>
          </w:tcPr>
          <w:p>
            <w:pPr>
              <w:jc w:val="right"/>
              <w:spacing w:after="0"/>
              <w:rPr>
                <w:sz w:val="20"/>
                <w:szCs w:val="20"/>
                <w:color w:val="auto"/>
              </w:rPr>
            </w:pPr>
            <w:r>
              <w:rPr>
                <w:rFonts w:ascii="Arial" w:cs="Arial" w:eastAsia="Arial" w:hAnsi="Arial"/>
                <w:sz w:val="18"/>
                <w:szCs w:val="18"/>
                <w:color w:val="auto"/>
              </w:rPr>
              <w:t>388,987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Net Revenue</w:t>
            </w:r>
          </w:p>
        </w:tc>
        <w:tc>
          <w:tcPr>
            <w:tcW w:w="4440" w:type="dxa"/>
            <w:vAlign w:val="bottom"/>
            <w:gridSpan w:val="2"/>
          </w:tcPr>
          <w:p>
            <w:pPr>
              <w:spacing w:after="0"/>
              <w:rPr>
                <w:sz w:val="22"/>
                <w:szCs w:val="22"/>
                <w:color w:val="auto"/>
              </w:rPr>
            </w:pPr>
          </w:p>
        </w:tc>
        <w:tc>
          <w:tcPr>
            <w:tcW w:w="1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00" w:type="dxa"/>
            <w:vAlign w:val="bottom"/>
            <w:vMerge w:val="continue"/>
          </w:tcPr>
          <w:p>
            <w:pPr>
              <w:spacing w:after="0"/>
              <w:rPr>
                <w:sz w:val="19"/>
                <w:szCs w:val="19"/>
                <w:color w:val="auto"/>
              </w:rPr>
            </w:pPr>
          </w:p>
        </w:tc>
        <w:tc>
          <w:tcPr>
            <w:tcW w:w="3140" w:type="dxa"/>
            <w:vAlign w:val="bottom"/>
          </w:tcPr>
          <w:p>
            <w:pPr>
              <w:spacing w:after="0"/>
              <w:rPr>
                <w:sz w:val="19"/>
                <w:szCs w:val="19"/>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345,241</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300,163</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1,336,058</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4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Direct costs</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215,155</w:t>
            </w:r>
          </w:p>
        </w:tc>
        <w:tc>
          <w:tcPr>
            <w:tcW w:w="1180" w:type="dxa"/>
            <w:vAlign w:val="bottom"/>
          </w:tcPr>
          <w:p>
            <w:pPr>
              <w:jc w:val="right"/>
              <w:spacing w:after="0"/>
              <w:rPr>
                <w:sz w:val="20"/>
                <w:szCs w:val="20"/>
                <w:color w:val="auto"/>
              </w:rPr>
            </w:pPr>
            <w:r>
              <w:rPr>
                <w:rFonts w:ascii="Arial" w:cs="Arial" w:eastAsia="Arial" w:hAnsi="Arial"/>
                <w:sz w:val="18"/>
                <w:szCs w:val="18"/>
                <w:color w:val="auto"/>
              </w:rPr>
              <w:t>192,007</w:t>
            </w:r>
          </w:p>
        </w:tc>
        <w:tc>
          <w:tcPr>
            <w:tcW w:w="1240" w:type="dxa"/>
            <w:vAlign w:val="bottom"/>
          </w:tcPr>
          <w:p>
            <w:pPr>
              <w:jc w:val="right"/>
              <w:spacing w:after="0"/>
              <w:rPr>
                <w:sz w:val="20"/>
                <w:szCs w:val="20"/>
                <w:color w:val="auto"/>
              </w:rPr>
            </w:pPr>
            <w:r>
              <w:rPr>
                <w:rFonts w:ascii="Arial" w:cs="Arial" w:eastAsia="Arial" w:hAnsi="Arial"/>
                <w:sz w:val="18"/>
                <w:szCs w:val="18"/>
                <w:color w:val="auto"/>
              </w:rPr>
              <w:t>845,413</w:t>
            </w:r>
          </w:p>
        </w:tc>
        <w:tc>
          <w:tcPr>
            <w:tcW w:w="1160" w:type="dxa"/>
            <w:vAlign w:val="bottom"/>
          </w:tcPr>
          <w:p>
            <w:pPr>
              <w:jc w:val="right"/>
              <w:spacing w:after="0"/>
              <w:rPr>
                <w:sz w:val="20"/>
                <w:szCs w:val="20"/>
                <w:color w:val="auto"/>
              </w:rPr>
            </w:pPr>
            <w:r>
              <w:rPr>
                <w:rFonts w:ascii="Arial" w:cs="Arial" w:eastAsia="Arial" w:hAnsi="Arial"/>
                <w:sz w:val="18"/>
                <w:szCs w:val="18"/>
                <w:color w:val="auto"/>
              </w:rPr>
              <w:t>717,750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79,412</w:t>
            </w:r>
          </w:p>
        </w:tc>
        <w:tc>
          <w:tcPr>
            <w:tcW w:w="1180" w:type="dxa"/>
            <w:vAlign w:val="bottom"/>
          </w:tcPr>
          <w:p>
            <w:pPr>
              <w:jc w:val="right"/>
              <w:spacing w:after="0"/>
              <w:rPr>
                <w:sz w:val="20"/>
                <w:szCs w:val="20"/>
                <w:color w:val="auto"/>
              </w:rPr>
            </w:pPr>
            <w:r>
              <w:rPr>
                <w:rFonts w:ascii="Arial" w:cs="Arial" w:eastAsia="Arial" w:hAnsi="Arial"/>
                <w:sz w:val="18"/>
                <w:szCs w:val="18"/>
                <w:color w:val="auto"/>
              </w:rPr>
              <w:t>73,165</w:t>
            </w:r>
          </w:p>
        </w:tc>
        <w:tc>
          <w:tcPr>
            <w:tcW w:w="1240" w:type="dxa"/>
            <w:vAlign w:val="bottom"/>
          </w:tcPr>
          <w:p>
            <w:pPr>
              <w:jc w:val="right"/>
              <w:spacing w:after="0"/>
              <w:rPr>
                <w:sz w:val="20"/>
                <w:szCs w:val="20"/>
                <w:color w:val="auto"/>
              </w:rPr>
            </w:pPr>
            <w:r>
              <w:rPr>
                <w:rFonts w:ascii="Arial" w:cs="Arial" w:eastAsia="Arial" w:hAnsi="Arial"/>
                <w:sz w:val="18"/>
                <w:szCs w:val="18"/>
                <w:color w:val="auto"/>
              </w:rPr>
              <w:t>313,931</w:t>
            </w:r>
          </w:p>
        </w:tc>
        <w:tc>
          <w:tcPr>
            <w:tcW w:w="1160" w:type="dxa"/>
            <w:vAlign w:val="bottom"/>
          </w:tcPr>
          <w:p>
            <w:pPr>
              <w:jc w:val="right"/>
              <w:spacing w:after="0"/>
              <w:rPr>
                <w:sz w:val="20"/>
                <w:szCs w:val="20"/>
                <w:color w:val="auto"/>
              </w:rPr>
            </w:pPr>
            <w:r>
              <w:rPr>
                <w:rFonts w:ascii="Arial" w:cs="Arial" w:eastAsia="Arial" w:hAnsi="Arial"/>
                <w:sz w:val="18"/>
                <w:szCs w:val="18"/>
                <w:color w:val="auto"/>
              </w:rPr>
              <w:t>280,780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11,963</w:t>
            </w:r>
          </w:p>
        </w:tc>
        <w:tc>
          <w:tcPr>
            <w:tcW w:w="1180" w:type="dxa"/>
            <w:vAlign w:val="bottom"/>
          </w:tcPr>
          <w:p>
            <w:pPr>
              <w:jc w:val="right"/>
              <w:spacing w:after="0"/>
              <w:rPr>
                <w:sz w:val="20"/>
                <w:szCs w:val="20"/>
                <w:color w:val="auto"/>
              </w:rPr>
            </w:pPr>
            <w:r>
              <w:rPr>
                <w:rFonts w:ascii="Arial" w:cs="Arial" w:eastAsia="Arial" w:hAnsi="Arial"/>
                <w:sz w:val="18"/>
                <w:szCs w:val="18"/>
                <w:color w:val="auto"/>
              </w:rPr>
              <w:t>10,590</w:t>
            </w:r>
          </w:p>
        </w:tc>
        <w:tc>
          <w:tcPr>
            <w:tcW w:w="1240" w:type="dxa"/>
            <w:vAlign w:val="bottom"/>
          </w:tcPr>
          <w:p>
            <w:pPr>
              <w:jc w:val="right"/>
              <w:spacing w:after="0"/>
              <w:rPr>
                <w:sz w:val="20"/>
                <w:szCs w:val="20"/>
                <w:color w:val="auto"/>
              </w:rPr>
            </w:pPr>
            <w:r>
              <w:rPr>
                <w:rFonts w:ascii="Arial" w:cs="Arial" w:eastAsia="Arial" w:hAnsi="Arial"/>
                <w:sz w:val="18"/>
                <w:szCs w:val="18"/>
                <w:color w:val="auto"/>
              </w:rPr>
              <w:t>46,514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42,823</w:t>
            </w:r>
          </w:p>
        </w:tc>
        <w:tc>
          <w:tcPr>
            <w:tcW w:w="0" w:type="dxa"/>
            <w:vAlign w:val="bottom"/>
          </w:tcPr>
          <w:p>
            <w:pPr>
              <w:spacing w:after="0"/>
              <w:rPr>
                <w:sz w:val="1"/>
                <w:szCs w:val="1"/>
                <w:color w:val="auto"/>
              </w:rPr>
            </w:pPr>
          </w:p>
        </w:tc>
      </w:tr>
      <w:tr>
        <w:trPr>
          <w:trHeight w:val="257"/>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Total costs and expenses</w:t>
            </w:r>
          </w:p>
        </w:tc>
        <w:tc>
          <w:tcPr>
            <w:tcW w:w="4440" w:type="dxa"/>
            <w:vAlign w:val="bottom"/>
            <w:gridSpan w:val="2"/>
          </w:tcPr>
          <w:p>
            <w:pPr>
              <w:spacing w:after="0"/>
              <w:rPr>
                <w:sz w:val="22"/>
                <w:szCs w:val="22"/>
                <w:color w:val="auto"/>
              </w:rPr>
            </w:pPr>
          </w:p>
        </w:tc>
        <w:tc>
          <w:tcPr>
            <w:tcW w:w="1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00" w:type="dxa"/>
            <w:vAlign w:val="bottom"/>
            <w:vMerge w:val="continue"/>
          </w:tcPr>
          <w:p>
            <w:pPr>
              <w:spacing w:after="0"/>
              <w:rPr>
                <w:sz w:val="19"/>
                <w:szCs w:val="19"/>
                <w:color w:val="auto"/>
              </w:rPr>
            </w:pPr>
          </w:p>
        </w:tc>
        <w:tc>
          <w:tcPr>
            <w:tcW w:w="3140" w:type="dxa"/>
            <w:vAlign w:val="bottom"/>
          </w:tcPr>
          <w:p>
            <w:pPr>
              <w:spacing w:after="0"/>
              <w:rPr>
                <w:sz w:val="19"/>
                <w:szCs w:val="19"/>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306,530</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275,762</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1,205,858</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40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38,711</w:t>
            </w:r>
          </w:p>
        </w:tc>
        <w:tc>
          <w:tcPr>
            <w:tcW w:w="1180" w:type="dxa"/>
            <w:vAlign w:val="bottom"/>
          </w:tcPr>
          <w:p>
            <w:pPr>
              <w:jc w:val="right"/>
              <w:spacing w:after="0"/>
              <w:rPr>
                <w:sz w:val="20"/>
                <w:szCs w:val="20"/>
                <w:color w:val="auto"/>
              </w:rPr>
            </w:pPr>
            <w:r>
              <w:rPr>
                <w:rFonts w:ascii="Arial" w:cs="Arial" w:eastAsia="Arial" w:hAnsi="Arial"/>
                <w:sz w:val="18"/>
                <w:szCs w:val="18"/>
                <w:color w:val="auto"/>
              </w:rPr>
              <w:t>24,401</w:t>
            </w:r>
          </w:p>
        </w:tc>
        <w:tc>
          <w:tcPr>
            <w:tcW w:w="1240" w:type="dxa"/>
            <w:vAlign w:val="bottom"/>
          </w:tcPr>
          <w:p>
            <w:pPr>
              <w:jc w:val="right"/>
              <w:spacing w:after="0"/>
              <w:rPr>
                <w:sz w:val="20"/>
                <w:szCs w:val="20"/>
                <w:color w:val="auto"/>
              </w:rPr>
            </w:pPr>
            <w:r>
              <w:rPr>
                <w:rFonts w:ascii="Arial" w:cs="Arial" w:eastAsia="Arial" w:hAnsi="Arial"/>
                <w:sz w:val="18"/>
                <w:szCs w:val="18"/>
                <w:color w:val="auto"/>
              </w:rPr>
              <w:t>130,200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73,653</w:t>
            </w:r>
          </w:p>
        </w:tc>
        <w:tc>
          <w:tcPr>
            <w:tcW w:w="0" w:type="dxa"/>
            <w:vAlign w:val="bottom"/>
          </w:tcPr>
          <w:p>
            <w:pPr>
              <w:spacing w:after="0"/>
              <w:rPr>
                <w:sz w:val="1"/>
                <w:szCs w:val="1"/>
                <w:color w:val="auto"/>
              </w:rPr>
            </w:pPr>
          </w:p>
        </w:tc>
      </w:tr>
      <w:tr>
        <w:trPr>
          <w:trHeight w:val="486"/>
        </w:trPr>
        <w:tc>
          <w:tcPr>
            <w:tcW w:w="3400" w:type="dxa"/>
            <w:vAlign w:val="bottom"/>
          </w:tcPr>
          <w:p>
            <w:pPr>
              <w:spacing w:after="0"/>
              <w:rPr>
                <w:sz w:val="20"/>
                <w:szCs w:val="20"/>
                <w:color w:val="auto"/>
              </w:rPr>
            </w:pPr>
            <w:r>
              <w:rPr>
                <w:rFonts w:ascii="Arial" w:cs="Arial" w:eastAsia="Arial" w:hAnsi="Arial"/>
                <w:sz w:val="18"/>
                <w:szCs w:val="18"/>
                <w:color w:val="auto"/>
              </w:rPr>
              <w:t>Net interest income/(expense)</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39</w:t>
            </w:r>
          </w:p>
        </w:tc>
        <w:tc>
          <w:tcPr>
            <w:tcW w:w="1180" w:type="dxa"/>
            <w:vAlign w:val="bottom"/>
          </w:tcPr>
          <w:p>
            <w:pPr>
              <w:jc w:val="right"/>
              <w:spacing w:after="0"/>
              <w:rPr>
                <w:sz w:val="20"/>
                <w:szCs w:val="20"/>
                <w:color w:val="auto"/>
              </w:rPr>
            </w:pPr>
            <w:r>
              <w:rPr>
                <w:rFonts w:ascii="Arial" w:cs="Arial" w:eastAsia="Arial" w:hAnsi="Arial"/>
                <w:sz w:val="18"/>
                <w:szCs w:val="18"/>
                <w:color w:val="auto"/>
              </w:rPr>
              <w:t>(278)</w:t>
            </w:r>
          </w:p>
        </w:tc>
        <w:tc>
          <w:tcPr>
            <w:tcW w:w="1240" w:type="dxa"/>
            <w:vAlign w:val="bottom"/>
          </w:tcPr>
          <w:p>
            <w:pPr>
              <w:jc w:val="right"/>
              <w:spacing w:after="0"/>
              <w:rPr>
                <w:sz w:val="20"/>
                <w:szCs w:val="20"/>
                <w:color w:val="auto"/>
              </w:rPr>
            </w:pPr>
            <w:r>
              <w:rPr>
                <w:rFonts w:ascii="Arial" w:cs="Arial" w:eastAsia="Arial" w:hAnsi="Arial"/>
                <w:sz w:val="18"/>
                <w:szCs w:val="18"/>
                <w:color w:val="auto"/>
              </w:rPr>
              <w:t>(302)</w:t>
            </w:r>
          </w:p>
        </w:tc>
        <w:tc>
          <w:tcPr>
            <w:tcW w:w="1160" w:type="dxa"/>
            <w:vAlign w:val="bottom"/>
          </w:tcPr>
          <w:p>
            <w:pPr>
              <w:jc w:val="right"/>
              <w:spacing w:after="0"/>
              <w:rPr>
                <w:sz w:val="20"/>
                <w:szCs w:val="20"/>
                <w:color w:val="auto"/>
              </w:rPr>
            </w:pPr>
            <w:r>
              <w:rPr>
                <w:rFonts w:ascii="Arial" w:cs="Arial" w:eastAsia="Arial" w:hAnsi="Arial"/>
                <w:sz w:val="18"/>
                <w:szCs w:val="18"/>
                <w:color w:val="auto"/>
              </w:rPr>
              <w:t>(796)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w w:val="94"/>
              </w:rPr>
              <w:t>Income before provision for income taxes</w:t>
            </w:r>
          </w:p>
        </w:tc>
        <w:tc>
          <w:tcPr>
            <w:tcW w:w="4440" w:type="dxa"/>
            <w:vAlign w:val="bottom"/>
            <w:gridSpan w:val="2"/>
          </w:tcPr>
          <w:p>
            <w:pPr>
              <w:spacing w:after="0"/>
              <w:rPr>
                <w:sz w:val="22"/>
                <w:szCs w:val="22"/>
                <w:color w:val="auto"/>
              </w:rPr>
            </w:pPr>
          </w:p>
        </w:tc>
        <w:tc>
          <w:tcPr>
            <w:tcW w:w="1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00" w:type="dxa"/>
            <w:vAlign w:val="bottom"/>
            <w:vMerge w:val="continue"/>
          </w:tcPr>
          <w:p>
            <w:pPr>
              <w:spacing w:after="0"/>
              <w:rPr>
                <w:sz w:val="19"/>
                <w:szCs w:val="19"/>
                <w:color w:val="auto"/>
              </w:rPr>
            </w:pPr>
          </w:p>
        </w:tc>
        <w:tc>
          <w:tcPr>
            <w:tcW w:w="3140" w:type="dxa"/>
            <w:vAlign w:val="bottom"/>
          </w:tcPr>
          <w:p>
            <w:pPr>
              <w:spacing w:after="0"/>
              <w:rPr>
                <w:sz w:val="19"/>
                <w:szCs w:val="19"/>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38,750</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24,123</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129,898</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(5,270)</w:t>
            </w:r>
          </w:p>
        </w:tc>
        <w:tc>
          <w:tcPr>
            <w:tcW w:w="1180" w:type="dxa"/>
            <w:vAlign w:val="bottom"/>
          </w:tcPr>
          <w:p>
            <w:pPr>
              <w:jc w:val="right"/>
              <w:spacing w:after="0"/>
              <w:rPr>
                <w:sz w:val="20"/>
                <w:szCs w:val="20"/>
                <w:color w:val="auto"/>
              </w:rPr>
            </w:pPr>
            <w:r>
              <w:rPr>
                <w:rFonts w:ascii="Arial" w:cs="Arial" w:eastAsia="Arial" w:hAnsi="Arial"/>
                <w:sz w:val="18"/>
                <w:szCs w:val="18"/>
                <w:color w:val="auto"/>
              </w:rPr>
              <w:t>(3,377)</w:t>
            </w:r>
          </w:p>
        </w:tc>
        <w:tc>
          <w:tcPr>
            <w:tcW w:w="1240" w:type="dxa"/>
            <w:vAlign w:val="bottom"/>
          </w:tcPr>
          <w:p>
            <w:pPr>
              <w:jc w:val="right"/>
              <w:spacing w:after="0"/>
              <w:rPr>
                <w:sz w:val="20"/>
                <w:szCs w:val="20"/>
                <w:color w:val="auto"/>
              </w:rPr>
            </w:pPr>
            <w:r>
              <w:rPr>
                <w:rFonts w:ascii="Arial" w:cs="Arial" w:eastAsia="Arial" w:hAnsi="Arial"/>
                <w:sz w:val="18"/>
                <w:szCs w:val="18"/>
                <w:color w:val="auto"/>
              </w:rPr>
              <w:t>(19,902)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(12,506)</w:t>
            </w:r>
          </w:p>
        </w:tc>
        <w:tc>
          <w:tcPr>
            <w:tcW w:w="0" w:type="dxa"/>
            <w:vAlign w:val="bottom"/>
          </w:tcPr>
          <w:p>
            <w:pPr>
              <w:spacing w:after="0"/>
              <w:rPr>
                <w:sz w:val="1"/>
                <w:szCs w:val="1"/>
                <w:color w:val="auto"/>
              </w:rPr>
            </w:pPr>
          </w:p>
        </w:tc>
      </w:tr>
      <w:tr>
        <w:trPr>
          <w:trHeight w:val="257"/>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314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3400" w:type="dxa"/>
            <w:vAlign w:val="bottom"/>
            <w:vMerge w:val="continue"/>
          </w:tcPr>
          <w:p>
            <w:pPr>
              <w:spacing w:after="0"/>
              <w:rPr>
                <w:sz w:val="24"/>
                <w:szCs w:val="24"/>
                <w:color w:val="auto"/>
              </w:rPr>
            </w:pP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33,480</w:t>
            </w:r>
          </w:p>
        </w:tc>
        <w:tc>
          <w:tcPr>
            <w:tcW w:w="1180" w:type="dxa"/>
            <w:vAlign w:val="bottom"/>
          </w:tcPr>
          <w:p>
            <w:pPr>
              <w:jc w:val="right"/>
              <w:spacing w:after="0"/>
              <w:rPr>
                <w:sz w:val="20"/>
                <w:szCs w:val="20"/>
                <w:color w:val="auto"/>
              </w:rPr>
            </w:pPr>
            <w:r>
              <w:rPr>
                <w:rFonts w:ascii="Arial" w:cs="Arial" w:eastAsia="Arial" w:hAnsi="Arial"/>
                <w:sz w:val="18"/>
                <w:szCs w:val="18"/>
                <w:color w:val="auto"/>
              </w:rPr>
              <w:t>20,746</w:t>
            </w:r>
          </w:p>
        </w:tc>
        <w:tc>
          <w:tcPr>
            <w:tcW w:w="1240" w:type="dxa"/>
            <w:vAlign w:val="bottom"/>
          </w:tcPr>
          <w:p>
            <w:pPr>
              <w:jc w:val="right"/>
              <w:spacing w:after="0"/>
              <w:rPr>
                <w:sz w:val="20"/>
                <w:szCs w:val="20"/>
                <w:color w:val="auto"/>
              </w:rPr>
            </w:pPr>
            <w:r>
              <w:rPr>
                <w:rFonts w:ascii="Arial" w:cs="Arial" w:eastAsia="Arial" w:hAnsi="Arial"/>
                <w:sz w:val="18"/>
                <w:szCs w:val="18"/>
                <w:color w:val="auto"/>
              </w:rPr>
              <w:t>109,996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60,351</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Net income per ordinary share</w:t>
            </w:r>
          </w:p>
        </w:tc>
        <w:tc>
          <w:tcPr>
            <w:tcW w:w="3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40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0"/>
                <w:szCs w:val="20"/>
                <w:color w:val="auto"/>
              </w:rPr>
            </w:pPr>
            <w:r>
              <w:rPr>
                <w:rFonts w:ascii="Arial" w:cs="Arial" w:eastAsia="Arial" w:hAnsi="Arial"/>
                <w:sz w:val="18"/>
                <w:szCs w:val="18"/>
                <w:color w:val="auto"/>
              </w:rPr>
              <w:t>Basic</w:t>
            </w:r>
          </w:p>
        </w:tc>
        <w:tc>
          <w:tcPr>
            <w:tcW w:w="3140" w:type="dxa"/>
            <w:vAlign w:val="bottom"/>
          </w:tcPr>
          <w:p>
            <w:pPr>
              <w:spacing w:after="0"/>
              <w:rPr>
                <w:sz w:val="21"/>
                <w:szCs w:val="21"/>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$0.54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3400" w:type="dxa"/>
            <w:vAlign w:val="bottom"/>
          </w:tcPr>
          <w:p>
            <w:pPr>
              <w:spacing w:after="0"/>
              <w:rPr>
                <w:sz w:val="20"/>
                <w:szCs w:val="20"/>
                <w:color w:val="auto"/>
              </w:rPr>
            </w:pPr>
            <w:r>
              <w:rPr>
                <w:rFonts w:ascii="Arial" w:cs="Arial" w:eastAsia="Arial" w:hAnsi="Arial"/>
                <w:sz w:val="18"/>
                <w:szCs w:val="18"/>
                <w:color w:val="auto"/>
              </w:rPr>
              <w:t>Diluted</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$0.53</w:t>
            </w:r>
          </w:p>
        </w:tc>
        <w:tc>
          <w:tcPr>
            <w:tcW w:w="1180" w:type="dxa"/>
            <w:vAlign w:val="bottom"/>
          </w:tcPr>
          <w:p>
            <w:pPr>
              <w:jc w:val="right"/>
              <w:spacing w:after="0"/>
              <w:rPr>
                <w:sz w:val="20"/>
                <w:szCs w:val="20"/>
                <w:color w:val="auto"/>
              </w:rPr>
            </w:pPr>
            <w:r>
              <w:rPr>
                <w:rFonts w:ascii="Arial" w:cs="Arial" w:eastAsia="Arial" w:hAnsi="Arial"/>
                <w:sz w:val="18"/>
                <w:szCs w:val="18"/>
                <w:color w:val="auto"/>
              </w:rPr>
              <w:t>$0.34</w:t>
            </w:r>
          </w:p>
        </w:tc>
        <w:tc>
          <w:tcPr>
            <w:tcW w:w="1240" w:type="dxa"/>
            <w:vAlign w:val="bottom"/>
          </w:tcPr>
          <w:p>
            <w:pPr>
              <w:jc w:val="right"/>
              <w:spacing w:after="0"/>
              <w:rPr>
                <w:sz w:val="20"/>
                <w:szCs w:val="20"/>
                <w:color w:val="auto"/>
              </w:rPr>
            </w:pPr>
            <w:r>
              <w:rPr>
                <w:rFonts w:ascii="Arial" w:cs="Arial" w:eastAsia="Arial" w:hAnsi="Arial"/>
                <w:sz w:val="18"/>
                <w:szCs w:val="18"/>
                <w:color w:val="auto"/>
              </w:rPr>
              <w:t>$1.77</w:t>
            </w: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400" w:type="dxa"/>
            <w:vAlign w:val="bottom"/>
          </w:tcPr>
          <w:p>
            <w:pPr>
              <w:spacing w:after="0"/>
              <w:rPr>
                <w:sz w:val="20"/>
                <w:szCs w:val="20"/>
                <w:color w:val="auto"/>
              </w:rPr>
            </w:pPr>
            <w:r>
              <w:rPr>
                <w:rFonts w:ascii="Arial" w:cs="Arial" w:eastAsia="Arial" w:hAnsi="Arial"/>
                <w:sz w:val="18"/>
                <w:szCs w:val="18"/>
                <w:color w:val="auto"/>
                <w:w w:val="93"/>
              </w:rPr>
              <w:t>Weighted average number of ordinary shares</w:t>
            </w:r>
          </w:p>
        </w:tc>
        <w:tc>
          <w:tcPr>
            <w:tcW w:w="31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Basic</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61,431,281</w:t>
            </w:r>
          </w:p>
        </w:tc>
        <w:tc>
          <w:tcPr>
            <w:tcW w:w="1180" w:type="dxa"/>
            <w:vAlign w:val="bottom"/>
          </w:tcPr>
          <w:p>
            <w:pPr>
              <w:jc w:val="right"/>
              <w:spacing w:after="0"/>
              <w:rPr>
                <w:sz w:val="20"/>
                <w:szCs w:val="20"/>
                <w:color w:val="auto"/>
              </w:rPr>
            </w:pPr>
            <w:r>
              <w:rPr>
                <w:rFonts w:ascii="Arial" w:cs="Arial" w:eastAsia="Arial" w:hAnsi="Arial"/>
                <w:sz w:val="18"/>
                <w:szCs w:val="18"/>
                <w:color w:val="auto"/>
              </w:rPr>
              <w:t>60,053,987</w:t>
            </w:r>
          </w:p>
        </w:tc>
        <w:tc>
          <w:tcPr>
            <w:tcW w:w="1240" w:type="dxa"/>
            <w:vAlign w:val="bottom"/>
          </w:tcPr>
          <w:p>
            <w:pPr>
              <w:jc w:val="right"/>
              <w:spacing w:after="0"/>
              <w:rPr>
                <w:sz w:val="20"/>
                <w:szCs w:val="20"/>
                <w:color w:val="auto"/>
              </w:rPr>
            </w:pPr>
            <w:r>
              <w:rPr>
                <w:rFonts w:ascii="Arial" w:cs="Arial" w:eastAsia="Arial" w:hAnsi="Arial"/>
                <w:sz w:val="18"/>
                <w:szCs w:val="18"/>
                <w:color w:val="auto"/>
              </w:rPr>
              <w:t>60,907,274</w:t>
            </w:r>
          </w:p>
        </w:tc>
        <w:tc>
          <w:tcPr>
            <w:tcW w:w="1160" w:type="dxa"/>
            <w:vAlign w:val="bottom"/>
          </w:tcPr>
          <w:p>
            <w:pPr>
              <w:jc w:val="right"/>
              <w:spacing w:after="0"/>
              <w:rPr>
                <w:sz w:val="20"/>
                <w:szCs w:val="20"/>
                <w:color w:val="auto"/>
              </w:rPr>
            </w:pPr>
            <w:r>
              <w:rPr>
                <w:rFonts w:ascii="Arial" w:cs="Arial" w:eastAsia="Arial" w:hAnsi="Arial"/>
                <w:sz w:val="18"/>
                <w:szCs w:val="18"/>
                <w:color w:val="auto"/>
              </w:rPr>
              <w:t>59,968,174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400" w:type="dxa"/>
            <w:vAlign w:val="bottom"/>
          </w:tcPr>
          <w:p>
            <w:pPr>
              <w:spacing w:after="0"/>
              <w:rPr>
                <w:sz w:val="20"/>
                <w:szCs w:val="20"/>
                <w:color w:val="auto"/>
              </w:rPr>
            </w:pPr>
            <w:r>
              <w:rPr>
                <w:rFonts w:ascii="Arial" w:cs="Arial" w:eastAsia="Arial" w:hAnsi="Arial"/>
                <w:sz w:val="18"/>
                <w:szCs w:val="18"/>
                <w:color w:val="auto"/>
              </w:rPr>
              <w:t>Diluted</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62,828,079</w:t>
            </w:r>
          </w:p>
        </w:tc>
        <w:tc>
          <w:tcPr>
            <w:tcW w:w="1180" w:type="dxa"/>
            <w:vAlign w:val="bottom"/>
          </w:tcPr>
          <w:p>
            <w:pPr>
              <w:jc w:val="right"/>
              <w:spacing w:after="0"/>
              <w:rPr>
                <w:sz w:val="20"/>
                <w:szCs w:val="20"/>
                <w:color w:val="auto"/>
              </w:rPr>
            </w:pPr>
            <w:r>
              <w:rPr>
                <w:rFonts w:ascii="Arial" w:cs="Arial" w:eastAsia="Arial" w:hAnsi="Arial"/>
                <w:sz w:val="18"/>
                <w:szCs w:val="18"/>
                <w:color w:val="auto"/>
              </w:rPr>
              <w:t>60,813,483</w:t>
            </w:r>
          </w:p>
        </w:tc>
        <w:tc>
          <w:tcPr>
            <w:tcW w:w="1240" w:type="dxa"/>
            <w:vAlign w:val="bottom"/>
          </w:tcPr>
          <w:p>
            <w:pPr>
              <w:jc w:val="right"/>
              <w:spacing w:after="0"/>
              <w:rPr>
                <w:sz w:val="20"/>
                <w:szCs w:val="20"/>
                <w:color w:val="auto"/>
              </w:rPr>
            </w:pPr>
            <w:r>
              <w:rPr>
                <w:rFonts w:ascii="Arial" w:cs="Arial" w:eastAsia="Arial" w:hAnsi="Arial"/>
                <w:sz w:val="18"/>
                <w:szCs w:val="18"/>
                <w:color w:val="auto"/>
              </w:rPr>
              <w:t>62,253,251</w:t>
            </w:r>
          </w:p>
        </w:tc>
        <w:tc>
          <w:tcPr>
            <w:tcW w:w="1160" w:type="dxa"/>
            <w:vAlign w:val="bottom"/>
          </w:tcPr>
          <w:p>
            <w:pPr>
              <w:jc w:val="right"/>
              <w:spacing w:after="0"/>
              <w:rPr>
                <w:sz w:val="20"/>
                <w:szCs w:val="20"/>
                <w:color w:val="auto"/>
              </w:rPr>
            </w:pPr>
            <w:r>
              <w:rPr>
                <w:rFonts w:ascii="Arial" w:cs="Arial" w:eastAsia="Arial" w:hAnsi="Arial"/>
                <w:sz w:val="18"/>
                <w:szCs w:val="18"/>
                <w:color w:val="auto"/>
              </w:rPr>
              <w:t>60,450,706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400" w:type="dxa"/>
            <w:vAlign w:val="bottom"/>
            <w:tcBorders>
              <w:bottom w:val="single" w:sz="8" w:color="EEEEEE"/>
            </w:tcBorders>
          </w:tcPr>
          <w:p>
            <w:pPr>
              <w:spacing w:after="0" w:line="20" w:lineRule="exact"/>
              <w:rPr>
                <w:sz w:val="1"/>
                <w:szCs w:val="1"/>
                <w:color w:val="auto"/>
              </w:rPr>
            </w:pPr>
          </w:p>
        </w:tc>
        <w:tc>
          <w:tcPr>
            <w:tcW w:w="314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 (Audited)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GAAP)</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Twelve Months ended December 31, 2013 and December 31, 2012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4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(Dollars, in thousands, except share and per share data)</w:t>
            </w: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4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24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December 31,</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1"/>
                <w:szCs w:val="21"/>
                <w:color w:val="auto"/>
              </w:rPr>
            </w:pPr>
          </w:p>
        </w:tc>
        <w:tc>
          <w:tcPr>
            <w:tcW w:w="44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400" w:type="dxa"/>
            <w:vAlign w:val="bottom"/>
          </w:tcPr>
          <w:p>
            <w:pPr>
              <w:spacing w:after="0"/>
              <w:rPr>
                <w:sz w:val="20"/>
                <w:szCs w:val="20"/>
                <w:color w:val="auto"/>
              </w:rPr>
            </w:pPr>
            <w:r>
              <w:rPr>
                <w:rFonts w:ascii="Arial" w:cs="Arial" w:eastAsia="Arial" w:hAnsi="Arial"/>
                <w:sz w:val="18"/>
                <w:szCs w:val="18"/>
                <w:color w:val="auto"/>
              </w:rPr>
              <w:t>Gross Revenue</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450,062</w:t>
            </w:r>
          </w:p>
        </w:tc>
        <w:tc>
          <w:tcPr>
            <w:tcW w:w="1180" w:type="dxa"/>
            <w:vAlign w:val="bottom"/>
          </w:tcPr>
          <w:p>
            <w:pPr>
              <w:jc w:val="right"/>
              <w:spacing w:after="0"/>
              <w:rPr>
                <w:sz w:val="20"/>
                <w:szCs w:val="20"/>
                <w:color w:val="auto"/>
              </w:rPr>
            </w:pPr>
            <w:r>
              <w:rPr>
                <w:rFonts w:ascii="Arial" w:cs="Arial" w:eastAsia="Arial" w:hAnsi="Arial"/>
                <w:sz w:val="18"/>
                <w:szCs w:val="18"/>
                <w:color w:val="auto"/>
              </w:rPr>
              <w:t>406,353</w:t>
            </w:r>
          </w:p>
        </w:tc>
        <w:tc>
          <w:tcPr>
            <w:tcW w:w="1240" w:type="dxa"/>
            <w:vAlign w:val="bottom"/>
          </w:tcPr>
          <w:p>
            <w:pPr>
              <w:jc w:val="right"/>
              <w:spacing w:after="0"/>
              <w:rPr>
                <w:sz w:val="20"/>
                <w:szCs w:val="20"/>
                <w:color w:val="auto"/>
              </w:rPr>
            </w:pPr>
            <w:r>
              <w:rPr>
                <w:rFonts w:ascii="Arial" w:cs="Arial" w:eastAsia="Arial" w:hAnsi="Arial"/>
                <w:sz w:val="18"/>
                <w:szCs w:val="18"/>
                <w:color w:val="auto"/>
              </w:rPr>
              <w:t>1,784,345</w:t>
            </w:r>
          </w:p>
        </w:tc>
        <w:tc>
          <w:tcPr>
            <w:tcW w:w="1160" w:type="dxa"/>
            <w:vAlign w:val="bottom"/>
          </w:tcPr>
          <w:p>
            <w:pPr>
              <w:jc w:val="right"/>
              <w:spacing w:after="0"/>
              <w:rPr>
                <w:sz w:val="20"/>
                <w:szCs w:val="20"/>
                <w:color w:val="auto"/>
              </w:rPr>
            </w:pPr>
            <w:r>
              <w:rPr>
                <w:rFonts w:ascii="Arial" w:cs="Arial" w:eastAsia="Arial" w:hAnsi="Arial"/>
                <w:sz w:val="18"/>
                <w:szCs w:val="18"/>
                <w:color w:val="auto"/>
              </w:rPr>
              <w:t>1,503,993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400" w:type="dxa"/>
            <w:vAlign w:val="bottom"/>
          </w:tcPr>
          <w:p>
            <w:pPr>
              <w:spacing w:after="0"/>
              <w:rPr>
                <w:sz w:val="20"/>
                <w:szCs w:val="20"/>
                <w:color w:val="auto"/>
              </w:rPr>
            </w:pPr>
            <w:r>
              <w:rPr>
                <w:rFonts w:ascii="Arial" w:cs="Arial" w:eastAsia="Arial" w:hAnsi="Arial"/>
                <w:sz w:val="18"/>
                <w:szCs w:val="18"/>
                <w:color w:val="auto"/>
              </w:rPr>
              <w:t>Reimbursable expenses</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104,821</w:t>
            </w:r>
          </w:p>
        </w:tc>
        <w:tc>
          <w:tcPr>
            <w:tcW w:w="1180" w:type="dxa"/>
            <w:vAlign w:val="bottom"/>
          </w:tcPr>
          <w:p>
            <w:pPr>
              <w:jc w:val="right"/>
              <w:spacing w:after="0"/>
              <w:rPr>
                <w:sz w:val="20"/>
                <w:szCs w:val="20"/>
                <w:color w:val="auto"/>
              </w:rPr>
            </w:pPr>
            <w:r>
              <w:rPr>
                <w:rFonts w:ascii="Arial" w:cs="Arial" w:eastAsia="Arial" w:hAnsi="Arial"/>
                <w:sz w:val="18"/>
                <w:szCs w:val="18"/>
                <w:color w:val="auto"/>
              </w:rPr>
              <w:t>106,190</w:t>
            </w:r>
          </w:p>
        </w:tc>
        <w:tc>
          <w:tcPr>
            <w:tcW w:w="1240" w:type="dxa"/>
            <w:vAlign w:val="bottom"/>
          </w:tcPr>
          <w:p>
            <w:pPr>
              <w:jc w:val="right"/>
              <w:spacing w:after="0"/>
              <w:rPr>
                <w:sz w:val="20"/>
                <w:szCs w:val="20"/>
                <w:color w:val="auto"/>
              </w:rPr>
            </w:pPr>
            <w:r>
              <w:rPr>
                <w:rFonts w:ascii="Arial" w:cs="Arial" w:eastAsia="Arial" w:hAnsi="Arial"/>
                <w:sz w:val="18"/>
                <w:szCs w:val="18"/>
                <w:color w:val="auto"/>
              </w:rPr>
              <w:t>448,287</w:t>
            </w:r>
          </w:p>
        </w:tc>
        <w:tc>
          <w:tcPr>
            <w:tcW w:w="1160" w:type="dxa"/>
            <w:vAlign w:val="bottom"/>
          </w:tcPr>
          <w:p>
            <w:pPr>
              <w:jc w:val="right"/>
              <w:spacing w:after="0"/>
              <w:rPr>
                <w:sz w:val="20"/>
                <w:szCs w:val="20"/>
                <w:color w:val="auto"/>
              </w:rPr>
            </w:pPr>
            <w:r>
              <w:rPr>
                <w:rFonts w:ascii="Arial" w:cs="Arial" w:eastAsia="Arial" w:hAnsi="Arial"/>
                <w:sz w:val="18"/>
                <w:szCs w:val="18"/>
                <w:color w:val="auto"/>
              </w:rPr>
              <w:t>388,987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Net Revenue</w:t>
            </w:r>
          </w:p>
        </w:tc>
        <w:tc>
          <w:tcPr>
            <w:tcW w:w="4440" w:type="dxa"/>
            <w:vAlign w:val="bottom"/>
            <w:gridSpan w:val="2"/>
          </w:tcPr>
          <w:p>
            <w:pPr>
              <w:spacing w:after="0"/>
              <w:rPr>
                <w:sz w:val="22"/>
                <w:szCs w:val="22"/>
                <w:color w:val="auto"/>
              </w:rPr>
            </w:pPr>
          </w:p>
        </w:tc>
        <w:tc>
          <w:tcPr>
            <w:tcW w:w="1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00" w:type="dxa"/>
            <w:vAlign w:val="bottom"/>
            <w:vMerge w:val="continue"/>
          </w:tcPr>
          <w:p>
            <w:pPr>
              <w:spacing w:after="0"/>
              <w:rPr>
                <w:sz w:val="19"/>
                <w:szCs w:val="19"/>
                <w:color w:val="auto"/>
              </w:rPr>
            </w:pPr>
          </w:p>
        </w:tc>
        <w:tc>
          <w:tcPr>
            <w:tcW w:w="3140" w:type="dxa"/>
            <w:vAlign w:val="bottom"/>
          </w:tcPr>
          <w:p>
            <w:pPr>
              <w:spacing w:after="0"/>
              <w:rPr>
                <w:sz w:val="19"/>
                <w:szCs w:val="19"/>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345,241</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300,163</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1,336,058</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4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Direct costs</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215,155</w:t>
            </w:r>
          </w:p>
        </w:tc>
        <w:tc>
          <w:tcPr>
            <w:tcW w:w="1180" w:type="dxa"/>
            <w:vAlign w:val="bottom"/>
          </w:tcPr>
          <w:p>
            <w:pPr>
              <w:jc w:val="right"/>
              <w:spacing w:after="0"/>
              <w:rPr>
                <w:sz w:val="20"/>
                <w:szCs w:val="20"/>
                <w:color w:val="auto"/>
              </w:rPr>
            </w:pPr>
            <w:r>
              <w:rPr>
                <w:rFonts w:ascii="Arial" w:cs="Arial" w:eastAsia="Arial" w:hAnsi="Arial"/>
                <w:sz w:val="18"/>
                <w:szCs w:val="18"/>
                <w:color w:val="auto"/>
              </w:rPr>
              <w:t>192,007</w:t>
            </w:r>
          </w:p>
        </w:tc>
        <w:tc>
          <w:tcPr>
            <w:tcW w:w="1240" w:type="dxa"/>
            <w:vAlign w:val="bottom"/>
          </w:tcPr>
          <w:p>
            <w:pPr>
              <w:jc w:val="right"/>
              <w:spacing w:after="0"/>
              <w:rPr>
                <w:sz w:val="20"/>
                <w:szCs w:val="20"/>
                <w:color w:val="auto"/>
              </w:rPr>
            </w:pPr>
            <w:r>
              <w:rPr>
                <w:rFonts w:ascii="Arial" w:cs="Arial" w:eastAsia="Arial" w:hAnsi="Arial"/>
                <w:sz w:val="18"/>
                <w:szCs w:val="18"/>
                <w:color w:val="auto"/>
              </w:rPr>
              <w:t>845,413</w:t>
            </w:r>
          </w:p>
        </w:tc>
        <w:tc>
          <w:tcPr>
            <w:tcW w:w="1160" w:type="dxa"/>
            <w:vAlign w:val="bottom"/>
          </w:tcPr>
          <w:p>
            <w:pPr>
              <w:jc w:val="right"/>
              <w:spacing w:after="0"/>
              <w:rPr>
                <w:sz w:val="20"/>
                <w:szCs w:val="20"/>
                <w:color w:val="auto"/>
              </w:rPr>
            </w:pPr>
            <w:r>
              <w:rPr>
                <w:rFonts w:ascii="Arial" w:cs="Arial" w:eastAsia="Arial" w:hAnsi="Arial"/>
                <w:sz w:val="18"/>
                <w:szCs w:val="18"/>
                <w:color w:val="auto"/>
              </w:rPr>
              <w:t>717,750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79,412</w:t>
            </w:r>
          </w:p>
        </w:tc>
        <w:tc>
          <w:tcPr>
            <w:tcW w:w="1180" w:type="dxa"/>
            <w:vAlign w:val="bottom"/>
          </w:tcPr>
          <w:p>
            <w:pPr>
              <w:jc w:val="right"/>
              <w:spacing w:after="0"/>
              <w:rPr>
                <w:sz w:val="20"/>
                <w:szCs w:val="20"/>
                <w:color w:val="auto"/>
              </w:rPr>
            </w:pPr>
            <w:r>
              <w:rPr>
                <w:rFonts w:ascii="Arial" w:cs="Arial" w:eastAsia="Arial" w:hAnsi="Arial"/>
                <w:sz w:val="18"/>
                <w:szCs w:val="18"/>
                <w:color w:val="auto"/>
              </w:rPr>
              <w:t>73,165</w:t>
            </w:r>
          </w:p>
        </w:tc>
        <w:tc>
          <w:tcPr>
            <w:tcW w:w="1240" w:type="dxa"/>
            <w:vAlign w:val="bottom"/>
          </w:tcPr>
          <w:p>
            <w:pPr>
              <w:jc w:val="right"/>
              <w:spacing w:after="0"/>
              <w:rPr>
                <w:sz w:val="20"/>
                <w:szCs w:val="20"/>
                <w:color w:val="auto"/>
              </w:rPr>
            </w:pPr>
            <w:r>
              <w:rPr>
                <w:rFonts w:ascii="Arial" w:cs="Arial" w:eastAsia="Arial" w:hAnsi="Arial"/>
                <w:sz w:val="18"/>
                <w:szCs w:val="18"/>
                <w:color w:val="auto"/>
              </w:rPr>
              <w:t>313,931</w:t>
            </w:r>
          </w:p>
        </w:tc>
        <w:tc>
          <w:tcPr>
            <w:tcW w:w="1160" w:type="dxa"/>
            <w:vAlign w:val="bottom"/>
          </w:tcPr>
          <w:p>
            <w:pPr>
              <w:jc w:val="right"/>
              <w:spacing w:after="0"/>
              <w:rPr>
                <w:sz w:val="20"/>
                <w:szCs w:val="20"/>
                <w:color w:val="auto"/>
              </w:rPr>
            </w:pPr>
            <w:r>
              <w:rPr>
                <w:rFonts w:ascii="Arial" w:cs="Arial" w:eastAsia="Arial" w:hAnsi="Arial"/>
                <w:sz w:val="18"/>
                <w:szCs w:val="18"/>
                <w:color w:val="auto"/>
              </w:rPr>
              <w:t>280,780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11,963</w:t>
            </w:r>
          </w:p>
        </w:tc>
        <w:tc>
          <w:tcPr>
            <w:tcW w:w="1180" w:type="dxa"/>
            <w:vAlign w:val="bottom"/>
          </w:tcPr>
          <w:p>
            <w:pPr>
              <w:jc w:val="right"/>
              <w:spacing w:after="0"/>
              <w:rPr>
                <w:sz w:val="20"/>
                <w:szCs w:val="20"/>
                <w:color w:val="auto"/>
              </w:rPr>
            </w:pPr>
            <w:r>
              <w:rPr>
                <w:rFonts w:ascii="Arial" w:cs="Arial" w:eastAsia="Arial" w:hAnsi="Arial"/>
                <w:sz w:val="18"/>
                <w:szCs w:val="18"/>
                <w:color w:val="auto"/>
              </w:rPr>
              <w:t>10,590</w:t>
            </w:r>
          </w:p>
        </w:tc>
        <w:tc>
          <w:tcPr>
            <w:tcW w:w="1240" w:type="dxa"/>
            <w:vAlign w:val="bottom"/>
          </w:tcPr>
          <w:p>
            <w:pPr>
              <w:jc w:val="right"/>
              <w:spacing w:after="0"/>
              <w:rPr>
                <w:sz w:val="20"/>
                <w:szCs w:val="20"/>
                <w:color w:val="auto"/>
              </w:rPr>
            </w:pPr>
            <w:r>
              <w:rPr>
                <w:rFonts w:ascii="Arial" w:cs="Arial" w:eastAsia="Arial" w:hAnsi="Arial"/>
                <w:sz w:val="18"/>
                <w:szCs w:val="18"/>
                <w:color w:val="auto"/>
              </w:rPr>
              <w:t>46,514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42,823</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Restructuring and other items</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9,033</w:t>
            </w:r>
          </w:p>
        </w:tc>
        <w:tc>
          <w:tcPr>
            <w:tcW w:w="1160" w:type="dxa"/>
            <w:vAlign w:val="bottom"/>
          </w:tcPr>
          <w:p>
            <w:pPr>
              <w:jc w:val="right"/>
              <w:spacing w:after="0"/>
              <w:rPr>
                <w:sz w:val="20"/>
                <w:szCs w:val="20"/>
                <w:color w:val="auto"/>
              </w:rPr>
            </w:pPr>
            <w:r>
              <w:rPr>
                <w:rFonts w:ascii="Arial" w:cs="Arial" w:eastAsia="Arial" w:hAnsi="Arial"/>
                <w:sz w:val="18"/>
                <w:szCs w:val="18"/>
                <w:color w:val="auto"/>
              </w:rPr>
              <w:t>5,636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Total costs and expenses</w:t>
            </w:r>
          </w:p>
        </w:tc>
        <w:tc>
          <w:tcPr>
            <w:tcW w:w="4440" w:type="dxa"/>
            <w:vAlign w:val="bottom"/>
            <w:gridSpan w:val="2"/>
          </w:tcPr>
          <w:p>
            <w:pPr>
              <w:spacing w:after="0"/>
              <w:rPr>
                <w:sz w:val="22"/>
                <w:szCs w:val="22"/>
                <w:color w:val="auto"/>
              </w:rPr>
            </w:pPr>
          </w:p>
        </w:tc>
        <w:tc>
          <w:tcPr>
            <w:tcW w:w="1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00" w:type="dxa"/>
            <w:vAlign w:val="bottom"/>
            <w:vMerge w:val="continue"/>
          </w:tcPr>
          <w:p>
            <w:pPr>
              <w:spacing w:after="0"/>
              <w:rPr>
                <w:sz w:val="19"/>
                <w:szCs w:val="19"/>
                <w:color w:val="auto"/>
              </w:rPr>
            </w:pPr>
          </w:p>
        </w:tc>
        <w:tc>
          <w:tcPr>
            <w:tcW w:w="3140" w:type="dxa"/>
            <w:vAlign w:val="bottom"/>
          </w:tcPr>
          <w:p>
            <w:pPr>
              <w:spacing w:after="0"/>
              <w:rPr>
                <w:sz w:val="19"/>
                <w:szCs w:val="19"/>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306,530</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275,762</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1,214,891</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1,046,989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40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38,711</w:t>
            </w:r>
          </w:p>
        </w:tc>
        <w:tc>
          <w:tcPr>
            <w:tcW w:w="1180" w:type="dxa"/>
            <w:vAlign w:val="bottom"/>
          </w:tcPr>
          <w:p>
            <w:pPr>
              <w:jc w:val="right"/>
              <w:spacing w:after="0"/>
              <w:rPr>
                <w:sz w:val="20"/>
                <w:szCs w:val="20"/>
                <w:color w:val="auto"/>
              </w:rPr>
            </w:pPr>
            <w:r>
              <w:rPr>
                <w:rFonts w:ascii="Arial" w:cs="Arial" w:eastAsia="Arial" w:hAnsi="Arial"/>
                <w:sz w:val="18"/>
                <w:szCs w:val="18"/>
                <w:color w:val="auto"/>
              </w:rPr>
              <w:t>24,401</w:t>
            </w:r>
          </w:p>
        </w:tc>
        <w:tc>
          <w:tcPr>
            <w:tcW w:w="1240" w:type="dxa"/>
            <w:vAlign w:val="bottom"/>
          </w:tcPr>
          <w:p>
            <w:pPr>
              <w:jc w:val="right"/>
              <w:spacing w:after="0"/>
              <w:rPr>
                <w:sz w:val="20"/>
                <w:szCs w:val="20"/>
                <w:color w:val="auto"/>
              </w:rPr>
            </w:pPr>
            <w:r>
              <w:rPr>
                <w:rFonts w:ascii="Arial" w:cs="Arial" w:eastAsia="Arial" w:hAnsi="Arial"/>
                <w:sz w:val="18"/>
                <w:szCs w:val="18"/>
                <w:color w:val="auto"/>
              </w:rPr>
              <w:t>121,167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68,017</w:t>
            </w:r>
          </w:p>
        </w:tc>
        <w:tc>
          <w:tcPr>
            <w:tcW w:w="0" w:type="dxa"/>
            <w:vAlign w:val="bottom"/>
          </w:tcPr>
          <w:p>
            <w:pPr>
              <w:spacing w:after="0"/>
              <w:rPr>
                <w:sz w:val="1"/>
                <w:szCs w:val="1"/>
                <w:color w:val="auto"/>
              </w:rPr>
            </w:pPr>
          </w:p>
        </w:tc>
      </w:tr>
      <w:tr>
        <w:trPr>
          <w:trHeight w:val="486"/>
        </w:trPr>
        <w:tc>
          <w:tcPr>
            <w:tcW w:w="3400" w:type="dxa"/>
            <w:vAlign w:val="bottom"/>
          </w:tcPr>
          <w:p>
            <w:pPr>
              <w:spacing w:after="0"/>
              <w:rPr>
                <w:sz w:val="20"/>
                <w:szCs w:val="20"/>
                <w:color w:val="auto"/>
              </w:rPr>
            </w:pPr>
            <w:r>
              <w:rPr>
                <w:rFonts w:ascii="Arial" w:cs="Arial" w:eastAsia="Arial" w:hAnsi="Arial"/>
                <w:sz w:val="18"/>
                <w:szCs w:val="18"/>
                <w:color w:val="auto"/>
              </w:rPr>
              <w:t>Net interest income/(expense)</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39</w:t>
            </w:r>
          </w:p>
        </w:tc>
        <w:tc>
          <w:tcPr>
            <w:tcW w:w="1180" w:type="dxa"/>
            <w:vAlign w:val="bottom"/>
          </w:tcPr>
          <w:p>
            <w:pPr>
              <w:jc w:val="right"/>
              <w:spacing w:after="0"/>
              <w:rPr>
                <w:sz w:val="20"/>
                <w:szCs w:val="20"/>
                <w:color w:val="auto"/>
              </w:rPr>
            </w:pPr>
            <w:r>
              <w:rPr>
                <w:rFonts w:ascii="Arial" w:cs="Arial" w:eastAsia="Arial" w:hAnsi="Arial"/>
                <w:sz w:val="18"/>
                <w:szCs w:val="18"/>
                <w:color w:val="auto"/>
              </w:rPr>
              <w:t>(278)</w:t>
            </w:r>
          </w:p>
        </w:tc>
        <w:tc>
          <w:tcPr>
            <w:tcW w:w="1240" w:type="dxa"/>
            <w:vAlign w:val="bottom"/>
          </w:tcPr>
          <w:p>
            <w:pPr>
              <w:jc w:val="right"/>
              <w:spacing w:after="0"/>
              <w:rPr>
                <w:sz w:val="20"/>
                <w:szCs w:val="20"/>
                <w:color w:val="auto"/>
              </w:rPr>
            </w:pPr>
            <w:r>
              <w:rPr>
                <w:rFonts w:ascii="Arial" w:cs="Arial" w:eastAsia="Arial" w:hAnsi="Arial"/>
                <w:sz w:val="18"/>
                <w:szCs w:val="18"/>
                <w:color w:val="auto"/>
              </w:rPr>
              <w:t>(302)</w:t>
            </w:r>
          </w:p>
        </w:tc>
        <w:tc>
          <w:tcPr>
            <w:tcW w:w="1160" w:type="dxa"/>
            <w:vAlign w:val="bottom"/>
          </w:tcPr>
          <w:p>
            <w:pPr>
              <w:jc w:val="right"/>
              <w:spacing w:after="0"/>
              <w:rPr>
                <w:sz w:val="20"/>
                <w:szCs w:val="20"/>
                <w:color w:val="auto"/>
              </w:rPr>
            </w:pPr>
            <w:r>
              <w:rPr>
                <w:rFonts w:ascii="Arial" w:cs="Arial" w:eastAsia="Arial" w:hAnsi="Arial"/>
                <w:sz w:val="18"/>
                <w:szCs w:val="18"/>
                <w:color w:val="auto"/>
              </w:rPr>
              <w:t>(796)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w w:val="94"/>
              </w:rPr>
              <w:t>Income before provision for income taxes</w:t>
            </w:r>
          </w:p>
        </w:tc>
        <w:tc>
          <w:tcPr>
            <w:tcW w:w="4440" w:type="dxa"/>
            <w:vAlign w:val="bottom"/>
            <w:gridSpan w:val="2"/>
          </w:tcPr>
          <w:p>
            <w:pPr>
              <w:spacing w:after="0"/>
              <w:rPr>
                <w:sz w:val="22"/>
                <w:szCs w:val="22"/>
                <w:color w:val="auto"/>
              </w:rPr>
            </w:pPr>
          </w:p>
        </w:tc>
        <w:tc>
          <w:tcPr>
            <w:tcW w:w="1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00" w:type="dxa"/>
            <w:vAlign w:val="bottom"/>
            <w:vMerge w:val="continue"/>
          </w:tcPr>
          <w:p>
            <w:pPr>
              <w:spacing w:after="0"/>
              <w:rPr>
                <w:sz w:val="19"/>
                <w:szCs w:val="19"/>
                <w:color w:val="auto"/>
              </w:rPr>
            </w:pPr>
          </w:p>
        </w:tc>
        <w:tc>
          <w:tcPr>
            <w:tcW w:w="3140" w:type="dxa"/>
            <w:vAlign w:val="bottom"/>
          </w:tcPr>
          <w:p>
            <w:pPr>
              <w:spacing w:after="0"/>
              <w:rPr>
                <w:sz w:val="19"/>
                <w:szCs w:val="19"/>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38,750</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24,123</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120,865</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(5,270)</w:t>
            </w:r>
          </w:p>
        </w:tc>
        <w:tc>
          <w:tcPr>
            <w:tcW w:w="1180" w:type="dxa"/>
            <w:vAlign w:val="bottom"/>
          </w:tcPr>
          <w:p>
            <w:pPr>
              <w:jc w:val="right"/>
              <w:spacing w:after="0"/>
              <w:rPr>
                <w:sz w:val="20"/>
                <w:szCs w:val="20"/>
                <w:color w:val="auto"/>
              </w:rPr>
            </w:pPr>
            <w:r>
              <w:rPr>
                <w:rFonts w:ascii="Arial" w:cs="Arial" w:eastAsia="Arial" w:hAnsi="Arial"/>
                <w:sz w:val="18"/>
                <w:szCs w:val="18"/>
                <w:color w:val="auto"/>
              </w:rPr>
              <w:t>(3,377)</w:t>
            </w:r>
          </w:p>
        </w:tc>
        <w:tc>
          <w:tcPr>
            <w:tcW w:w="1240" w:type="dxa"/>
            <w:vAlign w:val="bottom"/>
          </w:tcPr>
          <w:p>
            <w:pPr>
              <w:jc w:val="right"/>
              <w:spacing w:after="0"/>
              <w:rPr>
                <w:sz w:val="20"/>
                <w:szCs w:val="20"/>
                <w:color w:val="auto"/>
              </w:rPr>
            </w:pPr>
            <w:r>
              <w:rPr>
                <w:rFonts w:ascii="Arial" w:cs="Arial" w:eastAsia="Arial" w:hAnsi="Arial"/>
                <w:sz w:val="18"/>
                <w:szCs w:val="18"/>
                <w:color w:val="auto"/>
              </w:rPr>
              <w:t>(18,053)</w:t>
            </w:r>
          </w:p>
        </w:tc>
        <w:tc>
          <w:tcPr>
            <w:tcW w:w="1160" w:type="dxa"/>
            <w:vAlign w:val="bottom"/>
          </w:tcPr>
          <w:p>
            <w:pPr>
              <w:jc w:val="right"/>
              <w:spacing w:after="0"/>
              <w:rPr>
                <w:sz w:val="20"/>
                <w:szCs w:val="20"/>
                <w:color w:val="auto"/>
              </w:rPr>
            </w:pPr>
            <w:r>
              <w:rPr>
                <w:rFonts w:ascii="Arial" w:cs="Arial" w:eastAsia="Arial" w:hAnsi="Arial"/>
                <w:sz w:val="18"/>
                <w:szCs w:val="18"/>
                <w:color w:val="auto"/>
              </w:rPr>
              <w:t>(11,801)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314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3400" w:type="dxa"/>
            <w:vAlign w:val="bottom"/>
            <w:vMerge w:val="continue"/>
          </w:tcPr>
          <w:p>
            <w:pPr>
              <w:spacing w:after="0"/>
              <w:rPr>
                <w:sz w:val="24"/>
                <w:szCs w:val="24"/>
                <w:color w:val="auto"/>
              </w:rPr>
            </w:pP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33,480</w:t>
            </w:r>
          </w:p>
        </w:tc>
        <w:tc>
          <w:tcPr>
            <w:tcW w:w="1180" w:type="dxa"/>
            <w:vAlign w:val="bottom"/>
          </w:tcPr>
          <w:p>
            <w:pPr>
              <w:jc w:val="right"/>
              <w:spacing w:after="0"/>
              <w:rPr>
                <w:sz w:val="20"/>
                <w:szCs w:val="20"/>
                <w:color w:val="auto"/>
              </w:rPr>
            </w:pPr>
            <w:r>
              <w:rPr>
                <w:rFonts w:ascii="Arial" w:cs="Arial" w:eastAsia="Arial" w:hAnsi="Arial"/>
                <w:sz w:val="18"/>
                <w:szCs w:val="18"/>
                <w:color w:val="auto"/>
              </w:rPr>
              <w:t>20,746</w:t>
            </w:r>
          </w:p>
        </w:tc>
        <w:tc>
          <w:tcPr>
            <w:tcW w:w="1240" w:type="dxa"/>
            <w:vAlign w:val="bottom"/>
          </w:tcPr>
          <w:p>
            <w:pPr>
              <w:jc w:val="right"/>
              <w:spacing w:after="0"/>
              <w:rPr>
                <w:sz w:val="20"/>
                <w:szCs w:val="20"/>
                <w:color w:val="auto"/>
              </w:rPr>
            </w:pPr>
            <w:r>
              <w:rPr>
                <w:rFonts w:ascii="Arial" w:cs="Arial" w:eastAsia="Arial" w:hAnsi="Arial"/>
                <w:sz w:val="18"/>
                <w:szCs w:val="18"/>
                <w:color w:val="auto"/>
              </w:rPr>
              <w:t>102,812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55,420</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Net income per ordinary share</w:t>
            </w:r>
          </w:p>
        </w:tc>
        <w:tc>
          <w:tcPr>
            <w:tcW w:w="3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40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0"/>
                <w:szCs w:val="20"/>
                <w:color w:val="auto"/>
              </w:rPr>
            </w:pPr>
            <w:r>
              <w:rPr>
                <w:rFonts w:ascii="Arial" w:cs="Arial" w:eastAsia="Arial" w:hAnsi="Arial"/>
                <w:sz w:val="18"/>
                <w:szCs w:val="18"/>
                <w:color w:val="auto"/>
              </w:rPr>
              <w:t>Basic</w:t>
            </w:r>
          </w:p>
        </w:tc>
        <w:tc>
          <w:tcPr>
            <w:tcW w:w="3140" w:type="dxa"/>
            <w:vAlign w:val="bottom"/>
          </w:tcPr>
          <w:p>
            <w:pPr>
              <w:spacing w:after="0"/>
              <w:rPr>
                <w:sz w:val="21"/>
                <w:szCs w:val="21"/>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$0.54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3400" w:type="dxa"/>
            <w:vAlign w:val="bottom"/>
          </w:tcPr>
          <w:p>
            <w:pPr>
              <w:spacing w:after="0"/>
              <w:rPr>
                <w:sz w:val="20"/>
                <w:szCs w:val="20"/>
                <w:color w:val="auto"/>
              </w:rPr>
            </w:pPr>
            <w:r>
              <w:rPr>
                <w:rFonts w:ascii="Arial" w:cs="Arial" w:eastAsia="Arial" w:hAnsi="Arial"/>
                <w:sz w:val="18"/>
                <w:szCs w:val="18"/>
                <w:color w:val="auto"/>
              </w:rPr>
              <w:t>Diluted</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$0.53</w:t>
            </w:r>
          </w:p>
        </w:tc>
        <w:tc>
          <w:tcPr>
            <w:tcW w:w="1180" w:type="dxa"/>
            <w:vAlign w:val="bottom"/>
          </w:tcPr>
          <w:p>
            <w:pPr>
              <w:jc w:val="right"/>
              <w:spacing w:after="0"/>
              <w:rPr>
                <w:sz w:val="20"/>
                <w:szCs w:val="20"/>
                <w:color w:val="auto"/>
              </w:rPr>
            </w:pPr>
            <w:r>
              <w:rPr>
                <w:rFonts w:ascii="Arial" w:cs="Arial" w:eastAsia="Arial" w:hAnsi="Arial"/>
                <w:sz w:val="18"/>
                <w:szCs w:val="18"/>
                <w:color w:val="auto"/>
              </w:rPr>
              <w:t>$0.34</w:t>
            </w:r>
          </w:p>
        </w:tc>
        <w:tc>
          <w:tcPr>
            <w:tcW w:w="1240" w:type="dxa"/>
            <w:vAlign w:val="bottom"/>
          </w:tcPr>
          <w:p>
            <w:pPr>
              <w:jc w:val="right"/>
              <w:spacing w:after="0"/>
              <w:rPr>
                <w:sz w:val="20"/>
                <w:szCs w:val="20"/>
                <w:color w:val="auto"/>
              </w:rPr>
            </w:pPr>
            <w:r>
              <w:rPr>
                <w:rFonts w:ascii="Arial" w:cs="Arial" w:eastAsia="Arial" w:hAnsi="Arial"/>
                <w:sz w:val="18"/>
                <w:szCs w:val="18"/>
                <w:color w:val="auto"/>
              </w:rPr>
              <w:t>$1.65</w:t>
            </w:r>
          </w:p>
        </w:tc>
        <w:tc>
          <w:tcPr>
            <w:tcW w:w="1160" w:type="dxa"/>
            <w:vAlign w:val="bottom"/>
          </w:tcPr>
          <w:p>
            <w:pPr>
              <w:jc w:val="right"/>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400" w:type="dxa"/>
            <w:vAlign w:val="bottom"/>
          </w:tcPr>
          <w:p>
            <w:pPr>
              <w:spacing w:after="0"/>
              <w:rPr>
                <w:sz w:val="20"/>
                <w:szCs w:val="20"/>
                <w:color w:val="auto"/>
              </w:rPr>
            </w:pPr>
            <w:r>
              <w:rPr>
                <w:rFonts w:ascii="Arial" w:cs="Arial" w:eastAsia="Arial" w:hAnsi="Arial"/>
                <w:sz w:val="18"/>
                <w:szCs w:val="18"/>
                <w:color w:val="auto"/>
                <w:w w:val="93"/>
              </w:rPr>
              <w:t>Weighted average number of ordinary shares</w:t>
            </w:r>
          </w:p>
        </w:tc>
        <w:tc>
          <w:tcPr>
            <w:tcW w:w="31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Basic</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61,431,281</w:t>
            </w:r>
          </w:p>
        </w:tc>
        <w:tc>
          <w:tcPr>
            <w:tcW w:w="1180" w:type="dxa"/>
            <w:vAlign w:val="bottom"/>
          </w:tcPr>
          <w:p>
            <w:pPr>
              <w:jc w:val="right"/>
              <w:spacing w:after="0"/>
              <w:rPr>
                <w:sz w:val="20"/>
                <w:szCs w:val="20"/>
                <w:color w:val="auto"/>
              </w:rPr>
            </w:pPr>
            <w:r>
              <w:rPr>
                <w:rFonts w:ascii="Arial" w:cs="Arial" w:eastAsia="Arial" w:hAnsi="Arial"/>
                <w:sz w:val="18"/>
                <w:szCs w:val="18"/>
                <w:color w:val="auto"/>
              </w:rPr>
              <w:t>60,053,987</w:t>
            </w:r>
          </w:p>
        </w:tc>
        <w:tc>
          <w:tcPr>
            <w:tcW w:w="1240" w:type="dxa"/>
            <w:vAlign w:val="bottom"/>
          </w:tcPr>
          <w:p>
            <w:pPr>
              <w:jc w:val="right"/>
              <w:spacing w:after="0"/>
              <w:rPr>
                <w:sz w:val="20"/>
                <w:szCs w:val="20"/>
                <w:color w:val="auto"/>
              </w:rPr>
            </w:pPr>
            <w:r>
              <w:rPr>
                <w:rFonts w:ascii="Arial" w:cs="Arial" w:eastAsia="Arial" w:hAnsi="Arial"/>
                <w:sz w:val="18"/>
                <w:szCs w:val="18"/>
                <w:color w:val="auto"/>
              </w:rPr>
              <w:t>60,907,274</w:t>
            </w:r>
          </w:p>
        </w:tc>
        <w:tc>
          <w:tcPr>
            <w:tcW w:w="1160" w:type="dxa"/>
            <w:vAlign w:val="bottom"/>
          </w:tcPr>
          <w:p>
            <w:pPr>
              <w:jc w:val="right"/>
              <w:spacing w:after="0"/>
              <w:rPr>
                <w:sz w:val="20"/>
                <w:szCs w:val="20"/>
                <w:color w:val="auto"/>
              </w:rPr>
            </w:pPr>
            <w:r>
              <w:rPr>
                <w:rFonts w:ascii="Arial" w:cs="Arial" w:eastAsia="Arial" w:hAnsi="Arial"/>
                <w:sz w:val="18"/>
                <w:szCs w:val="18"/>
                <w:color w:val="auto"/>
              </w:rPr>
              <w:t>59,968,174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400" w:type="dxa"/>
            <w:vAlign w:val="bottom"/>
          </w:tcPr>
          <w:p>
            <w:pPr>
              <w:spacing w:after="0"/>
              <w:rPr>
                <w:sz w:val="20"/>
                <w:szCs w:val="20"/>
                <w:color w:val="auto"/>
              </w:rPr>
            </w:pPr>
            <w:r>
              <w:rPr>
                <w:rFonts w:ascii="Arial" w:cs="Arial" w:eastAsia="Arial" w:hAnsi="Arial"/>
                <w:sz w:val="18"/>
                <w:szCs w:val="18"/>
                <w:color w:val="auto"/>
              </w:rPr>
              <w:t>Diluted</w:t>
            </w:r>
          </w:p>
        </w:tc>
        <w:tc>
          <w:tcPr>
            <w:tcW w:w="4440" w:type="dxa"/>
            <w:vAlign w:val="bottom"/>
            <w:gridSpan w:val="2"/>
          </w:tcPr>
          <w:p>
            <w:pPr>
              <w:jc w:val="right"/>
              <w:ind w:right="50"/>
              <w:spacing w:after="0"/>
              <w:rPr>
                <w:sz w:val="20"/>
                <w:szCs w:val="20"/>
                <w:color w:val="auto"/>
              </w:rPr>
            </w:pPr>
            <w:r>
              <w:rPr>
                <w:rFonts w:ascii="Arial" w:cs="Arial" w:eastAsia="Arial" w:hAnsi="Arial"/>
                <w:sz w:val="18"/>
                <w:szCs w:val="18"/>
                <w:color w:val="auto"/>
              </w:rPr>
              <w:t>62,828,079</w:t>
            </w:r>
          </w:p>
        </w:tc>
        <w:tc>
          <w:tcPr>
            <w:tcW w:w="1180" w:type="dxa"/>
            <w:vAlign w:val="bottom"/>
          </w:tcPr>
          <w:p>
            <w:pPr>
              <w:jc w:val="right"/>
              <w:spacing w:after="0"/>
              <w:rPr>
                <w:sz w:val="20"/>
                <w:szCs w:val="20"/>
                <w:color w:val="auto"/>
              </w:rPr>
            </w:pPr>
            <w:r>
              <w:rPr>
                <w:rFonts w:ascii="Arial" w:cs="Arial" w:eastAsia="Arial" w:hAnsi="Arial"/>
                <w:sz w:val="18"/>
                <w:szCs w:val="18"/>
                <w:color w:val="auto"/>
              </w:rPr>
              <w:t>60,813,483</w:t>
            </w:r>
          </w:p>
        </w:tc>
        <w:tc>
          <w:tcPr>
            <w:tcW w:w="1240" w:type="dxa"/>
            <w:vAlign w:val="bottom"/>
          </w:tcPr>
          <w:p>
            <w:pPr>
              <w:jc w:val="right"/>
              <w:spacing w:after="0"/>
              <w:rPr>
                <w:sz w:val="20"/>
                <w:szCs w:val="20"/>
                <w:color w:val="auto"/>
              </w:rPr>
            </w:pPr>
            <w:r>
              <w:rPr>
                <w:rFonts w:ascii="Arial" w:cs="Arial" w:eastAsia="Arial" w:hAnsi="Arial"/>
                <w:sz w:val="18"/>
                <w:szCs w:val="18"/>
                <w:color w:val="auto"/>
              </w:rPr>
              <w:t>62,253,251</w:t>
            </w:r>
          </w:p>
        </w:tc>
        <w:tc>
          <w:tcPr>
            <w:tcW w:w="1160" w:type="dxa"/>
            <w:vAlign w:val="bottom"/>
          </w:tcPr>
          <w:p>
            <w:pPr>
              <w:jc w:val="right"/>
              <w:spacing w:after="0"/>
              <w:rPr>
                <w:sz w:val="20"/>
                <w:szCs w:val="20"/>
                <w:color w:val="auto"/>
              </w:rPr>
            </w:pPr>
            <w:r>
              <w:rPr>
                <w:rFonts w:ascii="Arial" w:cs="Arial" w:eastAsia="Arial" w:hAnsi="Arial"/>
                <w:sz w:val="18"/>
                <w:szCs w:val="18"/>
                <w:color w:val="auto"/>
              </w:rPr>
              <w:t>60,450,706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400" w:type="dxa"/>
            <w:vAlign w:val="bottom"/>
            <w:tcBorders>
              <w:bottom w:val="single" w:sz="8" w:color="EEEEEE"/>
            </w:tcBorders>
          </w:tcPr>
          <w:p>
            <w:pPr>
              <w:spacing w:after="0" w:line="20" w:lineRule="exact"/>
              <w:rPr>
                <w:sz w:val="1"/>
                <w:szCs w:val="1"/>
                <w:color w:val="auto"/>
              </w:rPr>
            </w:pPr>
          </w:p>
        </w:tc>
        <w:tc>
          <w:tcPr>
            <w:tcW w:w="314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7460" w:type="dxa"/>
            <w:vAlign w:val="bottom"/>
          </w:tcPr>
          <w:p>
            <w:pPr>
              <w:jc w:val="center"/>
              <w:ind w:right="1550"/>
              <w:spacing w:after="0"/>
              <w:rPr>
                <w:sz w:val="20"/>
                <w:szCs w:val="20"/>
                <w:color w:val="auto"/>
              </w:rPr>
            </w:pPr>
            <w:r>
              <w:rPr>
                <w:rFonts w:ascii="Arial" w:cs="Arial" w:eastAsia="Arial" w:hAnsi="Arial"/>
                <w:sz w:val="18"/>
                <w:szCs w:val="18"/>
                <w:b w:val="1"/>
                <w:bCs w:val="1"/>
                <w:color w:val="auto"/>
                <w:w w:val="97"/>
              </w:rPr>
              <w:t>ICON plc</w:t>
            </w:r>
          </w:p>
        </w:tc>
        <w:tc>
          <w:tcPr>
            <w:tcW w:w="1160" w:type="dxa"/>
            <w:vAlign w:val="bottom"/>
          </w:tcPr>
          <w:p>
            <w:pPr>
              <w:spacing w:after="0"/>
              <w:rPr>
                <w:sz w:val="20"/>
                <w:szCs w:val="20"/>
                <w:color w:val="auto"/>
              </w:rPr>
            </w:pPr>
          </w:p>
        </w:tc>
      </w:tr>
      <w:tr>
        <w:trPr>
          <w:trHeight w:val="486"/>
        </w:trPr>
        <w:tc>
          <w:tcPr>
            <w:tcW w:w="2800" w:type="dxa"/>
            <w:vAlign w:val="bottom"/>
          </w:tcPr>
          <w:p>
            <w:pPr>
              <w:spacing w:after="0"/>
              <w:rPr>
                <w:sz w:val="24"/>
                <w:szCs w:val="24"/>
                <w:color w:val="auto"/>
              </w:rPr>
            </w:pPr>
          </w:p>
        </w:tc>
        <w:tc>
          <w:tcPr>
            <w:tcW w:w="7460" w:type="dxa"/>
            <w:vAlign w:val="bottom"/>
          </w:tcPr>
          <w:p>
            <w:pPr>
              <w:jc w:val="center"/>
              <w:ind w:right="1550"/>
              <w:spacing w:after="0"/>
              <w:rPr>
                <w:sz w:val="20"/>
                <w:szCs w:val="20"/>
                <w:color w:val="auto"/>
              </w:rPr>
            </w:pPr>
            <w:r>
              <w:rPr>
                <w:rFonts w:ascii="Arial" w:cs="Arial" w:eastAsia="Arial" w:hAnsi="Arial"/>
                <w:sz w:val="18"/>
                <w:szCs w:val="18"/>
                <w:b w:val="1"/>
                <w:bCs w:val="1"/>
                <w:color w:val="auto"/>
                <w:w w:val="90"/>
              </w:rPr>
              <w:t>Summary Balance Sheet Data</w:t>
            </w:r>
          </w:p>
        </w:tc>
        <w:tc>
          <w:tcPr>
            <w:tcW w:w="1160" w:type="dxa"/>
            <w:vAlign w:val="bottom"/>
          </w:tcPr>
          <w:p>
            <w:pPr>
              <w:spacing w:after="0"/>
              <w:rPr>
                <w:sz w:val="24"/>
                <w:szCs w:val="24"/>
                <w:color w:val="auto"/>
              </w:rPr>
            </w:pPr>
          </w:p>
        </w:tc>
      </w:tr>
      <w:tr>
        <w:trPr>
          <w:trHeight w:val="486"/>
        </w:trPr>
        <w:tc>
          <w:tcPr>
            <w:tcW w:w="2800" w:type="dxa"/>
            <w:vAlign w:val="bottom"/>
          </w:tcPr>
          <w:p>
            <w:pPr>
              <w:spacing w:after="0"/>
              <w:rPr>
                <w:sz w:val="24"/>
                <w:szCs w:val="24"/>
                <w:color w:val="auto"/>
              </w:rPr>
            </w:pPr>
          </w:p>
        </w:tc>
        <w:tc>
          <w:tcPr>
            <w:tcW w:w="7460" w:type="dxa"/>
            <w:vAlign w:val="bottom"/>
          </w:tcPr>
          <w:p>
            <w:pPr>
              <w:jc w:val="center"/>
              <w:ind w:right="1550"/>
              <w:spacing w:after="0"/>
              <w:rPr>
                <w:sz w:val="20"/>
                <w:szCs w:val="20"/>
                <w:color w:val="auto"/>
              </w:rPr>
            </w:pPr>
            <w:r>
              <w:rPr>
                <w:rFonts w:ascii="Arial" w:cs="Arial" w:eastAsia="Arial" w:hAnsi="Arial"/>
                <w:sz w:val="18"/>
                <w:szCs w:val="18"/>
                <w:b w:val="1"/>
                <w:bCs w:val="1"/>
                <w:color w:val="auto"/>
                <w:w w:val="90"/>
              </w:rPr>
              <w:t>December 31, 2013 and December 31, 2012</w:t>
            </w:r>
          </w:p>
        </w:tc>
        <w:tc>
          <w:tcPr>
            <w:tcW w:w="1160" w:type="dxa"/>
            <w:vAlign w:val="bottom"/>
          </w:tcPr>
          <w:p>
            <w:pPr>
              <w:spacing w:after="0"/>
              <w:rPr>
                <w:sz w:val="24"/>
                <w:szCs w:val="24"/>
                <w:color w:val="auto"/>
              </w:rPr>
            </w:pPr>
          </w:p>
        </w:tc>
      </w:tr>
      <w:tr>
        <w:trPr>
          <w:trHeight w:val="486"/>
        </w:trPr>
        <w:tc>
          <w:tcPr>
            <w:tcW w:w="2800" w:type="dxa"/>
            <w:vAlign w:val="bottom"/>
          </w:tcPr>
          <w:p>
            <w:pPr>
              <w:spacing w:after="0"/>
              <w:rPr>
                <w:sz w:val="24"/>
                <w:szCs w:val="24"/>
                <w:color w:val="auto"/>
              </w:rPr>
            </w:pPr>
          </w:p>
        </w:tc>
        <w:tc>
          <w:tcPr>
            <w:tcW w:w="7460" w:type="dxa"/>
            <w:vAlign w:val="bottom"/>
          </w:tcPr>
          <w:p>
            <w:pPr>
              <w:jc w:val="center"/>
              <w:ind w:right="1550"/>
              <w:spacing w:after="0"/>
              <w:rPr>
                <w:sz w:val="20"/>
                <w:szCs w:val="20"/>
                <w:color w:val="auto"/>
              </w:rPr>
            </w:pPr>
            <w:r>
              <w:rPr>
                <w:rFonts w:ascii="Arial" w:cs="Arial" w:eastAsia="Arial" w:hAnsi="Arial"/>
                <w:sz w:val="18"/>
                <w:szCs w:val="18"/>
                <w:b w:val="1"/>
                <w:bCs w:val="1"/>
                <w:color w:val="auto"/>
                <w:w w:val="89"/>
              </w:rPr>
              <w:t>(Dollars, in thousands)</w:t>
            </w:r>
          </w:p>
        </w:tc>
        <w:tc>
          <w:tcPr>
            <w:tcW w:w="1160" w:type="dxa"/>
            <w:vAlign w:val="bottom"/>
          </w:tcPr>
          <w:p>
            <w:pPr>
              <w:spacing w:after="0"/>
              <w:rPr>
                <w:sz w:val="24"/>
                <w:szCs w:val="24"/>
                <w:color w:val="auto"/>
              </w:rPr>
            </w:pPr>
          </w:p>
        </w:tc>
      </w:tr>
      <w:tr>
        <w:trPr>
          <w:trHeight w:val="486"/>
        </w:trPr>
        <w:tc>
          <w:tcPr>
            <w:tcW w:w="2800" w:type="dxa"/>
            <w:vAlign w:val="bottom"/>
          </w:tcPr>
          <w:p>
            <w:pPr>
              <w:spacing w:after="0"/>
              <w:rPr>
                <w:sz w:val="24"/>
                <w:szCs w:val="24"/>
                <w:color w:val="auto"/>
              </w:rPr>
            </w:pPr>
          </w:p>
        </w:tc>
        <w:tc>
          <w:tcPr>
            <w:tcW w:w="7460" w:type="dxa"/>
            <w:vAlign w:val="bottom"/>
          </w:tcPr>
          <w:p>
            <w:pPr>
              <w:jc w:val="center"/>
              <w:ind w:left="6070"/>
              <w:spacing w:after="0"/>
              <w:rPr>
                <w:sz w:val="20"/>
                <w:szCs w:val="20"/>
                <w:color w:val="auto"/>
              </w:rPr>
            </w:pPr>
            <w:r>
              <w:rPr>
                <w:rFonts w:ascii="Arial" w:cs="Arial" w:eastAsia="Arial" w:hAnsi="Arial"/>
                <w:sz w:val="18"/>
                <w:szCs w:val="18"/>
                <w:b w:val="1"/>
                <w:bCs w:val="1"/>
                <w:color w:val="auto"/>
                <w:w w:val="90"/>
              </w:rPr>
              <w:t>December 31,</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43"/>
        </w:trPr>
        <w:tc>
          <w:tcPr>
            <w:tcW w:w="2800" w:type="dxa"/>
            <w:vAlign w:val="bottom"/>
          </w:tcPr>
          <w:p>
            <w:pPr>
              <w:spacing w:after="0"/>
              <w:rPr>
                <w:sz w:val="21"/>
                <w:szCs w:val="21"/>
                <w:color w:val="auto"/>
              </w:rPr>
            </w:pPr>
          </w:p>
        </w:tc>
        <w:tc>
          <w:tcPr>
            <w:tcW w:w="7460" w:type="dxa"/>
            <w:vAlign w:val="bottom"/>
          </w:tcPr>
          <w:p>
            <w:pPr>
              <w:jc w:val="center"/>
              <w:ind w:left="6090"/>
              <w:spacing w:after="0"/>
              <w:rPr>
                <w:sz w:val="20"/>
                <w:szCs w:val="20"/>
                <w:color w:val="auto"/>
              </w:rPr>
            </w:pPr>
            <w:r>
              <w:rPr>
                <w:rFonts w:ascii="Arial" w:cs="Arial" w:eastAsia="Arial" w:hAnsi="Arial"/>
                <w:sz w:val="18"/>
                <w:szCs w:val="18"/>
                <w:b w:val="1"/>
                <w:bCs w:val="1"/>
                <w:color w:val="auto"/>
                <w:w w:val="89"/>
              </w:rPr>
              <w:t>2013</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r>
      <w:tr>
        <w:trPr>
          <w:trHeight w:val="243"/>
        </w:trPr>
        <w:tc>
          <w:tcPr>
            <w:tcW w:w="2800" w:type="dxa"/>
            <w:vAlign w:val="bottom"/>
          </w:tcPr>
          <w:p>
            <w:pPr>
              <w:spacing w:after="0"/>
              <w:rPr>
                <w:sz w:val="21"/>
                <w:szCs w:val="21"/>
                <w:color w:val="auto"/>
              </w:rPr>
            </w:pPr>
          </w:p>
        </w:tc>
        <w:tc>
          <w:tcPr>
            <w:tcW w:w="7460" w:type="dxa"/>
            <w:vAlign w:val="bottom"/>
          </w:tcPr>
          <w:p>
            <w:pPr>
              <w:jc w:val="center"/>
              <w:ind w:left="6070"/>
              <w:spacing w:after="0"/>
              <w:rPr>
                <w:sz w:val="20"/>
                <w:szCs w:val="20"/>
                <w:color w:val="auto"/>
              </w:rPr>
            </w:pPr>
            <w:r>
              <w:rPr>
                <w:rFonts w:ascii="Arial" w:cs="Arial" w:eastAsia="Arial" w:hAnsi="Arial"/>
                <w:sz w:val="18"/>
                <w:szCs w:val="18"/>
                <w:b w:val="1"/>
                <w:bCs w:val="1"/>
                <w:color w:val="auto"/>
                <w:w w:val="93"/>
              </w:rPr>
              <w:t>(Audited)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(Audited)</w:t>
            </w:r>
          </w:p>
        </w:tc>
      </w:tr>
      <w:tr>
        <w:trPr>
          <w:trHeight w:val="729"/>
        </w:trPr>
        <w:tc>
          <w:tcPr>
            <w:tcW w:w="2800" w:type="dxa"/>
            <w:vAlign w:val="bottom"/>
          </w:tcPr>
          <w:p>
            <w:pPr>
              <w:spacing w:after="0"/>
              <w:rPr>
                <w:sz w:val="20"/>
                <w:szCs w:val="20"/>
                <w:color w:val="auto"/>
              </w:rPr>
            </w:pPr>
            <w:r>
              <w:rPr>
                <w:rFonts w:ascii="Arial" w:cs="Arial" w:eastAsia="Arial" w:hAnsi="Arial"/>
                <w:sz w:val="18"/>
                <w:szCs w:val="18"/>
                <w:color w:val="auto"/>
              </w:rPr>
              <w:t>Net cash</w:t>
            </w:r>
          </w:p>
        </w:tc>
        <w:tc>
          <w:tcPr>
            <w:tcW w:w="7460" w:type="dxa"/>
            <w:vAlign w:val="bottom"/>
          </w:tcPr>
          <w:p>
            <w:pPr>
              <w:jc w:val="right"/>
              <w:spacing w:after="0"/>
              <w:rPr>
                <w:sz w:val="20"/>
                <w:szCs w:val="20"/>
                <w:color w:val="auto"/>
              </w:rPr>
            </w:pPr>
            <w:r>
              <w:rPr>
                <w:rFonts w:ascii="Arial" w:cs="Arial" w:eastAsia="Arial" w:hAnsi="Arial"/>
                <w:sz w:val="18"/>
                <w:szCs w:val="18"/>
                <w:color w:val="auto"/>
              </w:rPr>
              <w:t>320,836</w:t>
            </w:r>
          </w:p>
        </w:tc>
        <w:tc>
          <w:tcPr>
            <w:tcW w:w="1160" w:type="dxa"/>
            <w:vAlign w:val="bottom"/>
          </w:tcPr>
          <w:p>
            <w:pPr>
              <w:jc w:val="right"/>
              <w:spacing w:after="0"/>
              <w:rPr>
                <w:sz w:val="20"/>
                <w:szCs w:val="20"/>
                <w:color w:val="auto"/>
              </w:rPr>
            </w:pPr>
            <w:r>
              <w:rPr>
                <w:rFonts w:ascii="Arial" w:cs="Arial" w:eastAsia="Arial" w:hAnsi="Arial"/>
                <w:sz w:val="18"/>
                <w:szCs w:val="18"/>
                <w:color w:val="auto"/>
              </w:rPr>
              <w:t>190,230</w:t>
            </w:r>
          </w:p>
        </w:tc>
      </w:tr>
      <w:tr>
        <w:trPr>
          <w:trHeight w:val="486"/>
        </w:trPr>
        <w:tc>
          <w:tcPr>
            <w:tcW w:w="2800" w:type="dxa"/>
            <w:vAlign w:val="bottom"/>
          </w:tcPr>
          <w:p>
            <w:pPr>
              <w:spacing w:after="0"/>
              <w:rPr>
                <w:sz w:val="20"/>
                <w:szCs w:val="20"/>
                <w:color w:val="auto"/>
              </w:rPr>
            </w:pPr>
            <w:r>
              <w:rPr>
                <w:rFonts w:ascii="Arial" w:cs="Arial" w:eastAsia="Arial" w:hAnsi="Arial"/>
                <w:sz w:val="18"/>
                <w:szCs w:val="18"/>
                <w:color w:val="auto"/>
              </w:rPr>
              <w:t>Accounts receivable</w:t>
            </w:r>
          </w:p>
        </w:tc>
        <w:tc>
          <w:tcPr>
            <w:tcW w:w="7460" w:type="dxa"/>
            <w:vAlign w:val="bottom"/>
          </w:tcPr>
          <w:p>
            <w:pPr>
              <w:jc w:val="right"/>
              <w:spacing w:after="0"/>
              <w:rPr>
                <w:sz w:val="20"/>
                <w:szCs w:val="20"/>
                <w:color w:val="auto"/>
              </w:rPr>
            </w:pPr>
            <w:r>
              <w:rPr>
                <w:rFonts w:ascii="Arial" w:cs="Arial" w:eastAsia="Arial" w:hAnsi="Arial"/>
                <w:sz w:val="18"/>
                <w:szCs w:val="18"/>
                <w:color w:val="auto"/>
              </w:rPr>
              <w:t>342,581</w:t>
            </w:r>
          </w:p>
        </w:tc>
        <w:tc>
          <w:tcPr>
            <w:tcW w:w="1160" w:type="dxa"/>
            <w:vAlign w:val="bottom"/>
          </w:tcPr>
          <w:p>
            <w:pPr>
              <w:jc w:val="right"/>
              <w:spacing w:after="0"/>
              <w:rPr>
                <w:sz w:val="20"/>
                <w:szCs w:val="20"/>
                <w:color w:val="auto"/>
              </w:rPr>
            </w:pPr>
            <w:r>
              <w:rPr>
                <w:rFonts w:ascii="Arial" w:cs="Arial" w:eastAsia="Arial" w:hAnsi="Arial"/>
                <w:sz w:val="18"/>
                <w:szCs w:val="18"/>
                <w:color w:val="auto"/>
              </w:rPr>
              <w:t>285,419</w:t>
            </w: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Unbilled revenue</w:t>
            </w:r>
          </w:p>
        </w:tc>
        <w:tc>
          <w:tcPr>
            <w:tcW w:w="7460" w:type="dxa"/>
            <w:vAlign w:val="bottom"/>
          </w:tcPr>
          <w:p>
            <w:pPr>
              <w:jc w:val="right"/>
              <w:spacing w:after="0"/>
              <w:rPr>
                <w:sz w:val="20"/>
                <w:szCs w:val="20"/>
                <w:color w:val="auto"/>
              </w:rPr>
            </w:pPr>
            <w:r>
              <w:rPr>
                <w:rFonts w:ascii="Arial" w:cs="Arial" w:eastAsia="Arial" w:hAnsi="Arial"/>
                <w:sz w:val="18"/>
                <w:szCs w:val="18"/>
                <w:color w:val="auto"/>
              </w:rPr>
              <w:t>113,239</w:t>
            </w:r>
          </w:p>
        </w:tc>
        <w:tc>
          <w:tcPr>
            <w:tcW w:w="1160" w:type="dxa"/>
            <w:vAlign w:val="bottom"/>
          </w:tcPr>
          <w:p>
            <w:pPr>
              <w:jc w:val="right"/>
              <w:spacing w:after="0"/>
              <w:rPr>
                <w:sz w:val="20"/>
                <w:szCs w:val="20"/>
                <w:color w:val="auto"/>
              </w:rPr>
            </w:pPr>
            <w:r>
              <w:rPr>
                <w:rFonts w:ascii="Arial" w:cs="Arial" w:eastAsia="Arial" w:hAnsi="Arial"/>
                <w:sz w:val="18"/>
                <w:szCs w:val="18"/>
                <w:color w:val="auto"/>
              </w:rPr>
              <w:t>112,483</w:t>
            </w: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Payments on account</w:t>
            </w:r>
          </w:p>
        </w:tc>
        <w:tc>
          <w:tcPr>
            <w:tcW w:w="7460" w:type="dxa"/>
            <w:vAlign w:val="bottom"/>
          </w:tcPr>
          <w:p>
            <w:pPr>
              <w:jc w:val="right"/>
              <w:spacing w:after="0"/>
              <w:rPr>
                <w:sz w:val="20"/>
                <w:szCs w:val="20"/>
                <w:color w:val="auto"/>
              </w:rPr>
            </w:pPr>
            <w:r>
              <w:rPr>
                <w:rFonts w:ascii="Arial" w:cs="Arial" w:eastAsia="Arial" w:hAnsi="Arial"/>
                <w:sz w:val="18"/>
                <w:szCs w:val="18"/>
                <w:color w:val="auto"/>
              </w:rPr>
              <w:t>(297,347)</w:t>
            </w:r>
          </w:p>
        </w:tc>
        <w:tc>
          <w:tcPr>
            <w:tcW w:w="1160" w:type="dxa"/>
            <w:vAlign w:val="bottom"/>
          </w:tcPr>
          <w:p>
            <w:pPr>
              <w:jc w:val="right"/>
              <w:spacing w:after="0"/>
              <w:rPr>
                <w:sz w:val="20"/>
                <w:szCs w:val="20"/>
                <w:color w:val="auto"/>
              </w:rPr>
            </w:pPr>
            <w:r>
              <w:rPr>
                <w:rFonts w:ascii="Arial" w:cs="Arial" w:eastAsia="Arial" w:hAnsi="Arial"/>
                <w:sz w:val="18"/>
                <w:szCs w:val="18"/>
                <w:color w:val="auto"/>
              </w:rPr>
              <w:t>(219,467)</w:t>
            </w: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Total</w:t>
            </w:r>
          </w:p>
        </w:tc>
        <w:tc>
          <w:tcPr>
            <w:tcW w:w="7460" w:type="dxa"/>
            <w:vAlign w:val="bottom"/>
          </w:tcPr>
          <w:p>
            <w:pPr>
              <w:jc w:val="right"/>
              <w:spacing w:after="0"/>
              <w:rPr>
                <w:sz w:val="20"/>
                <w:szCs w:val="20"/>
                <w:color w:val="auto"/>
              </w:rPr>
            </w:pPr>
            <w:r>
              <w:rPr>
                <w:rFonts w:ascii="Arial" w:cs="Arial" w:eastAsia="Arial" w:hAnsi="Arial"/>
                <w:sz w:val="18"/>
                <w:szCs w:val="18"/>
                <w:color w:val="auto"/>
              </w:rPr>
              <w:t>158,473</w:t>
            </w:r>
          </w:p>
        </w:tc>
        <w:tc>
          <w:tcPr>
            <w:tcW w:w="1160" w:type="dxa"/>
            <w:vAlign w:val="bottom"/>
          </w:tcPr>
          <w:p>
            <w:pPr>
              <w:jc w:val="right"/>
              <w:spacing w:after="0"/>
              <w:rPr>
                <w:sz w:val="20"/>
                <w:szCs w:val="20"/>
                <w:color w:val="auto"/>
              </w:rPr>
            </w:pPr>
            <w:r>
              <w:rPr>
                <w:rFonts w:ascii="Arial" w:cs="Arial" w:eastAsia="Arial" w:hAnsi="Arial"/>
                <w:sz w:val="18"/>
                <w:szCs w:val="18"/>
                <w:color w:val="auto"/>
              </w:rPr>
              <w:t>178,435</w:t>
            </w:r>
          </w:p>
        </w:tc>
      </w:tr>
      <w:tr>
        <w:trPr>
          <w:trHeight w:val="486"/>
        </w:trPr>
        <w:tc>
          <w:tcPr>
            <w:tcW w:w="2800" w:type="dxa"/>
            <w:vAlign w:val="bottom"/>
          </w:tcPr>
          <w:p>
            <w:pPr>
              <w:spacing w:after="0"/>
              <w:rPr>
                <w:sz w:val="20"/>
                <w:szCs w:val="20"/>
                <w:color w:val="auto"/>
              </w:rPr>
            </w:pPr>
            <w:r>
              <w:rPr>
                <w:rFonts w:ascii="Arial" w:cs="Arial" w:eastAsia="Arial" w:hAnsi="Arial"/>
                <w:sz w:val="18"/>
                <w:szCs w:val="18"/>
                <w:color w:val="auto"/>
              </w:rPr>
              <w:t>Working Capital</w:t>
            </w:r>
          </w:p>
        </w:tc>
        <w:tc>
          <w:tcPr>
            <w:tcW w:w="7460" w:type="dxa"/>
            <w:vAlign w:val="bottom"/>
          </w:tcPr>
          <w:p>
            <w:pPr>
              <w:jc w:val="right"/>
              <w:spacing w:after="0"/>
              <w:rPr>
                <w:sz w:val="20"/>
                <w:szCs w:val="20"/>
                <w:color w:val="auto"/>
              </w:rPr>
            </w:pPr>
            <w:r>
              <w:rPr>
                <w:rFonts w:ascii="Arial" w:cs="Arial" w:eastAsia="Arial" w:hAnsi="Arial"/>
                <w:sz w:val="18"/>
                <w:szCs w:val="18"/>
                <w:color w:val="auto"/>
              </w:rPr>
              <w:t>352,259</w:t>
            </w:r>
          </w:p>
        </w:tc>
        <w:tc>
          <w:tcPr>
            <w:tcW w:w="1160" w:type="dxa"/>
            <w:vAlign w:val="bottom"/>
          </w:tcPr>
          <w:p>
            <w:pPr>
              <w:jc w:val="right"/>
              <w:spacing w:after="0"/>
              <w:rPr>
                <w:sz w:val="20"/>
                <w:szCs w:val="20"/>
                <w:color w:val="auto"/>
              </w:rPr>
            </w:pPr>
            <w:r>
              <w:rPr>
                <w:rFonts w:ascii="Arial" w:cs="Arial" w:eastAsia="Arial" w:hAnsi="Arial"/>
                <w:sz w:val="18"/>
                <w:szCs w:val="18"/>
                <w:color w:val="auto"/>
              </w:rPr>
              <w:t>250,326</w:t>
            </w:r>
          </w:p>
        </w:tc>
      </w:tr>
      <w:tr>
        <w:trPr>
          <w:trHeight w:val="486"/>
        </w:trPr>
        <w:tc>
          <w:tcPr>
            <w:tcW w:w="2800" w:type="dxa"/>
            <w:vAlign w:val="bottom"/>
          </w:tcPr>
          <w:p>
            <w:pPr>
              <w:spacing w:after="0"/>
              <w:rPr>
                <w:sz w:val="20"/>
                <w:szCs w:val="20"/>
                <w:color w:val="auto"/>
              </w:rPr>
            </w:pPr>
            <w:r>
              <w:rPr>
                <w:rFonts w:ascii="Arial" w:cs="Arial" w:eastAsia="Arial" w:hAnsi="Arial"/>
                <w:sz w:val="18"/>
                <w:szCs w:val="18"/>
                <w:color w:val="auto"/>
              </w:rPr>
              <w:t>Total Assets</w:t>
            </w:r>
          </w:p>
        </w:tc>
        <w:tc>
          <w:tcPr>
            <w:tcW w:w="7460" w:type="dxa"/>
            <w:vAlign w:val="bottom"/>
          </w:tcPr>
          <w:p>
            <w:pPr>
              <w:jc w:val="right"/>
              <w:spacing w:after="0"/>
              <w:rPr>
                <w:sz w:val="20"/>
                <w:szCs w:val="20"/>
                <w:color w:val="auto"/>
              </w:rPr>
            </w:pPr>
            <w:r>
              <w:rPr>
                <w:rFonts w:ascii="Arial" w:cs="Arial" w:eastAsia="Arial" w:hAnsi="Arial"/>
                <w:sz w:val="18"/>
                <w:szCs w:val="18"/>
                <w:color w:val="auto"/>
              </w:rPr>
              <w:t>1,442,460</w:t>
            </w:r>
          </w:p>
        </w:tc>
        <w:tc>
          <w:tcPr>
            <w:tcW w:w="1160" w:type="dxa"/>
            <w:vAlign w:val="bottom"/>
          </w:tcPr>
          <w:p>
            <w:pPr>
              <w:jc w:val="right"/>
              <w:spacing w:after="0"/>
              <w:rPr>
                <w:sz w:val="20"/>
                <w:szCs w:val="20"/>
                <w:color w:val="auto"/>
              </w:rPr>
            </w:pPr>
            <w:r>
              <w:rPr>
                <w:rFonts w:ascii="Arial" w:cs="Arial" w:eastAsia="Arial" w:hAnsi="Arial"/>
                <w:sz w:val="18"/>
                <w:szCs w:val="18"/>
                <w:color w:val="auto"/>
              </w:rPr>
              <w:t>1,202,108</w:t>
            </w:r>
          </w:p>
        </w:tc>
      </w:tr>
      <w:tr>
        <w:trPr>
          <w:trHeight w:val="486"/>
        </w:trPr>
        <w:tc>
          <w:tcPr>
            <w:tcW w:w="2800" w:type="dxa"/>
            <w:vAlign w:val="bottom"/>
          </w:tcPr>
          <w:p>
            <w:pPr>
              <w:spacing w:after="0"/>
              <w:rPr>
                <w:sz w:val="20"/>
                <w:szCs w:val="20"/>
                <w:color w:val="auto"/>
              </w:rPr>
            </w:pPr>
            <w:r>
              <w:rPr>
                <w:rFonts w:ascii="Arial" w:cs="Arial" w:eastAsia="Arial" w:hAnsi="Arial"/>
                <w:sz w:val="18"/>
                <w:szCs w:val="18"/>
                <w:color w:val="auto"/>
              </w:rPr>
              <w:t>Shareholder's Equity</w:t>
            </w:r>
          </w:p>
        </w:tc>
        <w:tc>
          <w:tcPr>
            <w:tcW w:w="7460" w:type="dxa"/>
            <w:vAlign w:val="bottom"/>
          </w:tcPr>
          <w:p>
            <w:pPr>
              <w:jc w:val="right"/>
              <w:spacing w:after="0"/>
              <w:rPr>
                <w:sz w:val="20"/>
                <w:szCs w:val="20"/>
                <w:color w:val="auto"/>
              </w:rPr>
            </w:pPr>
            <w:r>
              <w:rPr>
                <w:rFonts w:ascii="Arial" w:cs="Arial" w:eastAsia="Arial" w:hAnsi="Arial"/>
                <w:sz w:val="18"/>
                <w:szCs w:val="18"/>
                <w:color w:val="auto"/>
              </w:rPr>
              <w:t>910,579</w:t>
            </w:r>
          </w:p>
        </w:tc>
        <w:tc>
          <w:tcPr>
            <w:tcW w:w="1160" w:type="dxa"/>
            <w:vAlign w:val="bottom"/>
          </w:tcPr>
          <w:p>
            <w:pPr>
              <w:jc w:val="right"/>
              <w:spacing w:after="0"/>
              <w:rPr>
                <w:sz w:val="20"/>
                <w:szCs w:val="20"/>
                <w:color w:val="auto"/>
              </w:rPr>
            </w:pPr>
            <w:r>
              <w:rPr>
                <w:rFonts w:ascii="Arial" w:cs="Arial" w:eastAsia="Arial" w:hAnsi="Arial"/>
                <w:sz w:val="18"/>
                <w:szCs w:val="18"/>
                <w:color w:val="auto"/>
              </w:rPr>
              <w:t>754,575</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 + 353 1 291 2000</w:t>
      </w:r>
    </w:p>
    <w:p>
      <w:pPr>
        <w:spacing w:after="0" w:line="231" w:lineRule="auto"/>
        <w:rPr>
          <w:sz w:val="20"/>
          <w:szCs w:val="20"/>
          <w:color w:val="auto"/>
        </w:rPr>
      </w:pPr>
      <w:r>
        <w:rPr>
          <w:rFonts w:ascii="Arial" w:cs="Arial" w:eastAsia="Arial" w:hAnsi="Arial"/>
          <w:sz w:val="22"/>
          <w:szCs w:val="22"/>
          <w:color w:val="auto"/>
        </w:rPr>
        <w:t>CFO</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Simon Holmes, +3531 291 2000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EVP IR &amp; Corporate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http://www.iconplc.com</w:t>
      </w:r>
    </w:p>
    <w:sectPr>
      <w:pgSz w:w="11900" w:h="16838" w:orient="portrait"/>
      <w:cols w:equalWidth="0" w:num="1">
        <w:col w:w="11420"/>
      </w:cols>
      <w:pgMar w:left="240" w:top="3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2019-12-06T19:37:23Z</dcterms:created>
  <dcterms:modified xsi:type="dcterms:W3CDTF">2019-12-06T19:37:23Z</dcterms:modified>
</cp:coreProperties>
</file>