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August 2009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72390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6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Ciaran Murray, CFO</w:t>
      </w:r>
    </w:p>
    <w:p>
      <w:pPr>
        <w:jc w:val="center"/>
        <w:ind w:right="-19"/>
        <w:spacing w:after="0" w:line="221" w:lineRule="auto"/>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line="221" w:lineRule="auto"/>
        <w:rPr>
          <w:sz w:val="20"/>
          <w:szCs w:val="20"/>
          <w:color w:val="auto"/>
        </w:rPr>
      </w:pPr>
      <w:r>
        <w:rPr>
          <w:rFonts w:ascii="Arial" w:cs="Arial" w:eastAsia="Arial" w:hAnsi="Arial"/>
          <w:sz w:val="14"/>
          <w:szCs w:val="14"/>
          <w:color w:val="auto"/>
        </w:rPr>
        <w:t>Ciaran.Murray@Iconplc.com</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64770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telephone number, email and/or facsimile number and</w:t>
      </w:r>
    </w:p>
    <w:p>
      <w:pPr>
        <w:jc w:val="center"/>
        <w:ind w:right="-19"/>
        <w:spacing w:after="0"/>
        <w:rPr>
          <w:sz w:val="20"/>
          <w:szCs w:val="20"/>
          <w:color w:val="auto"/>
        </w:rPr>
      </w:pPr>
      <w:r>
        <w:rPr>
          <w:rFonts w:ascii="Arial" w:cs="Arial" w:eastAsia="Arial" w:hAnsi="Arial"/>
          <w:sz w:val="14"/>
          <w:szCs w:val="14"/>
          <w:color w:val="auto"/>
        </w:rPr>
        <w:t>address of Company Contact person)</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140"/>
        <w:spacing w:after="0"/>
        <w:tabs>
          <w:tab w:leader="none" w:pos="656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8"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333-159972)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3" w:right="37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7,000 employees worldwide, with operations in 71 locations in 38 countries, including the United States and major markets in Europe and Rest of World. For the six months ended June 30, 2009 we derived approximately 49.3%, 42.9% and 7.8%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 Issue</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condensed consolidated financial statements and the notes thereto have been retrospectively restated to give effect to the Bonus Issue as if it had occurred as of the date referenced.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On July 9, 2009, the Company acquired 100% of the common stock of Veeda Laboratories Limited, a specialist provider of biomarker laboratory services to the global pharmaceutical and biotechnology industries, located in Oxford, United Kingdom, for an initial cash consideration of $1.9 million (Stg£1.2 million).</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On April 28, 2009, the Company acquired the assets of the former Qualia Clinical Services, Inc., a 33,000 square foot Phase 1 facility, located in Omaha, Nebraska, for $0.3 million.</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On April 30, 2009, a further $5.0 million was paid in respect of certain performance milestones for the year ended December 31, 2008. Prevalere, located in Whitesboro, New York, is a leading provider of bioanalytical and immunoassay services to pharmaceutical and biotechnology companies.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Bank Credit Lines and Loan Facilities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($49.2 million) with The Governor and Company of the Bank of Ireland. The facility bears interest at an annual rate equal to the EURIBOR plus a margin and is secured by certain composite guarantees, indemnities and pledges in favor of the bank. At June 30, 2009, this facility was fully drawn with €30.6 million ($43.0 million) outstanding under the repayment terms of the facility.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December 22, 2008, committed credit facilities were negotiated with Allied Irish Bank plc for $75 million. The facilities comprise a one year Euro facility of approximately €20 million ($28.1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As at June 30, 2009, $21.1 million (€15.0 million) was drawn under these facilities.</w:t>
      </w:r>
    </w:p>
    <w:p>
      <w:pPr>
        <w:spacing w:after="0" w:line="195"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On January 2, 2009, an additional four year committed credit facility was negotiated with The Governor and Company of the Bank of Ireland for $25 million. The facility bears interest at LIBOR plus a margin and is secured by certain composite guarantees, indemnities and pledges in favour of the bank. As at June 30, 2009, $25 million was available to be drawn under this facility.</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favour of the bank. As at June 30, 2009, no amounts had been drawn under these facilities.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AT JUNE 30, 2009 AND DECEMBER 31, 2008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8"/>
        </w:trPr>
        <w:tc>
          <w:tcPr>
            <w:tcW w:w="8120" w:type="dxa"/>
            <w:vAlign w:val="bottom"/>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2009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(in</w:t>
            </w:r>
          </w:p>
        </w:tc>
        <w:tc>
          <w:tcPr>
            <w:tcW w:w="1700" w:type="dxa"/>
            <w:vAlign w:val="bottom"/>
            <w:gridSpan w:val="3"/>
          </w:tcPr>
          <w:p>
            <w:pPr>
              <w:jc w:val="center"/>
              <w:ind w:right="108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1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53,381</w:t>
            </w:r>
          </w:p>
        </w:tc>
        <w:tc>
          <w:tcPr>
            <w:tcW w:w="4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93,923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208,461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114,028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9,765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Income taxes receivable</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5,118</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522,300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173,394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5,148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Intangible asset</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9,550</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897,478</w:t>
            </w:r>
          </w:p>
        </w:tc>
        <w:tc>
          <w:tcPr>
            <w:tcW w:w="4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8,919</w:t>
            </w:r>
          </w:p>
        </w:tc>
        <w:tc>
          <w:tcPr>
            <w:tcW w:w="4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158,823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113,209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33,371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40,193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3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9,507</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324,827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314,322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17,262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bank credit lines &amp; loan facilities</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Ordinary shares, par value 6 euro cents per share; 100,000,000 shares authorized,</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58,599,104 shares issued and outstanding at June 30, 2009 and</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58,518,195 shares issued and outstanding at December 31, 2008</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166,091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325,684</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507,924</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456,366</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897,478</w:t>
            </w:r>
          </w:p>
        </w:tc>
        <w:tc>
          <w:tcPr>
            <w:tcW w:w="4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14"/>
          <w:szCs w:val="14"/>
          <w:b w:val="1"/>
          <w:bCs w:val="1"/>
          <w:color w:val="auto"/>
        </w:rPr>
        <w:t>FOR THE THREE AND SIX MONTHS ENDED JUNE 30, 2009 AND JUNE 30,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6"/>
          </w:tcPr>
          <w:p>
            <w:pPr>
              <w:jc w:val="center"/>
              <w:ind w:right="454"/>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June 30,</w:t>
            </w:r>
          </w:p>
        </w:tc>
        <w:tc>
          <w:tcPr>
            <w:tcW w:w="4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4"/>
              </w:rPr>
              <w:t>thousands except</w:t>
            </w: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74"/>
              </w:rPr>
              <w:t>share</w:t>
            </w: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and per share data)</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74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300,969</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316,592</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619,507</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600,445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Reimbursable expenses</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(80,968)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14"/>
              <w:spacing w:after="0" w:line="149" w:lineRule="exact"/>
              <w:rPr>
                <w:sz w:val="20"/>
                <w:szCs w:val="20"/>
                <w:color w:val="auto"/>
              </w:rPr>
            </w:pPr>
            <w:r>
              <w:rPr>
                <w:rFonts w:ascii="Arial" w:cs="Arial" w:eastAsia="Arial" w:hAnsi="Arial"/>
                <w:sz w:val="14"/>
                <w:szCs w:val="14"/>
                <w:color w:val="auto"/>
              </w:rPr>
              <w:t>(98,292)</w:t>
            </w:r>
          </w:p>
        </w:tc>
        <w:tc>
          <w:tcPr>
            <w:tcW w:w="280" w:type="dxa"/>
            <w:vAlign w:val="bottom"/>
          </w:tcPr>
          <w:p>
            <w:pPr>
              <w:spacing w:after="0"/>
              <w:rPr>
                <w:sz w:val="13"/>
                <w:szCs w:val="13"/>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(179,675)</w:t>
            </w:r>
          </w:p>
        </w:tc>
        <w:tc>
          <w:tcPr>
            <w:tcW w:w="4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(180,801)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220,001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218,300</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439,832</w:t>
            </w: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419,644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122,976</w:t>
            </w:r>
          </w:p>
        </w:tc>
        <w:tc>
          <w:tcPr>
            <w:tcW w:w="28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249,314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64,289</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119,268</w:t>
            </w: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6,641</w:t>
            </w:r>
          </w:p>
        </w:tc>
        <w:tc>
          <w:tcPr>
            <w:tcW w:w="28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15,016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ind w:left="140"/>
              <w:spacing w:after="0" w:line="149" w:lineRule="exact"/>
              <w:rPr>
                <w:sz w:val="20"/>
                <w:szCs w:val="20"/>
                <w:color w:val="auto"/>
              </w:rPr>
            </w:pPr>
            <w:r>
              <w:rPr>
                <w:rFonts w:ascii="Arial" w:cs="Arial" w:eastAsia="Arial" w:hAnsi="Arial"/>
                <w:sz w:val="14"/>
                <w:szCs w:val="14"/>
                <w:color w:val="auto"/>
              </w:rPr>
              <w:t>One-time net charges</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8,941</w:t>
            </w:r>
          </w:p>
        </w:tc>
        <w:tc>
          <w:tcPr>
            <w:tcW w:w="480" w:type="dxa"/>
            <w:vAlign w:val="bottom"/>
          </w:tcPr>
          <w:p>
            <w:pPr>
              <w:spacing w:after="0"/>
              <w:rPr>
                <w:sz w:val="13"/>
                <w:szCs w:val="13"/>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Total costs and expenses</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199,623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193,906</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392,539</w:t>
            </w:r>
          </w:p>
        </w:tc>
        <w:tc>
          <w:tcPr>
            <w:tcW w:w="480" w:type="dxa"/>
            <w:vAlign w:val="bottom"/>
          </w:tcPr>
          <w:p>
            <w:pPr>
              <w:spacing w:after="0"/>
              <w:rPr>
                <w:sz w:val="13"/>
                <w:szCs w:val="13"/>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373,738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20,378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24,394</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47,293</w:t>
            </w: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(960)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14"/>
              <w:spacing w:after="0" w:line="149" w:lineRule="exact"/>
              <w:rPr>
                <w:sz w:val="20"/>
                <w:szCs w:val="20"/>
                <w:color w:val="auto"/>
              </w:rPr>
            </w:pPr>
            <w:r>
              <w:rPr>
                <w:rFonts w:ascii="Arial" w:cs="Arial" w:eastAsia="Arial" w:hAnsi="Arial"/>
                <w:sz w:val="14"/>
                <w:szCs w:val="14"/>
                <w:color w:val="auto"/>
              </w:rPr>
              <w:t>(1,086)</w:t>
            </w:r>
          </w:p>
        </w:tc>
        <w:tc>
          <w:tcPr>
            <w:tcW w:w="280" w:type="dxa"/>
            <w:vAlign w:val="bottom"/>
          </w:tcPr>
          <w:p>
            <w:pPr>
              <w:spacing w:after="0"/>
              <w:rPr>
                <w:sz w:val="13"/>
                <w:szCs w:val="13"/>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(2,184)</w:t>
            </w:r>
          </w:p>
        </w:tc>
        <w:tc>
          <w:tcPr>
            <w:tcW w:w="4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19,503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23,918</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45,682</w:t>
            </w: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(including one-time credits)</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14"/>
              <w:spacing w:after="0" w:line="149" w:lineRule="exact"/>
              <w:rPr>
                <w:sz w:val="20"/>
                <w:szCs w:val="20"/>
                <w:color w:val="auto"/>
              </w:rPr>
            </w:pPr>
            <w:r>
              <w:rPr>
                <w:rFonts w:ascii="Arial" w:cs="Arial" w:eastAsia="Arial" w:hAnsi="Arial"/>
                <w:sz w:val="14"/>
                <w:szCs w:val="14"/>
                <w:color w:val="auto"/>
              </w:rPr>
              <w:t>(4,891)</w:t>
            </w:r>
          </w:p>
        </w:tc>
        <w:tc>
          <w:tcPr>
            <w:tcW w:w="28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14"/>
              <w:spacing w:after="0" w:line="149" w:lineRule="exact"/>
              <w:rPr>
                <w:sz w:val="20"/>
                <w:szCs w:val="20"/>
                <w:color w:val="auto"/>
              </w:rPr>
            </w:pPr>
            <w:r>
              <w:rPr>
                <w:rFonts w:ascii="Arial" w:cs="Arial" w:eastAsia="Arial" w:hAnsi="Arial"/>
                <w:sz w:val="14"/>
                <w:szCs w:val="14"/>
                <w:color w:val="auto"/>
              </w:rPr>
              <w:t>(206)</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18,530</w:t>
            </w:r>
          </w:p>
        </w:tc>
        <w:tc>
          <w:tcPr>
            <w:tcW w:w="14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18,821</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39,474</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0.32</w:t>
            </w:r>
          </w:p>
        </w:tc>
        <w:tc>
          <w:tcPr>
            <w:tcW w:w="14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0.32</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0.67</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Diluted</w:t>
            </w:r>
          </w:p>
        </w:tc>
        <w:tc>
          <w:tcPr>
            <w:tcW w:w="1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0.31</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54"/>
              <w:spacing w:after="0" w:line="142" w:lineRule="exact"/>
              <w:rPr>
                <w:sz w:val="20"/>
                <w:szCs w:val="20"/>
                <w:color w:val="auto"/>
              </w:rPr>
            </w:pPr>
            <w:r>
              <w:rPr>
                <w:rFonts w:ascii="Arial" w:cs="Arial" w:eastAsia="Arial" w:hAnsi="Arial"/>
                <w:sz w:val="14"/>
                <w:szCs w:val="14"/>
                <w:color w:val="auto"/>
              </w:rPr>
              <w:t>0.31</w:t>
            </w: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0.66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0"/>
              <w:spacing w:after="0" w:line="149" w:lineRule="exact"/>
              <w:rPr>
                <w:sz w:val="20"/>
                <w:szCs w:val="20"/>
                <w:color w:val="auto"/>
              </w:rPr>
            </w:pPr>
            <w:r>
              <w:rPr>
                <w:rFonts w:ascii="Arial" w:cs="Arial" w:eastAsia="Arial" w:hAnsi="Arial"/>
                <w:sz w:val="14"/>
                <w:szCs w:val="14"/>
                <w:color w:val="auto"/>
              </w:rPr>
              <w:t>Basic</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58,576,384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58,213,388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58,557,089</w:t>
            </w: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58,009,324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Diluted</w:t>
            </w: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59,674,939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60,313,126</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59,716,244</w:t>
            </w:r>
          </w:p>
        </w:tc>
        <w:tc>
          <w:tcPr>
            <w:tcW w:w="4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60,167,978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0" w:type="dxa"/>
            <w:vAlign w:val="bottom"/>
          </w:tcPr>
          <w:p>
            <w:pPr>
              <w:jc w:val="center"/>
              <w:ind w:left="3328"/>
              <w:spacing w:after="0"/>
              <w:rPr>
                <w:sz w:val="20"/>
                <w:szCs w:val="20"/>
                <w:color w:val="auto"/>
              </w:rPr>
            </w:pPr>
            <w:r>
              <w:rPr>
                <w:rFonts w:ascii="Arial" w:cs="Arial" w:eastAsia="Arial" w:hAnsi="Arial"/>
                <w:sz w:val="14"/>
                <w:szCs w:val="14"/>
                <w:b w:val="1"/>
                <w:bCs w:val="1"/>
                <w:color w:val="auto"/>
              </w:rPr>
              <w:t>ICON plc</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0" w:type="dxa"/>
            <w:vAlign w:val="bottom"/>
          </w:tcPr>
          <w:p>
            <w:pPr>
              <w:jc w:val="center"/>
              <w:ind w:left="332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jc w:val="center"/>
              <w:ind w:left="3308"/>
              <w:spacing w:after="0" w:line="149" w:lineRule="exact"/>
              <w:rPr>
                <w:sz w:val="20"/>
                <w:szCs w:val="20"/>
                <w:color w:val="auto"/>
              </w:rPr>
            </w:pPr>
            <w:r>
              <w:rPr>
                <w:rFonts w:ascii="Arial" w:cs="Arial" w:eastAsia="Arial" w:hAnsi="Arial"/>
                <w:sz w:val="14"/>
                <w:szCs w:val="14"/>
                <w:b w:val="1"/>
                <w:bCs w:val="1"/>
                <w:color w:val="auto"/>
                <w:w w:val="99"/>
              </w:rPr>
              <w:t>FOR THE SIX MONTHS ENDED JUNE 30, 2009 AND JUNE 30, 2008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0" w:type="dxa"/>
            <w:vAlign w:val="bottom"/>
          </w:tcPr>
          <w:p>
            <w:pPr>
              <w:jc w:val="center"/>
              <w:ind w:left="332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4"/>
          </w:tcPr>
          <w:p>
            <w:pPr>
              <w:ind w:left="660"/>
              <w:spacing w:after="0"/>
              <w:rPr>
                <w:sz w:val="20"/>
                <w:szCs w:val="20"/>
                <w:color w:val="auto"/>
              </w:rPr>
            </w:pPr>
            <w:r>
              <w:rPr>
                <w:rFonts w:ascii="Arial" w:cs="Arial" w:eastAsia="Arial" w:hAnsi="Arial"/>
                <w:sz w:val="14"/>
                <w:szCs w:val="14"/>
                <w:b w:val="1"/>
                <w:bCs w:val="1"/>
                <w:color w:val="auto"/>
                <w:w w:val="98"/>
              </w:rPr>
              <w:t>Six Months Ended</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June 30, 2008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June 30, 2009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1"/>
              </w:rPr>
              <w:t>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39,474</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0" w:type="dxa"/>
            <w:vAlign w:val="bottom"/>
          </w:tcPr>
          <w:p>
            <w:pPr>
              <w:spacing w:after="0" w:line="130" w:lineRule="exact"/>
              <w:rPr>
                <w:sz w:val="20"/>
                <w:szCs w:val="20"/>
                <w:color w:val="auto"/>
              </w:rPr>
            </w:pPr>
            <w:r>
              <w:rPr>
                <w:rFonts w:ascii="Arial" w:cs="Arial" w:eastAsia="Arial" w:hAnsi="Arial"/>
                <w:sz w:val="14"/>
                <w:szCs w:val="14"/>
                <w:color w:val="auto"/>
              </w:rPr>
              <w:t>Adjustments to reconcile net income to net cash provided by</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2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(4,566)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Decrease/(increase) in accounts receivable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6,328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unbilled revenue</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Decrease/(increase) in other receivables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(1,523)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(686)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payments on account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Increase in other current liabilities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other non current liabilities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Increase in income taxes payable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7,537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 in accounts payable</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(8,570)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(16,384)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&amp; acquisition costs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(24,086)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(67,553)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short term investments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ind w:left="160"/>
              <w:spacing w:after="0" w:line="149" w:lineRule="exact"/>
              <w:rPr>
                <w:sz w:val="20"/>
                <w:szCs w:val="20"/>
                <w:color w:val="auto"/>
              </w:rPr>
            </w:pPr>
            <w:r>
              <w:rPr>
                <w:rFonts w:ascii="Arial" w:cs="Arial" w:eastAsia="Arial" w:hAnsi="Arial"/>
                <w:sz w:val="14"/>
                <w:szCs w:val="14"/>
                <w:color w:val="auto"/>
              </w:rPr>
              <w:t>Cash acquired with subsidiary undertaking</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(91,479)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Drawdown of bank credit lines and loan facilities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Repayment of credit lines and facilities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(60,719)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Share issuance costs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in)/provided by financing activities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(42,690)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and cash equivalents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(4,997)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58,378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4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53,381</w:t>
            </w:r>
          </w:p>
        </w:tc>
        <w:tc>
          <w:tcPr>
            <w:tcW w:w="140" w:type="dxa"/>
            <w:vAlign w:val="bottom"/>
          </w:tcPr>
          <w:p>
            <w:pPr>
              <w:spacing w:after="0"/>
              <w:rPr>
                <w:sz w:val="12"/>
                <w:szCs w:val="12"/>
                <w:color w:val="auto"/>
              </w:rPr>
            </w:pPr>
          </w:p>
        </w:tc>
        <w:tc>
          <w:tcPr>
            <w:tcW w:w="6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71,663</w:t>
            </w:r>
          </w:p>
        </w:tc>
        <w:tc>
          <w:tcPr>
            <w:tcW w:w="0" w:type="dxa"/>
            <w:vAlign w:val="bottom"/>
          </w:tcPr>
          <w:p>
            <w:pPr>
              <w:spacing w:after="0"/>
              <w:rPr>
                <w:sz w:val="1"/>
                <w:szCs w:val="1"/>
                <w:color w:val="auto"/>
              </w:rPr>
            </w:pPr>
          </w:p>
        </w:tc>
      </w:tr>
      <w:tr>
        <w:trPr>
          <w:trHeight w:val="2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8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8020" w:type="dxa"/>
            <w:vAlign w:val="bottom"/>
            <w:gridSpan w:val="2"/>
          </w:tcPr>
          <w:p>
            <w:pPr>
              <w:jc w:val="center"/>
              <w:ind w:left="3328"/>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580"/>
              <w:spacing w:after="0"/>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thousands, except per</w:t>
            </w:r>
          </w:p>
        </w:tc>
        <w:tc>
          <w:tcPr>
            <w:tcW w:w="13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w w:val="96"/>
              </w:rPr>
              <w:t>share data)</w:t>
            </w:r>
          </w:p>
        </w:tc>
        <w:tc>
          <w:tcPr>
            <w:tcW w:w="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2008</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58,518,195</w:t>
            </w: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4,921</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162,057</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3,178</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286,210</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456,366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39,474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8,042</w:t>
            </w:r>
          </w:p>
        </w:tc>
        <w:tc>
          <w:tcPr>
            <w:tcW w:w="3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8,042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Total comprehensive income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issuance costs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Exercise of share options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80,909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Non-cash stock compensation expense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Tax benefit on exercise of share options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June 30, 2009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58,599,104</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4,929</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166,091</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11,220</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325,684</w:t>
            </w:r>
          </w:p>
        </w:tc>
        <w:tc>
          <w:tcPr>
            <w:tcW w:w="4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507,924</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6120" w:type="dxa"/>
            <w:vAlign w:val="bottom"/>
            <w:gridSpan w:val="8"/>
          </w:tcPr>
          <w:p>
            <w:pPr>
              <w:spacing w:after="0"/>
              <w:rPr>
                <w:sz w:val="20"/>
                <w:szCs w:val="20"/>
                <w:color w:val="auto"/>
              </w:rPr>
            </w:pPr>
            <w:r>
              <w:rPr>
                <w:rFonts w:ascii="Arial" w:cs="Arial" w:eastAsia="Arial" w:hAnsi="Arial"/>
                <w:sz w:val="14"/>
                <w:szCs w:val="14"/>
                <w:color w:val="auto"/>
                <w:w w:val="98"/>
              </w:rPr>
              <w:t>The accompanying notes are an integral part of these condensed consolidated financial statements.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ind w:left="5240"/>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JUNE 30, 2009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2008. Operating results for the six months ended June 30, 2009, are not necessarily indicative of the results that may be expected for the fiscal period ending December 31, 2009.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20"/>
                <w:szCs w:val="20"/>
                <w:color w:val="auto"/>
              </w:rPr>
            </w:pPr>
            <w:r>
              <w:rPr>
                <w:rFonts w:ascii="Arial" w:cs="Arial" w:eastAsia="Arial" w:hAnsi="Arial"/>
                <w:sz w:val="14"/>
                <w:szCs w:val="14"/>
                <w:b w:val="1"/>
                <w:bCs w:val="1"/>
                <w:color w:val="auto"/>
              </w:rPr>
              <w:t>2. Goodwill</w:t>
            </w:r>
          </w:p>
        </w:tc>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84"/>
        </w:trPr>
        <w:tc>
          <w:tcPr>
            <w:tcW w:w="5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3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r>
      <w:tr>
        <w:trPr>
          <w:trHeight w:val="149"/>
        </w:trPr>
        <w:tc>
          <w:tcPr>
            <w:tcW w:w="5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Opening balance</w:t>
            </w:r>
          </w:p>
        </w:tc>
        <w:tc>
          <w:tcPr>
            <w:tcW w:w="33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169,344</w:t>
            </w:r>
          </w:p>
        </w:tc>
        <w:tc>
          <w:tcPr>
            <w:tcW w:w="7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123,879</w:t>
            </w:r>
          </w:p>
        </w:tc>
      </w:tr>
      <w:tr>
        <w:trPr>
          <w:trHeight w:val="149"/>
        </w:trPr>
        <w:tc>
          <w:tcPr>
            <w:tcW w:w="5300" w:type="dxa"/>
            <w:vAlign w:val="bottom"/>
          </w:tcPr>
          <w:p>
            <w:pPr>
              <w:ind w:left="820"/>
              <w:spacing w:after="0" w:line="149" w:lineRule="exact"/>
              <w:rPr>
                <w:sz w:val="20"/>
                <w:szCs w:val="20"/>
                <w:color w:val="auto"/>
              </w:rPr>
            </w:pPr>
            <w:r>
              <w:rPr>
                <w:rFonts w:ascii="Arial" w:cs="Arial" w:eastAsia="Arial" w:hAnsi="Arial"/>
                <w:sz w:val="14"/>
                <w:szCs w:val="14"/>
                <w:color w:val="auto"/>
              </w:rPr>
              <w:t>Additions</w:t>
            </w:r>
          </w:p>
        </w:tc>
        <w:tc>
          <w:tcPr>
            <w:tcW w:w="2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822</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55,674</w:t>
            </w:r>
          </w:p>
        </w:tc>
      </w:tr>
      <w:tr>
        <w:trPr>
          <w:trHeight w:val="156"/>
        </w:trPr>
        <w:tc>
          <w:tcPr>
            <w:tcW w:w="53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Foreign exchange movement</w:t>
            </w:r>
          </w:p>
        </w:tc>
        <w:tc>
          <w:tcPr>
            <w:tcW w:w="2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(10,209)</w:t>
            </w:r>
          </w:p>
        </w:tc>
      </w:tr>
      <w:tr>
        <w:trPr>
          <w:trHeight w:val="149"/>
        </w:trPr>
        <w:tc>
          <w:tcPr>
            <w:tcW w:w="530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9"/>
        </w:trPr>
        <w:tc>
          <w:tcPr>
            <w:tcW w:w="53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Closing balance</w:t>
            </w:r>
          </w:p>
        </w:tc>
        <w:tc>
          <w:tcPr>
            <w:tcW w:w="2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173,394</w:t>
            </w:r>
          </w:p>
        </w:tc>
        <w:tc>
          <w:tcPr>
            <w:tcW w:w="7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169,344</w:t>
            </w: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the assets of the former Qualia Clinical Service, Inc.</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On April 28, 2009, the Company acquired the assets of the former Qualia Clinical Services, Inc., a 33,000 square foot Phase 1 facility, located in Omaha, Nebraska. The acquisition of the assets of the former Qualia Clinical Services, Inc. has been accounted for as a business combination in accordance with FASB Statement No. 141R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141(R)”. The excess of consideration paid of $0.3 million over the carrying value of the assets acquired of $0.1 million, has been recorded as goodwill of $0.2 million, pending the Company’s finalization of the allocation of total consideration paid to acquired net tangible and intangible assets.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Prior Period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remaining 30% interest in Beacon Biosciences Inc.</w:t>
      </w:r>
    </w:p>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No amounts have been accrued in respect of the additional consideration payable.</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The acquisition of Beacon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excess of consideration paid of $17.8 million, including costs of acquisition, over the carrying value of minority interest of $1.5 million, has been recorded as goodwill of $16.3 million, pending the Company’s finalization of the allocation of total consideration paid to acquired net tangible and intangible assets. This allocation will be completed in 2009. Goodwill represents the acquisition of the minority interest in the net assets of Beacon.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Prevalere Life Sciences Inc.</w:t>
      </w:r>
    </w:p>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On April 30, 2009, $5.0 million was paid in respect of the milestones for the year ended December 31, 2008. No amounts have been accrued for amounts potentially payable in respect of the year ended December 31, 2009.</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Prevalere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November 14,</w:t>
            </w:r>
          </w:p>
        </w:tc>
      </w:tr>
      <w:tr>
        <w:trPr>
          <w:trHeight w:val="149"/>
        </w:trPr>
        <w:tc>
          <w:tcPr>
            <w:tcW w:w="6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2008</w:t>
            </w:r>
          </w:p>
        </w:tc>
      </w:tr>
      <w:tr>
        <w:trPr>
          <w:trHeight w:val="171"/>
        </w:trPr>
        <w:tc>
          <w:tcPr>
            <w:tcW w:w="6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 thousands)</w:t>
            </w:r>
          </w:p>
        </w:tc>
      </w:tr>
      <w:tr>
        <w:trPr>
          <w:trHeight w:val="149"/>
        </w:trPr>
        <w:tc>
          <w:tcPr>
            <w:tcW w:w="6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Property, plant and equipment</w:t>
            </w:r>
          </w:p>
        </w:tc>
        <w:tc>
          <w:tcPr>
            <w:tcW w:w="4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2,614</w:t>
            </w:r>
          </w:p>
        </w:tc>
      </w:tr>
      <w:tr>
        <w:trPr>
          <w:trHeight w:val="149"/>
        </w:trPr>
        <w:tc>
          <w:tcPr>
            <w:tcW w:w="6120" w:type="dxa"/>
            <w:vAlign w:val="bottom"/>
          </w:tcPr>
          <w:p>
            <w:pPr>
              <w:ind w:left="340"/>
              <w:spacing w:after="0" w:line="149" w:lineRule="exact"/>
              <w:rPr>
                <w:sz w:val="20"/>
                <w:szCs w:val="20"/>
                <w:color w:val="auto"/>
              </w:rPr>
            </w:pPr>
            <w:r>
              <w:rPr>
                <w:rFonts w:ascii="Arial" w:cs="Arial" w:eastAsia="Arial" w:hAnsi="Arial"/>
                <w:sz w:val="14"/>
                <w:szCs w:val="14"/>
                <w:color w:val="auto"/>
              </w:rPr>
              <w:t>Intangible assets</w:t>
            </w:r>
          </w:p>
        </w:tc>
        <w:tc>
          <w:tcPr>
            <w:tcW w:w="4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7,375</w:t>
            </w:r>
          </w:p>
        </w:tc>
      </w:tr>
      <w:tr>
        <w:trPr>
          <w:trHeight w:val="149"/>
        </w:trPr>
        <w:tc>
          <w:tcPr>
            <w:tcW w:w="6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Goodwill</w:t>
            </w:r>
          </w:p>
        </w:tc>
        <w:tc>
          <w:tcPr>
            <w:tcW w:w="4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29,566</w:t>
            </w:r>
          </w:p>
        </w:tc>
      </w:tr>
      <w:tr>
        <w:trPr>
          <w:trHeight w:val="149"/>
        </w:trPr>
        <w:tc>
          <w:tcPr>
            <w:tcW w:w="6120" w:type="dxa"/>
            <w:vAlign w:val="bottom"/>
          </w:tcPr>
          <w:p>
            <w:pPr>
              <w:ind w:left="340"/>
              <w:spacing w:after="0" w:line="149" w:lineRule="exact"/>
              <w:rPr>
                <w:sz w:val="20"/>
                <w:szCs w:val="20"/>
                <w:color w:val="auto"/>
              </w:rPr>
            </w:pPr>
            <w:r>
              <w:rPr>
                <w:rFonts w:ascii="Arial" w:cs="Arial" w:eastAsia="Arial" w:hAnsi="Arial"/>
                <w:sz w:val="14"/>
                <w:szCs w:val="14"/>
                <w:color w:val="auto"/>
              </w:rPr>
              <w:t>Cash</w:t>
            </w:r>
          </w:p>
        </w:tc>
        <w:tc>
          <w:tcPr>
            <w:tcW w:w="4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w:t>
            </w:r>
          </w:p>
        </w:tc>
      </w:tr>
      <w:tr>
        <w:trPr>
          <w:trHeight w:val="149"/>
        </w:trPr>
        <w:tc>
          <w:tcPr>
            <w:tcW w:w="6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current assets</w:t>
            </w:r>
          </w:p>
        </w:tc>
        <w:tc>
          <w:tcPr>
            <w:tcW w:w="4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6,504</w:t>
            </w:r>
          </w:p>
        </w:tc>
      </w:tr>
      <w:tr>
        <w:trPr>
          <w:trHeight w:val="156"/>
        </w:trPr>
        <w:tc>
          <w:tcPr>
            <w:tcW w:w="6120" w:type="dxa"/>
            <w:vAlign w:val="bottom"/>
          </w:tcPr>
          <w:p>
            <w:pPr>
              <w:ind w:left="340"/>
              <w:spacing w:after="0" w:line="149" w:lineRule="exact"/>
              <w:rPr>
                <w:sz w:val="20"/>
                <w:szCs w:val="20"/>
                <w:color w:val="auto"/>
              </w:rPr>
            </w:pPr>
            <w:r>
              <w:rPr>
                <w:rFonts w:ascii="Arial" w:cs="Arial" w:eastAsia="Arial" w:hAnsi="Arial"/>
                <w:sz w:val="14"/>
                <w:szCs w:val="14"/>
                <w:color w:val="auto"/>
              </w:rPr>
              <w:t>Current liabilities</w:t>
            </w:r>
          </w:p>
        </w:tc>
        <w:tc>
          <w:tcPr>
            <w:tcW w:w="4220" w:type="dxa"/>
            <w:vAlign w:val="bottom"/>
          </w:tcPr>
          <w:p>
            <w:pPr>
              <w:spacing w:after="0"/>
              <w:rPr>
                <w:sz w:val="13"/>
                <w:szCs w:val="13"/>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(2,827)</w:t>
            </w:r>
          </w:p>
        </w:tc>
      </w:tr>
      <w:tr>
        <w:trPr>
          <w:trHeight w:val="189"/>
        </w:trPr>
        <w:tc>
          <w:tcPr>
            <w:tcW w:w="6120" w:type="dxa"/>
            <w:vAlign w:val="bottom"/>
            <w:tcBorders>
              <w:top w:val="single" w:sz="8" w:color="auto"/>
              <w:bottom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Purchase price</w:t>
            </w:r>
          </w:p>
        </w:tc>
        <w:tc>
          <w:tcPr>
            <w:tcW w:w="422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43,502</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Goodwill represents the acquisition of an established workforce with experience in the provision of bioanalytical and immunoassay services to pharmaceutical and biotechnology companies and allows ICON to participate in a growing market for these services.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auto"/>
        </w:rPr>
        <w:t>Acquisition of Healthcare Discoveries Inc.</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additional amounts have been paid as these milestones were not achieved during the year ended December 31, 2008.</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Healthcare Discoveries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February 11,</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2008</w:t>
            </w: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 thousands)</w:t>
            </w: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3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w:t>
            </w: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43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2,890</w:t>
            </w: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43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9,995</w:t>
            </w: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43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43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w:t>
            </w:r>
          </w:p>
        </w:tc>
      </w:tr>
      <w:tr>
        <w:trPr>
          <w:trHeight w:val="156"/>
        </w:trPr>
        <w:tc>
          <w:tcPr>
            <w:tcW w:w="20" w:type="dxa"/>
            <w:vAlign w:val="bottom"/>
          </w:tcPr>
          <w:p>
            <w:pPr>
              <w:spacing w:after="0"/>
              <w:rPr>
                <w:sz w:val="13"/>
                <w:szCs w:val="13"/>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380" w:type="dxa"/>
            <w:vAlign w:val="bottom"/>
          </w:tcPr>
          <w:p>
            <w:pPr>
              <w:spacing w:after="0"/>
              <w:rPr>
                <w:sz w:val="13"/>
                <w:szCs w:val="13"/>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(1,951)</w:t>
            </w:r>
          </w:p>
        </w:tc>
      </w:tr>
      <w:tr>
        <w:trPr>
          <w:trHeight w:val="189"/>
        </w:trPr>
        <w:tc>
          <w:tcPr>
            <w:tcW w:w="20" w:type="dxa"/>
            <w:vAlign w:val="bottom"/>
          </w:tcPr>
          <w:p>
            <w:pPr>
              <w:spacing w:after="0"/>
              <w:rPr>
                <w:sz w:val="16"/>
                <w:szCs w:val="16"/>
                <w:color w:val="auto"/>
              </w:rPr>
            </w:pPr>
          </w:p>
        </w:tc>
        <w:tc>
          <w:tcPr>
            <w:tcW w:w="59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438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11,841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Goodwill represents the acquisition of an established workforce with experience in the provision of Phase I clinical trial management services to pharmaceutical and biotechnology companies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20"/>
                <w:szCs w:val="20"/>
                <w:color w:val="auto"/>
              </w:rPr>
            </w:pPr>
            <w:r>
              <w:rPr>
                <w:rFonts w:ascii="Arial" w:cs="Arial" w:eastAsia="Arial" w:hAnsi="Arial"/>
                <w:sz w:val="14"/>
                <w:szCs w:val="14"/>
                <w:b w:val="1"/>
                <w:bCs w:val="1"/>
                <w:color w:val="auto"/>
              </w:rPr>
              <w:t>3. One-time net charges</w:t>
            </w:r>
          </w:p>
        </w:tc>
        <w:tc>
          <w:tcPr>
            <w:tcW w:w="2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2"/>
        </w:trPr>
        <w:tc>
          <w:tcPr>
            <w:tcW w:w="7660" w:type="dxa"/>
            <w:vAlign w:val="bottom"/>
          </w:tcPr>
          <w:p>
            <w:pPr>
              <w:spacing w:after="0"/>
              <w:rPr>
                <w:sz w:val="20"/>
                <w:szCs w:val="20"/>
                <w:color w:val="auto"/>
              </w:rPr>
            </w:pPr>
            <w:r>
              <w:rPr>
                <w:rFonts w:ascii="Arial" w:cs="Arial" w:eastAsia="Arial" w:hAnsi="Arial"/>
                <w:sz w:val="14"/>
                <w:szCs w:val="14"/>
                <w:color w:val="auto"/>
              </w:rPr>
              <w:t>One-time net charges recognised during the three months ended June 30, 2009, comprise:</w:t>
            </w:r>
          </w:p>
        </w:tc>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7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 thousands)</w:t>
            </w:r>
          </w:p>
        </w:tc>
      </w:tr>
      <w:tr>
        <w:trPr>
          <w:trHeight w:val="149"/>
        </w:trPr>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charge</w:t>
            </w:r>
          </w:p>
        </w:tc>
        <w:tc>
          <w:tcPr>
            <w:tcW w:w="2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13,434</w:t>
            </w:r>
          </w:p>
        </w:tc>
      </w:tr>
      <w:tr>
        <w:trPr>
          <w:trHeight w:val="156"/>
        </w:trPr>
        <w:tc>
          <w:tcPr>
            <w:tcW w:w="7660" w:type="dxa"/>
            <w:vAlign w:val="bottom"/>
          </w:tcPr>
          <w:p>
            <w:pPr>
              <w:spacing w:after="0" w:line="149" w:lineRule="exact"/>
              <w:rPr>
                <w:sz w:val="20"/>
                <w:szCs w:val="20"/>
                <w:color w:val="auto"/>
              </w:rPr>
            </w:pPr>
            <w:r>
              <w:rPr>
                <w:rFonts w:ascii="Arial" w:cs="Arial" w:eastAsia="Arial" w:hAnsi="Arial"/>
                <w:sz w:val="14"/>
                <w:szCs w:val="14"/>
                <w:color w:val="auto"/>
              </w:rPr>
              <w:t>Research and development incentives</w:t>
            </w:r>
          </w:p>
        </w:tc>
        <w:tc>
          <w:tcPr>
            <w:tcW w:w="2680" w:type="dxa"/>
            <w:vAlign w:val="bottom"/>
          </w:tcPr>
          <w:p>
            <w:pPr>
              <w:spacing w:after="0"/>
              <w:rPr>
                <w:sz w:val="13"/>
                <w:szCs w:val="13"/>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(4,493)</w:t>
            </w:r>
          </w:p>
        </w:tc>
      </w:tr>
      <w:tr>
        <w:trPr>
          <w:trHeight w:val="189"/>
        </w:trPr>
        <w:tc>
          <w:tcPr>
            <w:tcW w:w="7660" w:type="dxa"/>
            <w:vAlign w:val="bottom"/>
            <w:tcBorders>
              <w:top w:val="single" w:sz="8" w:color="auto"/>
              <w:bottom w:val="single" w:sz="8" w:color="auto"/>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8,941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Charge</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rationalisations in certain more mature markets in which the Company operates. A restructuring charge of $13.4 million has been recognised during the three months ended June 30, 2009, comprising $8.3 million in respect of office consolidations and $5.1 million is respect of workforce reductions.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Tax Incentives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 has received research and development incentives in certain jurisdictions in which it operates. Income of $4.5 million has been recognised during the three months ended June 30, 2009, in respect of these incentives.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4. Income Taxes</w:t>
            </w: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1"/>
              </w:rPr>
              <w:t>thousands)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74"/>
              </w:rPr>
              <w:t>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before one-time credits</w:t>
            </w:r>
          </w:p>
        </w:tc>
        <w:tc>
          <w:tcPr>
            <w:tcW w:w="1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4,891</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10,922</w:t>
            </w:r>
          </w:p>
        </w:tc>
        <w:tc>
          <w:tcPr>
            <w:tcW w:w="6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One-time credits</w:t>
            </w:r>
          </w:p>
        </w:tc>
        <w:tc>
          <w:tcPr>
            <w:tcW w:w="1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(4,714)</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(4,714)</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after one time credits</w:t>
            </w:r>
          </w:p>
        </w:tc>
        <w:tc>
          <w:tcPr>
            <w:tcW w:w="1920" w:type="dxa"/>
            <w:vAlign w:val="bottom"/>
            <w:tcBorders>
              <w:bottom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973</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4,891</w:t>
            </w:r>
          </w:p>
        </w:tc>
        <w:tc>
          <w:tcPr>
            <w:tcW w:w="3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6,208</w:t>
            </w:r>
          </w:p>
        </w:tc>
        <w:tc>
          <w:tcPr>
            <w:tcW w:w="620" w:type="dxa"/>
            <w:vAlign w:val="bottom"/>
            <w:tcBorders>
              <w:bottom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9,138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Provision for income taxes for the three and six months ended June 30, 2009, are inclusive of one-time credits which comprise corporation tax refunds arising from research and development tax credits received in certain jurisdictions in which the Company operates and the tax effect of restructuring costs recognised.</w:t>
      </w:r>
    </w:p>
    <w:p>
      <w:pPr>
        <w:spacing w:after="0" w:line="201"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 xml:space="preserve">The Company adopted the provisions of FIN 48, </w:t>
      </w:r>
      <w:r>
        <w:rPr>
          <w:rFonts w:ascii="Arial" w:cs="Arial" w:eastAsia="Arial" w:hAnsi="Arial"/>
          <w:sz w:val="14"/>
          <w:szCs w:val="14"/>
          <w:i w:val="1"/>
          <w:iCs w:val="1"/>
          <w:color w:val="auto"/>
        </w:rPr>
        <w:t>Accounting for Uncertainty in Income Taxes</w:t>
      </w:r>
      <w:r>
        <w:rPr>
          <w:rFonts w:ascii="Arial" w:cs="Arial" w:eastAsia="Arial" w:hAnsi="Arial"/>
          <w:sz w:val="14"/>
          <w:szCs w:val="14"/>
          <w:color w:val="auto"/>
        </w:rPr>
        <w:t xml:space="preserve"> (“FIN 48"), effective January 1, 2007. As at June 30, 2009, the Company maintains a $12.1 million liability for unrecognized tax benefit, which is comprised of $9.1 million related to items generating unrecognized tax benefits and $3.0 million for interest and related penalties to such items. The Company recognizes interest and penalties accrued on unrecognized tax benefits as an additional income tax expense.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2008 tax years. The Company does not believe that the outcome of any examination will have a material impact on its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840" w:type="dxa"/>
            <w:vAlign w:val="bottom"/>
            <w:tcBorders>
              <w:top w:val="single" w:sz="8" w:color="auto"/>
            </w:tcBorders>
            <w:gridSpan w:val="3"/>
          </w:tcPr>
          <w:p>
            <w:pPr>
              <w:ind w:left="620"/>
              <w:spacing w:after="0" w:line="149" w:lineRule="exact"/>
              <w:rPr>
                <w:sz w:val="20"/>
                <w:szCs w:val="20"/>
                <w:color w:val="auto"/>
              </w:rPr>
            </w:pPr>
            <w:r>
              <w:rPr>
                <w:rFonts w:ascii="Arial" w:cs="Arial" w:eastAsia="Arial" w:hAnsi="Arial"/>
                <w:sz w:val="14"/>
                <w:szCs w:val="14"/>
                <w:b w:val="1"/>
                <w:bCs w:val="1"/>
                <w:color w:val="auto"/>
              </w:rPr>
              <w:t>June 30,</w:t>
            </w: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Weighted average number of ordinary shares outstanding for basic net income per ordinary share</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58,576,384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58,213,388</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58,557,089</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58,009,324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4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1,098,555</w:t>
            </w:r>
          </w:p>
        </w:tc>
        <w:tc>
          <w:tcPr>
            <w:tcW w:w="13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2,099,738</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1,159,155</w:t>
            </w: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2,158,654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59,674,939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60,313,126</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59,716,244</w:t>
            </w:r>
          </w:p>
        </w:tc>
        <w:tc>
          <w:tcPr>
            <w:tcW w:w="4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60,167,978</w:t>
            </w: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56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jc w:val="right"/>
              <w:ind w:right="228"/>
              <w:spacing w:after="0"/>
              <w:rPr>
                <w:sz w:val="20"/>
                <w:szCs w:val="20"/>
                <w:color w:val="auto"/>
              </w:rPr>
            </w:pPr>
            <w:r>
              <w:rPr>
                <w:rFonts w:ascii="Arial" w:cs="Arial" w:eastAsia="Arial" w:hAnsi="Arial"/>
                <w:sz w:val="14"/>
                <w:szCs w:val="14"/>
                <w:color w:val="auto"/>
                <w:w w:val="89"/>
              </w:rPr>
              <w:t>11</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6. Stock Options</w:t>
      </w:r>
    </w:p>
    <w:p>
      <w:pPr>
        <w:spacing w:after="0" w:line="235" w:lineRule="exact"/>
        <w:rPr>
          <w:sz w:val="20"/>
          <w:szCs w:val="20"/>
          <w:color w:val="auto"/>
        </w:rPr>
      </w:pPr>
    </w:p>
    <w:p>
      <w:pPr>
        <w:jc w:val="both"/>
        <w:ind w:right="20"/>
        <w:spacing w:after="0" w:line="234" w:lineRule="auto"/>
        <w:rPr>
          <w:sz w:val="20"/>
          <w:szCs w:val="20"/>
          <w:color w:val="auto"/>
        </w:rPr>
      </w:pPr>
      <w:r>
        <w:rPr>
          <w:rFonts w:ascii="Arial" w:cs="Arial" w:eastAsia="Arial" w:hAnsi="Arial"/>
          <w:sz w:val="14"/>
          <w:szCs w:val="14"/>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9"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an employee stock option, or NSO, as described in Section 422 or 423 of the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plan may be settled in cash or shares.</w:t>
      </w:r>
    </w:p>
    <w:p>
      <w:pPr>
        <w:spacing w:after="0" w:line="210" w:lineRule="exact"/>
        <w:rPr>
          <w:sz w:val="20"/>
          <w:szCs w:val="20"/>
          <w:color w:val="auto"/>
        </w:rPr>
      </w:pPr>
    </w:p>
    <w:p>
      <w:pPr>
        <w:ind w:right="360"/>
        <w:spacing w:after="0" w:line="238" w:lineRule="auto"/>
        <w:rPr>
          <w:sz w:val="20"/>
          <w:szCs w:val="20"/>
          <w:color w:val="auto"/>
        </w:rPr>
      </w:pPr>
      <w:r>
        <w:rPr>
          <w:rFonts w:ascii="Arial" w:cs="Arial" w:eastAsia="Arial" w:hAnsi="Arial"/>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0"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2008, is eight years. No options can be granted after January 17, 2013.</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6080" w:type="dxa"/>
            <w:vAlign w:val="bottom"/>
            <w:gridSpan w:val="2"/>
          </w:tcPr>
          <w:p>
            <w:pPr>
              <w:spacing w:after="0"/>
              <w:rPr>
                <w:sz w:val="20"/>
                <w:szCs w:val="20"/>
                <w:color w:val="auto"/>
              </w:rPr>
            </w:pPr>
            <w:r>
              <w:rPr>
                <w:rFonts w:ascii="Arial" w:cs="Arial" w:eastAsia="Arial" w:hAnsi="Arial"/>
                <w:sz w:val="14"/>
                <w:szCs w:val="14"/>
                <w:color w:val="auto"/>
              </w:rPr>
              <w:t>The following table summarizes option activity for the six months ended June 30, 2009:</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Pr>
          <w:p>
            <w:pPr>
              <w:spacing w:after="0"/>
              <w:rPr>
                <w:sz w:val="24"/>
                <w:szCs w:val="24"/>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Weighted</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2"/>
                <w:szCs w:val="12"/>
                <w:color w:val="auto"/>
              </w:rPr>
            </w:pPr>
          </w:p>
        </w:tc>
        <w:tc>
          <w:tcPr>
            <w:tcW w:w="11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Average</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0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6"/>
                <w:szCs w:val="16"/>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2008</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5,222,263</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17.98</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7.24</w:t>
            </w:r>
          </w:p>
        </w:tc>
        <w:tc>
          <w:tcPr>
            <w:tcW w:w="10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921,133</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21.53</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8.47</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(80,909)</w:t>
            </w:r>
          </w:p>
        </w:tc>
        <w:tc>
          <w:tcPr>
            <w:tcW w:w="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9.70</w:t>
            </w:r>
          </w:p>
        </w:tc>
        <w:tc>
          <w:tcPr>
            <w:tcW w:w="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4.37</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(168,694)</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26.46</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10.05</w:t>
            </w:r>
          </w:p>
        </w:tc>
        <w:tc>
          <w:tcPr>
            <w:tcW w:w="10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June 30, 2009</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5,893,793</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18.40</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7.39</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June 30, 2009</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2,872,231</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12.98</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5.45</w:t>
            </w: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2009,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six months ended June 30, 2009, calculated using the Black-Scholes option pricing model, was $8.47 based on the following assumptions; dividend yield - 0%, risk free interest rate – 0.1%, expected volatility - 45%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August 7, 2008, the Company issued 6,280 restricted share units to certain employees of the Group. These shares are exercisable over periods ranging from February 26, 2009, to February 26, 2011. The market value of the Company’s shares on the date of issue was $41.95.</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Income from operations for the six months ended June 30, 2009, is stated after charging $3.3 million in respect of non-cash stock compensation expense. Basic and diluted earnings per share for the six months ended June 30, 2009, had FASB Statement No. 123R </w:t>
      </w:r>
      <w:r>
        <w:rPr>
          <w:rFonts w:ascii="Arial" w:cs="Arial" w:eastAsia="Arial" w:hAnsi="Arial"/>
          <w:sz w:val="13"/>
          <w:szCs w:val="13"/>
          <w:i w:val="1"/>
          <w:iCs w:val="1"/>
          <w:color w:val="auto"/>
        </w:rPr>
        <w:t>Share Based Payment (“</w:t>
      </w:r>
      <w:r>
        <w:rPr>
          <w:rFonts w:ascii="Arial" w:cs="Arial" w:eastAsia="Arial" w:hAnsi="Arial"/>
          <w:sz w:val="13"/>
          <w:szCs w:val="13"/>
          <w:color w:val="auto"/>
        </w:rPr>
        <w:t>SFAS 123R”) not been introduced would have been $0.73 and $0.71 respectively. Non-cash stock compensation expense for the six months ended June 30, 2009, has been allocated to direct costs and selling, general and administrative expenses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6"/>
              </w:rPr>
              <w:t>thousands)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76"/>
              </w:rPr>
              <w:t>thousands)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1,794</w:t>
            </w:r>
          </w:p>
        </w:tc>
        <w:tc>
          <w:tcPr>
            <w:tcW w:w="6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1,463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1,663</w:t>
            </w:r>
          </w:p>
        </w:tc>
        <w:tc>
          <w:tcPr>
            <w:tcW w:w="840" w:type="dxa"/>
            <w:vAlign w:val="bottom"/>
            <w:tcBorders>
              <w:bottom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1,575</w:t>
            </w:r>
          </w:p>
        </w:tc>
        <w:tc>
          <w:tcPr>
            <w:tcW w:w="3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3,257</w:t>
            </w:r>
          </w:p>
        </w:tc>
        <w:tc>
          <w:tcPr>
            <w:tcW w:w="680" w:type="dxa"/>
            <w:vAlign w:val="bottom"/>
            <w:tcBorders>
              <w:bottom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2,829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spacing w:after="0"/>
              <w:rPr>
                <w:sz w:val="20"/>
                <w:szCs w:val="20"/>
                <w:color w:val="auto"/>
              </w:rPr>
            </w:pPr>
            <w:r>
              <w:rPr>
                <w:rFonts w:ascii="Arial" w:cs="Arial" w:eastAsia="Arial" w:hAnsi="Arial"/>
                <w:sz w:val="14"/>
                <w:szCs w:val="14"/>
                <w:color w:val="auto"/>
              </w:rPr>
              <w:t>Non vested shares outstanding as at June 30, 2009, are as follows:</w:t>
            </w: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24"/>
                <w:szCs w:val="2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Weighted Average</w:t>
            </w:r>
          </w:p>
        </w:tc>
        <w:tc>
          <w:tcPr>
            <w:tcW w:w="180" w:type="dxa"/>
            <w:vAlign w:val="bottom"/>
          </w:tcPr>
          <w:p>
            <w:pPr>
              <w:spacing w:after="0"/>
              <w:rPr>
                <w:sz w:val="24"/>
                <w:szCs w:val="2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6"/>
                <w:szCs w:val="16"/>
                <w:color w:val="auto"/>
              </w:rPr>
            </w:pPr>
          </w:p>
        </w:tc>
        <w:tc>
          <w:tcPr>
            <w:tcW w:w="1280" w:type="dxa"/>
            <w:vAlign w:val="bottom"/>
            <w:gridSpan w:val="2"/>
          </w:tcPr>
          <w:p>
            <w:pPr>
              <w:ind w:left="5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7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2008</w:t>
            </w:r>
          </w:p>
        </w:tc>
        <w:tc>
          <w:tcPr>
            <w:tcW w:w="14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3,760,750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20.69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80" w:type="dxa"/>
            <w:vAlign w:val="bottom"/>
            <w:tcBorders>
              <w:top w:val="single" w:sz="8" w:color="CCEEFF"/>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4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921,133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21.53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(1,511,159)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14.85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4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(149,162)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26.95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80" w:type="dxa"/>
            <w:vAlign w:val="bottom"/>
            <w:tcBorders>
              <w:top w:val="single" w:sz="8" w:color="CCEEFF"/>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June 30, 2009</w:t>
            </w:r>
          </w:p>
        </w:tc>
        <w:tc>
          <w:tcPr>
            <w:tcW w:w="14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3,021,562</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23.55</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at June 30, 2009, total unrecognized compensation cost related to unvested options, which the Company expects to recognize over a weighted average period of 2.2 years, amounted to $19.9 million. The Company has granted options with fair values ranging from $3.26 to $13.93 per option or a weighted average fair value of $6.13 per option. The Company issues new ordinary shares for all options exercised. The total amount of fully vested share options which remained outstanding at June 30, 2009, was 2,872,231. The fully vested options have an average remaining contractual term of 4.0 years, an average exercise price of $12.98 and a total intrinsic value of $18.5 million. The total intrinsic value of options exercised during the three month period ended June 30, 2009, was $0.5 million (2008: $10.1 million). The total intrinsic value of options exercised during the six month period ended June 30, 2009, was $1.0 million (2008: $19.4 million).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Segment Information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Australia, New Zealand and South Africa. Segment information for the three and six months ended June 30, 2009, the three and six months ended June 30, 2008 and as at June 30, 2009, and December 31, 2008,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00" w:type="dxa"/>
            <w:vAlign w:val="bottom"/>
          </w:tcPr>
          <w:p>
            <w:pPr>
              <w:ind w:left="640"/>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1"/>
              </w:rPr>
              <w:t>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74"/>
              </w:rPr>
              <w:t>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27,046</w:t>
            </w: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36,955</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70,726</w:t>
            </w:r>
          </w:p>
        </w:tc>
        <w:tc>
          <w:tcPr>
            <w:tcW w:w="6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72,393</w:t>
            </w:r>
          </w:p>
        </w:tc>
      </w:tr>
      <w:tr>
        <w:trPr>
          <w:trHeight w:val="149"/>
        </w:trPr>
        <w:tc>
          <w:tcPr>
            <w:tcW w:w="20" w:type="dxa"/>
            <w:vAlign w:val="bottom"/>
          </w:tcPr>
          <w:p>
            <w:pPr>
              <w:spacing w:after="0"/>
              <w:rPr>
                <w:sz w:val="12"/>
                <w:szCs w:val="12"/>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62,616</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66,322</w:t>
            </w:r>
          </w:p>
        </w:tc>
        <w:tc>
          <w:tcPr>
            <w:tcW w:w="360" w:type="dxa"/>
            <w:vAlign w:val="bottom"/>
          </w:tcPr>
          <w:p>
            <w:pPr>
              <w:spacing w:after="0"/>
              <w:rPr>
                <w:sz w:val="12"/>
                <w:szCs w:val="12"/>
                <w:color w:val="auto"/>
              </w:rPr>
            </w:pPr>
          </w:p>
        </w:tc>
        <w:tc>
          <w:tcPr>
            <w:tcW w:w="88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117,809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124,028</w:t>
            </w: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113,458</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100,537</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216,697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192,635</w:t>
            </w:r>
          </w:p>
        </w:tc>
      </w:tr>
      <w:tr>
        <w:trPr>
          <w:trHeight w:val="156"/>
        </w:trPr>
        <w:tc>
          <w:tcPr>
            <w:tcW w:w="20" w:type="dxa"/>
            <w:vAlign w:val="bottom"/>
          </w:tcPr>
          <w:p>
            <w:pPr>
              <w:spacing w:after="0"/>
              <w:rPr>
                <w:sz w:val="13"/>
                <w:szCs w:val="13"/>
                <w:color w:val="auto"/>
              </w:rPr>
            </w:pPr>
          </w:p>
        </w:tc>
        <w:tc>
          <w:tcPr>
            <w:tcW w:w="5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16,881</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14,486</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34,600</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30,588</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220,001</w:t>
            </w:r>
          </w:p>
        </w:tc>
        <w:tc>
          <w:tcPr>
            <w:tcW w:w="800" w:type="dxa"/>
            <w:vAlign w:val="bottom"/>
            <w:tcBorders>
              <w:bottom w:val="single" w:sz="8" w:color="auto"/>
            </w:tcBorders>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218,300</w:t>
            </w:r>
          </w:p>
        </w:tc>
        <w:tc>
          <w:tcPr>
            <w:tcW w:w="3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439,832</w:t>
            </w:r>
          </w:p>
        </w:tc>
        <w:tc>
          <w:tcPr>
            <w:tcW w:w="660" w:type="dxa"/>
            <w:vAlign w:val="bottom"/>
            <w:tcBorders>
              <w:bottom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419,644</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All sales shown for Ireland are export sales.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rPr>
              <w:t>b)</w:t>
            </w:r>
          </w:p>
        </w:tc>
        <w:tc>
          <w:tcPr>
            <w:tcW w:w="5600" w:type="dxa"/>
            <w:vAlign w:val="bottom"/>
            <w:gridSpan w:val="2"/>
          </w:tcPr>
          <w:p>
            <w:pPr>
              <w:jc w:val="right"/>
              <w:ind w:right="920"/>
              <w:spacing w:after="0"/>
              <w:rPr>
                <w:sz w:val="20"/>
                <w:szCs w:val="20"/>
                <w:color w:val="auto"/>
              </w:rPr>
            </w:pPr>
            <w:r>
              <w:rPr>
                <w:rFonts w:ascii="Arial" w:cs="Arial" w:eastAsia="Arial" w:hAnsi="Arial"/>
                <w:sz w:val="14"/>
                <w:szCs w:val="14"/>
                <w:color w:val="auto"/>
                <w:w w:val="94"/>
              </w:rPr>
              <w:t>The distribution of income from operations by geographical area was as follows: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center"/>
              <w:ind w:left="248"/>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4,765</w:t>
            </w: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10,561</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4"/>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23,582</w:t>
            </w: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Europe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7,684</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3"/>
          </w:tcPr>
          <w:p>
            <w:pPr>
              <w:jc w:val="right"/>
              <w:ind w:right="133"/>
              <w:spacing w:after="0" w:line="149" w:lineRule="exact"/>
              <w:rPr>
                <w:sz w:val="20"/>
                <w:szCs w:val="20"/>
                <w:color w:val="auto"/>
              </w:rPr>
            </w:pPr>
            <w:r>
              <w:rPr>
                <w:rFonts w:ascii="Arial" w:cs="Arial" w:eastAsia="Arial" w:hAnsi="Arial"/>
                <w:sz w:val="14"/>
                <w:szCs w:val="14"/>
                <w:color w:val="auto"/>
                <w:w w:val="91"/>
              </w:rPr>
              <w:t>8,576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12,923</w:t>
            </w:r>
          </w:p>
        </w:tc>
        <w:tc>
          <w:tcPr>
            <w:tcW w:w="1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13,658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the World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gridSpan w:val="3"/>
          </w:tcPr>
          <w:p>
            <w:pPr>
              <w:jc w:val="right"/>
              <w:ind w:right="133"/>
              <w:spacing w:after="0" w:line="149" w:lineRule="exact"/>
              <w:rPr>
                <w:sz w:val="20"/>
                <w:szCs w:val="20"/>
                <w:color w:val="auto"/>
              </w:rPr>
            </w:pPr>
            <w:r>
              <w:rPr>
                <w:rFonts w:ascii="Arial" w:cs="Arial" w:eastAsia="Arial" w:hAnsi="Arial"/>
                <w:sz w:val="14"/>
                <w:szCs w:val="14"/>
                <w:color w:val="auto"/>
                <w:w w:val="91"/>
              </w:rPr>
              <w:t>1,477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2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20,378</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24,394</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4"/>
          </w:tcPr>
          <w:p>
            <w:pPr>
              <w:jc w:val="right"/>
              <w:ind w:right="133"/>
              <w:spacing w:after="0" w:line="149" w:lineRule="exact"/>
              <w:rPr>
                <w:sz w:val="20"/>
                <w:szCs w:val="20"/>
                <w:color w:val="auto"/>
              </w:rPr>
            </w:pPr>
            <w:r>
              <w:rPr>
                <w:rFonts w:ascii="Arial" w:cs="Arial" w:eastAsia="Arial" w:hAnsi="Arial"/>
                <w:sz w:val="14"/>
                <w:szCs w:val="14"/>
                <w:color w:val="auto"/>
              </w:rPr>
              <w:t>47,293</w:t>
            </w: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top w:val="single" w:sz="8" w:color="auto"/>
              <w:bottom w:val="single" w:sz="8" w:color="auto"/>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6400" w:type="dxa"/>
            <w:vAlign w:val="bottom"/>
            <w:gridSpan w:val="3"/>
          </w:tcPr>
          <w:p>
            <w:pPr>
              <w:ind w:left="640"/>
              <w:spacing w:after="0"/>
              <w:rPr>
                <w:sz w:val="20"/>
                <w:szCs w:val="20"/>
                <w:color w:val="auto"/>
              </w:rPr>
            </w:pPr>
            <w:r>
              <w:rPr>
                <w:rFonts w:ascii="Arial" w:cs="Arial" w:eastAsia="Arial" w:hAnsi="Arial"/>
                <w:sz w:val="14"/>
                <w:szCs w:val="14"/>
                <w:color w:val="auto"/>
                <w:w w:val="98"/>
              </w:rPr>
              <w:t>c) The distribution of property, plant and equipment, net, by geographical area was as follows: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(in</w:t>
            </w: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101,948</w:t>
            </w:r>
          </w:p>
        </w:tc>
        <w:tc>
          <w:tcPr>
            <w:tcW w:w="34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Europe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44,761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the World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5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175,046</w:t>
            </w:r>
          </w:p>
        </w:tc>
        <w:tc>
          <w:tcPr>
            <w:tcW w:w="34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171,748</w:t>
            </w: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6400" w:type="dxa"/>
            <w:vAlign w:val="bottom"/>
            <w:tcBorders>
              <w:top w:val="single" w:sz="8" w:color="auto"/>
            </w:tcBorders>
            <w:gridSpan w:val="3"/>
          </w:tcPr>
          <w:p>
            <w:pPr>
              <w:ind w:left="640"/>
              <w:spacing w:after="0"/>
              <w:rPr>
                <w:sz w:val="20"/>
                <w:szCs w:val="20"/>
                <w:color w:val="auto"/>
              </w:rPr>
            </w:pPr>
            <w:r>
              <w:rPr>
                <w:rFonts w:ascii="Arial" w:cs="Arial" w:eastAsia="Arial" w:hAnsi="Arial"/>
                <w:sz w:val="14"/>
                <w:szCs w:val="14"/>
                <w:color w:val="auto"/>
              </w:rPr>
              <w:t>d) The distribution of depreciation and amortization by geographical area was as follows:</w:t>
            </w: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center"/>
              <w:ind w:left="248"/>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78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200" w:type="dxa"/>
            <w:vAlign w:val="bottom"/>
            <w:gridSpan w:val="2"/>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w:t>
            </w: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w w:val="91"/>
              </w:rPr>
              <w:t>4,459</w:t>
            </w: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Europe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1,665</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3"/>
          </w:tcPr>
          <w:p>
            <w:pPr>
              <w:jc w:val="right"/>
              <w:ind w:right="133"/>
              <w:spacing w:after="0" w:line="149" w:lineRule="exact"/>
              <w:rPr>
                <w:sz w:val="20"/>
                <w:szCs w:val="20"/>
                <w:color w:val="auto"/>
              </w:rPr>
            </w:pPr>
            <w:r>
              <w:rPr>
                <w:rFonts w:ascii="Arial" w:cs="Arial" w:eastAsia="Arial" w:hAnsi="Arial"/>
                <w:sz w:val="14"/>
                <w:szCs w:val="14"/>
                <w:color w:val="auto"/>
                <w:w w:val="91"/>
              </w:rPr>
              <w:t>2,614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3,282</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w w:val="91"/>
              </w:rPr>
              <w:t>6,567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Rest of the World</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737</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565</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133"/>
              <w:spacing w:after="0" w:line="149" w:lineRule="exact"/>
              <w:rPr>
                <w:sz w:val="20"/>
                <w:szCs w:val="20"/>
                <w:color w:val="auto"/>
              </w:rPr>
            </w:pPr>
            <w:r>
              <w:rPr>
                <w:rFonts w:ascii="Arial" w:cs="Arial" w:eastAsia="Arial" w:hAnsi="Arial"/>
                <w:sz w:val="14"/>
                <w:szCs w:val="14"/>
                <w:color w:val="auto"/>
                <w:w w:val="91"/>
              </w:rPr>
              <w:t>1,376</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780" w:type="dxa"/>
            <w:vAlign w:val="bottom"/>
            <w:gridSpan w:val="3"/>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spacing w:after="0"/>
              <w:rPr>
                <w:sz w:val="12"/>
                <w:szCs w:val="12"/>
                <w:color w:val="auto"/>
              </w:rPr>
            </w:pPr>
          </w:p>
        </w:tc>
        <w:tc>
          <w:tcPr>
            <w:tcW w:w="200" w:type="dxa"/>
            <w:vAlign w:val="bottom"/>
            <w:gridSpan w:val="2"/>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7,526</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6,641</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4"/>
          </w:tcPr>
          <w:p>
            <w:pPr>
              <w:jc w:val="right"/>
              <w:ind w:right="133"/>
              <w:spacing w:after="0" w:line="149" w:lineRule="exact"/>
              <w:rPr>
                <w:sz w:val="20"/>
                <w:szCs w:val="20"/>
                <w:color w:val="auto"/>
              </w:rPr>
            </w:pPr>
            <w:r>
              <w:rPr>
                <w:rFonts w:ascii="Arial" w:cs="Arial" w:eastAsia="Arial" w:hAnsi="Arial"/>
                <w:sz w:val="14"/>
                <w:szCs w:val="14"/>
                <w:color w:val="auto"/>
              </w:rPr>
              <w:t>15,016</w:t>
            </w: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top w:val="single" w:sz="8" w:color="auto"/>
              <w:bottom w:val="single" w:sz="8" w:color="auto"/>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6400" w:type="dxa"/>
            <w:vAlign w:val="bottom"/>
            <w:gridSpan w:val="3"/>
          </w:tcPr>
          <w:p>
            <w:pPr>
              <w:ind w:left="640"/>
              <w:spacing w:after="0"/>
              <w:rPr>
                <w:sz w:val="20"/>
                <w:szCs w:val="20"/>
                <w:color w:val="auto"/>
              </w:rPr>
            </w:pPr>
            <w:r>
              <w:rPr>
                <w:rFonts w:ascii="Arial" w:cs="Arial" w:eastAsia="Arial" w:hAnsi="Arial"/>
                <w:sz w:val="14"/>
                <w:szCs w:val="14"/>
                <w:color w:val="auto"/>
              </w:rPr>
              <w:t>e) The distribution of total assets by geographical area was as follows: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(in</w:t>
            </w: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303,327</w:t>
            </w:r>
          </w:p>
        </w:tc>
        <w:tc>
          <w:tcPr>
            <w:tcW w:w="34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Rest of Europe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178,396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389,570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442,351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Rest of the World</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26,185</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897,478</w:t>
            </w:r>
          </w:p>
        </w:tc>
        <w:tc>
          <w:tcPr>
            <w:tcW w:w="34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tcPr>
          <w:p>
            <w:pPr>
              <w:jc w:val="right"/>
              <w:ind w:right="2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2008.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7,000 employees, in 71 locations in 38 countries, providing Phase I - IV Clinical Trial Management, Drug Development Support Services, Data Management and Biostatistics, Central Laboratory and Imaging Services.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20 operations operating in U.S. dollars, 11 trading in Euros, 5 in pounds Sterling, 3 in Indian Rupee, 2 each in Russian Rouble, Swedish Krona, Polish Zloty and Japanese Yen, and 1 each in Danish Krone, Czech Koruna, Lithuanian Litas, Latvian Lats, Ukraine Hryvnia, Hungarian Forint, Israeli New Shekels, Romanian New Leu, Canadian dollar, Mexican Peso, Brazilian Real, Colombian Peso, Argentine Peso, Chilean Peso, Peruvian Neuvo Sol, Chinese Yuan Renminbi, Hong Kong dollar, South Korean Won, Taiwan dollar, Thai Baht, Singapore dollar, Australian dollar, New Zealand dollar and South African Rand.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Company's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certain exchange rate triggers occur.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7" w:name="page18"/>
    <w:bookmarkEnd w:id="17"/>
    <w:p>
      <w:pPr>
        <w:jc w:val="both"/>
        <w:ind w:right="20"/>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The Company's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2009 compared with Three Months Ended June 30, 2008</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10"/>
          </w:tcPr>
          <w:p>
            <w:pPr>
              <w:jc w:val="center"/>
              <w:ind w:right="74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940" w:type="dxa"/>
            <w:vAlign w:val="bottom"/>
            <w:gridSpan w:val="4"/>
          </w:tcPr>
          <w:p>
            <w:pPr>
              <w:ind w:left="2400"/>
              <w:spacing w:after="0" w:line="12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ind w:left="440"/>
              <w:spacing w:after="0" w:line="129" w:lineRule="exact"/>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2008 to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7"/>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Percentage of Net</w:t>
            </w:r>
          </w:p>
        </w:tc>
        <w:tc>
          <w:tcPr>
            <w:tcW w:w="740" w:type="dxa"/>
            <w:vAlign w:val="bottom"/>
            <w:vMerge w:val="continue"/>
          </w:tcPr>
          <w:p>
            <w:pPr>
              <w:spacing w:after="0"/>
              <w:rPr>
                <w:sz w:val="11"/>
                <w:szCs w:val="11"/>
                <w:color w:val="auto"/>
              </w:rPr>
            </w:pPr>
          </w:p>
        </w:tc>
        <w:tc>
          <w:tcPr>
            <w:tcW w:w="1980" w:type="dxa"/>
            <w:vAlign w:val="bottom"/>
            <w:gridSpan w:val="7"/>
            <w:vMerge w:val="restart"/>
          </w:tcPr>
          <w:p>
            <w:pPr>
              <w:jc w:val="center"/>
              <w:ind w:left="368"/>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Revenue</w:t>
            </w:r>
          </w:p>
        </w:tc>
        <w:tc>
          <w:tcPr>
            <w:tcW w:w="880" w:type="dxa"/>
            <w:vAlign w:val="bottom"/>
            <w:gridSpan w:val="3"/>
          </w:tcPr>
          <w:p>
            <w:pPr>
              <w:spacing w:after="0"/>
              <w:rPr>
                <w:sz w:val="11"/>
                <w:szCs w:val="11"/>
                <w:color w:val="auto"/>
              </w:rPr>
            </w:pPr>
          </w:p>
        </w:tc>
        <w:tc>
          <w:tcPr>
            <w:tcW w:w="1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30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0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56.9%</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56.3%</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0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26.4%</w:t>
            </w:r>
          </w:p>
        </w:tc>
        <w:tc>
          <w:tcPr>
            <w:tcW w:w="1960" w:type="dxa"/>
            <w:vAlign w:val="bottom"/>
            <w:gridSpan w:val="8"/>
          </w:tcPr>
          <w:p>
            <w:pPr>
              <w:jc w:val="right"/>
              <w:ind w:right="620"/>
              <w:spacing w:after="0" w:line="149" w:lineRule="exact"/>
              <w:rPr>
                <w:sz w:val="20"/>
                <w:szCs w:val="20"/>
                <w:color w:val="auto"/>
              </w:rPr>
            </w:pPr>
            <w:r>
              <w:rPr>
                <w:rFonts w:ascii="Arial" w:cs="Arial" w:eastAsia="Arial" w:hAnsi="Arial"/>
                <w:sz w:val="14"/>
                <w:szCs w:val="14"/>
                <w:color w:val="auto"/>
              </w:rPr>
              <w:t>29.4%</w:t>
            </w:r>
          </w:p>
        </w:tc>
        <w:tc>
          <w:tcPr>
            <w:tcW w:w="198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0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3.0%</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One-time net charges</w:t>
            </w:r>
          </w:p>
        </w:tc>
        <w:tc>
          <w:tcPr>
            <w:tcW w:w="30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122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1980" w:type="dxa"/>
            <w:vAlign w:val="bottom"/>
            <w:gridSpan w:val="7"/>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0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11.2%</w:t>
            </w:r>
          </w:p>
        </w:tc>
        <w:tc>
          <w:tcPr>
            <w:tcW w:w="198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revenue increased by $1.7 million, or 0.8%, from $218.3 million for the three months ended June 30, 2008, to $220.0 million for the three months ended June 30, 2009. The rate of increase in net revenue growth has slowed in recent quarters due to the economic downturn and its impact on market confidence and the availability of funding for drug development. For the three months ended June 30, 2009, we derived approximately 51.6%, 40.8% and 7.6% of our net revenue in the United States, Europe and Rest of World, respectively.</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Direct costs increased by $2.2 million, or 1.8%, from $123.0 million for the three months ended June 30, 2008, to $125.1 million for the three months ended June 30, 2009. This increase was primarily due to increased salary and related costs of $1.5 million for project related employees, increased laboratory expenses of $2.0 million and increased study supplies and materials expenses of $1.6 million. These increases were offset by a reduction in travel costs for project related employees and other direct project related expenses of $2.1 million and $0.8 million respectively. Direct costs as a percentage of net revenue increased from 56.3% for the three months ended June 30, 2008, to 56.9% for three months ended June 30, 2009.</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Selling, general and administrative expenses decreased by $6.3 million, or 9.8%, from $64.3 million for the three months ended June 30, 2008, to $58.0 million for the three months ended June 30, 2009. The decrease in selling, general and administrative expenses arises primarily from a decrease of $3.8 million in personnel related costs, comprising salary and travel cost for selling, general and administrative employees and recruitment expenditure. In addition, increased foreign exchange gains on the revaluation of monetary assets and liabilities of $1.7 million were recorded during the period, together with decreases in advertising expenditure and support and maintenance costs of $0.5 million and $0.3 million respectively. As a percentage of net revenue, selling, general and administrative expenses, decreased from 29.4% in the three months ended June 30, 2008, to 26.4% in the three months ended June 30, 2009.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auto"/>
        </w:rPr>
        <w:t>Total share based compensation expense recognized during the three months ended June 30, 2009 amounted to $1.7 million compared to $1.6 million during the three months ended June 30, 2008.</w:t>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increased by $0.9 million, or 13.3%, from $6.6 million for the three months ended June 30, 2008, to $7.5 million for the three months ended June 30, 2009. As a percentage of net revenue, depreciation and amortization increased from 3.0% of net revenues for the three months ended June 30, 2008, to 3.4% for the three months ended June 30, 2009. The increase arises primarily from our continued investment in facilities and equipment to support the Company’s growth.</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One-time net charges of $8.9 million have been recognised during the three months ended June 30, 2009. In response to the globalization of clinical studies and its attendant impact on resources in existing and emerging markets, the Company conducted a review of its existing infrastructure to better align its resources with the needs of its clients. This realignment has resulted in resource rationalisations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09" w:lineRule="exact"/>
        <w:rPr>
          <w:sz w:val="20"/>
          <w:szCs w:val="20"/>
          <w:color w:val="auto"/>
        </w:rPr>
      </w:pPr>
    </w:p>
    <w:p>
      <w:pPr>
        <w:ind w:right="100"/>
        <w:spacing w:after="0" w:line="234" w:lineRule="auto"/>
        <w:rPr>
          <w:sz w:val="20"/>
          <w:szCs w:val="20"/>
          <w:color w:val="auto"/>
        </w:rPr>
      </w:pPr>
      <w:r>
        <w:rPr>
          <w:rFonts w:ascii="Arial" w:cs="Arial" w:eastAsia="Arial" w:hAnsi="Arial"/>
          <w:sz w:val="14"/>
          <w:szCs w:val="14"/>
          <w:color w:val="auto"/>
        </w:rPr>
        <w:t>As a result of the recognition of these one-time net charges income from operations decreased by $4.0 million, or 16.5%, from $24.4 million for the three months ended June 30, 2008, to $20.4 million for the three months ended June 30, 2009. As a percentage of net revenue, income from operations decreased from 11.2% for the three months ended June 30, 2008, to 9.3% of net revenues for the three months ended June 30, 2009. Excluding the impact of one-time net charges recognized during the period, income from operations as a percentage of net revenue increased from 11.2% for the three months ended June 30, 2008, to 13.3% for the three months ended June 30, 2009.</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three months ended June 30, 2009, was $0.9 million, an increase of $0.4 million on net interest expense of $0.5 million for the three months ended June 30, 2008. Interest expense for the period decreased by $0.1 million from $1.1 million for the three months ended 30 June 2008 to $1.0 million for the three months ended June 30, 2009. Interest income for the period decreased from $0.6 million for the three months ended June 30, 2008, to $0.1 million for the three months ended June 30, 2009.</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Provision for income taxes has decreased from $4.9 million for the three months ended June 30, 2008, to $1.0 million for the three months ended June 30, 2009. The Company’s effective tax rate for the three months ended June 30, 2009, was 5.0% compared with 20.4% for the three months ended June 30, 2008. The decrease in the effective tax rate during the period arose principally from corporation tax refunds arising from research and development tax credits received in certain jurisdictions and the tax effect of restructuring costs recognized.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Six Months Ended June 30, 2009 compared with Six Months Ended June 30, 2008</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40" w:type="dxa"/>
            <w:vAlign w:val="bottom"/>
            <w:gridSpan w:val="4"/>
            <w:vMerge w:val="restart"/>
          </w:tcPr>
          <w:p>
            <w:pPr>
              <w:ind w:left="240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1"/>
              </w:rPr>
              <w:t>2008 to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gridSpan w:val="7"/>
          </w:tcPr>
          <w:p>
            <w:pPr>
              <w:jc w:val="right"/>
              <w:ind w:right="740"/>
              <w:spacing w:after="0" w:line="129" w:lineRule="exact"/>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1"/>
                <w:szCs w:val="11"/>
                <w:color w:val="auto"/>
              </w:rPr>
            </w:pPr>
          </w:p>
        </w:tc>
        <w:tc>
          <w:tcPr>
            <w:tcW w:w="13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7"/>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Percentage of Net</w:t>
            </w:r>
          </w:p>
        </w:tc>
        <w:tc>
          <w:tcPr>
            <w:tcW w:w="740" w:type="dxa"/>
            <w:vAlign w:val="bottom"/>
            <w:vMerge w:val="continue"/>
          </w:tcPr>
          <w:p>
            <w:pPr>
              <w:spacing w:after="0"/>
              <w:rPr>
                <w:sz w:val="11"/>
                <w:szCs w:val="11"/>
                <w:color w:val="auto"/>
              </w:rPr>
            </w:pPr>
          </w:p>
        </w:tc>
        <w:tc>
          <w:tcPr>
            <w:tcW w:w="1980" w:type="dxa"/>
            <w:vAlign w:val="bottom"/>
            <w:gridSpan w:val="7"/>
            <w:vMerge w:val="restart"/>
          </w:tcPr>
          <w:p>
            <w:pPr>
              <w:jc w:val="center"/>
              <w:ind w:left="368"/>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Revenue</w:t>
            </w:r>
          </w:p>
        </w:tc>
        <w:tc>
          <w:tcPr>
            <w:tcW w:w="880" w:type="dxa"/>
            <w:vAlign w:val="bottom"/>
            <w:gridSpan w:val="3"/>
          </w:tcPr>
          <w:p>
            <w:pPr>
              <w:spacing w:after="0"/>
              <w:rPr>
                <w:sz w:val="11"/>
                <w:szCs w:val="11"/>
                <w:color w:val="auto"/>
              </w:rPr>
            </w:pPr>
          </w:p>
        </w:tc>
        <w:tc>
          <w:tcPr>
            <w:tcW w:w="1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3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56.3%</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0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27.1%</w:t>
            </w:r>
          </w:p>
        </w:tc>
        <w:tc>
          <w:tcPr>
            <w:tcW w:w="1960" w:type="dxa"/>
            <w:vAlign w:val="bottom"/>
            <w:gridSpan w:val="8"/>
          </w:tcPr>
          <w:p>
            <w:pPr>
              <w:jc w:val="right"/>
              <w:ind w:right="620"/>
              <w:spacing w:after="0" w:line="149" w:lineRule="exact"/>
              <w:rPr>
                <w:sz w:val="20"/>
                <w:szCs w:val="20"/>
                <w:color w:val="auto"/>
              </w:rPr>
            </w:pPr>
            <w:r>
              <w:rPr>
                <w:rFonts w:ascii="Arial" w:cs="Arial" w:eastAsia="Arial" w:hAnsi="Arial"/>
                <w:sz w:val="14"/>
                <w:szCs w:val="14"/>
                <w:color w:val="auto"/>
              </w:rPr>
              <w:t>29.7%</w:t>
            </w:r>
          </w:p>
        </w:tc>
        <w:tc>
          <w:tcPr>
            <w:tcW w:w="198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3.0%</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One-time net charges</w:t>
            </w:r>
          </w:p>
        </w:tc>
        <w:tc>
          <w:tcPr>
            <w:tcW w:w="30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2.0%</w:t>
            </w:r>
          </w:p>
        </w:tc>
        <w:tc>
          <w:tcPr>
            <w:tcW w:w="122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1980" w:type="dxa"/>
            <w:vAlign w:val="bottom"/>
            <w:gridSpan w:val="7"/>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960" w:type="dxa"/>
            <w:vAlign w:val="bottom"/>
            <w:gridSpan w:val="8"/>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10.9%</w:t>
            </w:r>
          </w:p>
        </w:tc>
        <w:tc>
          <w:tcPr>
            <w:tcW w:w="198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auto"/>
        </w:rPr>
        <w:t>Net revenue increased by $20.2 million, or 4.8%, from $419.6 million for the six months ended June 30, 2008, to $439.8 million for the six months ended June 30, 2009. The rate of increase in net revenue growth has slowed in recent quarters due to the economic downturn and its impact on market confidence and the availability of funding for drug development. For the six months ended June 30, 2009, we derived approximately 49.3%, 42.9% and 7.8% of our net revenue in the United States, Europe and Rest of World, respectively.</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Direct costs increased by $13.1 million, or 5.6%, from $236.2 million for the six months ended June 30, 2008, to $249.3 million for the six months ended June 30, 2009. This increase was primarily due to increased salary and related costs of $10.8 million for project related employees, increased laboratory expenses of $2.5 million and increased study supplies and materials expenses of $2.0 million. These increases were offset by a reduction in travel costs for project related employees of $2.5 million. Direct costs as a percentage of net revenue increased from 56.3% for the six months ended June 30, 2008, to 56.7% for six months ended June 30, 2009.</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Selling, general and administrative expenses decreased by $5.6 million, or 4.5%, from $124.8 million for the six months ended June 30, 2008, to $119.3 million for the six months ended June 30, 2009. The decrease in selling, general and administrative expenses arises principally from decreases of $5.7 million in personnel related costs, comprising salary and travel cost for selling, general and administrative employees and recruitment expenditure. As a percentage of net revenue, selling, general and administrative expenses, decreased from 29.7% in the six months ended June 30, 2008, to 27.1% in the six months ended June 30, 2009.</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Total share based compensation expense recognized during the six months ended June 30, 2009 amounted to $3.3 million compared to $2.8 million during the six months ended June 30, 2008.</w:t>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increased by $2.3 million, or 17.9%, from $12.7 million for the six months ended June 30, 2008, to $15.0 million for the six months ended June 30, 2009. As a percentage of net revenue, depreciation and amortization increased from 3.0% of net revenues for the six months ended June 30, 2008, to 3.4% for the six months ended June 30, 2009. The increase arises primarily from our continued investment in facilities and equipment to support the Company’s growth.</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One-time net charges of $8.9 million have been recognised during the six months ended June 30, 2009. In response to the globalization of clinical studies and its attendant impact on resources in existing and emerging markets, the Company conducted a review of its existing infrastructure to better align its resources with the needs of its clients. This realignment has resulted in resource rationalisations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jc w:val="both"/>
        <w:spacing w:after="0" w:line="234" w:lineRule="auto"/>
        <w:rPr>
          <w:sz w:val="20"/>
          <w:szCs w:val="20"/>
          <w:color w:val="auto"/>
        </w:rPr>
      </w:pPr>
      <w:r>
        <w:rPr>
          <w:rFonts w:ascii="Arial" w:cs="Arial" w:eastAsia="Arial" w:hAnsi="Arial"/>
          <w:sz w:val="14"/>
          <w:szCs w:val="14"/>
          <w:color w:val="auto"/>
        </w:rPr>
        <w:t>Including the impact of the recognition of these one-time net charges, income from operations increased by $1.4 million, or 3.0%, from $45.9 million for the six months ended June 30, 2008, to $47.3 million for the six months ended June 30, 2009. As a percentage of net revenue, income from operations decreased from 10.9% for the six months ended June 30, 2008, to 10.8% of net revenues for the six months ended June 30, 2009. Excluding the impact of one-time net charges recognized during the period, income from operations as a percentage of net revenue increased from 10.9% for the six months ended June 30, 2008, to 12.8% for the six months ended June 30, 2009.</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six months ended June 30, 2009, was $1.6 million, an increase of $1.1 million on net interest expense of $0.5 million from the six months ended June 30, 2008. Interest expense for the period increased by $0.1 million from $2.1 million for the six months ended June 30, 2008, to $2.2 million for the six months ended June 30, 2009. Interest income for the period decreased from $1.5 million for the six months ended June 30, 2008, to $0.6 million for the six months ended June 30, 2009.</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Provision for income taxes has decreased from $9.1 million for the six months ended June 30, 2008, to $6.2 million for the six months ended June 30, 2009. The Company’s effective tax rate for the six months ended June 30, 2009, was 13.6% compared with 20.1% for the six months ended June 30, 2008. The decrease in the effective tax rate during the period arose principally from corporation tax refunds arising from research and development tax credits received in certain jurisdictions and the tax effect of restructuring costs recognized.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net borrowings of $64.1 million. Our principal operating cash needs are payment of salaries, office rents, travel expenditures and payments to investigators. The aggregate amount of employee compensation, excluding stock compensation expense, paid by us and our subsidiaries for the six months ended June 30, 2009 and June 30, 2008, amounted to $271.2 million and $259.9 million respectively. Investing activities primarily reflect capital expenditures for facilities, information systems enhancements, the purchase of short-term investments and acquisitions.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of June 30, 2009, our working capital amounted to $197.5 million, compared to $186.0 million at December 31, 2008.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and the timing of cash receipts. The number of days revenue outstanding was 49 days at June 30, 2009 and 70 days at December 31, 2008.</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cash provided by operating activities was $128.1 million for the six months ended June 30, 2009, compared with cash provided by operating activities of $28.4 million for the six months ended June 30, 2008. The increase in cash provided from operating activities arises primarily from a reduction in the number of days revenue outstanding.</w:t>
      </w:r>
    </w:p>
    <w:p>
      <w:pPr>
        <w:spacing w:after="0" w:line="20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Net cash used in investing activities was $91.5 million for the six months ended June 30, 2009, compared to $48.4 million for the six months ended June 30, 2008. Net cash used in the six months ended June 30, 2009 arises principally from capital expenditure, payments for purchase of subsidiary undertakings, and purchase of short term investments, offset by the sale of short term investments. Capital expenditure for the six months ended June 30, 2009, amounted to $16.4 million, and comprised mainly of expenditure on global infrastructure and information technology systems to support the Company’s growth. Cash paid on acquisitions during the six months ended June 30, 2009, amounted to $24.1 million, being cash paid for the acquisition of the remaining 30% of the common stock of Beacon of $17.8 million, $5.9 million relating to the acquisition of Prevalere Lifesciences and $0.4 million relating to the acquisition of the assets of the former Qualia Clinical Service. $16.5 million was realized during the period from the sale of short term investments. An additional $67.6 million of surplus cash balances were invested in short term investments during the period.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jc w:val="both"/>
        <w:ind w:right="100"/>
        <w:spacing w:after="0" w:line="238" w:lineRule="auto"/>
        <w:rPr>
          <w:sz w:val="20"/>
          <w:szCs w:val="20"/>
          <w:color w:val="auto"/>
        </w:rPr>
      </w:pPr>
      <w:r>
        <w:rPr>
          <w:rFonts w:ascii="Arial" w:cs="Arial" w:eastAsia="Arial" w:hAnsi="Arial"/>
          <w:sz w:val="14"/>
          <w:szCs w:val="14"/>
          <w:color w:val="auto"/>
        </w:rPr>
        <w:t>Net cash used in financing activities during the six months ended June 30, 2009, amounted to $42.7 million compared with cash provided by financing activities of $14.7 million for the six months ended June 30, 2008. During the six months ended June 30, 2009, the Company repaid borrowings of $60.7 million. This was offset by $17.4 million in additional borrowings drawn down during the period.</w:t>
      </w:r>
    </w:p>
    <w:p>
      <w:pPr>
        <w:spacing w:after="0" w:line="210" w:lineRule="exact"/>
        <w:rPr>
          <w:sz w:val="20"/>
          <w:szCs w:val="20"/>
          <w:color w:val="auto"/>
        </w:rPr>
      </w:pPr>
    </w:p>
    <w:p>
      <w:pPr>
        <w:jc w:val="both"/>
        <w:ind w:right="120"/>
        <w:spacing w:after="0" w:line="253" w:lineRule="auto"/>
        <w:rPr>
          <w:sz w:val="20"/>
          <w:szCs w:val="20"/>
          <w:color w:val="auto"/>
        </w:rPr>
      </w:pPr>
      <w:r>
        <w:rPr>
          <w:rFonts w:ascii="Arial" w:cs="Arial" w:eastAsia="Arial" w:hAnsi="Arial"/>
          <w:sz w:val="14"/>
          <w:szCs w:val="14"/>
          <w:color w:val="auto"/>
        </w:rPr>
        <w:t>As a result of these cash flows, cash and cash equivalents decreased by $5.0 million for the six months ended June 30, 2009, compared to a decrease of $5.2 million for the six months ended June 30, 2008.</w:t>
      </w:r>
    </w:p>
    <w:p>
      <w:pPr>
        <w:spacing w:after="0" w:line="201" w:lineRule="exact"/>
        <w:rPr>
          <w:sz w:val="20"/>
          <w:szCs w:val="20"/>
          <w:color w:val="auto"/>
        </w:rPr>
      </w:pPr>
    </w:p>
    <w:p>
      <w:pPr>
        <w:jc w:val="both"/>
        <w:ind w:right="180"/>
        <w:spacing w:after="0" w:line="238" w:lineRule="auto"/>
        <w:rPr>
          <w:sz w:val="20"/>
          <w:szCs w:val="20"/>
          <w:color w:val="auto"/>
        </w:rPr>
      </w:pPr>
      <w:r>
        <w:rPr>
          <w:rFonts w:ascii="Arial" w:cs="Arial" w:eastAsia="Arial" w:hAnsi="Arial"/>
          <w:sz w:val="14"/>
          <w:szCs w:val="14"/>
          <w:color w:val="auto"/>
        </w:rPr>
        <w:t>Net cash at June 30, 2009, amounted to $83.2 million, comprising cash and cash equivalents of $53.4 million, short term investments of $93.9 million, less bank credit lines and loan facilities of $64.1 million. Net debt at December 31, 2008, amounted to $4.3 million, comprising cash and cash equivalents of $58.4 million, short term investments of $42.7 million, less bank credit lines and facilities of $105.4 million.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($49.2 million) with The Governor and Company of the Bank of Ireland. The facility bears interest at an annual rate equal to the EURIBOR plus a margin and is secured by certain composite guarantees, indemnities and pledges in favor of the bank. At June 30, 2009, this facility was fully drawn with €30.6 million ($43.0 million) outstanding under the repayment terms of the facility.</w:t>
      </w:r>
    </w:p>
    <w:p>
      <w:pPr>
        <w:spacing w:after="0" w:line="210"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On January 2, 2009, an additional four year committed credit facility was negotiated with The Governor and Company of the Bank of Ireland for $25 million. The facility bears interest at LIBOR plus a margin and is secured by certain composite guarantees, indemnities and pledges in favour of the bank. As at June 30, 2009, $25 million was available to be drawn under this facility.</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On December 22, 2008, committed credit facilities were negotiated with Allied Irish Bank plc for $75 million. The facilities comprise a one year Euro facility of approximately €20 million ($28.1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As at June 30, 2009, $21.1 million (€15.0 million) was drawn under these facilities.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favour of the bank. As at June 30, 2009, no amounts were drawn under these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margin payable on the above mentioned facilities is 2.18 per cent.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On April 28, 2009, the Company acquired the assets of the former Qualia Clinical Services, Inc., a 33,000 square foot Phase 1 facility, located in Omaha, Nebraska, for $0.3 million.</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further payments have been made in respect of this acquisition as the performance milestones were not achieved.</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On April 30, 2009, a further $5.0 million was paid in respect of the milestones for the year ended December 31, 2008. No amounts have been accrued in respect of the milestones for the year ended December 31, 2009.</w:t>
      </w: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607" w:right="139" w:bottom="1440" w:gutter="0" w:footer="0" w:header="0"/>
        </w:sectPr>
      </w:pPr>
    </w:p>
    <w:bookmarkStart w:id="22" w:name="page23"/>
    <w:bookmarkEnd w:id="22"/>
    <w:p>
      <w:pPr>
        <w:spacing w:after="0" w:line="231"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No amounts have been accrued in respect of the potential additional consideration.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3" w:name="page24"/>
    <w:bookmarkEnd w:id="23"/>
    <w:p>
      <w:pPr>
        <w:jc w:val="center"/>
        <w:ind w:right="-499"/>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ICON plc</w:t>
      </w:r>
    </w:p>
    <w:p>
      <w:pPr>
        <w:spacing w:after="0" w:line="275" w:lineRule="exact"/>
        <w:rPr>
          <w:sz w:val="20"/>
          <w:szCs w:val="20"/>
          <w:color w:val="auto"/>
        </w:rPr>
      </w:pPr>
    </w:p>
    <w:p>
      <w:pPr>
        <w:spacing w:after="0"/>
        <w:tabs>
          <w:tab w:leader="none" w:pos="5700" w:val="left"/>
          <w:tab w:leader="none" w:pos="6060" w:val="left"/>
        </w:tabs>
        <w:rPr>
          <w:sz w:val="20"/>
          <w:szCs w:val="20"/>
          <w:color w:val="auto"/>
        </w:rPr>
      </w:pPr>
      <w:r>
        <w:rPr>
          <w:rFonts w:ascii="Arial" w:cs="Arial" w:eastAsia="Arial" w:hAnsi="Arial"/>
          <w:sz w:val="14"/>
          <w:szCs w:val="14"/>
          <w:color w:val="auto"/>
        </w:rPr>
        <w:t>Date: July 20, 2009</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55245</wp:posOffset>
            </wp:positionV>
            <wp:extent cx="25298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43"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Ciaran Murray</w:t>
      </w:r>
    </w:p>
    <w:p>
      <w:pPr>
        <w:ind w:left="6080"/>
        <w:spacing w:after="0"/>
        <w:rPr>
          <w:sz w:val="20"/>
          <w:szCs w:val="20"/>
          <w:color w:val="auto"/>
        </w:rPr>
      </w:pP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23</w:t>
      </w:r>
    </w:p>
    <w:sectPr>
      <w:pgSz w:w="11900" w:h="16838" w:orient="portrait"/>
      <w:cols w:equalWidth="0" w:num="1">
        <w:col w:w="10920"/>
      </w:cols>
      <w:pgMar w:left="240" w:top="60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2019-12-10T17:00:43Z</dcterms:created>
  <dcterms:modified xsi:type="dcterms:W3CDTF">2019-12-10T17:00:43Z</dcterms:modified>
</cp:coreProperties>
</file>