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ICON plc</w:t>
      </w: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This communication is filed pursuant to Rule 425 under the United States Securities Act of 1933</w:t>
      </w: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Subject Company: PRA Health Sciences, Inc.</w:t>
      </w: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(Commission File No. 001-36732)</w:t>
      </w: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Date: February 24, 2021</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ICON plc posted the following joint letter from CEOs on its website on February 24, 2021.</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Joint letter from CEOs</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ICON and PRA Health Sciences are coming together</w:t>
      </w:r>
    </w:p>
    <w:p>
      <w:pPr>
        <w:spacing w:after="0" w:line="233" w:lineRule="exact"/>
        <w:rPr>
          <w:sz w:val="24"/>
          <w:szCs w:val="24"/>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ICON and PRA Health Sciences are coming together, after closing, to create a world leading healthcare intelligence and clinical CRO, with a shared focus on high quality and efficient clinical trial execution from Phase 1 to post-approval studies. Post-close, the consolidation will bring together two high-quality organizations with a strong history of robust growth and performance, ready to build on this strength using the outstanding talent of both companies to deliver enhanced value to patients, customers, employees and shareholders.</w:t>
      </w:r>
    </w:p>
    <w:p>
      <w:pPr>
        <w:spacing w:after="0" w:line="204"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Biopharma and medical device customers of all sizes will benefit from our broader service and geographic offerings, deeper therapeutic expertise, expansive healthcare technology innovation, and functional talent and capabilities.</w:t>
      </w:r>
    </w:p>
    <w:p>
      <w:pPr>
        <w:spacing w:after="0" w:line="185" w:lineRule="exact"/>
        <w:rPr>
          <w:sz w:val="24"/>
          <w:szCs w:val="24"/>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Both ICON and PRA have long championed that the traditional clinical development model needs to change, to help reduce the time and cost of clinical development. Through a combination of mobile &amp; connected health platforms, a global site network, home health services and wearables expertise, after closing, the combined company will deliver differentiated de-centralised and hybrid trial solutions. By reducing the time and cost of clinical development, we will enable a world in which more trials for development of more drugs to meet unmet needs can happen, particularly as medical science advances towards more personalised medical treatments.</w:t>
      </w:r>
    </w:p>
    <w:p>
      <w:pPr>
        <w:spacing w:after="0" w:line="208" w:lineRule="exact"/>
        <w:rPr>
          <w:sz w:val="24"/>
          <w:szCs w:val="24"/>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ICON and PRA share a common culture, focused on operational excellence, technology and innovation, people development and customer delivery. After closing, as a combined company, with expanded capabilities and expertise, we will continue to expect to offer employees exciting roles and significant career development opportunities within and across the key service areas and geographies in the combined company.</w:t>
      </w:r>
    </w:p>
    <w:p>
      <w:pPr>
        <w:spacing w:after="0" w:line="207" w:lineRule="exact"/>
        <w:rPr>
          <w:sz w:val="24"/>
          <w:szCs w:val="24"/>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While today is an exciting day for both organisations and we look forward to bringing the strengths of the combined company to customers post-close, we are committed to remaining fully focused on achieving project delivery goals for all customer studies, both now and in the future. Each company will continue to operate separately and independently until the transaction is complete, which we anticipate will be in quarter three 2021, subject to shareholder and regulatory approvals and other customary conditions.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ind w:right="800"/>
        <w:spacing w:after="0" w:line="259" w:lineRule="auto"/>
        <w:rPr>
          <w:sz w:val="20"/>
          <w:szCs w:val="20"/>
          <w:color w:val="auto"/>
        </w:rPr>
      </w:pPr>
      <w:r>
        <w:rPr>
          <w:rFonts w:ascii="Times New Roman" w:cs="Times New Roman" w:eastAsia="Times New Roman" w:hAnsi="Times New Roman"/>
          <w:sz w:val="22"/>
          <w:szCs w:val="22"/>
          <w:color w:val="auto"/>
        </w:rPr>
        <w:t>We look forward to creating a new paradigm for bringing clinical research to patients, creating expanded capabilities for customers, growth opportunities for employees and value for shareholders</w:t>
      </w:r>
    </w:p>
    <w:p>
      <w:pPr>
        <w:sectPr>
          <w:pgSz w:w="11900" w:h="16838" w:orient="portrait"/>
          <w:cols w:equalWidth="0" w:num="1">
            <w:col w:w="11200"/>
          </w:cols>
          <w:pgMar w:left="320" w:top="111" w:right="379"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Stephen Cutler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4500"/>
        <w:spacing w:after="0"/>
        <w:rPr>
          <w:sz w:val="20"/>
          <w:szCs w:val="20"/>
          <w:color w:val="auto"/>
        </w:rPr>
      </w:pPr>
      <w:r>
        <w:rPr>
          <w:rFonts w:ascii="Times New Roman" w:cs="Times New Roman" w:eastAsia="Times New Roman" w:hAnsi="Times New Roman"/>
          <w:sz w:val="18"/>
          <w:szCs w:val="18"/>
          <w:color w:val="auto"/>
        </w:rPr>
        <w:t>Colin Shannon</w:t>
      </w:r>
    </w:p>
    <w:p>
      <w:pPr>
        <w:spacing w:after="0" w:line="200" w:lineRule="exact"/>
        <w:rPr>
          <w:sz w:val="20"/>
          <w:szCs w:val="20"/>
          <w:color w:val="auto"/>
        </w:rPr>
      </w:pPr>
    </w:p>
    <w:p>
      <w:pPr>
        <w:sectPr>
          <w:pgSz w:w="11900" w:h="16838" w:orient="portrait"/>
          <w:cols w:equalWidth="0" w:num="2">
            <w:col w:w="4900" w:space="720"/>
            <w:col w:w="5580"/>
          </w:cols>
          <w:pgMar w:left="320" w:top="111" w:right="3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ICON plc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200" w:lineRule="exact"/>
        <w:rPr>
          <w:sz w:val="20"/>
          <w:szCs w:val="20"/>
          <w:color w:val="auto"/>
        </w:rPr>
      </w:pPr>
    </w:p>
    <w:p>
      <w:pPr>
        <w:sectPr>
          <w:pgSz w:w="11900" w:h="16838" w:orient="portrait"/>
          <w:cols w:equalWidth="0" w:num="2">
            <w:col w:w="4900" w:space="720"/>
            <w:col w:w="5580"/>
          </w:cols>
          <w:pgMar w:left="320" w:top="111" w:right="379" w:bottom="1440" w:gutter="0" w:footer="0" w:header="0"/>
          <w:type w:val="continuous"/>
        </w:sectPr>
      </w:pPr>
    </w:p>
    <w:p>
      <w:pPr>
        <w:spacing w:after="0" w:line="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PRA Health Sciences</w:t>
      </w:r>
    </w:p>
    <w:p>
      <w:pPr>
        <w:sectPr>
          <w:pgSz w:w="11900" w:h="16838" w:orient="portrait"/>
          <w:cols w:equalWidth="0" w:num="1">
            <w:col w:w="11200"/>
          </w:cols>
          <w:pgMar w:left="320" w:top="111" w:right="379" w:bottom="1440" w:gutter="0" w:footer="0" w:header="0"/>
          <w:type w:val="continuous"/>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3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22"/>
          <w:szCs w:val="22"/>
          <w:b w:val="1"/>
          <w:bCs w:val="1"/>
          <w:color w:val="auto"/>
        </w:rPr>
        <w:t>No Offer or Solicitation</w:t>
      </w:r>
    </w:p>
    <w:p>
      <w:pPr>
        <w:spacing w:after="0" w:line="23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Information for Investors and Stockholders</w:t>
      </w:r>
    </w:p>
    <w:p>
      <w:pPr>
        <w:spacing w:after="0" w:line="23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1"/>
          <w:szCs w:val="21"/>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1"/>
          <w:szCs w:val="21"/>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9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term “ICON” may refer to ICON public limited company, one or more of its consolidated subsidiaries, or to all of them taken as a whole. The term “PRA” may refer to PRA Health Sciences, Inc.,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2021-02-24T16:41:21Z</dcterms:created>
  <dcterms:modified xsi:type="dcterms:W3CDTF">2021-02-24T16:41:21Z</dcterms:modified>
</cp:coreProperties>
</file>