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16"/>
          <w:szCs w:val="16"/>
          <w:b w:val="1"/>
          <w:bCs w:val="1"/>
          <w:color w:val="auto"/>
        </w:rPr>
        <w:t>FORM 6-K</w:t>
      </w:r>
    </w:p>
    <w:p>
      <w:pPr>
        <w:spacing w:after="0" w:line="25" w:lineRule="exact"/>
        <w:rPr>
          <w:sz w:val="24"/>
          <w:szCs w:val="24"/>
          <w:color w:val="auto"/>
        </w:rPr>
      </w:pPr>
    </w:p>
    <w:p>
      <w:pPr>
        <w:jc w:val="center"/>
        <w:ind w:right="-77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4"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Washington, D.C. 20549</w:t>
      </w:r>
    </w:p>
    <w:p>
      <w:pPr>
        <w:spacing w:after="0" w:line="174" w:lineRule="exact"/>
        <w:rPr>
          <w:sz w:val="24"/>
          <w:szCs w:val="24"/>
          <w:color w:val="auto"/>
        </w:rPr>
      </w:pPr>
    </w:p>
    <w:p>
      <w:pPr>
        <w:jc w:val="center"/>
        <w:ind w:right="-77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779"/>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383"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For</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the month ended April, 2020</w:t>
      </w:r>
    </w:p>
    <w:p>
      <w:pPr>
        <w:spacing w:after="0" w:line="174" w:lineRule="exact"/>
        <w:rPr>
          <w:sz w:val="24"/>
          <w:szCs w:val="24"/>
          <w:color w:val="auto"/>
        </w:rPr>
      </w:pPr>
    </w:p>
    <w:p>
      <w:pPr>
        <w:jc w:val="center"/>
        <w:ind w:right="-77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(Registrant's name)</w:t>
      </w:r>
    </w:p>
    <w:p>
      <w:pPr>
        <w:spacing w:after="0" w:line="383"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333-08704</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(Commission file number)</w:t>
      </w:r>
    </w:p>
    <w:p>
      <w:pPr>
        <w:spacing w:after="0" w:line="383"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(Address of principal executive offices)</w:t>
      </w:r>
    </w:p>
    <w:p>
      <w:pPr>
        <w:spacing w:after="0" w:line="383"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Brendan Brennan, CFO</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Brendan.Brennan@iconplc.com</w:t>
      </w:r>
    </w:p>
    <w:p>
      <w:pPr>
        <w:spacing w:after="0" w:line="5" w:lineRule="exact"/>
        <w:rPr>
          <w:sz w:val="24"/>
          <w:szCs w:val="24"/>
          <w:color w:val="auto"/>
        </w:rPr>
      </w:pPr>
    </w:p>
    <w:p>
      <w:pPr>
        <w:jc w:val="center"/>
        <w:ind w:right="-779"/>
        <w:spacing w:after="0"/>
        <w:rPr>
          <w:sz w:val="20"/>
          <w:szCs w:val="20"/>
          <w:color w:val="auto"/>
        </w:rPr>
      </w:pPr>
      <w:r>
        <w:rPr>
          <w:rFonts w:ascii="Arial" w:cs="Arial" w:eastAsia="Arial" w:hAnsi="Arial"/>
          <w:sz w:val="16"/>
          <w:szCs w:val="16"/>
          <w:color w:val="auto"/>
        </w:rPr>
        <w:t>+353-1-291-2000</w:t>
      </w:r>
    </w:p>
    <w:p>
      <w:pPr>
        <w:spacing w:after="0" w:line="5" w:lineRule="exact"/>
        <w:rPr>
          <w:sz w:val="24"/>
          <w:szCs w:val="24"/>
          <w:color w:val="auto"/>
        </w:rPr>
      </w:pPr>
    </w:p>
    <w:p>
      <w:pPr>
        <w:jc w:val="center"/>
        <w:ind w:right="-83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66" w:lineRule="exact"/>
        <w:rPr>
          <w:sz w:val="24"/>
          <w:szCs w:val="24"/>
          <w:color w:val="auto"/>
        </w:rPr>
      </w:pPr>
    </w:p>
    <w:p>
      <w:pPr>
        <w:ind w:left="438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37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59" w:lineRule="exact"/>
        <w:rPr>
          <w:sz w:val="24"/>
          <w:szCs w:val="24"/>
          <w:color w:val="auto"/>
        </w:rPr>
      </w:pPr>
    </w:p>
    <w:p>
      <w:pPr>
        <w:ind w:left="438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59" w:lineRule="exact"/>
        <w:rPr>
          <w:sz w:val="24"/>
          <w:szCs w:val="24"/>
          <w:color w:val="auto"/>
        </w:rPr>
      </w:pPr>
    </w:p>
    <w:p>
      <w:pPr>
        <w:ind w:left="438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8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33" w:lineRule="exact"/>
        <w:rPr>
          <w:sz w:val="24"/>
          <w:szCs w:val="24"/>
          <w:color w:val="auto"/>
        </w:rPr>
      </w:pPr>
    </w:p>
    <w:p>
      <w:pPr>
        <w:ind w:left="438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ectPr>
          <w:pgSz w:w="11900" w:h="16838" w:orient="portrait"/>
          <w:cols w:equalWidth="0" w:num="1">
            <w:col w:w="10380"/>
          </w:cols>
          <w:pgMar w:left="360" w:top="661" w:right="11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Rider A</w:t>
      </w:r>
    </w:p>
    <w:p>
      <w:pPr>
        <w:spacing w:after="0" w:line="3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1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2020 we had approximately 15,100 employees, in 98 locations in 40 countries. During the three months ended March 31, 2020, we derived approximately 31.5%, 58.4% and 10.1% of our revenue in the United States, Europe and Rest of World respectively.</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 The total expected consideration for the acquisition of MedPass is $47.0 million.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of MeDiNova NCI</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9, 2020 ICON exercised its option to call the outstanding shares in the noncontrolling interest to take 100% ownership of MeDiNova. Effective from this date, the noncontrolling interest was derecognized and a liability is recognized, representing the assessment of the redemption value of the noncontrolling interest to be settled during the period ended June 30, 2020.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 During the three months ended March 31, 2020, 1,235,218 ordinary shares were redeemed by the Company under this buyback program for a total consideration of $175.0 million.</w:t>
      </w:r>
    </w:p>
    <w:p>
      <w:pPr>
        <w:spacing w:after="0" w:line="17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Assessment of Covid-19 impact on the business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the period since year-end, as a result of the global spread of COVID-19, the Company has begun to experience a negative impact on our operations. At this point in time, there continues to be significant uncertainty relating to the potential effect of COVID-19 on our business. We have experienced restrictions on our ability to ensure laboratory samples are collected and analyzed on time, our ability to monitor our clinical trials, on the ability of patients or other service providers to travel, and our ability to travel, as a result of the outbreak. The impact has resulted in a requirement to increase investment in impact prevention and increased operating costs.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3" w:right="339" w:bottom="1440" w:gutter="0" w:footer="0" w:header="0"/>
        </w:sectPr>
      </w:pPr>
    </w:p>
    <w:bookmarkStart w:id="3" w:name="page4"/>
    <w:bookmarkEnd w:id="3"/>
    <w:p>
      <w:pPr>
        <w:jc w:val="both"/>
        <w:ind w:firstLine="648"/>
        <w:spacing w:after="0" w:line="260" w:lineRule="auto"/>
        <w:rPr>
          <w:sz w:val="20"/>
          <w:szCs w:val="20"/>
          <w:color w:val="auto"/>
        </w:rPr>
      </w:pPr>
      <w:r>
        <w:rPr>
          <w:rFonts w:ascii="Arial" w:cs="Arial" w:eastAsia="Arial" w:hAnsi="Arial"/>
          <w:sz w:val="16"/>
          <w:szCs w:val="16"/>
          <w:color w:val="auto"/>
        </w:rPr>
        <w:t>In light of recent developments relating to the COVID-19 global pandemic, the Company is supplementing the risk factors previously disclosed in its Form 20-F filed on February 27, 2020 to include the following risk factor.</w:t>
      </w:r>
    </w:p>
    <w:p>
      <w:pPr>
        <w:spacing w:after="0" w:line="1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COVID-19 has, and may continue to, adversely affected our business performance. The Company has begun to experience a negative impact on our operations as a result of the global spread of COVID-19, including restrictions on our ability to ensure laboratory samples are collected and analyzed on time, our ability to monitor our clinical trials, on the ability of patients or other service providers to travel, and our ability to travel. We have also experienced an increase in operating costs and investments in impact prevention.</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COVID-19 outbreak continues to rapidly evolve. The extent to which the outbreak may impact our business will depend on future developments, which are highly uncertain and cannot be predicted with confidence, such as the ultimate geographic spread of COVID-19, the duration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information systems and those of 3rd parties which we utilize may face increased cybersecurity risks due from the COVID-19 pandemic, including from the significant number of employees that are working remotely or otherwise impacted by stay-at-home orders. Additional remote access points provide new potential vulnerabilities to cybercriminals. Employees of ICON &amp; 3rd parties may be more susceptible to social engineering efforts, and to phishing attempts which can disguise malware as a legitimate effort to circulate important information relating to COVID-19.</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Please also refer to the complete Form 20-F filed on February 27, 2020 for additional risks and uncertainties facing the Company that may have adversely affect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standards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(ASC 326) was effective, and adopted by the group, from January 1, 2020. ASC 326 introduces an expected loss methodology that is referred to as the current expected credit loss (CECL) methodology. The new standard requires loss provisions to reflect an entity’s current estimate of all expected credit losses. The assessment must include consideration of both past events and current conditions. The methodology requires the use of forecast information to provide more timely and accurate credit loss estimates. The measurement of expected credit losses under the CECL methodology is applicable to financial assets measured at amortized cost, including loan receivables and held-to-maturity debt securities. It also applies to off-balance sheet credit exposures not accounted as insurance (loan commitments, standby letters of credit, financial guarantees, and other similar instruments) and net investments in leases recognized by a lessor in accordance with ASC 842 on leases. The Group adopted ASC 326 using the modified retrospective method. Under this transition method, the new standard is applied from January 1, 2020 without restatement of comparative period amounts. There was no impact of adopting ASC 326 on retained earnings at January 1, 2020.</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 xml:space="preserve">ICON adopted ASU No. 2018-15 </w:t>
      </w:r>
      <w:r>
        <w:rPr>
          <w:rFonts w:ascii="Arial" w:cs="Arial" w:eastAsia="Arial" w:hAnsi="Arial"/>
          <w:sz w:val="16"/>
          <w:szCs w:val="16"/>
          <w:i w:val="1"/>
          <w:iCs w:val="1"/>
          <w:color w:val="auto"/>
        </w:rPr>
        <w:t>'Intangibles – Goodwill and Other – Internal-Use Software (Subtopic 350-40)</w:t>
      </w:r>
      <w:r>
        <w:rPr>
          <w:rFonts w:ascii="Arial" w:cs="Arial" w:eastAsia="Arial" w:hAnsi="Arial"/>
          <w:sz w:val="16"/>
          <w:szCs w:val="16"/>
          <w:color w:val="auto"/>
        </w:rPr>
        <w:t>' (ASU 2018-15) effective from January 1, 2020. ASU 2018-15 provides guidance on when to capitalize implementation costs incurred in hosting arrangements which are accounted for as service contracts. The adoption of ASU 2018-15 did not have an impact on the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73"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6"/>
          <w:szCs w:val="16"/>
          <w:b w:val="1"/>
          <w:bCs w:val="1"/>
          <w:color w:val="auto"/>
        </w:rPr>
        <w:t>ICON plc</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MARCH 31, 2020 AND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(Unaudited)</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(Audited)</w:t>
            </w:r>
          </w:p>
        </w:tc>
      </w:tr>
      <w:tr>
        <w:trPr>
          <w:trHeight w:val="198"/>
        </w:trPr>
        <w:tc>
          <w:tcPr>
            <w:tcW w:w="7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4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200" w:type="dxa"/>
            <w:vAlign w:val="bottom"/>
            <w:shd w:val="clear" w:color="auto" w:fill="CCEEFF"/>
          </w:tcPr>
          <w:p>
            <w:pPr>
              <w:spacing w:after="0"/>
              <w:rPr>
                <w:sz w:val="21"/>
                <w:szCs w:val="21"/>
                <w:color w:val="auto"/>
              </w:rPr>
            </w:pPr>
          </w:p>
        </w:tc>
        <w:tc>
          <w:tcPr>
            <w:tcW w:w="264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color w:val="auto"/>
              </w:rPr>
              <w:t>(in thousands)</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482,372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520,309</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Available for sale investments</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1,727</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49,628</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 net of allowance for credit losses</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525,642</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527,708</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Unbilled revenue</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446,465</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422,769</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receivables</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32,502</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39,290</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Prepayments and other current assets</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41,981</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41,517</w:t>
            </w:r>
          </w:p>
        </w:tc>
      </w:tr>
      <w:tr>
        <w:trPr>
          <w:trHeight w:val="260"/>
        </w:trPr>
        <w:tc>
          <w:tcPr>
            <w:tcW w:w="74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Income taxes receivable</w:t>
            </w:r>
          </w:p>
        </w:tc>
        <w:tc>
          <w:tcPr>
            <w:tcW w:w="1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24,866</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23,759</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1,555,555</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1,624,980</w:t>
            </w:r>
          </w:p>
        </w:tc>
      </w:tr>
      <w:tr>
        <w:trPr>
          <w:trHeight w:val="280"/>
        </w:trPr>
        <w:tc>
          <w:tcPr>
            <w:tcW w:w="7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3"/>
        </w:trPr>
        <w:tc>
          <w:tcPr>
            <w:tcW w:w="74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Property, plant and equipment, net</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162,840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165,087</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893,033</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883,170</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right-of-use assets</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99,251</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104,977</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14,934</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17,439</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Non-current income taxes receivable</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12,090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17,230</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Non-current deferred tax asset</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14,927</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16,682</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Investments in equity-long term</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10,040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10,053</w:t>
            </w:r>
          </w:p>
        </w:tc>
      </w:tr>
      <w:tr>
        <w:trPr>
          <w:trHeight w:val="250"/>
        </w:trPr>
        <w:tc>
          <w:tcPr>
            <w:tcW w:w="74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Intangible assets</w:t>
            </w:r>
          </w:p>
        </w:tc>
        <w:tc>
          <w:tcPr>
            <w:tcW w:w="1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78,662</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67,894</w:t>
            </w:r>
          </w:p>
        </w:tc>
      </w:tr>
      <w:tr>
        <w:trPr>
          <w:trHeight w:val="237"/>
        </w:trPr>
        <w:tc>
          <w:tcPr>
            <w:tcW w:w="7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2,841,332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2,907,512</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0"/>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23,332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24,050</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Unearned revenue</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386,242</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366,988</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435,862</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378,543</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taxes payable</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14,059</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12,031</w:t>
            </w:r>
          </w:p>
        </w:tc>
      </w:tr>
      <w:tr>
        <w:trPr>
          <w:trHeight w:val="250"/>
        </w:trPr>
        <w:tc>
          <w:tcPr>
            <w:tcW w:w="74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Current bank credit lines and loan facilities</w:t>
            </w:r>
          </w:p>
        </w:tc>
        <w:tc>
          <w:tcPr>
            <w:tcW w:w="1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349,734</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349,640</w:t>
            </w:r>
          </w:p>
        </w:tc>
      </w:tr>
      <w:tr>
        <w:trPr>
          <w:trHeight w:val="24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1,209,229</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1,131,252</w:t>
            </w:r>
          </w:p>
        </w:tc>
      </w:tr>
      <w:tr>
        <w:trPr>
          <w:trHeight w:val="233"/>
        </w:trPr>
        <w:tc>
          <w:tcPr>
            <w:tcW w:w="74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Non-current operating lease liabilities</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74,759</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76,593</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Non-current other liabilities</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16,069</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17,512</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Non-current government grants</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789</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Non-current income taxes payable</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15,275</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14,301</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Non-current deferred tax liability</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11,359</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9,476</w:t>
            </w:r>
          </w:p>
        </w:tc>
      </w:tr>
      <w:tr>
        <w:trPr>
          <w:trHeight w:val="250"/>
        </w:trPr>
        <w:tc>
          <w:tcPr>
            <w:tcW w:w="74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Commitments and contingencies</w:t>
            </w:r>
          </w:p>
        </w:tc>
        <w:tc>
          <w:tcPr>
            <w:tcW w:w="1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74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1,327,480</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1,249,947</w:t>
            </w:r>
          </w:p>
        </w:tc>
      </w:tr>
      <w:tr>
        <w:trPr>
          <w:trHeight w:val="270"/>
        </w:trPr>
        <w:tc>
          <w:tcPr>
            <w:tcW w:w="7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52,508,751 shares issued and outstanding at March 31, 2020 and</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53,622,206 shares issued and outstanding at December 31, 2019</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4,561</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4,635</w:t>
            </w:r>
          </w:p>
        </w:tc>
      </w:tr>
      <w:tr>
        <w:trPr>
          <w:trHeight w:val="253"/>
        </w:trPr>
        <w:tc>
          <w:tcPr>
            <w:tcW w:w="7400" w:type="dxa"/>
            <w:vAlign w:val="bottom"/>
            <w:shd w:val="clear" w:color="auto" w:fill="CCEEFF"/>
          </w:tcPr>
          <w:p>
            <w:pPr>
              <w:ind w:left="380"/>
              <w:spacing w:after="0" w:line="184" w:lineRule="exact"/>
              <w:rPr>
                <w:sz w:val="20"/>
                <w:szCs w:val="20"/>
                <w:color w:val="auto"/>
              </w:rPr>
            </w:pPr>
            <w:r>
              <w:rPr>
                <w:rFonts w:ascii="Arial" w:cs="Arial" w:eastAsia="Arial" w:hAnsi="Arial"/>
                <w:sz w:val="16"/>
                <w:szCs w:val="16"/>
                <w:color w:val="auto"/>
              </w:rPr>
              <w:t>Additional paid</w:t>
            </w:r>
            <w:r>
              <w:rPr>
                <w:rFonts w:ascii="MS PGothic" w:cs="MS PGothic" w:eastAsia="MS PGothic" w:hAnsi="MS PGothic"/>
                <w:sz w:val="16"/>
                <w:szCs w:val="16"/>
                <w:color w:val="auto"/>
              </w:rPr>
              <w:t>‑</w:t>
            </w:r>
            <w:r>
              <w:rPr>
                <w:rFonts w:ascii="Arial" w:cs="Arial" w:eastAsia="Arial" w:hAnsi="Arial"/>
                <w:sz w:val="16"/>
                <w:szCs w:val="16"/>
                <w:color w:val="auto"/>
              </w:rPr>
              <w:t>in capital</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584,852</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577,961</w:t>
            </w:r>
          </w:p>
        </w:tc>
      </w:tr>
      <w:tr>
        <w:trPr>
          <w:trHeight w:val="233"/>
        </w:trPr>
        <w:tc>
          <w:tcPr>
            <w:tcW w:w="7400" w:type="dxa"/>
            <w:vAlign w:val="bottom"/>
          </w:tcPr>
          <w:p>
            <w:pPr>
              <w:ind w:left="380"/>
              <w:spacing w:after="0"/>
              <w:rPr>
                <w:sz w:val="20"/>
                <w:szCs w:val="20"/>
                <w:color w:val="auto"/>
              </w:rPr>
            </w:pPr>
            <w:r>
              <w:rPr>
                <w:rFonts w:ascii="Arial" w:cs="Arial" w:eastAsia="Arial" w:hAnsi="Arial"/>
                <w:sz w:val="16"/>
                <w:szCs w:val="16"/>
                <w:color w:val="auto"/>
              </w:rPr>
              <w:t>Other undenominated capital</w:t>
            </w:r>
          </w:p>
        </w:tc>
        <w:tc>
          <w:tcPr>
            <w:tcW w:w="120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1,134</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1,052</w:t>
            </w:r>
          </w:p>
        </w:tc>
      </w:tr>
      <w:tr>
        <w:trPr>
          <w:trHeight w:val="253"/>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(98,955)</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(75,819)</w:t>
            </w:r>
          </w:p>
        </w:tc>
      </w:tr>
      <w:tr>
        <w:trPr>
          <w:trHeight w:val="250"/>
        </w:trPr>
        <w:tc>
          <w:tcPr>
            <w:tcW w:w="74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Retained earnings</w:t>
            </w:r>
          </w:p>
        </w:tc>
        <w:tc>
          <w:tcPr>
            <w:tcW w:w="1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1,022,260</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1,110,226</w:t>
            </w:r>
          </w:p>
        </w:tc>
      </w:tr>
      <w:tr>
        <w:trPr>
          <w:trHeight w:val="243"/>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Shareholders' Equity</w:t>
            </w:r>
          </w:p>
        </w:tc>
        <w:tc>
          <w:tcPr>
            <w:tcW w:w="1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1,513,852</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1,618,055</w:t>
            </w:r>
          </w:p>
        </w:tc>
      </w:tr>
      <w:tr>
        <w:trPr>
          <w:trHeight w:val="277"/>
        </w:trPr>
        <w:tc>
          <w:tcPr>
            <w:tcW w:w="74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Redeemable noncontrolling interest</w:t>
            </w: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39,510</w:t>
            </w:r>
          </w:p>
        </w:tc>
      </w:tr>
      <w:tr>
        <w:trPr>
          <w:trHeight w:val="277"/>
        </w:trPr>
        <w:tc>
          <w:tcPr>
            <w:tcW w:w="7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 and Redeemable Noncontrolling Interest</w:t>
            </w:r>
          </w:p>
        </w:tc>
        <w:tc>
          <w:tcPr>
            <w:tcW w:w="12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1,513,852</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1,657,565</w:t>
            </w:r>
          </w:p>
        </w:tc>
      </w:tr>
      <w:tr>
        <w:trPr>
          <w:trHeight w:val="236"/>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Liabilities and Shareholders' Equity and Redeemable Noncontrolling Interest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2,841,332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2,907,512</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351" w:right="339" w:bottom="1103"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351" w:right="339" w:bottom="1103" w:gutter="0" w:footer="0" w:header="0"/>
          <w:type w:val="continuous"/>
        </w:sectPr>
      </w:pPr>
    </w:p>
    <w:bookmarkStart w:id="5" w:name="page6"/>
    <w:bookmarkEnd w:id="5"/>
    <w:p>
      <w:pPr>
        <w:jc w:val="center"/>
        <w:ind w:right="-11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FOR THE THREE MONTHS ENDED MARCH 31, 2020 AND MARCH 31, 2019</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07199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316"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48895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07" w:lineRule="exact"/>
        <w:rPr>
          <w:sz w:val="20"/>
          <w:szCs w:val="20"/>
          <w:color w:val="auto"/>
        </w:rPr>
      </w:pPr>
    </w:p>
    <w:p>
      <w:pPr>
        <w:ind w:left="8440"/>
        <w:spacing w:after="0"/>
        <w:tabs>
          <w:tab w:leader="none" w:pos="9860" w:val="left"/>
        </w:tabs>
        <w:rPr>
          <w:sz w:val="20"/>
          <w:szCs w:val="20"/>
          <w:color w:val="auto"/>
        </w:rPr>
      </w:pPr>
      <w:r>
        <w:rPr>
          <w:rFonts w:ascii="Arial" w:cs="Arial" w:eastAsia="Arial" w:hAnsi="Arial"/>
          <w:sz w:val="16"/>
          <w:szCs w:val="16"/>
          <w:b w:val="1"/>
          <w:bCs w:val="1"/>
          <w:color w:val="auto"/>
        </w:rPr>
        <w:t>March 31, 2020</w:t>
      </w:r>
      <w:r>
        <w:rPr>
          <w:sz w:val="20"/>
          <w:szCs w:val="20"/>
          <w:color w:val="auto"/>
        </w:rPr>
        <w:tab/>
      </w:r>
      <w:r>
        <w:rPr>
          <w:rFonts w:ascii="Arial" w:cs="Arial" w:eastAsia="Arial" w:hAnsi="Arial"/>
          <w:sz w:val="16"/>
          <w:szCs w:val="16"/>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7199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282575"/>
                    </a:xfrm>
                    <a:prstGeom prst="rect">
                      <a:avLst/>
                    </a:prstGeom>
                    <a:noFill/>
                  </pic:spPr>
                </pic:pic>
              </a:graphicData>
            </a:graphic>
          </wp:anchor>
        </w:drawing>
      </w:r>
    </w:p>
    <w:p>
      <w:pPr>
        <w:spacing w:after="0" w:line="53"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(in thousands except share and per</w:t>
      </w:r>
    </w:p>
    <w:p>
      <w:pPr>
        <w:spacing w:after="0" w:line="25"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07199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0719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Costs and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Direct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07199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Selling, general and administrative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07199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199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580" w:val="left"/>
          <w:tab w:leader="none" w:pos="1420" w:val="left"/>
          <w:tab w:leader="none" w:pos="2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715,102</w:t>
        <w:tab/>
        <w:t>$</w:t>
      </w:r>
      <w:r>
        <w:rPr>
          <w:sz w:val="20"/>
          <w:szCs w:val="20"/>
          <w:color w:val="auto"/>
        </w:rPr>
        <w:tab/>
      </w:r>
      <w:r>
        <w:rPr>
          <w:rFonts w:ascii="Arial" w:cs="Arial" w:eastAsia="Arial" w:hAnsi="Arial"/>
          <w:sz w:val="16"/>
          <w:szCs w:val="16"/>
          <w:color w:val="auto"/>
        </w:rPr>
        <w:t>674,852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00"/>
        <w:spacing w:after="0"/>
        <w:tabs>
          <w:tab w:leader="none" w:pos="2040" w:val="left"/>
        </w:tabs>
        <w:rPr>
          <w:sz w:val="20"/>
          <w:szCs w:val="20"/>
          <w:color w:val="auto"/>
        </w:rPr>
      </w:pPr>
      <w:r>
        <w:rPr>
          <w:rFonts w:ascii="Arial" w:cs="Arial" w:eastAsia="Arial" w:hAnsi="Arial"/>
          <w:sz w:val="16"/>
          <w:szCs w:val="16"/>
          <w:color w:val="auto"/>
        </w:rPr>
        <w:t>505,293</w:t>
      </w:r>
      <w:r>
        <w:rPr>
          <w:sz w:val="20"/>
          <w:szCs w:val="20"/>
          <w:color w:val="auto"/>
        </w:rPr>
        <w:tab/>
      </w:r>
      <w:r>
        <w:rPr>
          <w:rFonts w:ascii="Arial" w:cs="Arial" w:eastAsia="Arial" w:hAnsi="Arial"/>
          <w:sz w:val="16"/>
          <w:szCs w:val="16"/>
          <w:color w:val="auto"/>
        </w:rPr>
        <w:t>475,497</w:t>
      </w:r>
    </w:p>
    <w:p>
      <w:pPr>
        <w:spacing w:after="0" w:line="86" w:lineRule="exact"/>
        <w:rPr>
          <w:sz w:val="20"/>
          <w:szCs w:val="20"/>
          <w:color w:val="auto"/>
        </w:rPr>
      </w:pPr>
    </w:p>
    <w:p>
      <w:pPr>
        <w:jc w:val="both"/>
        <w:ind w:left="700"/>
        <w:spacing w:after="0"/>
        <w:tabs>
          <w:tab w:leader="none" w:pos="2120" w:val="left"/>
        </w:tabs>
        <w:rPr>
          <w:sz w:val="20"/>
          <w:szCs w:val="20"/>
          <w:color w:val="auto"/>
        </w:rPr>
      </w:pPr>
      <w:r>
        <w:rPr>
          <w:rFonts w:ascii="Arial" w:cs="Arial" w:eastAsia="Arial" w:hAnsi="Arial"/>
          <w:sz w:val="16"/>
          <w:szCs w:val="16"/>
          <w:color w:val="auto"/>
        </w:rPr>
        <w:t>87,196</w:t>
      </w:r>
      <w:r>
        <w:rPr>
          <w:sz w:val="20"/>
          <w:szCs w:val="20"/>
          <w:color w:val="auto"/>
        </w:rPr>
        <w:tab/>
      </w:r>
      <w:r>
        <w:rPr>
          <w:rFonts w:ascii="Arial" w:cs="Arial" w:eastAsia="Arial" w:hAnsi="Arial"/>
          <w:sz w:val="16"/>
          <w:szCs w:val="16"/>
          <w:color w:val="auto"/>
        </w:rPr>
        <w:t>81,912</w:t>
      </w:r>
    </w:p>
    <w:p>
      <w:pPr>
        <w:spacing w:after="0" w:line="86" w:lineRule="exact"/>
        <w:rPr>
          <w:sz w:val="20"/>
          <w:szCs w:val="20"/>
          <w:color w:val="auto"/>
        </w:rPr>
      </w:pPr>
    </w:p>
    <w:p>
      <w:pPr>
        <w:jc w:val="both"/>
        <w:ind w:left="700"/>
        <w:spacing w:after="0"/>
        <w:tabs>
          <w:tab w:leader="none" w:pos="2120" w:val="left"/>
        </w:tabs>
        <w:rPr>
          <w:sz w:val="20"/>
          <w:szCs w:val="20"/>
          <w:color w:val="auto"/>
        </w:rPr>
      </w:pPr>
      <w:r>
        <w:rPr>
          <w:rFonts w:ascii="Arial" w:cs="Arial" w:eastAsia="Arial" w:hAnsi="Arial"/>
          <w:sz w:val="16"/>
          <w:szCs w:val="16"/>
          <w:color w:val="auto"/>
        </w:rPr>
        <w:t>16,322</w:t>
      </w:r>
      <w:r>
        <w:rPr>
          <w:sz w:val="20"/>
          <w:szCs w:val="20"/>
          <w:color w:val="auto"/>
        </w:rPr>
        <w:tab/>
      </w:r>
      <w:r>
        <w:rPr>
          <w:rFonts w:ascii="Arial" w:cs="Arial" w:eastAsia="Arial" w:hAnsi="Arial"/>
          <w:sz w:val="16"/>
          <w:szCs w:val="16"/>
          <w:color w:val="auto"/>
        </w:rPr>
        <w:t>15,497</w:t>
      </w:r>
    </w:p>
    <w:p>
      <w:pPr>
        <w:spacing w:after="0" w:line="200" w:lineRule="exact"/>
        <w:rPr>
          <w:sz w:val="20"/>
          <w:szCs w:val="20"/>
          <w:color w:val="auto"/>
        </w:rPr>
      </w:pPr>
    </w:p>
    <w:p>
      <w:pPr>
        <w:sectPr>
          <w:pgSz w:w="11900" w:h="16838" w:orient="portrait"/>
          <w:cols w:equalWidth="0" w:num="2">
            <w:col w:w="7680" w:space="720"/>
            <w:col w:w="2740"/>
          </w:cols>
          <w:pgMar w:left="320" w:top="337" w:right="439" w:bottom="1440" w:gutter="0" w:footer="0" w:header="0"/>
          <w:type w:val="continuous"/>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Total costs and expenses</w:t>
            </w:r>
          </w:p>
        </w:tc>
        <w:tc>
          <w:tcPr>
            <w:tcW w:w="20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608,811</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572,906</w:t>
            </w:r>
          </w:p>
        </w:tc>
      </w:tr>
      <w:tr>
        <w:trPr>
          <w:trHeight w:val="297"/>
        </w:trPr>
        <w:tc>
          <w:tcPr>
            <w:tcW w:w="66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660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0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106,291</w:t>
            </w:r>
          </w:p>
        </w:tc>
        <w:tc>
          <w:tcPr>
            <w:tcW w:w="3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101,946</w:t>
            </w:r>
          </w:p>
        </w:tc>
      </w:tr>
      <w:tr>
        <w:trPr>
          <w:trHeight w:val="280"/>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1,809</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1,745</w:t>
            </w:r>
          </w:p>
        </w:tc>
      </w:tr>
      <w:tr>
        <w:trPr>
          <w:trHeight w:val="277"/>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2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(3,354)</w:t>
            </w:r>
          </w:p>
        </w:tc>
      </w:tr>
      <w:tr>
        <w:trPr>
          <w:trHeight w:val="297"/>
        </w:trPr>
        <w:tc>
          <w:tcPr>
            <w:tcW w:w="66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6600" w:type="dxa"/>
            <w:vAlign w:val="bottom"/>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20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104,919</w:t>
            </w:r>
          </w:p>
        </w:tc>
        <w:tc>
          <w:tcPr>
            <w:tcW w:w="3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100,337</w:t>
            </w:r>
          </w:p>
        </w:tc>
      </w:tr>
      <w:tr>
        <w:trPr>
          <w:trHeight w:val="287"/>
        </w:trPr>
        <w:tc>
          <w:tcPr>
            <w:tcW w:w="6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(12,590)</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(12,040)</w:t>
            </w:r>
          </w:p>
        </w:tc>
      </w:tr>
      <w:tr>
        <w:trPr>
          <w:trHeight w:val="297"/>
        </w:trPr>
        <w:tc>
          <w:tcPr>
            <w:tcW w:w="6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92,329</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88,297</w:t>
            </w:r>
          </w:p>
        </w:tc>
      </w:tr>
      <w:tr>
        <w:trPr>
          <w:trHeight w:val="277"/>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6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Group</w:t>
            </w:r>
          </w:p>
        </w:tc>
        <w:tc>
          <w:tcPr>
            <w:tcW w:w="2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91,696</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88,297</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6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Ordinary Share attributable to the Group (note 10):</w:t>
            </w:r>
          </w:p>
        </w:tc>
        <w:tc>
          <w:tcPr>
            <w:tcW w:w="2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97"/>
        </w:trPr>
        <w:tc>
          <w:tcPr>
            <w:tcW w:w="6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1.63</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304"/>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Diluted</w:t>
            </w: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r>
      <w:tr>
        <w:trPr>
          <w:trHeight w:val="284"/>
        </w:trPr>
        <w:tc>
          <w:tcPr>
            <w:tcW w:w="66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3"/>
        </w:trPr>
        <w:tc>
          <w:tcPr>
            <w:tcW w:w="6600" w:type="dxa"/>
            <w:vAlign w:val="bottom"/>
          </w:tcPr>
          <w:p>
            <w:pPr>
              <w:ind w:left="40"/>
              <w:spacing w:after="0"/>
              <w:rPr>
                <w:sz w:val="20"/>
                <w:szCs w:val="20"/>
                <w:color w:val="auto"/>
              </w:rPr>
            </w:pPr>
            <w:r>
              <w:rPr>
                <w:rFonts w:ascii="Arial" w:cs="Arial" w:eastAsia="Arial" w:hAnsi="Arial"/>
                <w:sz w:val="16"/>
                <w:szCs w:val="16"/>
                <w:color w:val="auto"/>
              </w:rPr>
              <w:t>Weighted average number of Ordinary Shares outstanding:</w:t>
            </w:r>
          </w:p>
        </w:tc>
        <w:tc>
          <w:tcPr>
            <w:tcW w:w="2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66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97"/>
        </w:trPr>
        <w:tc>
          <w:tcPr>
            <w:tcW w:w="66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3"/>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Basic</w:t>
            </w:r>
          </w:p>
        </w:tc>
        <w:tc>
          <w:tcPr>
            <w:tcW w:w="20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53,348,355</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53,845,407</w:t>
            </w:r>
          </w:p>
        </w:tc>
      </w:tr>
      <w:tr>
        <w:trPr>
          <w:trHeight w:val="284"/>
        </w:trPr>
        <w:tc>
          <w:tcPr>
            <w:tcW w:w="66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6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Diluted</w:t>
            </w:r>
          </w:p>
        </w:tc>
        <w:tc>
          <w:tcPr>
            <w:tcW w:w="20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53,905,022</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54,142,510</w:t>
            </w:r>
          </w:p>
        </w:tc>
      </w:tr>
      <w:tr>
        <w:trPr>
          <w:trHeight w:val="20"/>
        </w:trPr>
        <w:tc>
          <w:tcPr>
            <w:tcW w:w="974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3"/>
        </w:trPr>
        <w:tc>
          <w:tcPr>
            <w:tcW w:w="9740" w:type="dxa"/>
            <w:vAlign w:val="bottom"/>
            <w:gridSpan w:val="3"/>
          </w:tcPr>
          <w:p>
            <w:pPr>
              <w:ind w:left="204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337" w:right="4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2020 AND MARCH 31, 2019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6"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48895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March 31, 2020</w:t>
            </w:r>
          </w:p>
        </w:tc>
        <w:tc>
          <w:tcPr>
            <w:tcW w:w="14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7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760" w:type="dxa"/>
            <w:vAlign w:val="bottom"/>
            <w:shd w:val="clear" w:color="auto" w:fill="CCEEFF"/>
          </w:tcPr>
          <w:p>
            <w:pPr>
              <w:spacing w:after="0"/>
              <w:rPr>
                <w:sz w:val="23"/>
                <w:szCs w:val="23"/>
                <w:color w:val="auto"/>
              </w:rPr>
            </w:pPr>
          </w:p>
        </w:tc>
      </w:tr>
      <w:tr>
        <w:trPr>
          <w:trHeight w:val="224"/>
        </w:trPr>
        <w:tc>
          <w:tcPr>
            <w:tcW w:w="7240" w:type="dxa"/>
            <w:vAlign w:val="bottom"/>
          </w:tcPr>
          <w:p>
            <w:pPr>
              <w:ind w:left="180"/>
              <w:spacing w:after="0"/>
              <w:rPr>
                <w:sz w:val="20"/>
                <w:szCs w:val="20"/>
                <w:color w:val="auto"/>
              </w:rPr>
            </w:pPr>
            <w:r>
              <w:rPr>
                <w:rFonts w:ascii="Arial" w:cs="Arial" w:eastAsia="Arial" w:hAnsi="Arial"/>
                <w:sz w:val="16"/>
                <w:szCs w:val="16"/>
                <w:b w:val="1"/>
                <w:bCs w:val="1"/>
                <w:color w:val="auto"/>
              </w:rPr>
              <w:t>Cash flows from operating activities:</w:t>
            </w: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6"/>
        </w:trPr>
        <w:tc>
          <w:tcPr>
            <w:tcW w:w="7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7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5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92,329</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88,297</w:t>
            </w:r>
          </w:p>
        </w:tc>
      </w:tr>
      <w:tr>
        <w:trPr>
          <w:trHeight w:val="224"/>
        </w:trPr>
        <w:tc>
          <w:tcPr>
            <w:tcW w:w="724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6"/>
        </w:trPr>
        <w:tc>
          <w:tcPr>
            <w:tcW w:w="7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plant and equipment</w:t>
            </w:r>
          </w:p>
        </w:tc>
        <w:tc>
          <w:tcPr>
            <w:tcW w:w="15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6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Depreciation expense</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11,413</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11,582</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Reduction in carrying value of operating right-of-use assets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7,328</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7,446</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Amortization of intangibles</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4,909</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3,915</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government grants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Interest on short term investments</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on non-current operating lease liability</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493</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689</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Realized gain on sale of short term investments</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Loss/(gain) on re-measurement of financial assets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Stock compensation expense</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6,069</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7,079</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interest rate hedge</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Amortization of financing costs</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119</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taxes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(1,708)</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r>
      <w:tr>
        <w:trPr>
          <w:trHeight w:val="223"/>
        </w:trPr>
        <w:tc>
          <w:tcPr>
            <w:tcW w:w="7240" w:type="dxa"/>
            <w:vAlign w:val="bottom"/>
          </w:tcPr>
          <w:p>
            <w:pPr>
              <w:ind w:left="280"/>
              <w:spacing w:after="0"/>
              <w:rPr>
                <w:sz w:val="20"/>
                <w:szCs w:val="20"/>
                <w:color w:val="auto"/>
              </w:rPr>
            </w:pPr>
            <w:r>
              <w:rPr>
                <w:rFonts w:ascii="Arial" w:cs="Arial" w:eastAsia="Arial" w:hAnsi="Arial"/>
                <w:sz w:val="16"/>
                <w:szCs w:val="16"/>
                <w:color w:val="auto"/>
              </w:rPr>
              <w:t>Changes in assets and liabilities:</w:t>
            </w:r>
          </w:p>
        </w:tc>
        <w:tc>
          <w:tcPr>
            <w:tcW w:w="1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7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 in accounts receivable</w:t>
            </w:r>
          </w:p>
        </w:tc>
        <w:tc>
          <w:tcPr>
            <w:tcW w:w="15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2,869</w:t>
            </w:r>
          </w:p>
        </w:tc>
        <w:tc>
          <w:tcPr>
            <w:tcW w:w="6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3,545</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Increase in unbilled revenue</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(24,038)</w:t>
            </w:r>
          </w:p>
        </w:tc>
        <w:tc>
          <w:tcPr>
            <w:tcW w:w="6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(79,478)</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 in other receivables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5,782</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Increase in prepayments and other current assets</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(956)</w:t>
            </w:r>
          </w:p>
        </w:tc>
        <w:tc>
          <w:tcPr>
            <w:tcW w:w="6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Decrease/(increase) in other non-current assets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2,466</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Increase in unearned revenue</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19,232</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43,957</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Increase in other current liabilities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19,711</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16,432</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Decrease in operating lease liabilities</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(7,947)</w:t>
            </w:r>
          </w:p>
        </w:tc>
        <w:tc>
          <w:tcPr>
            <w:tcW w:w="6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(8,688)</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Increase/(decrease) in other non-current liabilities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529</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Increase in income taxes payable</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5,304</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2,907</w:t>
            </w:r>
          </w:p>
        </w:tc>
      </w:tr>
      <w:tr>
        <w:trPr>
          <w:trHeight w:val="287"/>
        </w:trPr>
        <w:tc>
          <w:tcPr>
            <w:tcW w:w="72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(Decrease)/increase in accounts payable</w:t>
            </w:r>
          </w:p>
        </w:tc>
        <w:tc>
          <w:tcPr>
            <w:tcW w:w="15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(897)</w:t>
            </w:r>
          </w:p>
        </w:tc>
        <w:tc>
          <w:tcPr>
            <w:tcW w:w="6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5,403</w:t>
            </w:r>
          </w:p>
        </w:tc>
      </w:tr>
      <w:tr>
        <w:trPr>
          <w:trHeight w:val="260"/>
        </w:trPr>
        <w:tc>
          <w:tcPr>
            <w:tcW w:w="724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142,760</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94,634</w:t>
            </w:r>
          </w:p>
        </w:tc>
      </w:tr>
      <w:tr>
        <w:trPr>
          <w:trHeight w:val="26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 flows from investing activities:</w:t>
            </w:r>
          </w:p>
        </w:tc>
        <w:tc>
          <w:tcPr>
            <w:tcW w:w="1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Purchase of property, plant and equipment</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(11,311)</w:t>
            </w:r>
          </w:p>
        </w:tc>
        <w:tc>
          <w:tcPr>
            <w:tcW w:w="6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(7,034)</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subsidiary undertakings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(47,333)</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(42,349)</w:t>
            </w:r>
          </w:p>
        </w:tc>
      </w:tr>
      <w:tr>
        <w:trPr>
          <w:trHeight w:val="233"/>
        </w:trPr>
        <w:tc>
          <w:tcPr>
            <w:tcW w:w="7240" w:type="dxa"/>
            <w:vAlign w:val="bottom"/>
          </w:tcPr>
          <w:p>
            <w:pPr>
              <w:ind w:left="320"/>
              <w:spacing w:after="0"/>
              <w:rPr>
                <w:sz w:val="20"/>
                <w:szCs w:val="20"/>
                <w:color w:val="auto"/>
              </w:rPr>
            </w:pPr>
            <w:r>
              <w:rPr>
                <w:rFonts w:ascii="Arial" w:cs="Arial" w:eastAsia="Arial" w:hAnsi="Arial"/>
                <w:sz w:val="16"/>
                <w:szCs w:val="16"/>
                <w:color w:val="auto"/>
              </w:rPr>
              <w:t>Cash acquired with subsidiary undertaking</w:t>
            </w:r>
          </w:p>
        </w:tc>
        <w:tc>
          <w:tcPr>
            <w:tcW w:w="15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10,170</w:t>
            </w:r>
          </w:p>
        </w:tc>
        <w:tc>
          <w:tcPr>
            <w:tcW w:w="6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686</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available for sale investments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Sale of available for sale investments</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47,903</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287"/>
        </w:trPr>
        <w:tc>
          <w:tcPr>
            <w:tcW w:w="72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Purchase of investments in equity - long term</w:t>
            </w:r>
          </w:p>
        </w:tc>
        <w:tc>
          <w:tcPr>
            <w:tcW w:w="15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6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r>
      <w:tr>
        <w:trPr>
          <w:trHeight w:val="260"/>
        </w:trPr>
        <w:tc>
          <w:tcPr>
            <w:tcW w:w="724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6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(50,558)</w:t>
            </w:r>
          </w:p>
        </w:tc>
      </w:tr>
      <w:tr>
        <w:trPr>
          <w:trHeight w:val="260"/>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 flows from financing activities:</w:t>
            </w:r>
          </w:p>
        </w:tc>
        <w:tc>
          <w:tcPr>
            <w:tcW w:w="1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Proceeds from exercise of equity compensation</w:t>
            </w:r>
          </w:p>
        </w:tc>
        <w:tc>
          <w:tcPr>
            <w:tcW w:w="156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867</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3,391</w:t>
            </w:r>
          </w:p>
        </w:tc>
      </w:tr>
      <w:tr>
        <w:trPr>
          <w:trHeight w:val="280"/>
        </w:trPr>
        <w:tc>
          <w:tcPr>
            <w:tcW w:w="7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issue costs</w:t>
            </w:r>
          </w:p>
        </w:tc>
        <w:tc>
          <w:tcPr>
            <w:tcW w:w="1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60"/>
        </w:trPr>
        <w:tc>
          <w:tcPr>
            <w:tcW w:w="7240" w:type="dxa"/>
            <w:vAlign w:val="bottom"/>
          </w:tcPr>
          <w:p>
            <w:pPr>
              <w:ind w:left="320"/>
              <w:spacing w:after="0"/>
              <w:rPr>
                <w:sz w:val="20"/>
                <w:szCs w:val="20"/>
                <w:color w:val="auto"/>
              </w:rPr>
            </w:pPr>
            <w:r>
              <w:rPr>
                <w:rFonts w:ascii="Arial" w:cs="Arial" w:eastAsia="Arial" w:hAnsi="Arial"/>
                <w:sz w:val="16"/>
                <w:szCs w:val="16"/>
                <w:color w:val="auto"/>
              </w:rPr>
              <w:t>Repurchase of ordinary shares</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6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87"/>
        </w:trPr>
        <w:tc>
          <w:tcPr>
            <w:tcW w:w="72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Share repurchase costs</w:t>
            </w:r>
          </w:p>
        </w:tc>
        <w:tc>
          <w:tcPr>
            <w:tcW w:w="15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6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60"/>
        </w:trPr>
        <w:tc>
          <w:tcPr>
            <w:tcW w:w="72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(174,276)</w:t>
            </w:r>
          </w:p>
        </w:tc>
        <w:tc>
          <w:tcPr>
            <w:tcW w:w="6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(21,633)</w:t>
            </w:r>
          </w:p>
        </w:tc>
      </w:tr>
      <w:tr>
        <w:trPr>
          <w:trHeight w:val="287"/>
        </w:trPr>
        <w:tc>
          <w:tcPr>
            <w:tcW w:w="7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movements on cash</w:t>
            </w:r>
          </w:p>
        </w:tc>
        <w:tc>
          <w:tcPr>
            <w:tcW w:w="15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(5,663)</w:t>
            </w:r>
          </w:p>
        </w:tc>
        <w:tc>
          <w:tcPr>
            <w:tcW w:w="6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60"/>
        </w:trPr>
        <w:tc>
          <w:tcPr>
            <w:tcW w:w="7240" w:type="dxa"/>
            <w:vAlign w:val="bottom"/>
          </w:tcPr>
          <w:p>
            <w:pPr>
              <w:ind w:left="40"/>
              <w:spacing w:after="0"/>
              <w:rPr>
                <w:sz w:val="20"/>
                <w:szCs w:val="20"/>
                <w:color w:val="auto"/>
              </w:rPr>
            </w:pPr>
            <w:r>
              <w:rPr>
                <w:rFonts w:ascii="Arial" w:cs="Arial" w:eastAsia="Arial" w:hAnsi="Arial"/>
                <w:sz w:val="16"/>
                <w:szCs w:val="16"/>
                <w:b w:val="1"/>
                <w:bCs w:val="1"/>
                <w:color w:val="auto"/>
              </w:rPr>
              <w:t>Net (decrease)/increase in cash and cash equivalents</w:t>
            </w:r>
          </w:p>
        </w:tc>
        <w:tc>
          <w:tcPr>
            <w:tcW w:w="15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(37,937)</w:t>
            </w:r>
          </w:p>
        </w:tc>
        <w:tc>
          <w:tcPr>
            <w:tcW w:w="66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21,787</w:t>
            </w:r>
          </w:p>
        </w:tc>
      </w:tr>
      <w:tr>
        <w:trPr>
          <w:trHeight w:val="287"/>
        </w:trPr>
        <w:tc>
          <w:tcPr>
            <w:tcW w:w="7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5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520,309</w:t>
            </w:r>
          </w:p>
        </w:tc>
        <w:tc>
          <w:tcPr>
            <w:tcW w:w="6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395,851</w:t>
            </w:r>
          </w:p>
        </w:tc>
      </w:tr>
      <w:tr>
        <w:trPr>
          <w:trHeight w:val="264"/>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482,372</w:t>
            </w:r>
          </w:p>
        </w:tc>
        <w:tc>
          <w:tcPr>
            <w:tcW w:w="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417,638</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337" w:right="339" w:bottom="563"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337" w:right="339" w:bottom="563"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2220" w:type="dxa"/>
            <w:vAlign w:val="bottom"/>
            <w:tcBorders>
              <w:bottom w:val="single" w:sz="8" w:color="auto"/>
            </w:tcBorders>
            <w:gridSpan w:val="3"/>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w w:val="99"/>
              </w:rPr>
              <w:t>Group</w:t>
            </w:r>
          </w:p>
        </w:tc>
        <w:tc>
          <w:tcPr>
            <w:tcW w:w="9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198"/>
        </w:trPr>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2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Additional</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2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Paid-in</w:t>
            </w:r>
          </w:p>
        </w:tc>
        <w:tc>
          <w:tcPr>
            <w:tcW w:w="2680" w:type="dxa"/>
            <w:vAlign w:val="bottom"/>
            <w:gridSpan w:val="4"/>
          </w:tcPr>
          <w:p>
            <w:pPr>
              <w:jc w:val="right"/>
              <w:spacing w:after="0"/>
              <w:rPr>
                <w:sz w:val="20"/>
                <w:szCs w:val="20"/>
                <w:color w:val="auto"/>
              </w:rPr>
            </w:pPr>
            <w:r>
              <w:rPr>
                <w:rFonts w:ascii="Arial" w:cs="Arial" w:eastAsia="Arial" w:hAnsi="Arial"/>
                <w:sz w:val="16"/>
                <w:szCs w:val="16"/>
                <w:b w:val="1"/>
                <w:bCs w:val="1"/>
                <w:color w:val="auto"/>
              </w:rPr>
              <w:t>Undenominated Comprehensive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98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Noncontrolling</w:t>
            </w:r>
          </w:p>
        </w:tc>
      </w:tr>
      <w:tr>
        <w:trPr>
          <w:trHeight w:val="228"/>
        </w:trPr>
        <w:tc>
          <w:tcPr>
            <w:tcW w:w="2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Interest</w:t>
            </w:r>
          </w:p>
        </w:tc>
      </w:tr>
      <w:tr>
        <w:trPr>
          <w:trHeight w:val="270"/>
        </w:trPr>
        <w:tc>
          <w:tcPr>
            <w:tcW w:w="2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40" w:type="dxa"/>
            <w:vAlign w:val="bottom"/>
            <w:gridSpan w:val="5"/>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(dollars in thousands, except share data)</w:t>
            </w: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0"/>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53,622,206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577,961</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$1,110,226</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$1,618,055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39,510</w:t>
            </w:r>
          </w:p>
        </w:tc>
      </w:tr>
      <w:tr>
        <w:trPr>
          <w:trHeight w:val="324"/>
        </w:trPr>
        <w:tc>
          <w:tcPr>
            <w:tcW w:w="2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25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3"/>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91,696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91,696</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233"/>
        </w:trPr>
        <w:tc>
          <w:tcPr>
            <w:tcW w:w="256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(22,426)</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(22,426)</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impact of long term</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funding (net of tax)</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560" w:type="dxa"/>
            <w:vAlign w:val="bottom"/>
          </w:tcPr>
          <w:p>
            <w:pPr>
              <w:ind w:left="40"/>
              <w:spacing w:after="0"/>
              <w:rPr>
                <w:sz w:val="20"/>
                <w:szCs w:val="20"/>
                <w:color w:val="auto"/>
              </w:rPr>
            </w:pPr>
            <w:r>
              <w:rPr>
                <w:rFonts w:ascii="Arial" w:cs="Arial" w:eastAsia="Arial" w:hAnsi="Arial"/>
                <w:sz w:val="16"/>
                <w:szCs w:val="16"/>
                <w:color w:val="auto"/>
              </w:rPr>
              <w:t>Transfer to realized capital gain</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interest rate hedge</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2560" w:type="dxa"/>
            <w:vAlign w:val="bottom"/>
          </w:tcPr>
          <w:p>
            <w:pPr>
              <w:ind w:left="40"/>
              <w:spacing w:after="0"/>
              <w:rPr>
                <w:sz w:val="20"/>
                <w:szCs w:val="20"/>
                <w:color w:val="auto"/>
              </w:rPr>
            </w:pPr>
            <w:r>
              <w:rPr>
                <w:rFonts w:ascii="Arial" w:cs="Arial" w:eastAsia="Arial" w:hAnsi="Arial"/>
                <w:sz w:val="16"/>
                <w:szCs w:val="16"/>
                <w:color w:val="auto"/>
              </w:rPr>
              <w:t>Fair value of cash flow hedge (net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1"/>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of tax)</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2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91,696</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68,560</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324"/>
        </w:trPr>
        <w:tc>
          <w:tcPr>
            <w:tcW w:w="2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share options</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31,964</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560" w:type="dxa"/>
            <w:vAlign w:val="bottom"/>
          </w:tcPr>
          <w:p>
            <w:pPr>
              <w:ind w:left="40"/>
              <w:spacing w:after="0"/>
              <w:rPr>
                <w:sz w:val="20"/>
                <w:szCs w:val="20"/>
                <w:color w:val="auto"/>
              </w:rPr>
            </w:pPr>
            <w:r>
              <w:rPr>
                <w:rFonts w:ascii="Arial" w:cs="Arial" w:eastAsia="Arial" w:hAnsi="Arial"/>
                <w:sz w:val="16"/>
                <w:szCs w:val="16"/>
                <w:color w:val="auto"/>
              </w:rPr>
              <w:t>Issue of restricted share units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89,799</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stock compensation</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6,035</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560" w:type="dxa"/>
            <w:vAlign w:val="bottom"/>
          </w:tcPr>
          <w:p>
            <w:pPr>
              <w:ind w:left="40"/>
              <w:spacing w:after="0"/>
              <w:rPr>
                <w:sz w:val="20"/>
                <w:szCs w:val="20"/>
                <w:color w:val="auto"/>
              </w:rPr>
            </w:pPr>
            <w:r>
              <w:rPr>
                <w:rFonts w:ascii="Arial" w:cs="Arial" w:eastAsia="Arial" w:hAnsi="Arial"/>
                <w:sz w:val="16"/>
                <w:szCs w:val="16"/>
                <w:color w:val="auto"/>
              </w:rPr>
              <w:t>Share issuance costs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 repurchase program</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(1,235,218)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560" w:type="dxa"/>
            <w:vAlign w:val="bottom"/>
          </w:tcPr>
          <w:p>
            <w:pPr>
              <w:ind w:left="40"/>
              <w:spacing w:after="0"/>
              <w:rPr>
                <w:sz w:val="20"/>
                <w:szCs w:val="20"/>
                <w:color w:val="auto"/>
              </w:rPr>
            </w:pPr>
            <w:r>
              <w:rPr>
                <w:rFonts w:ascii="Arial" w:cs="Arial" w:eastAsia="Arial" w:hAnsi="Arial"/>
                <w:sz w:val="16"/>
                <w:szCs w:val="16"/>
                <w:color w:val="auto"/>
              </w:rPr>
              <w:t>Share repurchase costs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(140)</w:t>
            </w:r>
          </w:p>
        </w:tc>
        <w:tc>
          <w:tcPr>
            <w:tcW w:w="980" w:type="dxa"/>
            <w:vAlign w:val="bottom"/>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 adjustment</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 redemption amount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4,522</w:t>
            </w:r>
          </w:p>
        </w:tc>
      </w:tr>
      <w:tr>
        <w:trPr>
          <w:trHeight w:val="218"/>
        </w:trPr>
        <w:tc>
          <w:tcPr>
            <w:tcW w:w="2560" w:type="dxa"/>
            <w:vAlign w:val="bottom"/>
          </w:tcPr>
          <w:p>
            <w:pPr>
              <w:ind w:left="40"/>
              <w:spacing w:after="0"/>
              <w:rPr>
                <w:sz w:val="20"/>
                <w:szCs w:val="20"/>
                <w:color w:val="auto"/>
              </w:rPr>
            </w:pPr>
            <w:r>
              <w:rPr>
                <w:rFonts w:ascii="Arial" w:cs="Arial" w:eastAsia="Arial" w:hAnsi="Arial"/>
                <w:sz w:val="16"/>
                <w:szCs w:val="16"/>
                <w:color w:val="auto"/>
              </w:rPr>
              <w:t>Exercise of call option on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4"/>
        </w:trPr>
        <w:tc>
          <w:tcPr>
            <w:tcW w:w="2560" w:type="dxa"/>
            <w:vAlign w:val="bottom"/>
          </w:tcPr>
          <w:p>
            <w:pPr>
              <w:ind w:left="40"/>
              <w:spacing w:after="0"/>
              <w:rPr>
                <w:sz w:val="20"/>
                <w:szCs w:val="20"/>
                <w:color w:val="auto"/>
              </w:rPr>
            </w:pPr>
            <w:r>
              <w:rPr>
                <w:rFonts w:ascii="Arial" w:cs="Arial" w:eastAsia="Arial" w:hAnsi="Arial"/>
                <w:sz w:val="16"/>
                <w:szCs w:val="16"/>
                <w:color w:val="auto"/>
              </w:rPr>
              <w:t>noncontrolling interest shares</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(44,665)</w:t>
            </w:r>
          </w:p>
        </w:tc>
      </w:tr>
      <w:tr>
        <w:trPr>
          <w:trHeight w:val="341"/>
        </w:trPr>
        <w:tc>
          <w:tcPr>
            <w:tcW w:w="25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6"/>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52,508,751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584,852</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(98,955)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$1,022,260</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$1,513,852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March 31, 2020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2019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xml:space="preserve"> for impact of adoption of any new accounting standards). Operating results for the three months ended March 31, 2020 are not necessarily indicative of the results that may be expected for the fiscal period ending 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Redeemable noncontrolling interests and equity</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On May 23, 2019, ICON acquired a majority ownership interest in MeDiNova. Included in the purchase agreement are put and call option arrangements with the noncontrolling interest holders that require (put option) or enable (call option) ICON to purchase the remaining minority ownership at a future date. The option is accounted for as temporary equity, which is presented separately as redeemable noncontrolling interest on the Consolidated Balance Sheet. This classification reflects the assessment that the instruments are contingently redeemable in accordance with ASC 480-10-S99 </w:t>
      </w:r>
      <w:r>
        <w:rPr>
          <w:rFonts w:ascii="Arial" w:cs="Arial" w:eastAsia="Arial" w:hAnsi="Arial"/>
          <w:sz w:val="16"/>
          <w:szCs w:val="16"/>
          <w:i w:val="1"/>
          <w:iCs w:val="1"/>
          <w:color w:val="auto"/>
        </w:rPr>
        <w:t>'Distinguishing Liabilities from Equity'.</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9, 2020 ICON exercised its option to call the outstanding shares in the noncontrolling interest to take 100% ownership of MeDiNova. On exercise of the call option, the noncontrolling interest is extinguished and a liability is recorded for the amount payable to the former noncontrolling interest holders. At March 31, 2020, a liability of $42.6 million has been recorded in relation to the payment due to the former noncontrolling interest holders.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assets - credit losses</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On January 1, 2020, the Group adopted ASU 2016-13 </w:t>
      </w:r>
      <w:r>
        <w:rPr>
          <w:rFonts w:ascii="Arial" w:cs="Arial" w:eastAsia="Arial" w:hAnsi="Arial"/>
          <w:sz w:val="16"/>
          <w:szCs w:val="16"/>
          <w:i w:val="1"/>
          <w:iCs w:val="1"/>
          <w:color w:val="auto"/>
        </w:rPr>
        <w:t>'Measurement of Credit Losses on Financial Instruments (ASC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current incurred loss impairment approach with a methodology to reflect expected credit losses and requires consideration of a broader range of reasonable and supportable information to explain credit loss estimates.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Group adopted ASC 326 using the modified retrospective method for all in scope financial assets. Results for reporting periods beginning after January 1, 2020 are presented under ASC 326 while prior period amounts continue to be reported in accordance with previously applicable GAAP. The impact of transitioning to the new standard at January 1, 2020 was immaterial and no adjustment was recorded to retained earnings for the cumulative effect of adopting ASC 326.</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transition to ASC 326, the Group has revised the methodology to calculate the allowance for credit losses. The Group's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Group's receivables and unbilled services are predominantly due from large and mid-tier pharmaceutical and biotechnology companies that share similar risk characteristics. The Group monitors their portfolio of receivables and unbilled services for any deterioration in current or expected credit quality (for example, expected delinquency level), and adjusts the allowance for credit losses as required.</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Consolidated Statement of Operations. Losses are charged against the allowance when management believes the uncollectibility of a previously provisioned amount is confirmed.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color w:val="auto"/>
        </w:rPr>
        <w:t>ASC 842 Leases (adopted at January 1, 2019)</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The new leasing standard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was effective and adopted by ICON from January 1, 2019. ASC 842 'Leases' supersedes the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adopted the new standard under the cumulative effect adjustment approach. Under this transition method, the new standard is applied from January 1, 2019 without restatement of comparative period amounts. Operating lease liabilities and right-of-use assets of $106.5 million were recorded on the Condensed Consolidated Balance Sheet as at January 1, 2019.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impact of adopting ASC 842 on opening retained earnings at January 1, 2019.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disaggregated by customer profile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7"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48895</wp:posOffset>
            </wp:positionV>
            <wp:extent cx="1714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 2020</w:t>
            </w: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478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324"/>
        </w:trPr>
        <w:tc>
          <w:tcPr>
            <w:tcW w:w="47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Top client</w:t>
            </w:r>
          </w:p>
        </w:tc>
        <w:tc>
          <w:tcPr>
            <w:tcW w:w="4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81,267</w:t>
            </w:r>
          </w:p>
        </w:tc>
        <w:tc>
          <w:tcPr>
            <w:tcW w:w="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99,994</w:t>
            </w:r>
          </w:p>
        </w:tc>
      </w:tr>
      <w:tr>
        <w:trPr>
          <w:trHeight w:val="233"/>
        </w:trPr>
        <w:tc>
          <w:tcPr>
            <w:tcW w:w="4780" w:type="dxa"/>
            <w:vAlign w:val="bottom"/>
          </w:tcPr>
          <w:p>
            <w:pPr>
              <w:ind w:left="40"/>
              <w:spacing w:after="0"/>
              <w:rPr>
                <w:sz w:val="20"/>
                <w:szCs w:val="20"/>
                <w:color w:val="auto"/>
              </w:rPr>
            </w:pPr>
            <w:r>
              <w:rPr>
                <w:rFonts w:ascii="Arial" w:cs="Arial" w:eastAsia="Arial" w:hAnsi="Arial"/>
                <w:sz w:val="16"/>
                <w:szCs w:val="16"/>
                <w:color w:val="auto"/>
              </w:rPr>
              <w:t>Clients 2-5</w:t>
            </w:r>
          </w:p>
        </w:tc>
        <w:tc>
          <w:tcPr>
            <w:tcW w:w="4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203,741</w:t>
            </w:r>
          </w:p>
        </w:tc>
        <w:tc>
          <w:tcPr>
            <w:tcW w:w="6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169,339</w:t>
            </w:r>
          </w:p>
        </w:tc>
      </w:tr>
      <w:tr>
        <w:trPr>
          <w:trHeight w:val="253"/>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Clients 6-10</w:t>
            </w:r>
          </w:p>
        </w:tc>
        <w:tc>
          <w:tcPr>
            <w:tcW w:w="4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88,191</w:t>
            </w:r>
          </w:p>
        </w:tc>
        <w:tc>
          <w:tcPr>
            <w:tcW w:w="6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89,067</w:t>
            </w:r>
          </w:p>
        </w:tc>
      </w:tr>
      <w:tr>
        <w:trPr>
          <w:trHeight w:val="233"/>
        </w:trPr>
        <w:tc>
          <w:tcPr>
            <w:tcW w:w="4780" w:type="dxa"/>
            <w:vAlign w:val="bottom"/>
          </w:tcPr>
          <w:p>
            <w:pPr>
              <w:ind w:left="40"/>
              <w:spacing w:after="0"/>
              <w:rPr>
                <w:sz w:val="20"/>
                <w:szCs w:val="20"/>
                <w:color w:val="auto"/>
              </w:rPr>
            </w:pPr>
            <w:r>
              <w:rPr>
                <w:rFonts w:ascii="Arial" w:cs="Arial" w:eastAsia="Arial" w:hAnsi="Arial"/>
                <w:sz w:val="16"/>
                <w:szCs w:val="16"/>
                <w:color w:val="auto"/>
              </w:rPr>
              <w:t>Clients 11-25</w:t>
            </w:r>
          </w:p>
        </w:tc>
        <w:tc>
          <w:tcPr>
            <w:tcW w:w="4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124,618</w:t>
            </w:r>
          </w:p>
        </w:tc>
        <w:tc>
          <w:tcPr>
            <w:tcW w:w="6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124,826</w:t>
            </w:r>
          </w:p>
        </w:tc>
      </w:tr>
      <w:tr>
        <w:trPr>
          <w:trHeight w:val="260"/>
        </w:trPr>
        <w:tc>
          <w:tcPr>
            <w:tcW w:w="4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217,285</w:t>
            </w:r>
          </w:p>
        </w:tc>
        <w:tc>
          <w:tcPr>
            <w:tcW w:w="6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191,626</w:t>
            </w:r>
          </w:p>
        </w:tc>
      </w:tr>
      <w:tr>
        <w:trPr>
          <w:trHeight w:val="324"/>
        </w:trPr>
        <w:tc>
          <w:tcPr>
            <w:tcW w:w="47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7"/>
        </w:trPr>
        <w:tc>
          <w:tcPr>
            <w:tcW w:w="4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715,102</w:t>
            </w:r>
          </w:p>
        </w:tc>
        <w:tc>
          <w:tcPr>
            <w:tcW w:w="6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674,852</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660" w:right="1540" w:hanging="652"/>
        <w:spacing w:after="0" w:line="487" w:lineRule="auto"/>
        <w:tabs>
          <w:tab w:leader="none" w:pos="19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98"/>
        </w:trPr>
        <w:tc>
          <w:tcPr>
            <w:tcW w:w="59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980" w:type="dxa"/>
            <w:vAlign w:val="bottom"/>
            <w:tcBorders>
              <w:bottom w:val="single" w:sz="8" w:color="auto"/>
            </w:tcBorders>
            <w:shd w:val="clear" w:color="auto" w:fill="CCEEFF"/>
          </w:tcPr>
          <w:p>
            <w:pPr>
              <w:spacing w:after="0"/>
              <w:rPr>
                <w:sz w:val="19"/>
                <w:szCs w:val="19"/>
                <w:color w:val="auto"/>
              </w:rPr>
            </w:pPr>
          </w:p>
        </w:tc>
        <w:tc>
          <w:tcPr>
            <w:tcW w:w="384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23"/>
        </w:trPr>
        <w:tc>
          <w:tcPr>
            <w:tcW w:w="59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2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59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assets:</w:t>
            </w:r>
          </w:p>
        </w:tc>
        <w:tc>
          <w:tcPr>
            <w:tcW w:w="2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0"/>
        </w:trPr>
        <w:tc>
          <w:tcPr>
            <w:tcW w:w="5980" w:type="dxa"/>
            <w:vAlign w:val="bottom"/>
          </w:tcPr>
          <w:p>
            <w:pPr>
              <w:ind w:left="180"/>
              <w:spacing w:after="0"/>
              <w:rPr>
                <w:sz w:val="20"/>
                <w:szCs w:val="20"/>
                <w:color w:val="auto"/>
              </w:rPr>
            </w:pPr>
            <w:r>
              <w:rPr>
                <w:rFonts w:ascii="Arial" w:cs="Arial" w:eastAsia="Arial" w:hAnsi="Arial"/>
                <w:sz w:val="16"/>
                <w:szCs w:val="16"/>
                <w:color w:val="auto"/>
              </w:rPr>
              <w:t>Billed services (accounts receivable)</w:t>
            </w:r>
          </w:p>
        </w:tc>
        <w:tc>
          <w:tcPr>
            <w:tcW w:w="2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535,080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535,088</w:t>
            </w:r>
          </w:p>
        </w:tc>
      </w:tr>
      <w:tr>
        <w:trPr>
          <w:trHeight w:val="287"/>
        </w:trPr>
        <w:tc>
          <w:tcPr>
            <w:tcW w:w="5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Unbilled services (unbilled revenue)</w:t>
            </w:r>
          </w:p>
        </w:tc>
        <w:tc>
          <w:tcPr>
            <w:tcW w:w="28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446,465</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422,769</w:t>
            </w:r>
          </w:p>
        </w:tc>
      </w:tr>
      <w:tr>
        <w:trPr>
          <w:trHeight w:val="260"/>
        </w:trPr>
        <w:tc>
          <w:tcPr>
            <w:tcW w:w="5980" w:type="dxa"/>
            <w:vAlign w:val="bottom"/>
          </w:tcPr>
          <w:p>
            <w:pPr>
              <w:ind w:left="180"/>
              <w:spacing w:after="0"/>
              <w:rPr>
                <w:sz w:val="20"/>
                <w:szCs w:val="20"/>
                <w:color w:val="auto"/>
              </w:rPr>
            </w:pPr>
            <w:r>
              <w:rPr>
                <w:rFonts w:ascii="Arial" w:cs="Arial" w:eastAsia="Arial" w:hAnsi="Arial"/>
                <w:sz w:val="16"/>
                <w:szCs w:val="16"/>
                <w:color w:val="auto"/>
              </w:rPr>
              <w:t>Accounts receivable and unbilled revenue</w:t>
            </w:r>
          </w:p>
        </w:tc>
        <w:tc>
          <w:tcPr>
            <w:tcW w:w="284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981,545</w:t>
            </w:r>
          </w:p>
        </w:tc>
        <w:tc>
          <w:tcPr>
            <w:tcW w:w="22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957,857</w:t>
            </w:r>
          </w:p>
        </w:tc>
      </w:tr>
      <w:tr>
        <w:trPr>
          <w:trHeight w:val="280"/>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Allowance for credit losses</w:t>
            </w:r>
          </w:p>
        </w:tc>
        <w:tc>
          <w:tcPr>
            <w:tcW w:w="28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(9,438)</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5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Allowance for doubtful debts</w:t>
            </w:r>
          </w:p>
        </w:tc>
        <w:tc>
          <w:tcPr>
            <w:tcW w:w="2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(7,380)</w:t>
            </w:r>
          </w:p>
        </w:tc>
      </w:tr>
      <w:tr>
        <w:trPr>
          <w:trHeight w:val="324"/>
        </w:trPr>
        <w:tc>
          <w:tcPr>
            <w:tcW w:w="598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5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Accounts receivable and unbilled revenue, net</w:t>
            </w:r>
          </w:p>
        </w:tc>
        <w:tc>
          <w:tcPr>
            <w:tcW w:w="2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972,107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950,477</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7"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8"/>
        </w:trPr>
        <w:tc>
          <w:tcPr>
            <w:tcW w:w="4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258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 Change</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24"/>
        </w:trPr>
        <w:tc>
          <w:tcPr>
            <w:tcW w:w="4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Unbilled services (unbilled revenue)</w:t>
            </w: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446,465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422,769</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23,696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77"/>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Unearned revenue (payments on account)</w:t>
            </w:r>
          </w:p>
        </w:tc>
        <w:tc>
          <w:tcPr>
            <w:tcW w:w="1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(386,242)</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(366,988)</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(19,254)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324"/>
        </w:trPr>
        <w:tc>
          <w:tcPr>
            <w:tcW w:w="4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42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balance</w:t>
            </w: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55,781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4,442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Consolidated Balance Sheet.</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Unbilled services as at March 31, 2020 increased by $23.7 million as compared to December 31, 2019. Unearned revenue increased by $19.3 million over the same period resulting in an increase of $4.4 million in the net balance of unbilled services and unearned revenue or payments on account between December 31, 2019 and March 31, 2020.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credit loss expense and allowance for credit losses recognized on the Group's receivables and unbilled services was de minimis for the three months ended March 31, 2020 and March 31, 2019.</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March 31, 2020 approximately $5.4 billion of revenue is expected to be recognized in the future in respect of unsatisfied performance obligations. The Company expects to recognize revenue on approximately 43% of the unsatisfied performance obligation over the next 12 months, with the remainder recognized thereafter over the duration of the customer contracts.</w:t>
      </w:r>
    </w:p>
    <w:p>
      <w:pPr>
        <w:sectPr>
          <w:pgSz w:w="11900" w:h="16838" w:orient="portrait"/>
          <w:cols w:equalWidth="0" w:num="1">
            <w:col w:w="11240"/>
          </w:cols>
          <w:pgMar w:left="320" w:top="762" w:right="339" w:bottom="1440" w:gutter="0" w:footer="0" w:header="0"/>
        </w:sect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Opening balance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period acquisitions (Note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Prior period acquisitions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exchange movement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Three Months</w:t>
            </w:r>
          </w:p>
        </w:tc>
        <w:tc>
          <w:tcPr>
            <w:tcW w:w="260" w:type="dxa"/>
            <w:vAlign w:val="bottom"/>
          </w:tcPr>
          <w:p>
            <w:pPr>
              <w:spacing w:after="0"/>
              <w:rPr>
                <w:sz w:val="16"/>
                <w:szCs w:val="16"/>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20"/>
        </w:trPr>
        <w:tc>
          <w:tcPr>
            <w:tcW w:w="160" w:type="dxa"/>
            <w:vAlign w:val="bottom"/>
          </w:tcPr>
          <w:p>
            <w:pPr>
              <w:spacing w:after="0"/>
              <w:rPr>
                <w:sz w:val="10"/>
                <w:szCs w:val="10"/>
                <w:color w:val="auto"/>
              </w:rPr>
            </w:pPr>
          </w:p>
        </w:tc>
        <w:tc>
          <w:tcPr>
            <w:tcW w:w="1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Ended</w:t>
            </w:r>
          </w:p>
        </w:tc>
        <w:tc>
          <w:tcPr>
            <w:tcW w:w="2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6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97"/>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883,170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756,260</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25,411</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126,932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(15,478)</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-1409700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-501015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201295</wp:posOffset>
            </wp:positionV>
            <wp:extent cx="71323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-158115</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-852805</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020"/>
          </w:cols>
          <w:pgMar w:left="320" w:top="762" w:right="339" w:bottom="1440" w:gutter="0" w:footer="0" w:header="0"/>
          <w:type w:val="continuous"/>
        </w:sectPr>
      </w:pPr>
    </w:p>
    <w:p>
      <w:pPr>
        <w:spacing w:after="0" w:line="145" w:lineRule="exact"/>
        <w:rPr>
          <w:sz w:val="20"/>
          <w:szCs w:val="20"/>
          <w:color w:val="auto"/>
        </w:rPr>
      </w:pPr>
    </w:p>
    <w:p>
      <w:pPr>
        <w:ind w:left="40"/>
        <w:spacing w:after="0"/>
        <w:tabs>
          <w:tab w:leader="none" w:pos="8220" w:val="left"/>
          <w:tab w:leader="none" w:pos="8960" w:val="left"/>
          <w:tab w:leader="none" w:pos="9780" w:val="left"/>
          <w:tab w:leader="none" w:pos="10520" w:val="left"/>
        </w:tabs>
        <w:rPr>
          <w:sz w:val="20"/>
          <w:szCs w:val="20"/>
          <w:color w:val="auto"/>
        </w:rPr>
      </w:pPr>
      <w:r>
        <w:rPr>
          <w:rFonts w:ascii="Arial" w:cs="Arial" w:eastAsia="Arial" w:hAnsi="Arial"/>
          <w:sz w:val="16"/>
          <w:szCs w:val="16"/>
          <w:color w:val="auto"/>
        </w:rPr>
        <w:t>Closing balance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893,033</w:t>
        <w:tab/>
        <w:t>$</w:t>
      </w:r>
      <w:r>
        <w:rPr>
          <w:sz w:val="20"/>
          <w:szCs w:val="20"/>
          <w:color w:val="auto"/>
        </w:rPr>
        <w:tab/>
      </w:r>
      <w:r>
        <w:rPr>
          <w:rFonts w:ascii="Arial" w:cs="Arial" w:eastAsia="Arial" w:hAnsi="Arial"/>
          <w:sz w:val="16"/>
          <w:szCs w:val="16"/>
          <w:color w:val="auto"/>
        </w:rPr>
        <w:t>883,170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6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6. Business combinations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Acquisitions – MedPass Group ("MedPass")</w:t>
      </w:r>
    </w:p>
    <w:p>
      <w:pPr>
        <w:spacing w:after="0" w:line="22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7"/>
          <w:szCs w:val="17"/>
          <w:color w:val="auto"/>
        </w:rPr>
        <w:t>.</w:t>
      </w:r>
    </w:p>
    <w:p>
      <w:pPr>
        <w:spacing w:after="0" w:line="186" w:lineRule="exact"/>
        <w:rPr>
          <w:sz w:val="20"/>
          <w:szCs w:val="20"/>
          <w:color w:val="auto"/>
        </w:rPr>
      </w:pPr>
    </w:p>
    <w:p>
      <w:pPr>
        <w:ind w:right="680" w:firstLine="648"/>
        <w:spacing w:after="0" w:line="316" w:lineRule="auto"/>
        <w:rPr>
          <w:sz w:val="20"/>
          <w:szCs w:val="20"/>
          <w:color w:val="auto"/>
        </w:rPr>
      </w:pPr>
      <w:r>
        <w:rPr>
          <w:rFonts w:ascii="Arial" w:cs="Arial" w:eastAsia="Arial" w:hAnsi="Arial"/>
          <w:sz w:val="16"/>
          <w:szCs w:val="16"/>
          <w:color w:val="auto"/>
        </w:rPr>
        <w:t>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 provisional assessment of the fair value of assets acquired and liabilities assumed as at that date.</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6200" w:type="dxa"/>
            <w:vAlign w:val="bottom"/>
            <w:shd w:val="clear" w:color="auto" w:fill="CCEEFF"/>
          </w:tcPr>
          <w:p>
            <w:pPr>
              <w:spacing w:after="0"/>
              <w:rPr>
                <w:sz w:val="23"/>
                <w:szCs w:val="23"/>
                <w:color w:val="auto"/>
              </w:rPr>
            </w:pPr>
          </w:p>
        </w:tc>
        <w:tc>
          <w:tcPr>
            <w:tcW w:w="36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January 22,</w:t>
            </w:r>
          </w:p>
        </w:tc>
      </w:tr>
      <w:tr>
        <w:trPr>
          <w:trHeight w:val="263"/>
        </w:trPr>
        <w:tc>
          <w:tcPr>
            <w:tcW w:w="620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70"/>
        </w:trPr>
        <w:tc>
          <w:tcPr>
            <w:tcW w:w="6200" w:type="dxa"/>
            <w:vAlign w:val="bottom"/>
            <w:shd w:val="clear" w:color="auto" w:fill="CCEEFF"/>
          </w:tcPr>
          <w:p>
            <w:pPr>
              <w:spacing w:after="0"/>
              <w:rPr>
                <w:sz w:val="23"/>
                <w:szCs w:val="23"/>
                <w:color w:val="auto"/>
              </w:rPr>
            </w:pPr>
          </w:p>
        </w:tc>
        <w:tc>
          <w:tcPr>
            <w:tcW w:w="36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10,170</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1,362</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25,411</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Intangible asset **</w:t>
            </w:r>
          </w:p>
        </w:tc>
        <w:tc>
          <w:tcPr>
            <w:tcW w:w="36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16,570</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2,825</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6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158</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3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deferred tax liability</w:t>
            </w:r>
          </w:p>
        </w:tc>
        <w:tc>
          <w:tcPr>
            <w:tcW w:w="3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(4,640)</w:t>
            </w:r>
          </w:p>
        </w:tc>
      </w:tr>
      <w:tr>
        <w:trPr>
          <w:trHeight w:val="216"/>
        </w:trPr>
        <w:tc>
          <w:tcPr>
            <w:tcW w:w="62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46,992</w:t>
            </w:r>
          </w:p>
        </w:tc>
      </w:tr>
      <w:tr>
        <w:trPr>
          <w:trHeight w:val="243"/>
        </w:trPr>
        <w:tc>
          <w:tcPr>
            <w:tcW w:w="62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46,992</w:t>
            </w:r>
          </w:p>
        </w:tc>
      </w:tr>
      <w:tr>
        <w:trPr>
          <w:trHeight w:val="26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w:t>
            </w:r>
          </w:p>
        </w:tc>
        <w:tc>
          <w:tcPr>
            <w:tcW w:w="36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97"/>
        </w:trPr>
        <w:tc>
          <w:tcPr>
            <w:tcW w:w="6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46,992</w:t>
            </w:r>
          </w:p>
        </w:tc>
      </w:tr>
    </w:tbl>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*Goodwill represents the acquisition of an established workforce that specializes in medical device development and market access. None of the goodwill recognized is expected to be deductible for income tax purposes.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has made an estimate of separate intangible assets acquired, being customer relationships and order book assets. This assessment will be finalized within 12 months of the date of acquisition.</w:t>
      </w:r>
    </w:p>
    <w:p>
      <w:pPr>
        <w:spacing w:after="0" w:line="1" w:lineRule="exact"/>
        <w:rPr>
          <w:sz w:val="20"/>
          <w:szCs w:val="20"/>
          <w:color w:val="auto"/>
        </w:rPr>
      </w:pPr>
    </w:p>
    <w:p>
      <w:pPr>
        <w:ind w:firstLine="8"/>
        <w:spacing w:after="0" w:line="260" w:lineRule="auto"/>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Depending on performance of the company, Medpass could earn up to $6.7 million in contingent consideration. At March 31, 2020, the fair value of this contingent consideration payable to Medpass is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i w:val="1"/>
          <w:iCs w:val="1"/>
          <w:color w:val="auto"/>
        </w:rPr>
        <w:t>Acquisitions – CRN Holdings LLC (trading as Symphony Clinical Research ("Symphony"))</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w:t>
      </w:r>
    </w:p>
    <w:p>
      <w:pPr>
        <w:spacing w:after="0" w:line="15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acquisition of Symphony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 provisional assessment of the fair value of assets acquired and liabilities assumed as at that date.</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September 24,</w:t>
            </w:r>
          </w:p>
        </w:tc>
      </w:tr>
      <w:tr>
        <w:trPr>
          <w:trHeight w:val="237"/>
        </w:trPr>
        <w:tc>
          <w:tcPr>
            <w:tcW w:w="62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43"/>
        </w:trPr>
        <w:tc>
          <w:tcPr>
            <w:tcW w:w="62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3,292</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820</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22,865</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36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8,159</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 **</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2,163</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3,579</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6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181</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3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r>
      <w:tr>
        <w:trPr>
          <w:trHeight w:val="243"/>
        </w:trPr>
        <w:tc>
          <w:tcPr>
            <w:tcW w:w="62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37,817</w:t>
            </w:r>
          </w:p>
        </w:tc>
      </w:tr>
      <w:tr>
        <w:trPr>
          <w:trHeight w:val="243"/>
        </w:trPr>
        <w:tc>
          <w:tcPr>
            <w:tcW w:w="62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34,976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adjustment paid</w:t>
            </w: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r>
      <w:tr>
        <w:trPr>
          <w:trHeight w:val="25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Contingent consideration payable ***</w:t>
            </w:r>
          </w:p>
        </w:tc>
        <w:tc>
          <w:tcPr>
            <w:tcW w:w="3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2,500</w:t>
            </w:r>
          </w:p>
        </w:tc>
      </w:tr>
      <w:tr>
        <w:trPr>
          <w:trHeight w:val="243"/>
        </w:trPr>
        <w:tc>
          <w:tcPr>
            <w:tcW w:w="62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color w:val="auto"/>
              </w:rPr>
              <w:t>Total consideration</w:t>
            </w:r>
          </w:p>
        </w:tc>
        <w:tc>
          <w:tcPr>
            <w:tcW w:w="3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37,817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wp:posOffset>
            </wp:positionV>
            <wp:extent cx="70980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*Goodwill represents the acquisition of an established workforce and the capability to provide at-home trial services and site support solutions. The full amount of the goodwill recognized is expected to be deductible for income tax purposes.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has made an estimate of separate intangible assets acquired, being customer relationships and order book assets. The fair value of Symphony’s intangible assets has been measured provisionally, pending receipt of a final independent valuation. This assessment will be finalized within 12 months of the date of acquisition.</w:t>
      </w:r>
    </w:p>
    <w:p>
      <w:pPr>
        <w:spacing w:after="0" w:line="1" w:lineRule="exact"/>
        <w:rPr>
          <w:sz w:val="20"/>
          <w:szCs w:val="20"/>
          <w:color w:val="auto"/>
        </w:rPr>
      </w:pPr>
    </w:p>
    <w:p>
      <w:pPr>
        <w:ind w:firstLine="8"/>
        <w:spacing w:after="0" w:line="260"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At March 31, 2020 the fair value of this contingent consideration payable to Symphony was $1.0 million. The change in fair value has been recorded in the Condensed Consolidated Statement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i w:val="1"/>
          <w:iCs w:val="1"/>
          <w:color w:val="auto"/>
        </w:rPr>
        <w:t>Acquisitions – MeDiNova</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May 23, 2019 a subsidiary of the Company, ICON Clinical Research (U.K.) Limited acquired a majority shareholding in MeDiNova, a site network with research sites in key markets in Europe and Africa. On March 9, 2020 ICON exercised its option to call the outstanding shares in the noncontrolling interest to take 100% ownership of MeDiNova. The acquisition further enhances ICON's patient recruitment capabilities in EMEA and complements ICON's existing site network in the US, PMG Research.</w:t>
      </w:r>
    </w:p>
    <w:p>
      <w:pPr>
        <w:spacing w:after="0" w:line="1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acquisition of MeDiNova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 provisional assessment of the fair value of assets acquired and liabilities assumed as at that date.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40" w:type="dxa"/>
            <w:vAlign w:val="bottom"/>
            <w:shd w:val="clear" w:color="auto" w:fill="CCEEFF"/>
          </w:tcPr>
          <w:p>
            <w:pPr>
              <w:spacing w:after="0"/>
              <w:rPr>
                <w:sz w:val="23"/>
                <w:szCs w:val="23"/>
                <w:color w:val="auto"/>
              </w:rPr>
            </w:pPr>
          </w:p>
        </w:tc>
        <w:tc>
          <w:tcPr>
            <w:tcW w:w="36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May 23,</w:t>
            </w:r>
          </w:p>
        </w:tc>
      </w:tr>
      <w:tr>
        <w:trPr>
          <w:trHeight w:val="263"/>
        </w:trPr>
        <w:tc>
          <w:tcPr>
            <w:tcW w:w="624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62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Cash &amp; cash equivalents</w:t>
            </w:r>
          </w:p>
        </w:tc>
        <w:tc>
          <w:tcPr>
            <w:tcW w:w="3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7,719</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Operating right of use assets</w:t>
            </w:r>
          </w:p>
        </w:tc>
        <w:tc>
          <w:tcPr>
            <w:tcW w:w="36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1,558</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81,567</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Customer relationships **</w:t>
            </w:r>
          </w:p>
        </w:tc>
        <w:tc>
          <w:tcPr>
            <w:tcW w:w="36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3,887</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Order backlog **</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Patient database **</w:t>
            </w:r>
          </w:p>
        </w:tc>
        <w:tc>
          <w:tcPr>
            <w:tcW w:w="36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2,542</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Unbilled revenue</w:t>
            </w:r>
          </w:p>
        </w:tc>
        <w:tc>
          <w:tcPr>
            <w:tcW w:w="36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4,272</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receivables</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Prepayments and other current assets</w:t>
            </w:r>
          </w:p>
        </w:tc>
        <w:tc>
          <w:tcPr>
            <w:tcW w:w="36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406</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36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(5,796)</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(6,605)</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Current lease liabilities</w:t>
            </w:r>
          </w:p>
        </w:tc>
        <w:tc>
          <w:tcPr>
            <w:tcW w:w="36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lease liabilities</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50"/>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deferred tax liability</w:t>
            </w:r>
          </w:p>
        </w:tc>
        <w:tc>
          <w:tcPr>
            <w:tcW w:w="36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r>
      <w:tr>
        <w:trPr>
          <w:trHeight w:val="216"/>
        </w:trPr>
        <w:tc>
          <w:tcPr>
            <w:tcW w:w="62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0"/>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assets acquired</w:t>
            </w:r>
          </w:p>
        </w:tc>
        <w:tc>
          <w:tcPr>
            <w:tcW w:w="3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86,276</w:t>
            </w:r>
          </w:p>
        </w:tc>
      </w:tr>
      <w:tr>
        <w:trPr>
          <w:trHeight w:val="243"/>
        </w:trPr>
        <w:tc>
          <w:tcPr>
            <w:tcW w:w="624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Cash outflows</w:t>
            </w:r>
          </w:p>
        </w:tc>
        <w:tc>
          <w:tcPr>
            <w:tcW w:w="3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54,123</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Working capital adjustment receivable</w:t>
            </w:r>
          </w:p>
        </w:tc>
        <w:tc>
          <w:tcPr>
            <w:tcW w:w="36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50"/>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Redeemable noncontrolling interest ***</w:t>
            </w:r>
          </w:p>
        </w:tc>
        <w:tc>
          <w:tcPr>
            <w:tcW w:w="36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32,592</w:t>
            </w:r>
          </w:p>
        </w:tc>
      </w:tr>
      <w:tr>
        <w:trPr>
          <w:trHeight w:val="270"/>
        </w:trPr>
        <w:tc>
          <w:tcPr>
            <w:tcW w:w="6240" w:type="dxa"/>
            <w:vAlign w:val="bottom"/>
            <w:shd w:val="clear" w:color="auto" w:fill="CCEEFF"/>
          </w:tcPr>
          <w:p>
            <w:pPr>
              <w:spacing w:after="0"/>
              <w:rPr>
                <w:sz w:val="23"/>
                <w:szCs w:val="23"/>
                <w:color w:val="auto"/>
              </w:rPr>
            </w:pPr>
          </w:p>
        </w:tc>
        <w:tc>
          <w:tcPr>
            <w:tcW w:w="36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3"/>
        </w:trPr>
        <w:tc>
          <w:tcPr>
            <w:tcW w:w="6240" w:type="dxa"/>
            <w:vAlign w:val="bottom"/>
          </w:tcPr>
          <w:p>
            <w:pPr>
              <w:ind w:left="40"/>
              <w:spacing w:after="0"/>
              <w:rPr>
                <w:sz w:val="20"/>
                <w:szCs w:val="20"/>
                <w:color w:val="auto"/>
              </w:rPr>
            </w:pPr>
            <w:r>
              <w:rPr>
                <w:rFonts w:ascii="Arial" w:cs="Arial" w:eastAsia="Arial" w:hAnsi="Arial"/>
                <w:sz w:val="16"/>
                <w:szCs w:val="16"/>
                <w:color w:val="auto"/>
              </w:rPr>
              <w:t>Total consideration</w:t>
            </w:r>
          </w:p>
        </w:tc>
        <w:tc>
          <w:tcPr>
            <w:tcW w:w="3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86,276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0980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*Goodwill represents the acquisition of an established workforce and access to a broad site network in Europe and Africa. None of the goodwill recognized is expected to be deductible for income tax purposes.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has made an estimate of separate intangible assets acquired, being customer relationships, order book assets and patient database. This assessment will be finalized within 12 months of the date of acquisition. The fair value of MeDiNova’s intangible assets has been measured provisionally, pending receipt of a final independent valuation.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fair value of the redeemable noncontrolling interest on May 23, 2019 was $32.6 million which was estimated by applying an income based approach. The valuation approach used was based on the future earnings of the Company times an appropriate earnings multiple. On March 9, 2020 ICON exercised its option to call the outstanding shares in the noncontrolling interest to take 100% ownership of MeDiNova. Effective from this date, the noncontrolling interest was derecognized and a liability is recognized, representing the assessment of the redemption value of the noncontrolling interest to be settled during the period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color w:val="auto"/>
        </w:rPr>
        <w:t>Acquisitions – MolecularMD Corp ("MMD")</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The consideration on acquisition was $42.2 million.</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The acquisition of MMD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 The Company has made an assessment of the fair value of assets acquired and liabilities assumed as at that date. The following table summarizes the Company’s fair values of the assets acquired and liabilities assumed: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January, 25</w:t>
            </w:r>
          </w:p>
        </w:tc>
      </w:tr>
      <w:tr>
        <w:trPr>
          <w:trHeight w:val="237"/>
        </w:trPr>
        <w:tc>
          <w:tcPr>
            <w:tcW w:w="6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3"/>
        </w:trPr>
        <w:tc>
          <w:tcPr>
            <w:tcW w:w="624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Cash &amp; cash equivalent</w:t>
            </w:r>
          </w:p>
        </w:tc>
        <w:tc>
          <w:tcPr>
            <w:tcW w:w="3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686</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Operating right of use assets</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2,866</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22,430</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10,708</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Order backlog</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2,787</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3,100</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Unbilled revenue</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2,421</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Prepayments and other current assets</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36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1,568</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36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Current lease liabilities</w:t>
            </w:r>
          </w:p>
        </w:tc>
        <w:tc>
          <w:tcPr>
            <w:tcW w:w="36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53"/>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lease liabilities</w:t>
            </w: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50"/>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other liabilities</w:t>
            </w:r>
          </w:p>
        </w:tc>
        <w:tc>
          <w:tcPr>
            <w:tcW w:w="36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r>
      <w:tr>
        <w:trPr>
          <w:trHeight w:val="297"/>
        </w:trPr>
        <w:tc>
          <w:tcPr>
            <w:tcW w:w="624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0"/>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assets acquired</w:t>
            </w:r>
          </w:p>
        </w:tc>
        <w:tc>
          <w:tcPr>
            <w:tcW w:w="3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42,173</w:t>
            </w:r>
          </w:p>
        </w:tc>
      </w:tr>
      <w:tr>
        <w:trPr>
          <w:trHeight w:val="243"/>
        </w:trPr>
        <w:tc>
          <w:tcPr>
            <w:tcW w:w="624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6240" w:type="dxa"/>
            <w:vAlign w:val="bottom"/>
          </w:tcPr>
          <w:p>
            <w:pPr>
              <w:ind w:left="40"/>
              <w:spacing w:after="0"/>
              <w:rPr>
                <w:sz w:val="20"/>
                <w:szCs w:val="20"/>
                <w:color w:val="auto"/>
              </w:rPr>
            </w:pPr>
            <w:r>
              <w:rPr>
                <w:rFonts w:ascii="Arial" w:cs="Arial" w:eastAsia="Arial" w:hAnsi="Arial"/>
                <w:sz w:val="16"/>
                <w:szCs w:val="16"/>
                <w:color w:val="auto"/>
              </w:rPr>
              <w:t>Cash outflows</w:t>
            </w:r>
          </w:p>
        </w:tc>
        <w:tc>
          <w:tcPr>
            <w:tcW w:w="3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42,349</w:t>
            </w:r>
          </w:p>
        </w:tc>
      </w:tr>
      <w:tr>
        <w:trPr>
          <w:trHeight w:val="260"/>
        </w:trPr>
        <w:tc>
          <w:tcPr>
            <w:tcW w:w="6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Working capital adjustment</w:t>
            </w:r>
          </w:p>
        </w:tc>
        <w:tc>
          <w:tcPr>
            <w:tcW w:w="36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97"/>
        </w:trPr>
        <w:tc>
          <w:tcPr>
            <w:tcW w:w="6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consideration</w:t>
            </w:r>
          </w:p>
        </w:tc>
        <w:tc>
          <w:tcPr>
            <w:tcW w:w="3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42,173</w:t>
            </w:r>
          </w:p>
        </w:tc>
      </w:tr>
    </w:tbl>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*Goodwill represents the acquisition of an established workforce with experience in molecular diagnostic specialty laboratory services and commercialization of precision medicines in oncology. None of the goodwill recognized is expected to be deductible for income tax purposes.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the acquisition of MMD was finalized at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Restructuring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restructuring charge was recognized during the three months ended March 31, 2020 (March 31, 2019: $Nil).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Prior Period Restructuring charges</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 resulting in a charge of $9.7 million and office consolidation resulting in the recognition of an onerous lease obligation of $2.8 million. No additional charge was recorded during the three months ended March 31, 2020.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46" w:right="339" w:bottom="1440" w:gutter="0" w:footer="0" w:header="0"/>
        </w:sectPr>
      </w:pPr>
    </w:p>
    <w:bookmarkStart w:id="15" w:name="page16"/>
    <w:bookmarkEnd w:id="15"/>
    <w:tbl>
      <w:tblPr>
        <w:tblLayout w:type="fixed"/>
        <w:tblInd w:w="40" w:type="dxa"/>
        <w:tblCellMar>
          <w:top w:w="0" w:type="dxa"/>
          <w:left w:w="0" w:type="dxa"/>
          <w:bottom w:w="0" w:type="dxa"/>
          <w:right w:w="0" w:type="dxa"/>
        </w:tblCellMar>
      </w:tblPr>
      <w:tr>
        <w:trPr>
          <w:trHeight w:val="198"/>
        </w:trPr>
        <w:tc>
          <w:tcPr>
            <w:tcW w:w="46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Workforce</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8"/>
        </w:trPr>
        <w:tc>
          <w:tcPr>
            <w:tcW w:w="46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reductions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Onerous Lease</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24"/>
        </w:trPr>
        <w:tc>
          <w:tcPr>
            <w:tcW w:w="46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6"/>
        </w:trPr>
        <w:tc>
          <w:tcPr>
            <w:tcW w:w="46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9,684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2,806</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12,490</w:t>
            </w:r>
          </w:p>
        </w:tc>
      </w:tr>
      <w:tr>
        <w:trPr>
          <w:trHeight w:val="27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(5,399)</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2018</w:t>
            </w:r>
          </w:p>
        </w:tc>
        <w:tc>
          <w:tcPr>
            <w:tcW w:w="2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2,134</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6,419</w:t>
            </w:r>
          </w:p>
        </w:tc>
      </w:tr>
      <w:tr>
        <w:trPr>
          <w:trHeight w:val="27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(3,554)</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2019</w:t>
            </w:r>
          </w:p>
        </w:tc>
        <w:tc>
          <w:tcPr>
            <w:tcW w:w="2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906</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1,637</w:t>
            </w:r>
          </w:p>
        </w:tc>
      </w:tr>
      <w:tr>
        <w:trPr>
          <w:trHeight w:val="27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r>
      <w:tr>
        <w:trPr>
          <w:trHeight w:val="264"/>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March 31, 2020</w:t>
            </w:r>
          </w:p>
        </w:tc>
        <w:tc>
          <w:tcPr>
            <w:tcW w:w="2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720</w:t>
            </w:r>
          </w:p>
        </w:tc>
        <w:tc>
          <w:tcPr>
            <w:tcW w:w="5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1,021</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2020, $0.6 million is included within other liabilities and $0.4 million within non-current other liabilities.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Operating leases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 costs recorded under operating leases for the three months ended March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234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316" w:lineRule="exact"/>
        <w:rPr>
          <w:sz w:val="20"/>
          <w:szCs w:val="20"/>
          <w:color w:val="auto"/>
        </w:rPr>
      </w:pPr>
    </w:p>
    <w:p>
      <w:pPr>
        <w:ind w:left="89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48895</wp:posOffset>
            </wp:positionV>
            <wp:extent cx="18516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510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100" w:type="dxa"/>
            <w:vAlign w:val="bottom"/>
          </w:tcPr>
          <w:p>
            <w:pPr>
              <w:ind w:left="40"/>
              <w:spacing w:after="0"/>
              <w:rPr>
                <w:sz w:val="20"/>
                <w:szCs w:val="20"/>
                <w:color w:val="auto"/>
              </w:rPr>
            </w:pPr>
            <w:r>
              <w:rPr>
                <w:rFonts w:ascii="Arial" w:cs="Arial" w:eastAsia="Arial" w:hAnsi="Arial"/>
                <w:sz w:val="16"/>
                <w:szCs w:val="16"/>
                <w:color w:val="auto"/>
              </w:rPr>
              <w:t>Operating lease costs</w:t>
            </w:r>
          </w:p>
        </w:tc>
        <w:tc>
          <w:tcPr>
            <w:tcW w:w="33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8,089</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8,655</w:t>
            </w:r>
          </w:p>
        </w:tc>
      </w:tr>
      <w:tr>
        <w:trPr>
          <w:trHeight w:val="246"/>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from sub-leases</w:t>
            </w:r>
          </w:p>
        </w:tc>
        <w:tc>
          <w:tcPr>
            <w:tcW w:w="3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37"/>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operating lease costs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8,135</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total cost of $7.8 million incurred in the three months ended March 31, 2020 (March 31, 2019: $8.1 million), $7.1 million (March 31,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$7.2 million) is recorded within selling, general and administration costs and $0.7 million (March 31, 2019: $0.9 million) is recorded within direct costs.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2020 and March 31, 2019, costs incurred by the Group related to variable lease payments was de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minimis.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Additional right-of-use assets obtained in exchange for lease obligations during the three months ended March 31, 2020 totaled $4.3 million (March 31, 2019: $13.0 million). The weighted average remaining lease term and weighted-average discount rate at March 31, 2020 were 5.11 years and 2.86%, respectively.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leases as of March 31, 2020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10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Minimum rental</w:t>
            </w:r>
          </w:p>
        </w:tc>
      </w:tr>
      <w:tr>
        <w:trPr>
          <w:trHeight w:val="234"/>
        </w:trPr>
        <w:tc>
          <w:tcPr>
            <w:tcW w:w="610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payments</w:t>
            </w:r>
          </w:p>
        </w:tc>
      </w:tr>
      <w:tr>
        <w:trPr>
          <w:trHeight w:val="260"/>
        </w:trPr>
        <w:tc>
          <w:tcPr>
            <w:tcW w:w="61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273"/>
        </w:trPr>
        <w:tc>
          <w:tcPr>
            <w:tcW w:w="6100" w:type="dxa"/>
            <w:vAlign w:val="bottom"/>
            <w:tcBorders>
              <w:bottom w:val="single" w:sz="8" w:color="auto"/>
            </w:tcBorders>
            <w:shd w:val="clear" w:color="auto" w:fill="CCEEFF"/>
          </w:tcPr>
          <w:p>
            <w:pPr>
              <w:spacing w:after="0"/>
              <w:rPr>
                <w:sz w:val="23"/>
                <w:szCs w:val="23"/>
                <w:color w:val="auto"/>
              </w:rPr>
            </w:pPr>
          </w:p>
        </w:tc>
        <w:tc>
          <w:tcPr>
            <w:tcW w:w="36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March 31, 2020</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Due within 1 year</w:t>
            </w:r>
          </w:p>
        </w:tc>
        <w:tc>
          <w:tcPr>
            <w:tcW w:w="3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27,339</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between 1 and 5 years</w:t>
            </w:r>
          </w:p>
        </w:tc>
        <w:tc>
          <w:tcPr>
            <w:tcW w:w="36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63,599</w:t>
            </w:r>
          </w:p>
        </w:tc>
      </w:tr>
      <w:tr>
        <w:trPr>
          <w:trHeight w:val="250"/>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Thereafter</w:t>
            </w:r>
          </w:p>
        </w:tc>
        <w:tc>
          <w:tcPr>
            <w:tcW w:w="36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16,398</w:t>
            </w:r>
          </w:p>
        </w:tc>
      </w:tr>
      <w:tr>
        <w:trPr>
          <w:trHeight w:val="24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future minimum lease payments</w:t>
            </w:r>
          </w:p>
        </w:tc>
        <w:tc>
          <w:tcPr>
            <w:tcW w:w="36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107,336</w:t>
            </w:r>
          </w:p>
        </w:tc>
      </w:tr>
      <w:tr>
        <w:trPr>
          <w:trHeight w:val="250"/>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Lease imputed interest</w:t>
            </w:r>
          </w:p>
        </w:tc>
        <w:tc>
          <w:tcPr>
            <w:tcW w:w="36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(7,726)</w:t>
            </w:r>
          </w:p>
        </w:tc>
      </w:tr>
      <w:tr>
        <w:trPr>
          <w:trHeight w:val="236"/>
        </w:trPr>
        <w:tc>
          <w:tcPr>
            <w:tcW w:w="6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99,610</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$24.8 million have been included in other liabilities as at March 31, 2020 (March 31, 2019: $28.1 million).</w:t>
      </w:r>
    </w:p>
    <w:p>
      <w:pPr>
        <w:sectPr>
          <w:pgSz w:w="11900" w:h="16838" w:orient="portrait"/>
          <w:cols w:equalWidth="0" w:num="1">
            <w:col w:w="11240"/>
          </w:cols>
          <w:pgMar w:left="320" w:top="7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70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9. Income taxes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recognized during the three months ended March 31, 2020 and March 31, 2019, comprise: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6"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48895</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March 31, 2020</w:t>
            </w: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52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Borders>
              <w:bottom w:val="single" w:sz="8" w:color="CCEEFF"/>
            </w:tcBorders>
            <w:shd w:val="clear" w:color="auto" w:fill="CCEEFF"/>
          </w:tcPr>
          <w:p>
            <w:pPr>
              <w:spacing w:after="0"/>
              <w:rPr>
                <w:sz w:val="21"/>
                <w:szCs w:val="21"/>
                <w:color w:val="auto"/>
              </w:rPr>
            </w:pPr>
          </w:p>
        </w:tc>
      </w:tr>
      <w:tr>
        <w:trPr>
          <w:trHeight w:val="224"/>
        </w:trPr>
        <w:tc>
          <w:tcPr>
            <w:tcW w:w="52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12,590</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12,040</w:t>
            </w:r>
          </w:p>
        </w:tc>
      </w:tr>
      <w:tr>
        <w:trPr>
          <w:trHeight w:val="46"/>
        </w:trPr>
        <w:tc>
          <w:tcPr>
            <w:tcW w:w="520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at March 31, 2020 the Company maintains a $21.2 million liability (December 31, 2019: $21.3 million) for unrecognized tax benefit, which is comprised of $20.1 million (December 31, 2019: $20.2 million) related to items generating unrecognized tax benefits and $1.1 million (December 31, 2019: $1.1 million) for interest and related penalties to such items. The Company recognizes interest accrued on unrecognized tax benefits as an additional income tax expense.</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2015 through 2019 tax years. The Company does not believe that the outcome of any examination will have a material impact on its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Net income per ordinary share</w:t>
      </w:r>
    </w:p>
    <w:p>
      <w:pPr>
        <w:spacing w:after="0" w:line="21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1"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48895</wp:posOffset>
            </wp:positionV>
            <wp:extent cx="1774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March 31, 2020</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ordinary shares outstanding for basic net income per ordinary share</w:t>
            </w:r>
          </w:p>
        </w:tc>
        <w:tc>
          <w:tcPr>
            <w:tcW w:w="2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53,348,355</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53,845,407</w:t>
            </w:r>
          </w:p>
        </w:tc>
      </w:tr>
      <w:tr>
        <w:trPr>
          <w:trHeight w:val="277"/>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Effect of dilutive share options outstanding</w:t>
            </w:r>
          </w:p>
        </w:tc>
        <w:tc>
          <w:tcPr>
            <w:tcW w:w="2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556,667</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297,103</w:t>
            </w:r>
          </w:p>
        </w:tc>
      </w:tr>
      <w:tr>
        <w:trPr>
          <w:trHeight w:val="263"/>
        </w:trPr>
        <w:tc>
          <w:tcPr>
            <w:tcW w:w="7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Weighted average number of ordinary shares outstanding for diluted net income per ordinary share</w:t>
            </w:r>
          </w:p>
        </w:tc>
        <w:tc>
          <w:tcPr>
            <w:tcW w:w="2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53,905,022</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54,142,510</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15" w:right="339" w:bottom="1440" w:gutter="0" w:footer="0" w:header="0"/>
        </w:sectPr>
      </w:pPr>
    </w:p>
    <w:bookmarkStart w:id="17" w:name="page18"/>
    <w:bookmarkEnd w:id="17"/>
    <w:p>
      <w:pPr>
        <w:ind w:right="240" w:firstLine="648"/>
        <w:spacing w:after="0" w:line="260" w:lineRule="auto"/>
        <w:rPr>
          <w:sz w:val="20"/>
          <w:szCs w:val="20"/>
          <w:color w:val="auto"/>
        </w:rPr>
      </w:pPr>
      <w:r>
        <w:rPr>
          <w:rFonts w:ascii="Arial" w:cs="Arial" w:eastAsia="Arial" w:hAnsi="Arial"/>
          <w:sz w:val="16"/>
          <w:szCs w:val="16"/>
          <w:color w:val="auto"/>
        </w:rPr>
        <w:t>The reconciliation of net income attributable to the Group and net income attributable to the group (including NCI redemption amount) as used to calculate net income per ordinary share attributable to the Group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17"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31750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March 31, 2020</w:t>
            </w:r>
          </w:p>
        </w:tc>
        <w:tc>
          <w:tcPr>
            <w:tcW w:w="14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69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720" w:type="dxa"/>
            <w:vAlign w:val="bottom"/>
            <w:shd w:val="clear" w:color="auto" w:fill="CCEEFF"/>
          </w:tcPr>
          <w:p>
            <w:pPr>
              <w:spacing w:after="0"/>
              <w:rPr>
                <w:sz w:val="23"/>
                <w:szCs w:val="23"/>
                <w:color w:val="auto"/>
              </w:rPr>
            </w:pPr>
          </w:p>
        </w:tc>
      </w:tr>
      <w:tr>
        <w:trPr>
          <w:trHeight w:val="233"/>
        </w:trPr>
        <w:tc>
          <w:tcPr>
            <w:tcW w:w="6960" w:type="dxa"/>
            <w:vAlign w:val="bottom"/>
          </w:tcPr>
          <w:p>
            <w:pPr>
              <w:ind w:left="40"/>
              <w:spacing w:after="0"/>
              <w:rPr>
                <w:sz w:val="20"/>
                <w:szCs w:val="20"/>
                <w:color w:val="auto"/>
              </w:rPr>
            </w:pPr>
            <w:r>
              <w:rPr>
                <w:rFonts w:ascii="Arial" w:cs="Arial" w:eastAsia="Arial" w:hAnsi="Arial"/>
                <w:sz w:val="16"/>
                <w:szCs w:val="16"/>
                <w:color w:val="auto"/>
              </w:rPr>
              <w:t>Net income attributable to the Group</w:t>
            </w: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91,696</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88,297</w:t>
            </w:r>
          </w:p>
        </w:tc>
      </w:tr>
      <w:tr>
        <w:trPr>
          <w:trHeight w:val="287"/>
        </w:trPr>
        <w:tc>
          <w:tcPr>
            <w:tcW w:w="6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 adjustment to redemption amount</w:t>
            </w:r>
          </w:p>
        </w:tc>
        <w:tc>
          <w:tcPr>
            <w:tcW w:w="19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(4,522)</w:t>
            </w:r>
          </w:p>
        </w:tc>
        <w:tc>
          <w:tcPr>
            <w:tcW w:w="7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 attributable to the Group (including NCI redemption adjustment)</w:t>
            </w: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87,174</w:t>
            </w:r>
          </w:p>
        </w:tc>
        <w:tc>
          <w:tcPr>
            <w:tcW w:w="7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88,297</w:t>
            </w:r>
          </w:p>
        </w:tc>
      </w:tr>
      <w:tr>
        <w:trPr>
          <w:trHeight w:val="324"/>
        </w:trPr>
        <w:tc>
          <w:tcPr>
            <w:tcW w:w="69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9"/>
                <w:szCs w:val="19"/>
                <w:color w:val="auto"/>
              </w:rPr>
            </w:pPr>
          </w:p>
        </w:tc>
      </w:tr>
      <w:tr>
        <w:trPr>
          <w:trHeight w:val="264"/>
        </w:trPr>
        <w:tc>
          <w:tcPr>
            <w:tcW w:w="84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March 31, 2020</w:t>
            </w:r>
          </w:p>
        </w:tc>
        <w:tc>
          <w:tcPr>
            <w:tcW w:w="144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33"/>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Net income per Ordinary Share attributable to the Group (including NCI redemption adjustment):</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3"/>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237"/>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c>
          <w:tcPr>
            <w:tcW w:w="9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r>
      <w:tr>
        <w:trPr>
          <w:trHeight w:val="20"/>
        </w:trPr>
        <w:tc>
          <w:tcPr>
            <w:tcW w:w="8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Share-based awards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March 31, 2020 is eight years.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73"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The following table summarizes option activity for the three months ended March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20" w:type="dxa"/>
            <w:vAlign w:val="bottom"/>
            <w:shd w:val="clear" w:color="auto" w:fill="CCEEFF"/>
          </w:tcPr>
          <w:p>
            <w:pPr>
              <w:spacing w:after="0"/>
              <w:rPr>
                <w:sz w:val="16"/>
                <w:szCs w:val="16"/>
                <w:color w:val="auto"/>
              </w:rPr>
            </w:pPr>
          </w:p>
        </w:tc>
        <w:tc>
          <w:tcPr>
            <w:tcW w:w="2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Options</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Weighted</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Weighted</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20" w:type="dxa"/>
            <w:vAlign w:val="bottom"/>
            <w:shd w:val="clear" w:color="auto" w:fill="CCEEFF"/>
          </w:tcPr>
          <w:p>
            <w:pPr>
              <w:spacing w:after="0"/>
              <w:rPr>
                <w:sz w:val="16"/>
                <w:szCs w:val="16"/>
                <w:color w:val="auto"/>
              </w:rPr>
            </w:pPr>
          </w:p>
        </w:tc>
        <w:tc>
          <w:tcPr>
            <w:tcW w:w="2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Average</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Average Grant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020" w:type="dxa"/>
            <w:vAlign w:val="bottom"/>
            <w:shd w:val="clear" w:color="auto" w:fill="CCEEFF"/>
          </w:tcPr>
          <w:p>
            <w:pPr>
              <w:spacing w:after="0"/>
              <w:rPr>
                <w:sz w:val="16"/>
                <w:szCs w:val="16"/>
                <w:color w:val="auto"/>
              </w:rPr>
            </w:pPr>
          </w:p>
        </w:tc>
        <w:tc>
          <w:tcPr>
            <w:tcW w:w="2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Exercise</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Date</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0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Price</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77"/>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Outstanding at December 31, 2019</w:t>
            </w:r>
          </w:p>
        </w:tc>
        <w:tc>
          <w:tcPr>
            <w:tcW w:w="2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656,107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26.60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r>
      <w:tr>
        <w:trPr>
          <w:trHeight w:val="27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2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100,207</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159.33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42.11</w:t>
            </w:r>
          </w:p>
        </w:tc>
        <w:tc>
          <w:tcPr>
            <w:tcW w:w="1300" w:type="dxa"/>
            <w:vAlign w:val="bottom"/>
            <w:shd w:val="clear" w:color="auto" w:fill="CCEEFF"/>
          </w:tcPr>
          <w:p>
            <w:pPr>
              <w:spacing w:after="0"/>
              <w:rPr>
                <w:sz w:val="23"/>
                <w:szCs w:val="23"/>
                <w:color w:val="auto"/>
              </w:rPr>
            </w:pP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2560" w:type="dxa"/>
            <w:vAlign w:val="bottom"/>
          </w:tcPr>
          <w:p>
            <w:pPr>
              <w:jc w:val="right"/>
              <w:ind w:right="19"/>
              <w:spacing w:after="0"/>
              <w:rPr>
                <w:sz w:val="20"/>
                <w:szCs w:val="20"/>
                <w:color w:val="auto"/>
              </w:rPr>
            </w:pPr>
            <w:r>
              <w:rPr>
                <w:rFonts w:ascii="Arial" w:cs="Arial" w:eastAsia="Arial" w:hAnsi="Arial"/>
                <w:sz w:val="16"/>
                <w:szCs w:val="16"/>
                <w:color w:val="auto"/>
              </w:rPr>
              <w:t>(31,964)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99"/>
              <w:spacing w:after="0"/>
              <w:rPr>
                <w:sz w:val="20"/>
                <w:szCs w:val="20"/>
                <w:color w:val="auto"/>
              </w:rPr>
            </w:pPr>
            <w:r>
              <w:rPr>
                <w:rFonts w:ascii="Arial" w:cs="Arial" w:eastAsia="Arial" w:hAnsi="Arial"/>
                <w:sz w:val="16"/>
                <w:szCs w:val="16"/>
                <w:color w:val="auto"/>
              </w:rPr>
              <w:t>10.82</w:t>
            </w:r>
          </w:p>
        </w:tc>
        <w:tc>
          <w:tcPr>
            <w:tcW w:w="1300" w:type="dxa"/>
            <w:vAlign w:val="bottom"/>
          </w:tcPr>
          <w:p>
            <w:pPr>
              <w:spacing w:after="0"/>
              <w:rPr>
                <w:sz w:val="22"/>
                <w:szCs w:val="22"/>
                <w:color w:val="auto"/>
              </w:rPr>
            </w:pPr>
          </w:p>
        </w:tc>
      </w:tr>
      <w:tr>
        <w:trPr>
          <w:trHeight w:val="287"/>
        </w:trPr>
        <w:tc>
          <w:tcPr>
            <w:tcW w:w="4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Canceled/expired</w:t>
            </w:r>
          </w:p>
        </w:tc>
        <w:tc>
          <w:tcPr>
            <w:tcW w:w="2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c>
          <w:tcPr>
            <w:tcW w:w="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9.72</w:t>
            </w:r>
          </w:p>
        </w:tc>
        <w:tc>
          <w:tcPr>
            <w:tcW w:w="1300" w:type="dxa"/>
            <w:vAlign w:val="bottom"/>
            <w:tcBorders>
              <w:bottom w:val="single" w:sz="8" w:color="auto"/>
            </w:tcBorders>
            <w:shd w:val="clear" w:color="auto" w:fill="CCEEFF"/>
          </w:tcPr>
          <w:p>
            <w:pPr>
              <w:spacing w:after="0"/>
              <w:rPr>
                <w:sz w:val="24"/>
                <w:szCs w:val="24"/>
                <w:color w:val="auto"/>
              </w:rPr>
            </w:pPr>
          </w:p>
        </w:tc>
      </w:tr>
      <w:tr>
        <w:trPr>
          <w:trHeight w:val="297"/>
        </w:trPr>
        <w:tc>
          <w:tcPr>
            <w:tcW w:w="40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3"/>
        </w:trPr>
        <w:tc>
          <w:tcPr>
            <w:tcW w:w="4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Outstanding at March 31, 2020</w:t>
            </w:r>
          </w:p>
        </w:tc>
        <w:tc>
          <w:tcPr>
            <w:tcW w:w="2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723,020</w:t>
            </w:r>
          </w:p>
        </w:tc>
        <w:tc>
          <w:tcPr>
            <w:tcW w:w="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29.48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40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4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Exercisable at March 31, 2020</w:t>
            </w:r>
          </w:p>
        </w:tc>
        <w:tc>
          <w:tcPr>
            <w:tcW w:w="2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365,707</w:t>
            </w:r>
          </w:p>
        </w:tc>
        <w:tc>
          <w:tcPr>
            <w:tcW w:w="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79.57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23.91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has outstanding options with fair values ranging from $9.72 to $43.59 per option or a weighted average fair value of $18.95 per option. The Company issues ordinary shares for all options exercised. The total amount of fully vested share options which remained outstanding at March 31, 2020 was 365,707. Fully vested share options at March 31, 2020 have an average remaining contractual term of 4.06 years, an average exercise price of $79.57 and a total intrinsic value of $20.7 million. The total intrinsic value of options exercised during the three months ended March 31, 2020 was $3.5 million (March 31, 2019: $5.4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movement in non-vested share options for the three months ended March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20" w:type="dxa"/>
            <w:vAlign w:val="bottom"/>
            <w:shd w:val="clear" w:color="auto" w:fill="CCEEFF"/>
          </w:tcPr>
          <w:p>
            <w:pPr>
              <w:spacing w:after="0"/>
              <w:rPr>
                <w:sz w:val="17"/>
                <w:szCs w:val="17"/>
                <w:color w:val="auto"/>
              </w:rPr>
            </w:pPr>
          </w:p>
        </w:tc>
        <w:tc>
          <w:tcPr>
            <w:tcW w:w="2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Options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5220" w:type="dxa"/>
            <w:vAlign w:val="bottom"/>
            <w:shd w:val="clear" w:color="auto" w:fill="CCEEFF"/>
          </w:tcPr>
          <w:p>
            <w:pPr>
              <w:spacing w:after="0"/>
              <w:rPr>
                <w:sz w:val="16"/>
                <w:szCs w:val="16"/>
                <w:color w:val="auto"/>
              </w:rPr>
            </w:pPr>
          </w:p>
        </w:tc>
        <w:tc>
          <w:tcPr>
            <w:tcW w:w="2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Weighted</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220" w:type="dxa"/>
            <w:vAlign w:val="bottom"/>
            <w:shd w:val="clear" w:color="auto" w:fill="CCEEFF"/>
          </w:tcPr>
          <w:p>
            <w:pPr>
              <w:spacing w:after="0"/>
              <w:rPr>
                <w:sz w:val="16"/>
                <w:szCs w:val="16"/>
                <w:color w:val="auto"/>
              </w:rPr>
            </w:pPr>
          </w:p>
        </w:tc>
        <w:tc>
          <w:tcPr>
            <w:tcW w:w="29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Average</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22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Exercise Price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Value</w:t>
            </w:r>
          </w:p>
        </w:tc>
      </w:tr>
      <w:tr>
        <w:trPr>
          <w:trHeight w:val="277"/>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Non-vested outstanding at December 31, 2019</w:t>
            </w:r>
          </w:p>
        </w:tc>
        <w:tc>
          <w:tcPr>
            <w:tcW w:w="2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358,030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31.28</w:t>
            </w:r>
          </w:p>
        </w:tc>
      </w:tr>
      <w:tr>
        <w:trPr>
          <w:trHeight w:val="270"/>
        </w:trPr>
        <w:tc>
          <w:tcPr>
            <w:tcW w:w="52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Granted</w:t>
            </w:r>
          </w:p>
        </w:tc>
        <w:tc>
          <w:tcPr>
            <w:tcW w:w="2920" w:type="dxa"/>
            <w:vAlign w:val="bottom"/>
          </w:tcPr>
          <w:p>
            <w:pPr>
              <w:jc w:val="right"/>
              <w:ind w:right="79"/>
              <w:spacing w:after="0"/>
              <w:rPr>
                <w:sz w:val="20"/>
                <w:szCs w:val="20"/>
                <w:color w:val="auto"/>
              </w:rPr>
            </w:pPr>
            <w:r>
              <w:rPr>
                <w:rFonts w:ascii="Arial" w:cs="Arial" w:eastAsia="Arial" w:hAnsi="Arial"/>
                <w:sz w:val="16"/>
                <w:szCs w:val="16"/>
                <w:color w:val="auto"/>
              </w:rPr>
              <w:t>100,207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159.33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42.11</w:t>
            </w:r>
          </w:p>
        </w:tc>
      </w:tr>
      <w:tr>
        <w:trPr>
          <w:trHeight w:val="280"/>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2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(100,924)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94.22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r>
      <w:tr>
        <w:trPr>
          <w:trHeight w:val="277"/>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Forfeited</w:t>
            </w:r>
          </w:p>
        </w:tc>
        <w:tc>
          <w:tcPr>
            <w:tcW w:w="2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Non-vested outstanding at March 31, 2020</w:t>
            </w:r>
          </w:p>
        </w:tc>
        <w:tc>
          <w:tcPr>
            <w:tcW w:w="2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357,313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35.19</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fair value of options granted during the three months ended March 31, 2020 and March 31, 2019 was calculated using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pricing model. The weighted average grant date fair values and assumptions used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7"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48895</wp:posOffset>
            </wp:positionV>
            <wp:extent cx="20059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2019</w:t>
            </w: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5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43.59</w:t>
            </w:r>
          </w:p>
        </w:tc>
      </w:tr>
      <w:tr>
        <w:trPr>
          <w:trHeight w:val="189"/>
        </w:trPr>
        <w:tc>
          <w:tcPr>
            <w:tcW w:w="40" w:type="dxa"/>
            <w:vAlign w:val="bottom"/>
          </w:tcPr>
          <w:p>
            <w:pPr>
              <w:spacing w:after="0"/>
              <w:rPr>
                <w:sz w:val="16"/>
                <w:szCs w:val="16"/>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Assumptions:</w:t>
            </w:r>
          </w:p>
        </w:tc>
        <w:tc>
          <w:tcPr>
            <w:tcW w:w="2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44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7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60"/>
        </w:trPr>
        <w:tc>
          <w:tcPr>
            <w:tcW w:w="4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27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4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7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23"/>
        </w:trPr>
        <w:tc>
          <w:tcPr>
            <w:tcW w:w="4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6"/>
                <w:szCs w:val="16"/>
                <w:color w:val="auto"/>
              </w:rPr>
              <w:t>Expected life</w:t>
            </w:r>
          </w:p>
        </w:tc>
        <w:tc>
          <w:tcPr>
            <w:tcW w:w="2780" w:type="dxa"/>
            <w:vAlign w:val="bottom"/>
          </w:tcPr>
          <w:p>
            <w:pPr>
              <w:spacing w:after="0"/>
              <w:rPr>
                <w:sz w:val="19"/>
                <w:szCs w:val="19"/>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 years</w:t>
            </w:r>
          </w:p>
        </w:tc>
        <w:tc>
          <w:tcPr>
            <w:tcW w:w="22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 years</w:t>
            </w:r>
          </w:p>
        </w:tc>
      </w:tr>
      <w:tr>
        <w:trPr>
          <w:trHeight w:val="47"/>
        </w:trPr>
        <w:tc>
          <w:tcPr>
            <w:tcW w:w="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ectPr>
          <w:pgSz w:w="11900" w:h="16838" w:orient="portrait"/>
          <w:cols w:equalWidth="0" w:num="1">
            <w:col w:w="11240"/>
          </w:cols>
          <w:pgMar w:left="320" w:top="762"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76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in May 2019 vest over twelve months.</w:t>
      </w:r>
    </w:p>
    <w:p>
      <w:pPr>
        <w:spacing w:after="0" w:line="176" w:lineRule="exact"/>
        <w:rPr>
          <w:sz w:val="20"/>
          <w:szCs w:val="20"/>
          <w:color w:val="auto"/>
        </w:rPr>
      </w:pPr>
    </w:p>
    <w:p>
      <w:pPr>
        <w:ind w:right="120" w:firstLine="648"/>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three months ended March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PSU</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89"/>
        </w:trPr>
        <w:tc>
          <w:tcPr>
            <w:tcW w:w="30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PSU</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Weighted</w:t>
            </w: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RSU</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0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PSU</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Weighted</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Average</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RSU</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0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Average Grant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Remaining</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Average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30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Date</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Contractual</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Grant Date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30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Life</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77"/>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Outstanding at December 31, 2019</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175,989</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110.79</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389,900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119.07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83"/>
        </w:trPr>
        <w:tc>
          <w:tcPr>
            <w:tcW w:w="30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3000" w:type="dxa"/>
            <w:vAlign w:val="bottom"/>
          </w:tcPr>
          <w:p>
            <w:pPr>
              <w:ind w:left="4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52,960</w:t>
            </w:r>
          </w:p>
        </w:tc>
        <w:tc>
          <w:tcPr>
            <w:tcW w:w="320" w:type="dxa"/>
            <w:vAlign w:val="bottom"/>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159.33</w:t>
            </w:r>
          </w:p>
        </w:tc>
        <w:tc>
          <w:tcPr>
            <w:tcW w:w="1320" w:type="dxa"/>
            <w:vAlign w:val="bottom"/>
          </w:tcPr>
          <w:p>
            <w:pPr>
              <w:spacing w:after="0"/>
              <w:rPr>
                <w:sz w:val="22"/>
                <w:szCs w:val="22"/>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23,238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159.33</w:t>
            </w:r>
          </w:p>
        </w:tc>
        <w:tc>
          <w:tcPr>
            <w:tcW w:w="1180" w:type="dxa"/>
            <w:vAlign w:val="bottom"/>
          </w:tcPr>
          <w:p>
            <w:pPr>
              <w:spacing w:after="0"/>
              <w:rPr>
                <w:sz w:val="22"/>
                <w:szCs w:val="22"/>
                <w:color w:val="auto"/>
              </w:rPr>
            </w:pPr>
          </w:p>
        </w:tc>
      </w:tr>
      <w:tr>
        <w:trPr>
          <w:trHeight w:val="280"/>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vested</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(59,192)</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83.47</w:t>
            </w:r>
          </w:p>
        </w:tc>
        <w:tc>
          <w:tcPr>
            <w:tcW w:w="1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106.77</w:t>
            </w:r>
          </w:p>
        </w:tc>
        <w:tc>
          <w:tcPr>
            <w:tcW w:w="1180" w:type="dxa"/>
            <w:vAlign w:val="bottom"/>
            <w:shd w:val="clear" w:color="auto" w:fill="CCEEFF"/>
          </w:tcPr>
          <w:p>
            <w:pPr>
              <w:spacing w:after="0"/>
              <w:rPr>
                <w:sz w:val="24"/>
                <w:szCs w:val="24"/>
                <w:color w:val="auto"/>
              </w:rPr>
            </w:pPr>
          </w:p>
        </w:tc>
      </w:tr>
      <w:tr>
        <w:trPr>
          <w:trHeight w:val="277"/>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83.47</w:t>
            </w: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111.07</w:t>
            </w:r>
          </w:p>
        </w:tc>
        <w:tc>
          <w:tcPr>
            <w:tcW w:w="1180" w:type="dxa"/>
            <w:vAlign w:val="bottom"/>
            <w:tcBorders>
              <w:bottom w:val="single" w:sz="8" w:color="auto"/>
            </w:tcBorders>
          </w:tcPr>
          <w:p>
            <w:pPr>
              <w:spacing w:after="0"/>
              <w:rPr>
                <w:sz w:val="24"/>
                <w:szCs w:val="24"/>
                <w:color w:val="auto"/>
              </w:rPr>
            </w:pPr>
          </w:p>
        </w:tc>
      </w:tr>
      <w:tr>
        <w:trPr>
          <w:trHeight w:val="284"/>
        </w:trPr>
        <w:tc>
          <w:tcPr>
            <w:tcW w:w="30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3"/>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Outstanding at March 31, 2020</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169,575</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135.50</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377,977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122.64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three months ended March 31, 2020 totaled $4.9 million (full year 2019: $16.5 million).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three months ended March 31, 2020 totaled $3.3 million (full year 2019: $8.5 million).</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PSUs vest based on service and specified EPS targets over the periods 2017 – 2019, 2018 – 2020 and 2019 – 2021. Depending on the amount of EPS from 2017 to 2021, up to an additional 78,274 PSUs may also be granted.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Non-cash stock compensation expense for the three months ended March 31, 2020 and March 31, 2019 has been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7"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48895</wp:posOffset>
            </wp:positionV>
            <wp:extent cx="178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March 31, 2020</w:t>
            </w: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 2019</w:t>
            </w:r>
          </w:p>
        </w:tc>
      </w:tr>
      <w:tr>
        <w:trPr>
          <w:trHeight w:val="250"/>
        </w:trPr>
        <w:tc>
          <w:tcPr>
            <w:tcW w:w="548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Borders>
              <w:bottom w:val="single" w:sz="8" w:color="CCEEFF"/>
            </w:tcBorders>
            <w:shd w:val="clear" w:color="auto" w:fill="CCEEFF"/>
          </w:tcPr>
          <w:p>
            <w:pPr>
              <w:spacing w:after="0"/>
              <w:rPr>
                <w:sz w:val="21"/>
                <w:szCs w:val="21"/>
                <w:color w:val="auto"/>
              </w:rPr>
            </w:pP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Direct costs</w:t>
            </w:r>
          </w:p>
        </w:tc>
        <w:tc>
          <w:tcPr>
            <w:tcW w:w="34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1,835</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3,901</w:t>
            </w:r>
          </w:p>
        </w:tc>
      </w:tr>
      <w:tr>
        <w:trPr>
          <w:trHeight w:val="287"/>
        </w:trPr>
        <w:tc>
          <w:tcPr>
            <w:tcW w:w="5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34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4,234</w:t>
            </w:r>
          </w:p>
        </w:tc>
        <w:tc>
          <w:tcPr>
            <w:tcW w:w="7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3,178</w:t>
            </w:r>
          </w:p>
        </w:tc>
      </w:tr>
      <w:tr>
        <w:trPr>
          <w:trHeight w:val="283"/>
        </w:trPr>
        <w:tc>
          <w:tcPr>
            <w:tcW w:w="5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4"/>
        </w:trPr>
        <w:tc>
          <w:tcPr>
            <w:tcW w:w="5480" w:type="dxa"/>
            <w:vAlign w:val="bottom"/>
            <w:tcBorders>
              <w:bottom w:val="single" w:sz="8" w:color="auto"/>
            </w:tcBorders>
            <w:shd w:val="clear" w:color="auto" w:fill="CCEEFF"/>
          </w:tcPr>
          <w:p>
            <w:pPr>
              <w:spacing w:after="0"/>
              <w:rPr>
                <w:sz w:val="22"/>
                <w:szCs w:val="22"/>
                <w:color w:val="auto"/>
              </w:rPr>
            </w:pPr>
          </w:p>
        </w:tc>
        <w:tc>
          <w:tcPr>
            <w:tcW w:w="3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6,069</w:t>
            </w:r>
          </w:p>
        </w:tc>
        <w:tc>
          <w:tcPr>
            <w:tcW w:w="7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7,079</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non-cash stock compensation expense not yet recognized at March 31, 2020 amounted to $50.7 million. The weighted average period over which this is expected to be recognized is 2.48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4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12. Share capital</w:t>
      </w:r>
    </w:p>
    <w:p>
      <w:pPr>
        <w:spacing w:after="0" w:line="21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three months ended March 31, 2020 1,235,218 ordinary shares were redeemed by the Company under this buyback program for a total consideration of $175.0 million.</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Business segment information</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1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Bulgaria, France, Germany, Italy, Spain, Poland, Portugal, Czech Republic, Hungary, Israel, Latvia, Romania, Russia, Serbia, Sweden, The Netherlands, Turkey, Ukraine, Canada, Argentina, Brazil, Chile, Colombia, Mexico, Peru, India, China (including Hong Kong), Japan, Singapore, South Korea, The Philippines, Taiwan, Thailand, Australia, New Zealand and South Africa.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3"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6"/>
          <w:szCs w:val="16"/>
          <w:color w:val="auto"/>
        </w:rPr>
        <w:t>The geographical distribution of the Company’s segment measures as at March 31, 2020 and December 31, 2019 and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31, 2020 and March 31, 2019 is as follows: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distribution of revenue by geographical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27"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48895</wp:posOffset>
            </wp:positionV>
            <wp:extent cx="16287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March 31,</w:t>
            </w:r>
          </w:p>
        </w:tc>
      </w:tr>
      <w:tr>
        <w:trPr>
          <w:trHeight w:val="228"/>
        </w:trPr>
        <w:tc>
          <w:tcPr>
            <w:tcW w:w="49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50"/>
        </w:trPr>
        <w:tc>
          <w:tcPr>
            <w:tcW w:w="49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(in thousands)</w:t>
            </w:r>
          </w:p>
        </w:tc>
      </w:tr>
      <w:tr>
        <w:trPr>
          <w:trHeight w:val="260"/>
        </w:trPr>
        <w:tc>
          <w:tcPr>
            <w:tcW w:w="4900" w:type="dxa"/>
            <w:vAlign w:val="bottom"/>
          </w:tcPr>
          <w:p>
            <w:pPr>
              <w:ind w:left="40"/>
              <w:spacing w:after="0"/>
              <w:rPr>
                <w:sz w:val="20"/>
                <w:szCs w:val="20"/>
                <w:color w:val="auto"/>
              </w:rPr>
            </w:pPr>
            <w:r>
              <w:rPr>
                <w:rFonts w:ascii="Arial" w:cs="Arial" w:eastAsia="Arial" w:hAnsi="Arial"/>
                <w:sz w:val="16"/>
                <w:szCs w:val="16"/>
                <w:color w:val="auto"/>
              </w:rPr>
              <w:t>Ireland *</w:t>
            </w:r>
          </w:p>
        </w:tc>
        <w:tc>
          <w:tcPr>
            <w:tcW w:w="4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314,972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298,483</w:t>
            </w:r>
          </w:p>
        </w:tc>
      </w:tr>
      <w:tr>
        <w:trPr>
          <w:trHeight w:val="280"/>
        </w:trPr>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40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102,431</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90,445</w:t>
            </w:r>
          </w:p>
        </w:tc>
      </w:tr>
      <w:tr>
        <w:trPr>
          <w:trHeight w:val="260"/>
        </w:trPr>
        <w:tc>
          <w:tcPr>
            <w:tcW w:w="4900" w:type="dxa"/>
            <w:vAlign w:val="bottom"/>
          </w:tcPr>
          <w:p>
            <w:pPr>
              <w:ind w:left="40"/>
              <w:spacing w:after="0"/>
              <w:rPr>
                <w:sz w:val="20"/>
                <w:szCs w:val="20"/>
                <w:color w:val="auto"/>
              </w:rPr>
            </w:pPr>
            <w:r>
              <w:rPr>
                <w:rFonts w:ascii="Arial" w:cs="Arial" w:eastAsia="Arial" w:hAnsi="Arial"/>
                <w:sz w:val="16"/>
                <w:szCs w:val="16"/>
                <w:color w:val="auto"/>
              </w:rPr>
              <w:t>U.S.</w:t>
            </w:r>
          </w:p>
        </w:tc>
        <w:tc>
          <w:tcPr>
            <w:tcW w:w="40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225,467</w:t>
            </w:r>
          </w:p>
        </w:tc>
        <w:tc>
          <w:tcPr>
            <w:tcW w:w="3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218,540</w:t>
            </w:r>
          </w:p>
        </w:tc>
      </w:tr>
      <w:tr>
        <w:trPr>
          <w:trHeight w:val="287"/>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Rest of World</w:t>
            </w:r>
          </w:p>
        </w:tc>
        <w:tc>
          <w:tcPr>
            <w:tcW w:w="40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72,232</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67,384</w:t>
            </w:r>
          </w:p>
        </w:tc>
      </w:tr>
      <w:tr>
        <w:trPr>
          <w:trHeight w:val="297"/>
        </w:trPr>
        <w:tc>
          <w:tcPr>
            <w:tcW w:w="49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715,102</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674,852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20" w:hanging="113"/>
        <w:spacing w:after="0"/>
        <w:tabs>
          <w:tab w:leader="none" w:pos="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sales shown for Ireland are export sales.</w:t>
      </w:r>
    </w:p>
    <w:p>
      <w:pPr>
        <w:spacing w:after="0" w:line="194" w:lineRule="exact"/>
        <w:rPr>
          <w:rFonts w:ascii="Arial" w:cs="Arial" w:eastAsia="Arial" w:hAnsi="Arial"/>
          <w:sz w:val="16"/>
          <w:szCs w:val="16"/>
          <w:color w:val="auto"/>
        </w:rPr>
      </w:pPr>
    </w:p>
    <w:p>
      <w:pPr>
        <w:ind w:left="520" w:hanging="188"/>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distribution of income from operations including restructuring by geographical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27"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48895</wp:posOffset>
            </wp:positionV>
            <wp:extent cx="16287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March 31,</w:t>
            </w:r>
          </w:p>
        </w:tc>
      </w:tr>
      <w:tr>
        <w:trPr>
          <w:trHeight w:val="228"/>
        </w:trPr>
        <w:tc>
          <w:tcPr>
            <w:tcW w:w="49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50"/>
        </w:trPr>
        <w:tc>
          <w:tcPr>
            <w:tcW w:w="49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(in thousands)</w:t>
            </w:r>
          </w:p>
        </w:tc>
      </w:tr>
      <w:tr>
        <w:trPr>
          <w:trHeight w:val="260"/>
        </w:trPr>
        <w:tc>
          <w:tcPr>
            <w:tcW w:w="4900" w:type="dxa"/>
            <w:vAlign w:val="bottom"/>
          </w:tcPr>
          <w:p>
            <w:pPr>
              <w:ind w:left="40"/>
              <w:spacing w:after="0"/>
              <w:rPr>
                <w:sz w:val="20"/>
                <w:szCs w:val="20"/>
                <w:color w:val="auto"/>
              </w:rPr>
            </w:pPr>
            <w:r>
              <w:rPr>
                <w:rFonts w:ascii="Arial" w:cs="Arial" w:eastAsia="Arial" w:hAnsi="Arial"/>
                <w:sz w:val="16"/>
                <w:szCs w:val="16"/>
                <w:color w:val="auto"/>
              </w:rPr>
              <w:t>Ireland</w:t>
            </w:r>
          </w:p>
        </w:tc>
        <w:tc>
          <w:tcPr>
            <w:tcW w:w="4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73,935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70,621</w:t>
            </w:r>
          </w:p>
        </w:tc>
      </w:tr>
      <w:tr>
        <w:trPr>
          <w:trHeight w:val="280"/>
        </w:trPr>
        <w:tc>
          <w:tcPr>
            <w:tcW w:w="4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40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10,696</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5,850</w:t>
            </w:r>
          </w:p>
        </w:tc>
      </w:tr>
      <w:tr>
        <w:trPr>
          <w:trHeight w:val="260"/>
        </w:trPr>
        <w:tc>
          <w:tcPr>
            <w:tcW w:w="4900" w:type="dxa"/>
            <w:vAlign w:val="bottom"/>
          </w:tcPr>
          <w:p>
            <w:pPr>
              <w:ind w:left="40"/>
              <w:spacing w:after="0"/>
              <w:rPr>
                <w:sz w:val="20"/>
                <w:szCs w:val="20"/>
                <w:color w:val="auto"/>
              </w:rPr>
            </w:pPr>
            <w:r>
              <w:rPr>
                <w:rFonts w:ascii="Arial" w:cs="Arial" w:eastAsia="Arial" w:hAnsi="Arial"/>
                <w:sz w:val="16"/>
                <w:szCs w:val="16"/>
                <w:color w:val="auto"/>
              </w:rPr>
              <w:t>U.S.</w:t>
            </w:r>
          </w:p>
        </w:tc>
        <w:tc>
          <w:tcPr>
            <w:tcW w:w="40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13,891</w:t>
            </w:r>
          </w:p>
        </w:tc>
        <w:tc>
          <w:tcPr>
            <w:tcW w:w="3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17,107</w:t>
            </w:r>
          </w:p>
        </w:tc>
      </w:tr>
      <w:tr>
        <w:trPr>
          <w:trHeight w:val="287"/>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Rest of World</w:t>
            </w:r>
          </w:p>
        </w:tc>
        <w:tc>
          <w:tcPr>
            <w:tcW w:w="40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7,769</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8,368</w:t>
            </w:r>
          </w:p>
        </w:tc>
      </w:tr>
      <w:tr>
        <w:trPr>
          <w:trHeight w:val="297"/>
        </w:trPr>
        <w:tc>
          <w:tcPr>
            <w:tcW w:w="49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3"/>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106,291</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101,946</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 distribution of long-lived assets (including right-of-use assets), net, by geographical area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8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auto"/>
            </w:tcBorders>
            <w:shd w:val="clear" w:color="auto" w:fill="CCEEFF"/>
          </w:tcPr>
          <w:p>
            <w:pPr>
              <w:spacing w:after="0"/>
              <w:rPr>
                <w:sz w:val="19"/>
                <w:szCs w:val="19"/>
                <w:color w:val="auto"/>
              </w:rPr>
            </w:pPr>
          </w:p>
        </w:tc>
        <w:tc>
          <w:tcPr>
            <w:tcW w:w="498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3"/>
        </w:trPr>
        <w:tc>
          <w:tcPr>
            <w:tcW w:w="4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2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95"/>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Ireland</w:t>
            </w:r>
          </w:p>
        </w:tc>
        <w:tc>
          <w:tcPr>
            <w:tcW w:w="402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107,684</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110,522</w:t>
            </w: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spacing w:after="0"/>
              <w:rPr>
                <w:sz w:val="15"/>
                <w:szCs w:val="15"/>
                <w:color w:val="auto"/>
              </w:rPr>
            </w:pPr>
          </w:p>
        </w:tc>
        <w:tc>
          <w:tcPr>
            <w:tcW w:w="402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780" w:type="dxa"/>
            <w:vAlign w:val="bottom"/>
          </w:tcPr>
          <w:p>
            <w:pPr>
              <w:ind w:left="40"/>
              <w:spacing w:after="0"/>
              <w:rPr>
                <w:sz w:val="20"/>
                <w:szCs w:val="20"/>
                <w:color w:val="auto"/>
              </w:rPr>
            </w:pPr>
            <w:r>
              <w:rPr>
                <w:rFonts w:ascii="Arial" w:cs="Arial" w:eastAsia="Arial" w:hAnsi="Arial"/>
                <w:sz w:val="16"/>
                <w:szCs w:val="16"/>
                <w:color w:val="auto"/>
              </w:rPr>
              <w:t>Rest of Europe</w:t>
            </w:r>
          </w:p>
        </w:tc>
        <w:tc>
          <w:tcPr>
            <w:tcW w:w="402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40,398</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41,970</w:t>
            </w:r>
          </w:p>
        </w:tc>
        <w:tc>
          <w:tcPr>
            <w:tcW w:w="0" w:type="dxa"/>
            <w:vAlign w:val="bottom"/>
          </w:tcPr>
          <w:p>
            <w:pPr>
              <w:spacing w:after="0"/>
              <w:rPr>
                <w:sz w:val="1"/>
                <w:szCs w:val="1"/>
                <w:color w:val="auto"/>
              </w:rPr>
            </w:pPr>
          </w:p>
        </w:tc>
      </w:tr>
      <w:tr>
        <w:trPr>
          <w:trHeight w:val="280"/>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0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69,686</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72,578</w:t>
            </w:r>
          </w:p>
        </w:tc>
        <w:tc>
          <w:tcPr>
            <w:tcW w:w="0" w:type="dxa"/>
            <w:vAlign w:val="bottom"/>
          </w:tcPr>
          <w:p>
            <w:pPr>
              <w:spacing w:after="0"/>
              <w:rPr>
                <w:sz w:val="1"/>
                <w:szCs w:val="1"/>
                <w:color w:val="auto"/>
              </w:rPr>
            </w:pPr>
          </w:p>
        </w:tc>
      </w:tr>
      <w:tr>
        <w:trPr>
          <w:trHeight w:val="27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Rest of World</w:t>
            </w:r>
          </w:p>
        </w:tc>
        <w:tc>
          <w:tcPr>
            <w:tcW w:w="4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44,323</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44,994</w:t>
            </w:r>
          </w:p>
        </w:tc>
        <w:tc>
          <w:tcPr>
            <w:tcW w:w="0" w:type="dxa"/>
            <w:vAlign w:val="bottom"/>
          </w:tcPr>
          <w:p>
            <w:pPr>
              <w:spacing w:after="0"/>
              <w:rPr>
                <w:sz w:val="1"/>
                <w:szCs w:val="1"/>
                <w:color w:val="auto"/>
              </w:rPr>
            </w:pPr>
          </w:p>
        </w:tc>
      </w:tr>
      <w:tr>
        <w:trPr>
          <w:trHeight w:val="324"/>
        </w:trPr>
        <w:tc>
          <w:tcPr>
            <w:tcW w:w="478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4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262,091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270,064</w:t>
            </w:r>
          </w:p>
        </w:tc>
        <w:tc>
          <w:tcPr>
            <w:tcW w:w="0" w:type="dxa"/>
            <w:vAlign w:val="bottom"/>
          </w:tcPr>
          <w:p>
            <w:pPr>
              <w:spacing w:after="0"/>
              <w:rPr>
                <w:sz w:val="1"/>
                <w:szCs w:val="1"/>
                <w:color w:val="auto"/>
              </w:rPr>
            </w:pPr>
          </w:p>
        </w:tc>
      </w:tr>
      <w:tr>
        <w:trPr>
          <w:trHeight w:val="108"/>
        </w:trPr>
        <w:tc>
          <w:tcPr>
            <w:tcW w:w="4780" w:type="dxa"/>
            <w:vAlign w:val="bottom"/>
            <w:shd w:val="clear" w:color="auto" w:fill="CCEEFF"/>
          </w:tcPr>
          <w:p>
            <w:pPr>
              <w:spacing w:after="0"/>
              <w:rPr>
                <w:sz w:val="9"/>
                <w:szCs w:val="9"/>
                <w:color w:val="auto"/>
              </w:rPr>
            </w:pPr>
          </w:p>
        </w:tc>
        <w:tc>
          <w:tcPr>
            <w:tcW w:w="40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62"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6"/>
          <w:szCs w:val="16"/>
          <w:color w:val="auto"/>
        </w:rPr>
        <w:t>d) The distribution of depreciation, amortization and reduction in carrying value of the right-of-use assets by geographical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27"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48895</wp:posOffset>
            </wp:positionV>
            <wp:extent cx="16287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March 31,</w:t>
            </w:r>
          </w:p>
        </w:tc>
      </w:tr>
      <w:tr>
        <w:trPr>
          <w:trHeight w:val="228"/>
        </w:trPr>
        <w:tc>
          <w:tcPr>
            <w:tcW w:w="69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50"/>
        </w:trPr>
        <w:tc>
          <w:tcPr>
            <w:tcW w:w="69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4"/>
            <w:shd w:val="clear" w:color="auto" w:fill="CCEEFF"/>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color w:val="auto"/>
              </w:rPr>
              <w:t>Ireland</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8,241</w:t>
            </w:r>
          </w:p>
        </w:tc>
        <w:tc>
          <w:tcPr>
            <w:tcW w:w="18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7,890</w:t>
            </w:r>
          </w:p>
        </w:tc>
      </w:tr>
      <w:tr>
        <w:trPr>
          <w:trHeight w:val="28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19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3,437</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color w:val="auto"/>
              </w:rPr>
              <w:t>U.S.</w:t>
            </w:r>
          </w:p>
        </w:tc>
        <w:tc>
          <w:tcPr>
            <w:tcW w:w="19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8,639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7,641</w:t>
            </w:r>
          </w:p>
        </w:tc>
      </w:tr>
      <w:tr>
        <w:trPr>
          <w:trHeight w:val="287"/>
        </w:trPr>
        <w:tc>
          <w:tcPr>
            <w:tcW w:w="6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Rest of World</w:t>
            </w:r>
          </w:p>
        </w:tc>
        <w:tc>
          <w:tcPr>
            <w:tcW w:w="19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3,975</w:t>
            </w:r>
          </w:p>
        </w:tc>
      </w:tr>
      <w:tr>
        <w:trPr>
          <w:trHeight w:val="297"/>
        </w:trPr>
        <w:tc>
          <w:tcPr>
            <w:tcW w:w="6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3"/>
        </w:trPr>
        <w:tc>
          <w:tcPr>
            <w:tcW w:w="6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23,650</w:t>
            </w:r>
          </w:p>
        </w:tc>
        <w:tc>
          <w:tcPr>
            <w:tcW w:w="1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22,943</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89"/>
        </w:trPr>
        <w:tc>
          <w:tcPr>
            <w:tcW w:w="6900" w:type="dxa"/>
            <w:vAlign w:val="bottom"/>
          </w:tcPr>
          <w:p>
            <w:pPr>
              <w:ind w:left="340"/>
              <w:spacing w:after="0"/>
              <w:rPr>
                <w:sz w:val="20"/>
                <w:szCs w:val="20"/>
                <w:color w:val="auto"/>
              </w:rPr>
            </w:pPr>
            <w:r>
              <w:rPr>
                <w:rFonts w:ascii="Arial" w:cs="Arial" w:eastAsia="Arial" w:hAnsi="Arial"/>
                <w:sz w:val="16"/>
                <w:szCs w:val="16"/>
                <w:color w:val="auto"/>
              </w:rPr>
              <w:t>e) The distribution of total assets by geographical area was as follows:</w:t>
            </w: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8"/>
        </w:trPr>
        <w:tc>
          <w:tcPr>
            <w:tcW w:w="6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r>
      <w:tr>
        <w:trPr>
          <w:trHeight w:val="198"/>
        </w:trPr>
        <w:tc>
          <w:tcPr>
            <w:tcW w:w="69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00" w:type="dxa"/>
            <w:vAlign w:val="bottom"/>
            <w:tcBorders>
              <w:bottom w:val="single" w:sz="8" w:color="auto"/>
            </w:tcBorders>
            <w:shd w:val="clear" w:color="auto" w:fill="CCEEFF"/>
          </w:tcPr>
          <w:p>
            <w:pPr>
              <w:spacing w:after="0"/>
              <w:rPr>
                <w:sz w:val="19"/>
                <w:szCs w:val="19"/>
                <w:color w:val="auto"/>
              </w:rPr>
            </w:pPr>
          </w:p>
        </w:tc>
        <w:tc>
          <w:tcPr>
            <w:tcW w:w="292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24"/>
        </w:trPr>
        <w:tc>
          <w:tcPr>
            <w:tcW w:w="6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38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46"/>
        </w:trPr>
        <w:tc>
          <w:tcPr>
            <w:tcW w:w="69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Ireland</w:t>
            </w:r>
          </w:p>
        </w:tc>
        <w:tc>
          <w:tcPr>
            <w:tcW w:w="19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1,625,180</w:t>
            </w:r>
          </w:p>
        </w:tc>
        <w:tc>
          <w:tcPr>
            <w:tcW w:w="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1,323,181</w:t>
            </w:r>
          </w:p>
        </w:tc>
      </w:tr>
      <w:tr>
        <w:trPr>
          <w:trHeight w:val="260"/>
        </w:trPr>
        <w:tc>
          <w:tcPr>
            <w:tcW w:w="6900" w:type="dxa"/>
            <w:vAlign w:val="bottom"/>
          </w:tcPr>
          <w:p>
            <w:pPr>
              <w:ind w:left="40"/>
              <w:spacing w:after="0"/>
              <w:rPr>
                <w:sz w:val="20"/>
                <w:szCs w:val="20"/>
                <w:color w:val="auto"/>
              </w:rPr>
            </w:pPr>
            <w:r>
              <w:rPr>
                <w:rFonts w:ascii="Arial" w:cs="Arial" w:eastAsia="Arial" w:hAnsi="Arial"/>
                <w:sz w:val="16"/>
                <w:szCs w:val="16"/>
                <w:color w:val="auto"/>
              </w:rPr>
              <w:t>Rest of Europe</w:t>
            </w:r>
          </w:p>
        </w:tc>
        <w:tc>
          <w:tcPr>
            <w:tcW w:w="194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615,734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660,797</w:t>
            </w:r>
          </w:p>
        </w:tc>
      </w:tr>
      <w:tr>
        <w:trPr>
          <w:trHeight w:val="280"/>
        </w:trPr>
        <w:tc>
          <w:tcPr>
            <w:tcW w:w="6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9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417,718</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755,271</w:t>
            </w:r>
          </w:p>
        </w:tc>
      </w:tr>
      <w:tr>
        <w:trPr>
          <w:trHeight w:val="277"/>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Rest of World</w:t>
            </w:r>
          </w:p>
        </w:tc>
        <w:tc>
          <w:tcPr>
            <w:tcW w:w="1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182,700</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168,263</w:t>
            </w:r>
          </w:p>
        </w:tc>
      </w:tr>
      <w:tr>
        <w:trPr>
          <w:trHeight w:val="297"/>
        </w:trPr>
        <w:tc>
          <w:tcPr>
            <w:tcW w:w="69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3"/>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2,841,332</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2,907,512</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Impact of change in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ASC 326 Financial Instruments - Credit Losses</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 xml:space="preserve">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(ASU 2016-13) was effective, and adopted by the Group, from January 1, 2020. Primarily, ASU 2016-13 introduces an expected loss methodology that is referred to as the current expected credit loss (CECL) methodology.</w:t>
      </w:r>
    </w:p>
    <w:p>
      <w:pPr>
        <w:spacing w:after="0" w:line="1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objectives of previous loss methodologies for instruments within the scope of this update generally delayed recognition of the full amount of credit losses until the loss was probable of occurring. Under ASU 2016-13, losses reflect an entity’s current estimate of all expected credit losses including, in addition to the consideration of past events and current conditions, as under the current guidance, incorporating the use of forecast information to provide more timely and accurate credit loss estimates. The measurement of expected credit losses under the CECL methodology is applicable to financial assets measured at amortized cost, including loan receivables and held-to-maturity debt securities. It also applies to off-balance sheet credit exposures not accounted as insurance (loan commitments, standby letters of credit, financial guarantees, and other similar instruments) and net investments in leases recognized by a lessor in accordance with ASC 842 on leases.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ASC 326 changed the accounting for available-for-sale (AFS) debt securities to require credit losses to be presented as an allowance rather than as a write-down to align the income statement recognition of credit losses on AFS debt securities with the reporting period in which the changes occur.</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Group adopted ASC 326 using the modified retrospective method. Under this transition method, the new standard is applied from January 1, 2020 without restatement of comparative period amounts. The adoption of ASC 326 does not have a material impact on the Group and there was no impact of adopting ASC 326 on opening balances at January 1, 2020.</w:t>
      </w:r>
    </w:p>
    <w:p>
      <w:pPr>
        <w:sectPr>
          <w:pgSz w:w="11900" w:h="16838" w:orient="portrait"/>
          <w:cols w:equalWidth="0" w:num="1">
            <w:col w:w="11240"/>
          </w:cols>
          <w:pgMar w:left="320" w:top="5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573"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ICON plc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2019. The consolidated financial statements have been prepared in accordance with accounting principles generally accepted in the United States.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2020 we employed approximately 15,100 employees, in 98 locations in 40 countries. During the three months ended March 31, 2020 we derived approximately 31.5%, 58.4% and 10.1% of our revenue in the United States, Europe and Rest of World respectively.</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Our unsatisfied performance obligation consists of potential revenue yet to be earned from projects awarded by clients. At March 31, 2020 we had unsatisfied performance obligations of approximately $5.4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 assets) and unearned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or payments on account (contract liabilities) </w:t>
      </w:r>
      <w:r>
        <w:rPr>
          <w:rFonts w:ascii="Arial" w:cs="Arial" w:eastAsia="Arial" w:hAnsi="Arial"/>
          <w:sz w:val="16"/>
          <w:szCs w:val="16"/>
          <w:color w:val="auto"/>
        </w:rPr>
        <w:t>for further details). We believe that our remaining or unrealized performance obligations as of any date</w:t>
      </w:r>
      <w:r>
        <w:rPr>
          <w:rFonts w:ascii="Arial" w:cs="Arial" w:eastAsia="Arial" w:hAnsi="Arial"/>
          <w:sz w:val="16"/>
          <w:szCs w:val="16"/>
          <w:i w:val="1"/>
          <w:iCs w:val="1"/>
          <w:color w:val="auto"/>
        </w:rPr>
        <w:t xml:space="preserve"> </w:t>
      </w:r>
      <w:r>
        <w:rPr>
          <w:rFonts w:ascii="Arial" w:cs="Arial" w:eastAsia="Arial" w:hAnsi="Arial"/>
          <w:sz w:val="16"/>
          <w:szCs w:val="16"/>
          <w:color w:val="auto"/>
        </w:rPr>
        <w:t>is not necessarily a meaningful predictor of future results, due to the potential for cancellation or delay of revenue.</w:t>
      </w:r>
    </w:p>
    <w:p>
      <w:pPr>
        <w:spacing w:after="0" w:line="17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Operating Results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340" w:type="dxa"/>
            <w:vAlign w:val="bottom"/>
            <w:tcBorders>
              <w:bottom w:val="single" w:sz="8" w:color="auto"/>
            </w:tcBorders>
            <w:gridSpan w:val="2"/>
            <w:shd w:val="clear" w:color="auto" w:fill="CCEEFF"/>
          </w:tcPr>
          <w:p>
            <w:pPr>
              <w:jc w:val="right"/>
              <w:ind w:right="659"/>
              <w:spacing w:after="0"/>
              <w:rPr>
                <w:sz w:val="20"/>
                <w:szCs w:val="20"/>
                <w:color w:val="auto"/>
              </w:rPr>
            </w:pPr>
            <w:r>
              <w:rPr>
                <w:rFonts w:ascii="Arial" w:cs="Arial" w:eastAsia="Arial" w:hAnsi="Arial"/>
                <w:sz w:val="16"/>
                <w:szCs w:val="16"/>
                <w:b w:val="1"/>
                <w:bCs w:val="1"/>
                <w:color w:val="auto"/>
                <w:w w:val="99"/>
              </w:rPr>
              <w:t>Three Months Ended</w:t>
            </w: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34"/>
        </w:trPr>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March 31, 2020</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March 31, 2019</w:t>
            </w:r>
          </w:p>
        </w:tc>
        <w:tc>
          <w:tcPr>
            <w:tcW w:w="1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2019 to 2020</w:t>
            </w:r>
          </w:p>
        </w:tc>
      </w:tr>
      <w:tr>
        <w:trPr>
          <w:trHeight w:val="198"/>
        </w:trPr>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Percentage of Revenue</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Percentage</w:t>
            </w:r>
          </w:p>
        </w:tc>
      </w:tr>
      <w:tr>
        <w:trPr>
          <w:trHeight w:val="189"/>
        </w:trPr>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Increase/</w:t>
            </w:r>
          </w:p>
        </w:tc>
      </w:tr>
      <w:tr>
        <w:trPr>
          <w:trHeight w:val="234"/>
        </w:trPr>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(Decrease)</w:t>
            </w:r>
          </w:p>
        </w:tc>
      </w:tr>
      <w:tr>
        <w:trPr>
          <w:trHeight w:val="250"/>
        </w:trPr>
        <w:tc>
          <w:tcPr>
            <w:tcW w:w="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Revenue</w:t>
            </w:r>
          </w:p>
        </w:tc>
        <w:tc>
          <w:tcPr>
            <w:tcW w:w="5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6.0 %</w:t>
            </w:r>
          </w:p>
        </w:tc>
      </w:tr>
      <w:tr>
        <w:trPr>
          <w:trHeight w:val="243"/>
        </w:trPr>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40" w:type="dxa"/>
            <w:vAlign w:val="bottom"/>
          </w:tcPr>
          <w:p>
            <w:pPr>
              <w:spacing w:after="0"/>
              <w:rPr>
                <w:sz w:val="16"/>
                <w:szCs w:val="16"/>
                <w:color w:val="auto"/>
              </w:rPr>
            </w:pPr>
          </w:p>
        </w:tc>
        <w:tc>
          <w:tcPr>
            <w:tcW w:w="3580" w:type="dxa"/>
            <w:vAlign w:val="bottom"/>
            <w:gridSpan w:val="3"/>
          </w:tcPr>
          <w:p>
            <w:pPr>
              <w:spacing w:after="0"/>
              <w:rPr>
                <w:sz w:val="20"/>
                <w:szCs w:val="20"/>
                <w:color w:val="auto"/>
              </w:rPr>
            </w:pPr>
            <w:r>
              <w:rPr>
                <w:rFonts w:ascii="Arial" w:cs="Arial" w:eastAsia="Arial" w:hAnsi="Arial"/>
                <w:sz w:val="16"/>
                <w:szCs w:val="16"/>
                <w:color w:val="auto"/>
              </w:rPr>
              <w:t>Costs and expenses:</w:t>
            </w:r>
          </w:p>
        </w:tc>
        <w:tc>
          <w:tcPr>
            <w:tcW w:w="5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Direct costs</w:t>
            </w:r>
          </w:p>
        </w:tc>
        <w:tc>
          <w:tcPr>
            <w:tcW w:w="58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70.7%</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6.3 %</w:t>
            </w:r>
          </w:p>
        </w:tc>
      </w:tr>
      <w:tr>
        <w:trPr>
          <w:trHeight w:val="233"/>
        </w:trPr>
        <w:tc>
          <w:tcPr>
            <w:tcW w:w="40" w:type="dxa"/>
            <w:vAlign w:val="bottom"/>
          </w:tcPr>
          <w:p>
            <w:pPr>
              <w:spacing w:after="0"/>
              <w:rPr>
                <w:sz w:val="20"/>
                <w:szCs w:val="20"/>
                <w:color w:val="auto"/>
              </w:rPr>
            </w:pPr>
          </w:p>
        </w:tc>
        <w:tc>
          <w:tcPr>
            <w:tcW w:w="3580" w:type="dxa"/>
            <w:vAlign w:val="bottom"/>
            <w:gridSpan w:val="3"/>
          </w:tcPr>
          <w:p>
            <w:pPr>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1500" w:type="dxa"/>
            <w:vAlign w:val="bottom"/>
          </w:tcPr>
          <w:p>
            <w:pPr>
              <w:jc w:val="right"/>
              <w:spacing w:after="0"/>
              <w:rPr>
                <w:sz w:val="20"/>
                <w:szCs w:val="20"/>
                <w:color w:val="auto"/>
              </w:rPr>
            </w:pPr>
            <w:r>
              <w:rPr>
                <w:rFonts w:ascii="Arial" w:cs="Arial" w:eastAsia="Arial" w:hAnsi="Arial"/>
                <w:sz w:val="16"/>
                <w:szCs w:val="16"/>
                <w:color w:val="auto"/>
              </w:rPr>
              <w:t>12.1%</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6.5 %</w:t>
            </w:r>
          </w:p>
        </w:tc>
      </w:tr>
      <w:tr>
        <w:trPr>
          <w:trHeight w:val="280"/>
        </w:trPr>
        <w:tc>
          <w:tcPr>
            <w:tcW w:w="40" w:type="dxa"/>
            <w:vAlign w:val="bottom"/>
            <w:shd w:val="clear" w:color="auto" w:fill="CCEEFF"/>
          </w:tcPr>
          <w:p>
            <w:pPr>
              <w:spacing w:after="0"/>
              <w:rPr>
                <w:sz w:val="24"/>
                <w:szCs w:val="24"/>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w:t>
            </w:r>
          </w:p>
        </w:tc>
        <w:tc>
          <w:tcPr>
            <w:tcW w:w="5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r>
      <w:tr>
        <w:trPr>
          <w:trHeight w:val="277"/>
        </w:trPr>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Amortization</w:t>
            </w:r>
          </w:p>
        </w:tc>
        <w:tc>
          <w:tcPr>
            <w:tcW w:w="5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25.4 %</w:t>
            </w:r>
          </w:p>
        </w:tc>
      </w:tr>
      <w:tr>
        <w:trPr>
          <w:trHeight w:val="243"/>
        </w:trPr>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37"/>
        </w:trPr>
        <w:tc>
          <w:tcPr>
            <w:tcW w:w="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Income from operations</w:t>
            </w:r>
          </w:p>
        </w:tc>
        <w:tc>
          <w:tcPr>
            <w:tcW w:w="5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4.3 %</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8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373"/>
        </w:trPr>
        <w:tc>
          <w:tcPr>
            <w:tcW w:w="7220" w:type="dxa"/>
            <w:vAlign w:val="bottom"/>
            <w:gridSpan w:val="7"/>
          </w:tcPr>
          <w:p>
            <w:pPr>
              <w:jc w:val="right"/>
              <w:ind w:right="299"/>
              <w:spacing w:after="0"/>
              <w:rPr>
                <w:sz w:val="20"/>
                <w:szCs w:val="20"/>
                <w:color w:val="auto"/>
              </w:rPr>
            </w:pPr>
            <w:r>
              <w:rPr>
                <w:rFonts w:ascii="Arial" w:cs="Arial" w:eastAsia="Arial" w:hAnsi="Arial"/>
                <w:sz w:val="16"/>
                <w:szCs w:val="16"/>
                <w:b w:val="1"/>
                <w:bCs w:val="1"/>
                <w:i w:val="1"/>
                <w:iCs w:val="1"/>
                <w:color w:val="auto"/>
              </w:rPr>
              <w:t>Three Months Ended March 31, 2020 compared with Three Months Ended March 31, 2019</w:t>
            </w: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2"/>
          </w:tcPr>
          <w:p>
            <w:pPr>
              <w:ind w:left="500"/>
              <w:spacing w:after="0"/>
              <w:rPr>
                <w:sz w:val="20"/>
                <w:szCs w:val="20"/>
                <w:color w:val="auto"/>
              </w:rPr>
            </w:pPr>
            <w:r>
              <w:rPr>
                <w:rFonts w:ascii="Arial" w:cs="Arial" w:eastAsia="Arial" w:hAnsi="Arial"/>
                <w:sz w:val="16"/>
                <w:szCs w:val="16"/>
                <w:b w:val="1"/>
                <w:bCs w:val="1"/>
                <w:i w:val="1"/>
                <w:iCs w:val="1"/>
                <w:color w:val="auto"/>
              </w:rPr>
              <w:t>Revenue</w:t>
            </w: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8"/>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8"/>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60" w:type="dxa"/>
            <w:vAlign w:val="bottom"/>
            <w:shd w:val="clear" w:color="auto" w:fill="CCEEFF"/>
          </w:tcPr>
          <w:p>
            <w:pPr>
              <w:jc w:val="center"/>
              <w:ind w:left="21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Change</w:t>
            </w:r>
          </w:p>
        </w:tc>
        <w:tc>
          <w:tcPr>
            <w:tcW w:w="154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226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715,102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674,852</w:t>
            </w:r>
          </w:p>
        </w:tc>
        <w:tc>
          <w:tcPr>
            <w:tcW w:w="8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40,250</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1"/>
                <w:szCs w:val="21"/>
                <w:color w:val="auto"/>
              </w:rPr>
            </w:pPr>
          </w:p>
        </w:tc>
      </w:tr>
    </w:tbl>
    <w:p>
      <w:pPr>
        <w:spacing w:after="0" w:line="2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Revenue for the period increased by $40.3 million, or 6.0%, to $715.1 million, compared to $674.9 million for the three months ended March 31, 2019. Revenue increased by 6.5% in constant currency and increased by 4.8% in constant dollar organic terms. The increase in revenues in the three months ended March 31, 2020 can be explained by continued organic growth and the additional revenues from the acquisition of MeDiNova on May 23, 2019, Symphony on September 24, 2019 and MedPass on January 22, 2020.</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During the three months ended March 31, 2020 we derived approximately 31.5%, 58.4% and 10.1% of our revenue in the United States, Europe and Rest of World respectively. During the three months ended March 31, 2020, $285.0 million or 39.9% of our revenues were derived from our top 5 customers. The largest of these customers related to a strategic partnership with a large global pharmaceutical company. Revenue from this customer contributed 11.4% of revenue for the quarter. Revenue from our second largest customer contributed 11.2% for the quarter. The addition of new customer accounts, particularly from mid-tier pharma customers and biotech customers continues to result in a reduction in concentration of revenues from our top 5 customers.</w:t>
      </w:r>
    </w:p>
    <w:p>
      <w:pPr>
        <w:spacing w:after="0" w:line="3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Revenue in Ireland increased to $315.0 million compared to $298.5 million for the three months ended March 31, 2019. Revenue in Ireland is principally a function of the Company’s global transfer pricing model (see </w:t>
      </w:r>
      <w:r>
        <w:rPr>
          <w:rFonts w:ascii="Arial" w:cs="Arial" w:eastAsia="Arial" w:hAnsi="Arial"/>
          <w:sz w:val="16"/>
          <w:szCs w:val="16"/>
          <w:i w:val="1"/>
          <w:iCs w:val="1"/>
          <w:color w:val="auto"/>
        </w:rPr>
        <w:t>note 13 - Business segment information</w:t>
      </w:r>
      <w:r>
        <w:rPr>
          <w:rFonts w:ascii="Arial" w:cs="Arial" w:eastAsia="Arial" w:hAnsi="Arial"/>
          <w:sz w:val="16"/>
          <w:szCs w:val="16"/>
          <w:color w:val="auto"/>
        </w:rPr>
        <w:t xml:space="preserve"> for further details). Revenue in our Rest of Europe region increased to $102.4 million, compared to $90.4 million for the three months ended March 31, 2019. Revenue in the Rest of World region increased to $72.2 million, compared to $67.4 million for the three months ended March 31, 2019. Revenue in the U.S. region increased to $225.5 million from $218.5 million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5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8"/>
        </w:trPr>
        <w:tc>
          <w:tcPr>
            <w:tcW w:w="56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gridSpan w:val="2"/>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r>
      <w:tr>
        <w:trPr>
          <w:trHeight w:val="23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505,293</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475,497</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29,796</w:t>
            </w:r>
          </w:p>
        </w:tc>
      </w:tr>
      <w:tr>
        <w:trPr>
          <w:trHeight w:val="223"/>
        </w:trPr>
        <w:tc>
          <w:tcPr>
            <w:tcW w:w="56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70.7%</w:t>
            </w:r>
          </w:p>
        </w:tc>
        <w:tc>
          <w:tcPr>
            <w:tcW w:w="9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70.5%</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w:t>
            </w:r>
          </w:p>
        </w:tc>
      </w:tr>
    </w:tbl>
    <w:p>
      <w:pPr>
        <w:spacing w:after="0" w:line="2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Direct costs for the period increased by $29.8 million, or 6.3%, to $505.3 million compared to $475.5 million for the three months ended March 31, 2019. Direct costs consist primarily of investigator and other reimbursable costs, compensation, associated fringe benefits and share based compensation expense for project-related employees and other direct project driven costs. The increase in direct costs during the period relates to increases in third party investigator and other reimbursable costs, an increase in direct project related costs and personnel related expenditure and an increase in laboratory costs during the period. As a percentage of revenue, direct costs have increased to 70.7% compared to 70.5% for the three months ended March 31,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5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8"/>
        </w:trPr>
        <w:tc>
          <w:tcPr>
            <w:tcW w:w="56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2"/>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r>
      <w:tr>
        <w:trPr>
          <w:trHeight w:val="23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87,196</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81,912</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5,284</w:t>
            </w: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w:t>
            </w: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w:t>
            </w:r>
          </w:p>
        </w:tc>
      </w:tr>
    </w:tbl>
    <w:p>
      <w:pPr>
        <w:spacing w:after="0" w:line="2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Selling, general and administrative expenses for the period increased by $5.3 million, or 6.5%, to $87.2 million, compared to $81.9 million for the three months ended March 31, 2019.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increased to 12.2% from 12.1% for the three months ended March 31,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5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8"/>
        </w:trPr>
        <w:tc>
          <w:tcPr>
            <w:tcW w:w="56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gridSpan w:val="2"/>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r>
      <w:tr>
        <w:trPr>
          <w:trHeight w:val="23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11,413</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11,582</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(169)</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4,909</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3,915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994</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0.7%</w:t>
            </w: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25.4 %</w:t>
            </w:r>
          </w:p>
        </w:tc>
      </w:tr>
    </w:tbl>
    <w:p>
      <w:pPr>
        <w:spacing w:after="0" w:line="23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Depreciation expense for the period decreased by $0.2 million, or 1.5%, to $11.4 million compared to $11.6 million for the three months ended March 31, 2019. Depreciation expense arises principally from investment in facilities, information systems and equipment to support the Company’s growth. As a percentage of revenue the depreciation expense decreased to 1.5% from 1.7% for the three months ended March 31, 2019. Amortization on intangibles for the period increased by $1.0 million, or 25.4%, to $4.9 million compared to $3.9 million for the three months ended March 31, 2019. Amortization expense represents the amortization of intangible assets acquired on business combinations. The increase in the amortization expense for the period was driven by new acquisitions made during the year. As a percentage of revenue, amortization expense increased to 0.7%, compared to 0.6%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5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8"/>
        </w:trPr>
        <w:tc>
          <w:tcPr>
            <w:tcW w:w="56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gridSpan w:val="2"/>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r>
      <w:tr>
        <w:trPr>
          <w:trHeight w:val="23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106,291</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101,946</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4,345</w:t>
            </w:r>
          </w:p>
        </w:tc>
      </w:tr>
      <w:tr>
        <w:trPr>
          <w:trHeight w:val="224"/>
        </w:trPr>
        <w:tc>
          <w:tcPr>
            <w:tcW w:w="56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w:t>
            </w:r>
          </w:p>
        </w:tc>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w:t>
            </w:r>
          </w:p>
        </w:tc>
      </w:tr>
    </w:tbl>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Income from operations for the period increased by $4.3 million, to $106.3 million compared to $101.9 million for the three months ended March 31, 2019. As a percentage of revenue, income from operations decreased to 14.9%, compared to 15.1% of revenues for the three months ended March 31, 2019.</w:t>
      </w:r>
    </w:p>
    <w:p>
      <w:pPr>
        <w:spacing w:after="0" w:line="3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Income from operations in Ireland increased to a profit of $73.9 million compared to a profit of $70.6 million for the three months ended March 31, 2019. Income from operations in Ireland is impacted by the Group’s global transfer pricing model </w:t>
      </w:r>
      <w:r>
        <w:rPr>
          <w:rFonts w:ascii="Arial" w:cs="Arial" w:eastAsia="Arial" w:hAnsi="Arial"/>
          <w:sz w:val="16"/>
          <w:szCs w:val="16"/>
          <w:i w:val="1"/>
          <w:iCs w:val="1"/>
          <w:color w:val="auto"/>
        </w:rPr>
        <w:t>(see note 13 - Business segment information</w:t>
      </w:r>
      <w:r>
        <w:rPr>
          <w:rFonts w:ascii="Arial" w:cs="Arial" w:eastAsia="Arial" w:hAnsi="Arial"/>
          <w:sz w:val="16"/>
          <w:szCs w:val="16"/>
          <w:color w:val="auto"/>
        </w:rPr>
        <w:t xml:space="preserve"> for further details)</w:t>
      </w:r>
      <w:r>
        <w:rPr>
          <w:rFonts w:ascii="Arial" w:cs="Arial" w:eastAsia="Arial" w:hAnsi="Arial"/>
          <w:sz w:val="16"/>
          <w:szCs w:val="16"/>
          <w:i w:val="1"/>
          <w:iCs w:val="1"/>
          <w:color w:val="auto"/>
        </w:rPr>
        <w:t>.</w:t>
      </w:r>
      <w:r>
        <w:rPr>
          <w:rFonts w:ascii="Arial" w:cs="Arial" w:eastAsia="Arial" w:hAnsi="Arial"/>
          <w:sz w:val="16"/>
          <w:szCs w:val="16"/>
          <w:color w:val="auto"/>
        </w:rPr>
        <w:t xml:space="preserve"> Income from operations in our Rest of Europe region increased to $10.7 million compared to $5.9 million for the three months ended March 31, 2019, while income from operations in our Rest of World region decreased to $7.8 million compared to $8.4 million for the three months ended March 31, 2019. Income from operations in the U.S. region decreased to $13.9 million compared to $17.1 million for the three months ended March 31, 2019.</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8"/>
        </w:trPr>
        <w:tc>
          <w:tcPr>
            <w:tcW w:w="44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gridSpan w:val="2"/>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shd w:val="clear" w:color="auto" w:fill="CCEEFF"/>
          </w:tcPr>
          <w:p>
            <w:pPr>
              <w:spacing w:after="0"/>
              <w:rPr>
                <w:sz w:val="19"/>
                <w:szCs w:val="19"/>
                <w:color w:val="auto"/>
              </w:rPr>
            </w:pPr>
          </w:p>
        </w:tc>
      </w:tr>
      <w:tr>
        <w:trPr>
          <w:trHeight w:val="23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1,809</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1,745</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64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24"/>
        </w:trPr>
        <w:tc>
          <w:tcPr>
            <w:tcW w:w="44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(3,181)</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(3,354)</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839"/>
              <w:spacing w:after="0"/>
              <w:rPr>
                <w:sz w:val="20"/>
                <w:szCs w:val="20"/>
                <w:color w:val="auto"/>
              </w:rPr>
            </w:pPr>
            <w:r>
              <w:rPr>
                <w:rFonts w:ascii="Arial" w:cs="Arial" w:eastAsia="Arial" w:hAnsi="Arial"/>
                <w:sz w:val="16"/>
                <w:szCs w:val="16"/>
                <w:color w:val="auto"/>
              </w:rPr>
              <w:t>173</w:t>
            </w: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r>
    </w:tbl>
    <w:p>
      <w:pPr>
        <w:spacing w:after="0" w:line="2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Interest expense for the period decreased to $3.2 million, compared to $3.4 million for the three months ended March 31, 2019. Interest income increased to $1.8 million, compared to $1.7 million for the three months ended March 31, 2019.</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8"/>
        </w:trPr>
        <w:tc>
          <w:tcPr>
            <w:tcW w:w="43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gridSpan w:val="2"/>
            <w:shd w:val="clear" w:color="auto" w:fill="CCEEFF"/>
          </w:tcPr>
          <w:p>
            <w:pPr>
              <w:jc w:val="center"/>
              <w:ind w:left="219"/>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bottom w:val="single" w:sz="8" w:color="auto"/>
            </w:tcBorders>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9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7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12,590</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12,040</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550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50"/>
        </w:trPr>
        <w:tc>
          <w:tcPr>
            <w:tcW w:w="43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9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w:t>
            </w:r>
          </w:p>
        </w:tc>
        <w:tc>
          <w:tcPr>
            <w:tcW w:w="7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Provision for income taxes increased to $12.6 million, compared to $12.0 million for the three months ended March 31, 2019. The Company’s effective tax rate for the three months ended March 31, 2020 was 12.0% which is consistent with the three months ended March 31, 2019. The Company’s effective tax rate remains principally a function of the distribution of pre-tax profits amongst the territories in which it operates.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auto"/>
              </w:rPr>
              <w:t>Cash and cash equivalents and net borrowings</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28"/>
        </w:trPr>
        <w:tc>
          <w:tcPr>
            <w:tcW w:w="29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98"/>
        </w:trPr>
        <w:tc>
          <w:tcPr>
            <w:tcW w:w="29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Drawn</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Net cash</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Other non-</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Effect of</w:t>
            </w:r>
          </w:p>
        </w:tc>
        <w:tc>
          <w:tcPr>
            <w:tcW w:w="1540" w:type="dxa"/>
            <w:vAlign w:val="bottom"/>
            <w:shd w:val="clear" w:color="auto" w:fill="CCEEFF"/>
          </w:tcPr>
          <w:p>
            <w:pPr>
              <w:spacing w:after="0"/>
              <w:rPr>
                <w:sz w:val="17"/>
                <w:szCs w:val="17"/>
                <w:color w:val="auto"/>
              </w:rPr>
            </w:pPr>
          </w:p>
        </w:tc>
      </w:tr>
      <w:tr>
        <w:trPr>
          <w:trHeight w:val="189"/>
        </w:trPr>
        <w:tc>
          <w:tcPr>
            <w:tcW w:w="29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December</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down/</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inflow/</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cash</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exchange</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Balance</w:t>
            </w:r>
          </w:p>
        </w:tc>
      </w:tr>
      <w:tr>
        <w:trPr>
          <w:trHeight w:val="228"/>
        </w:trPr>
        <w:tc>
          <w:tcPr>
            <w:tcW w:w="29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31, 2019</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(repaid)</w:t>
            </w: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(outflow)</w:t>
            </w:r>
          </w:p>
        </w:tc>
        <w:tc>
          <w:tcPr>
            <w:tcW w:w="1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adjustments</w:t>
            </w:r>
          </w:p>
        </w:tc>
        <w:tc>
          <w:tcPr>
            <w:tcW w:w="13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rates</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March 31, 2020</w:t>
            </w:r>
          </w:p>
        </w:tc>
      </w:tr>
      <w:tr>
        <w:trPr>
          <w:trHeight w:val="260"/>
        </w:trPr>
        <w:tc>
          <w:tcPr>
            <w:tcW w:w="2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7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 (in thousands)</w:t>
            </w:r>
          </w:p>
        </w:tc>
        <w:tc>
          <w:tcPr>
            <w:tcW w:w="13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2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5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520,309</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(32,274)</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(5,663)</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482,372</w:t>
            </w:r>
          </w:p>
        </w:tc>
      </w:tr>
      <w:tr>
        <w:trPr>
          <w:trHeight w:val="260"/>
        </w:trPr>
        <w:tc>
          <w:tcPr>
            <w:tcW w:w="2900" w:type="dxa"/>
            <w:vAlign w:val="bottom"/>
          </w:tcPr>
          <w:p>
            <w:pPr>
              <w:ind w:left="280"/>
              <w:spacing w:after="0"/>
              <w:rPr>
                <w:sz w:val="20"/>
                <w:szCs w:val="20"/>
                <w:color w:val="auto"/>
              </w:rPr>
            </w:pPr>
            <w:r>
              <w:rPr>
                <w:rFonts w:ascii="Arial" w:cs="Arial" w:eastAsia="Arial" w:hAnsi="Arial"/>
                <w:sz w:val="16"/>
                <w:szCs w:val="16"/>
                <w:color w:val="auto"/>
              </w:rPr>
              <w:t>Available for sale investments</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49,628</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(47,903)</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2</w:t>
            </w: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1,727</w:t>
            </w:r>
          </w:p>
        </w:tc>
      </w:tr>
      <w:tr>
        <w:trPr>
          <w:trHeight w:val="287"/>
        </w:trPr>
        <w:tc>
          <w:tcPr>
            <w:tcW w:w="29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Private placement notes</w:t>
            </w:r>
          </w:p>
        </w:tc>
        <w:tc>
          <w:tcPr>
            <w:tcW w:w="15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(349,640)</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(94)</w:t>
            </w:r>
          </w:p>
        </w:tc>
        <w:tc>
          <w:tcPr>
            <w:tcW w:w="13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(349,734)</w:t>
            </w:r>
          </w:p>
        </w:tc>
      </w:tr>
      <w:tr>
        <w:trPr>
          <w:trHeight w:val="297"/>
        </w:trPr>
        <w:tc>
          <w:tcPr>
            <w:tcW w:w="2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3"/>
        </w:trPr>
        <w:tc>
          <w:tcPr>
            <w:tcW w:w="29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220,297</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(80,177)</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(92)</w:t>
            </w:r>
          </w:p>
        </w:tc>
        <w:tc>
          <w:tcPr>
            <w:tcW w:w="13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(5,663)</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134,365</w:t>
            </w: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cash and short term investment balances at March 31, 2020 amounted to $484.1 million compared with cash and short term investment balances of $569.9 million at December 31, 2019. The Company’s cash and short term investment balances at March 31, 2020 comprised of cash and cash equivalents of $482.4 million and short-term investments of $1.7 million. The Company’s cash and short term investment balances at December 31, 2019 comprised of cash and cash equivalents of $520.3 million and short-term investments of $49.6 million.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bears interest at LIBOR plus a margin. No amounts were drawn at March 31, 2020, or at December 31, 2019, in respect of the Revolving Credit Facility. Amounts available to the Group under the facility at March 31, 2020 and at December 31, 2019 were $150.0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1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Net cash provided by operating activities was $142.8 million for the three months ended March 31, 2020 compared with cash provided by operating activities of $94.6 million for the three months ended March 31, 2019. This reflects the impact of the increase in revenues and underlying profitability of the Company offset by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delivery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2020 was 74 days compared with 72 days at December 31, 2019. This reflects the timing of cash collections.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Net cash used in investing activities was $0.8 million for the three months ended March 31, 2020 compared to net cash used in investing activities of $50.6 million for the three months ended March 31, 2019. Net cash used in investing activities in the three months ended March 31, 2020 was largely attributable to cash outflows on the acquisition of MedPass of $47.0 million on January 22, 2020 and cash outflows of $0.3 million in relation to the working capital adjustment on the acquisition of Symphony which was acquired on September 24, 2019. These were offset in part by cash acquired of $10.2 million. During the three months ended March 31, 2020, capital expenditure of $11.3 million was made mainly relating to investment in facilities and IT infrastructure. In addition, $0.2 million was used for the purchase of investments in equity. During the three months ended March 31, 2020 $47.9 million was generated by the sale of short term investments. Net cash used in investing activities during the three months ended March 31, 2019 was largely attributable to the initial cash outflow on acquisition of MMD of $42.3 million. In addition capital expenditure of $7.0 million was made which was mainly comprised of investment in facilities and IT infrastructure. In addition $2.0 million was used for the purchase of investments in equity.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Net cash used in financing activities during the three months ended March 31, 2020 amounted to $174.3 million compared to net cash used in financing activities of $21.6 million for the three months ended March 31, 2019. Cash outflows in respect of financing includes cash payments in respect of the Company’s share repurchase program totaling $175.0 million during the three months ended March 31, 2020. In addition, $0.9 million was received by the Company from the exercise of share options. During the three months ended March 31, 2019, $25.0 million was recognized in relation to the Company's share repurchase program. In addition, $3.4 million was received by the Company from the exercise of share options.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1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a result of these cash flows, cash and cash equivalents decreased by $37.9 million for the three months ended March 31, 2020 compared to an increase of $21.8 million for the three months ended March 31, 2019.</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not party to any litigation or other legal proceedings that we believe could reasonably be expected to have a material adverse effect on our business, results of operations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Certain statements contained herein are forward looking statements.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Forward-looking statements are only as of the date they are made and we do not undertake any obligation to update publicly any forward-looking statement, either as a result of new information, future events or otherwise. Please also refer to the Form 20-F filed on February 27, 2020 for risks and uncertainties facing the Company.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6"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90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03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53" w:lineRule="exact"/>
        <w:rPr>
          <w:sz w:val="20"/>
          <w:szCs w:val="20"/>
          <w:color w:val="auto"/>
        </w:rPr>
      </w:pPr>
    </w:p>
    <w:p>
      <w:pPr>
        <w:ind w:left="720" w:right="1740" w:hanging="7869"/>
        <w:spacing w:after="0" w:line="311" w:lineRule="auto"/>
        <w:tabs>
          <w:tab w:leader="none" w:pos="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27, 2020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2020-04-27T10:18:52Z</dcterms:created>
  <dcterms:modified xsi:type="dcterms:W3CDTF">2020-04-27T10:18:52Z</dcterms:modified>
</cp:coreProperties>
</file>