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color w:val="000000"/>
          <w:shd w:fill="FFFFFF" w:val="clear"/>
        </w:rPr>
      </w:pPr>
      <w:r>
        <w:rPr>
          <w:color w:val="000000"/>
          <w:shd w:fill="FFFFFF" w:val="clear"/>
        </w:rPr>
        <w:t> </w:t>
      </w:r>
      <w:r>
        <w:rPr>
          <w:rFonts w:ascii="Times New Roman;serif" w:hAnsi="Times New Roman;serif"/>
          <w:b/>
          <w:color w:val="000000"/>
          <w:sz w:val="20"/>
          <w:shd w:fill="FFFFFF" w:val="clear"/>
        </w:rPr>
        <w:t>UNITED STATES</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FORM 6-K</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Foreign Private Issuer</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Rule 13a-16 or 15d-16 under</w:t>
      </w:r>
    </w:p>
    <w:p>
      <w:pPr>
        <w:pStyle w:val="TextBody"/>
        <w:bidi w:val="0"/>
        <w:spacing w:lineRule="auto" w:line="240" w:before="0" w:after="0"/>
        <w:jc w:val="center"/>
        <w:rPr>
          <w:shd w:fill="FFFFFF" w:val="clear"/>
        </w:rPr>
      </w:pPr>
      <w:r>
        <w:rPr>
          <w:rFonts w:ascii="Times New Roman;serif" w:hAnsi="Times New Roman;serif"/>
          <w:b w:val="false"/>
          <w:color w:val="000000"/>
          <w:sz w:val="20"/>
          <w:shd w:fill="FFFFFF" w:val="clear"/>
        </w:rPr>
        <w:t>t</w:t>
      </w:r>
      <w:r>
        <w:rPr>
          <w:rFonts w:ascii="Times New Roman;serif" w:hAnsi="Times New Roman;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month of October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shd w:fill="FFFFFF" w:val="clear"/>
        </w:rPr>
      </w:pPr>
      <w:r>
        <w:rPr>
          <w:rFonts w:ascii="Times New Roman;serif" w:hAnsi="Times New Roman;serif"/>
          <w:b/>
          <w:color w:val="000000"/>
          <w:sz w:val="20"/>
          <w:shd w:fill="FFFFFF" w:val="clear"/>
        </w:rPr>
        <w:t>333-08704</w:t>
      </w:r>
      <w:r>
        <w:rPr>
          <w:color w:val="000000"/>
          <w:shd w:fill="FFFFFF" w:val="clear"/>
        </w:rPr>
        <w:t xml:space="preserve">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 file number)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ICON plc</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 County Business Park, Leopardstown, Dublin 18, D18 X5R3, Ireland</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59" w:type="dxa"/>
        <w:jc w:val="left"/>
        <w:tblInd w:w="0" w:type="dxa"/>
        <w:tblLayout w:type="fixed"/>
        <w:tblCellMar>
          <w:top w:w="28" w:type="dxa"/>
          <w:left w:w="28" w:type="dxa"/>
          <w:bottom w:w="28" w:type="dxa"/>
          <w:right w:w="28" w:type="dxa"/>
        </w:tblCellMar>
      </w:tblPr>
      <w:tblGrid>
        <w:gridCol w:w="1115"/>
        <w:gridCol w:w="980"/>
        <w:gridCol w:w="980"/>
        <w:gridCol w:w="980"/>
        <w:gridCol w:w="980"/>
        <w:gridCol w:w="980"/>
        <w:gridCol w:w="980"/>
        <w:gridCol w:w="980"/>
        <w:gridCol w:w="1384"/>
      </w:tblGrid>
      <w:tr>
        <w:trPr/>
        <w:tc>
          <w:tcPr>
            <w:tcW w:w="111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20-F __</w:t>
            </w:r>
            <w:r>
              <w:rPr>
                <w:rFonts w:ascii="Times New Roman;serif" w:hAnsi="Times New Roman;serif"/>
                <w:b/>
                <w:color w:val="000000"/>
                <w:sz w:val="20"/>
              </w:rPr>
              <w:t>X</w:t>
            </w:r>
            <w:r>
              <w:rPr>
                <w:rFonts w:ascii="Times New Roman;serif" w:hAnsi="Times New Roman;serif"/>
                <w:b w:val="false"/>
                <w:color w:val="000000"/>
                <w:sz w:val="20"/>
              </w:rPr>
              <w:t>___</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40-F ______</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8326" w:type="dxa"/>
        <w:jc w:val="left"/>
        <w:tblInd w:w="0" w:type="dxa"/>
        <w:tblLayout w:type="fixed"/>
        <w:tblCellMar>
          <w:top w:w="28" w:type="dxa"/>
          <w:left w:w="28" w:type="dxa"/>
          <w:bottom w:w="28" w:type="dxa"/>
          <w:right w:w="28" w:type="dxa"/>
        </w:tblCellMar>
      </w:tblPr>
      <w:tblGrid>
        <w:gridCol w:w="266"/>
        <w:gridCol w:w="234"/>
        <w:gridCol w:w="236"/>
        <w:gridCol w:w="2223"/>
        <w:gridCol w:w="2223"/>
        <w:gridCol w:w="314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7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pressrelease.htm">
              <w:r>
                <w:rPr>
                  <w:rStyle w:val="InternetLink"/>
                  <w:rFonts w:ascii="Times New Roman;serif" w:hAnsi="Times New Roman;serif"/>
                  <w:b w:val="false"/>
                  <w:color w:val="0000FF"/>
                  <w:sz w:val="20"/>
                  <w:u w:val="single"/>
                </w:rPr>
                <w:t>99.1</w:t>
              </w:r>
            </w:hyperlink>
          </w:p>
        </w:tc>
        <w:tc>
          <w:tcPr>
            <w:tcW w:w="75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pressrelease.htm">
              <w:r>
                <w:rPr>
                  <w:rStyle w:val="InternetLink"/>
                  <w:rFonts w:ascii="Times New Roman;serif" w:hAnsi="Times New Roman;serif"/>
                  <w:b w:val="false"/>
                  <w:color w:val="0000FF"/>
                  <w:sz w:val="20"/>
                  <w:u w:val="single"/>
                </w:rPr>
                <w:t>ICON plc Press Release issued October 22, 2025 - ICON Reports Third Quarter 2025 Results</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color w:val="000000"/>
          <w:shd w:fill="FFFFFF" w:val="clear"/>
        </w:rPr>
      </w:pPr>
      <w:r>
        <w:rPr>
          <w:color w:val="000000"/>
          <w:shd w:fill="FFFFFF" w:val="clear"/>
        </w:rPr>
        <w:t> </w:t>
      </w:r>
    </w:p>
    <w:tbl>
      <w:tblPr>
        <w:tblW w:w="4345"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587"/>
        <w:gridCol w:w="587"/>
        <w:gridCol w:w="83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Nigel Clerkin</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Nigel Clerkin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ICON Reports Third Quarter 2025 Results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Quarter three revenue was $2,042.8 million representing an increase of 1.3% on quarter two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income for the quarter was $2.4 million or $0.03 per diluted share.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Quarter three adjusted EBITDA was $396.7 million or 19.4% of revenue, representing an increase of 0.2% on quarter two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Quarter three adjusted net income was $258.8 million or $3.31 per diluted ordinary share.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Gross business wins in the quarter of $2,986 million, representing an increase of 0.7% on quarter two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business wins in the quarter of $2,086 million, representing an increase of 1.4% on quarter two 2025; a net book to bill in the quarter of 1.02.</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debt was $2.9 billion at September 30, 2025 with a net debt to adjusted EBITDA ratio of 1.8x.</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Free cash flow was $333.9 million in the quarter and $687.2 million year to date.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$250.0 million worth of stock repurchased in quarter three at an average price of $175 per share.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Amending full-year 2025 financial revenue guidance to a range of $8,050 - $8,100 million, an increase of $75 million at the midpoint from the prior full-year guidance range. Updating full-year 2025 adjusted diluted earnings per share* guidance to a range of $13.00 - $13.20.</w:t>
      </w:r>
      <w:r>
        <w:rPr>
          <w:color w:val="000000"/>
          <w:shd w:fill="FFFFFF" w:val="clear"/>
        </w:rPr>
        <w:t xml:space="preserve"> </w:t>
      </w:r>
      <w:r>
        <w:rPr>
          <w:rFonts w:ascii="Times New Roman;serif" w:hAnsi="Times New Roman;serif"/>
          <w:b w:val="false"/>
          <w:color w:val="000000"/>
          <w:sz w:val="20"/>
          <w:shd w:fill="FFFFFF" w:val="clear"/>
        </w:rPr>
        <w:t>Adjus</w:t>
      </w:r>
      <w:r>
        <w:rPr>
          <w:rFonts w:ascii="Times New Roman;serif" w:hAnsi="Times New Roman;serif"/>
          <w:b w:val="false"/>
          <w:color w:val="000000"/>
          <w:sz w:val="20"/>
        </w:rPr>
        <w:t>ted diluted earnings per share excludes amortization, stock compensation, restructuring, foreign exchange, transaction-related / integration-related adjustments, goodwill impairment and their related taxation effect.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Dublin, Ireland, October 22, 2025 – ICON plc (NASDAQ: ICLR), a world-leading </w:t>
      </w:r>
      <w:r>
        <w:rPr>
          <w:rFonts w:ascii="Times New Roman;serif" w:hAnsi="Times New Roman;serif"/>
          <w:b w:val="false"/>
          <w:color w:val="000000"/>
          <w:sz w:val="20"/>
        </w:rPr>
        <w:t>clinical research organization,</w:t>
      </w:r>
      <w:r>
        <w:rPr>
          <w:color w:val="000000"/>
          <w:shd w:fill="FFFFFF" w:val="clear"/>
        </w:rPr>
        <w:t xml:space="preserve"> </w:t>
      </w:r>
      <w:r>
        <w:rPr>
          <w:rFonts w:ascii="Times New Roman;serif" w:hAnsi="Times New Roman;serif"/>
          <w:b w:val="false"/>
          <w:color w:val="000000"/>
          <w:sz w:val="20"/>
          <w:shd w:fill="FFFFFF" w:val="clear"/>
        </w:rPr>
        <w:t>today reported its financial results for the third quarter ended September 30, 2025.</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CEO, Mr. Barry Balfe commented, </w:t>
      </w:r>
      <w:r>
        <w:rPr>
          <w:color w:val="000000"/>
          <w:shd w:fill="FFFFFF" w:val="clear"/>
        </w:rPr>
        <w:t>“</w:t>
      </w:r>
      <w:r>
        <w:rPr>
          <w:rFonts w:ascii="Times New Roman;serif" w:hAnsi="Times New Roman;serif"/>
          <w:b w:val="false"/>
          <w:i/>
          <w:color w:val="000000"/>
          <w:sz w:val="20"/>
          <w:shd w:fill="FFFFFF" w:val="clear"/>
        </w:rPr>
        <w:t>ICON’s results in quarter three were reflective of broad market conditions, as we continued to partner with customers to navigate an uncertain environment.</w:t>
      </w:r>
      <w:r>
        <w:rPr>
          <w:color w:val="000000"/>
        </w:rPr>
        <w:t xml:space="preserve"> </w:t>
      </w:r>
      <w:r>
        <w:rPr>
          <w:rFonts w:ascii="Times New Roman;serif" w:hAnsi="Times New Roman;serif"/>
          <w:b w:val="false"/>
          <w:i/>
          <w:color w:val="000000"/>
          <w:sz w:val="20"/>
          <w:shd w:fill="FFFFFF" w:val="clear"/>
        </w:rPr>
        <w:t>We are pleased with solid gross business wins and revenue in the quarter, resulting in a net book to bill ratio of 1.02 times.</w:t>
      </w:r>
      <w:r>
        <w:rPr>
          <w:color w:val="000000"/>
        </w:rPr>
        <w:t xml:space="preserve"> </w:t>
      </w:r>
      <w:r>
        <w:rPr>
          <w:rFonts w:ascii="Times New Roman;serif" w:hAnsi="Times New Roman;serif"/>
          <w:b w:val="false"/>
          <w:i/>
          <w:color w:val="000000"/>
          <w:sz w:val="20"/>
          <w:shd w:fill="FFFFFF" w:val="clear"/>
        </w:rPr>
        <w:t>While we are encouraged by increased opportunity flow in the quarter, this is tempered by ongoing challenges in the sector including delayed decision making, elevated cancellations and uncertainty in the macro environment.</w:t>
      </w:r>
      <w:r>
        <w:rPr>
          <w:color w:val="000000"/>
        </w:rPr>
        <w:t xml:space="preserve"> </w:t>
      </w:r>
      <w:r>
        <w:rPr>
          <w:rFonts w:ascii="Times New Roman;serif" w:hAnsi="Times New Roman;serif"/>
          <w:b w:val="false"/>
          <w:i/>
          <w:color w:val="000000"/>
          <w:sz w:val="20"/>
          <w:shd w:fill="FFFFFF" w:val="clear"/>
        </w:rPr>
        <w:t>We are amending our full-year financial guidance to reflect these dynamics, in addition to the impact of higher pass-through revenues.''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Third Quarter 2025 Results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Gross business wins </w:t>
      </w:r>
      <w:r>
        <w:rPr>
          <w:rFonts w:ascii="Times New Roman;serif" w:hAnsi="Times New Roman;serif"/>
          <w:b w:val="false"/>
          <w:color w:val="000000"/>
          <w:sz w:val="20"/>
          <w:shd w:fill="FFFFFF" w:val="clear"/>
        </w:rPr>
        <w:t>in the third qu</w:t>
      </w:r>
      <w:r>
        <w:rPr>
          <w:rFonts w:ascii="Times New Roman;serif" w:hAnsi="Times New Roman;serif"/>
          <w:b w:val="false"/>
          <w:color w:val="000000"/>
          <w:sz w:val="20"/>
        </w:rPr>
        <w:t>arter were $2,986 million and cancellations were $901 million. This resulted in net business wins of $2,086 million and a book to bill of 1.02.</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Revenue for the third</w:t>
      </w:r>
      <w:r>
        <w:rPr>
          <w:color w:val="000000"/>
          <w:shd w:fill="FFFFFF" w:val="clear"/>
        </w:rPr>
        <w:t xml:space="preserve"> </w:t>
      </w:r>
      <w:r>
        <w:rPr>
          <w:rFonts w:ascii="Times New Roman;serif" w:hAnsi="Times New Roman;serif"/>
          <w:b w:val="false"/>
          <w:color w:val="000000"/>
          <w:sz w:val="20"/>
          <w:shd w:fill="FFFFFF" w:val="clear"/>
        </w:rPr>
        <w:t>quarter was $2,042.8 million. This represents an increase of 0.6% on quarter three 2024 or a 1.0% decrease on a constant curren</w:t>
      </w:r>
      <w:r>
        <w:rPr>
          <w:rFonts w:ascii="Times New Roman;serif" w:hAnsi="Times New Roman;serif"/>
          <w:b w:val="false"/>
          <w:color w:val="000000"/>
          <w:sz w:val="20"/>
        </w:rPr>
        <w:t>cy basis.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a quantitative assessment of goodwill performed as part of the annual impairment assessment at September 30, 2025, a non-cash goodwill impairment charge of $165.3 million was recorded in respect of the Data Solutions Reporting Unit.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GAAP net income was $2.4 million, resulting in $0.03 diluted earnings per share in quarter three 2025 compared to $2.36 diluted earnings per share in quarter three 2024. Adjusted net income for the quarter was $258.8 million, resulting in an adjusted diluted earnings per share of $3.31 compared to $3.35 per share for the third quarter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for the third quarter was $396.7 million or 19.4% of revenue, a decrease of 5.3% on quarter three 2024.</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on adjusted net income in quarter three 2025 was 16.5%.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Cash generated from operating activities for the quarter was $387.6 million. During the quarter $53.7 million was spent on capital expenditure. $250.0 million worth of stock was repurchased at an average price of $175 per share. Additionally, $7.4 million of Term Loan B payments were made during the quarter. At September 30, 2025, the Group had cash and cash equivalents of $468.9 million, compared to cash and cash equivalents of $390.4 million at June 30, 2025 and $695.5 million at September 30, 2024. Net indebtedness as at September 30, 2025 was $2.9 billion.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Year to date 2025 Results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Gross business wins year to date were $8,633 million and cancellations were $2,469 million. This resulted in net business wins of $6,164 million and a book to bill of 1.02.</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Revenue year to date was $6,061.5 million. This represents a year on year decrease of 2.9% or 3.3% on a constant currency basis.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a quantitative assessment of goodwill performed as part of the annual impairment assessment at September 30, 2025, a non-cash goodwill impairment charge of $165.3 million was recorded in respect of the Data Solutions Reporting Unit.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GAAP net income year to date was $339.5 million, resulting in $4.27 diluted earnings per share. Year to date adjusted net income was $776.6 million, resulting in an adjusted diluted earnings per share of $9.77 compared to $10.57 per share for the equivalent prior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year to date was $1,183.4 million or 19.5% of revenue, a year on year decrease of 9.9%.</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on adjusted net income year to date was 16.5%.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Cash generated from operating activities year to date was $802.0 million. Year to date $114.9 million was spent on capital expenditure, $750.0 million worth of stock was repurchased at an average price of $167 per share and $22.3 million of Term Loan B payments were made.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 share exclude amortization, stock compensation, foreign exchange gains and losses, restructuring, transaction-related / integration-related adjustments, goodwill impairment and their related taxation effect. Free cash flow reflects cash generated from operating activities less capital expenditure.</w:t>
      </w:r>
      <w:r>
        <w:rPr>
          <w:color w:val="000000"/>
        </w:rPr>
        <w:t xml:space="preserve"> </w:t>
      </w:r>
      <w:r>
        <w:rPr>
          <w:rFonts w:ascii="Times New Roman;serif" w:hAnsi="Times New Roman;serif"/>
          <w:b w:val="false"/>
          <w:color w:val="000000"/>
          <w:sz w:val="20"/>
        </w:rPr>
        <w:t>While non-GAAP financial measures are not superior to or a substitute for the comparable GAAP measures, ICON believes certain non-GAAP information is useful to investors for historical comparison purposes.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ICON will hold a conference call on October 23, 2025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Our full-year 2025 guidance adjusted diluted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ICON plc is a world-leading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39,800 employees in 95 locations in 55 countries as at September 30, 2025. For further information about ICON, visit: www.iconplc.com.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Source: ICON plc</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Contact: Investor Relations +1 888 381 7923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Nigel Clerkin Chief Financial Officer +353 1 291 2000</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Kate Haven Vice President Investor Relations +1 888 381 7923</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All at ICON</w:t>
      </w:r>
    </w:p>
    <w:p>
      <w:pPr>
        <w:pStyle w:val="TextBody"/>
        <w:bidi w:val="0"/>
        <w:spacing w:lineRule="auto" w:line="276"/>
        <w:jc w:val="both"/>
        <w:rPr>
          <w:rFonts w:ascii="Times New Roman;serif" w:hAnsi="Times New Roman;serif"/>
          <w:b w:val="false"/>
          <w:color w:val="000000"/>
          <w:sz w:val="20"/>
        </w:rPr>
      </w:pPr>
      <w:r>
        <w:rPr>
          <w:rFonts w:ascii="Times New Roman;serif" w:hAnsi="Times New Roman;serif"/>
          <w:b w:val="false"/>
          <w:color w:val="000000"/>
          <w:sz w:val="20"/>
        </w:rPr>
        <w:t>ICON/ICLR-F</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2025 AND SEPTEMBER 30,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ind w:left="0" w:right="0" w:firstLine="45"/>
        <w:jc w:val="center"/>
        <w:rPr/>
      </w:pPr>
      <w:r>
        <w:rPr/>
      </w:r>
    </w:p>
    <w:tbl>
      <w:tblPr>
        <w:tblW w:w="10205" w:type="dxa"/>
        <w:jc w:val="left"/>
        <w:tblInd w:w="0" w:type="dxa"/>
        <w:tblLayout w:type="fixed"/>
        <w:tblCellMar>
          <w:top w:w="28" w:type="dxa"/>
          <w:left w:w="28" w:type="dxa"/>
          <w:bottom w:w="28" w:type="dxa"/>
          <w:right w:w="28" w:type="dxa"/>
        </w:tblCellMar>
      </w:tblPr>
      <w:tblGrid>
        <w:gridCol w:w="1480"/>
        <w:gridCol w:w="1251"/>
        <w:gridCol w:w="1238"/>
        <w:gridCol w:w="211"/>
        <w:gridCol w:w="981"/>
        <w:gridCol w:w="109"/>
        <w:gridCol w:w="109"/>
        <w:gridCol w:w="109"/>
        <w:gridCol w:w="109"/>
        <w:gridCol w:w="211"/>
        <w:gridCol w:w="981"/>
        <w:gridCol w:w="109"/>
        <w:gridCol w:w="109"/>
        <w:gridCol w:w="109"/>
        <w:gridCol w:w="109"/>
        <w:gridCol w:w="211"/>
        <w:gridCol w:w="981"/>
        <w:gridCol w:w="109"/>
        <w:gridCol w:w="109"/>
        <w:gridCol w:w="109"/>
        <w:gridCol w:w="109"/>
        <w:gridCol w:w="211"/>
        <w:gridCol w:w="981"/>
        <w:gridCol w:w="160"/>
      </w:tblGrid>
      <w:tr>
        <w:trPr/>
        <w:tc>
          <w:tcPr>
            <w:tcW w:w="148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6,240,575 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4,403,583 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391,845 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related</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5,439,787 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800,788 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620,581 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(89,105)</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531,476 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Ordinary Share:</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outstanding:</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77,373,534 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82,831,300 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79,057,239 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82,716,842 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9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78,082,459 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83,445,827 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79,518,086 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83,305,441 </w:t>
            </w:r>
          </w:p>
        </w:tc>
        <w:tc>
          <w:tcPr>
            <w:tcW w:w="16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AT SEPTEMBER 30, 2025 AND DECEMBER 31, 2024</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18"/>
        </w:rPr>
        <w:t>)</w:t>
      </w:r>
    </w:p>
    <w:tbl>
      <w:tblPr>
        <w:tblW w:w="9819" w:type="dxa"/>
        <w:jc w:val="center"/>
        <w:tblInd w:w="0" w:type="dxa"/>
        <w:tblLayout w:type="fixed"/>
        <w:tblCellMar>
          <w:top w:w="28" w:type="dxa"/>
          <w:left w:w="28" w:type="dxa"/>
          <w:bottom w:w="28" w:type="dxa"/>
          <w:right w:w="28" w:type="dxa"/>
        </w:tblCellMar>
      </w:tblPr>
      <w:tblGrid>
        <w:gridCol w:w="2403"/>
        <w:gridCol w:w="2118"/>
        <w:gridCol w:w="2124"/>
        <w:gridCol w:w="211"/>
        <w:gridCol w:w="1081"/>
        <w:gridCol w:w="109"/>
        <w:gridCol w:w="109"/>
        <w:gridCol w:w="109"/>
        <w:gridCol w:w="109"/>
        <w:gridCol w:w="211"/>
        <w:gridCol w:w="1081"/>
        <w:gridCol w:w="154"/>
      </w:tblGrid>
      <w:tr>
        <w:trPr/>
        <w:tc>
          <w:tcPr>
            <w:tcW w:w="240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3,408,641 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3,530,493 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16,507,490 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16,877,678 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bank credit lines, loan facilities and notes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3,219,215 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2,796,406 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bank credit lines, loan facilities and notes,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3,396,398 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7,172,644 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7,354,679 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par value 6 euro cents per share; 100,000,000 shares authorized,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76,359,932 shares issued and outstanding at September 30, 2025 and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80,756,860 shares issued and outstanding at December 31, 2024</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7,020,231 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undenominated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Shareholders' Equity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9,334,846 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9,522,999 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16,507,490 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16,877,678 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NINE MONTHS ENDED SEPTEMBER 30, 2025 AND SEPTEMBER 30, 2024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125" w:type="dxa"/>
        <w:jc w:val="left"/>
        <w:tblInd w:w="0" w:type="dxa"/>
        <w:tblLayout w:type="fixed"/>
        <w:tblCellMar>
          <w:top w:w="28" w:type="dxa"/>
          <w:left w:w="28" w:type="dxa"/>
          <w:bottom w:w="28" w:type="dxa"/>
          <w:right w:w="28" w:type="dxa"/>
        </w:tblCellMar>
      </w:tblPr>
      <w:tblGrid>
        <w:gridCol w:w="2536"/>
        <w:gridCol w:w="2231"/>
        <w:gridCol w:w="2267"/>
        <w:gridCol w:w="240"/>
        <w:gridCol w:w="941"/>
        <w:gridCol w:w="124"/>
        <w:gridCol w:w="109"/>
        <w:gridCol w:w="109"/>
        <w:gridCol w:w="109"/>
        <w:gridCol w:w="240"/>
        <w:gridCol w:w="941"/>
        <w:gridCol w:w="124"/>
        <w:gridCol w:w="154"/>
      </w:tblGrid>
      <w:tr>
        <w:trPr/>
        <w:tc>
          <w:tcPr>
            <w:tcW w:w="253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provided by operating activities:</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339,478 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531,476 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292,171 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391,845 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operating right-of-use assets and related property, plant and equipment</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value of operating right-of-use assets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movements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352,795 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(423,533)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assets and liabilities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802,043 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948,338 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used in investing activities:</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subsidiary undertakings (net of cash acquired)</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(85,629)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Movement of available for sale investments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investments in equity </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investments in equity </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(131,594)</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(197,907)</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used in financing activities:</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Notes issue costs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Drawdown of credit lines and loan facilities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2,242,480 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credit lines and loan facilities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(2,595,323)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equity compensation</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 costs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ordinary shares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costs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(765,466)</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(433,227)</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movements on cash</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 increase in cash and cash equivalents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(69,897)</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317,405 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538,785 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378,102 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468,888 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695,507 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AND NINE MONTHS ENDED SEPTEMBER 30, 2025 AND SEPTEMBER 30, 2024 </w:t>
      </w:r>
    </w:p>
    <w:p>
      <w:pPr>
        <w:pStyle w:val="TextBody"/>
        <w:bidi w:val="0"/>
        <w:spacing w:lineRule="auto" w:line="333"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25"/>
        <w:gridCol w:w="1173"/>
        <w:gridCol w:w="1178"/>
        <w:gridCol w:w="240"/>
        <w:gridCol w:w="893"/>
        <w:gridCol w:w="116"/>
        <w:gridCol w:w="109"/>
        <w:gridCol w:w="109"/>
        <w:gridCol w:w="109"/>
        <w:gridCol w:w="240"/>
        <w:gridCol w:w="893"/>
        <w:gridCol w:w="116"/>
        <w:gridCol w:w="109"/>
        <w:gridCol w:w="109"/>
        <w:gridCol w:w="109"/>
        <w:gridCol w:w="211"/>
        <w:gridCol w:w="979"/>
        <w:gridCol w:w="109"/>
        <w:gridCol w:w="109"/>
        <w:gridCol w:w="109"/>
        <w:gridCol w:w="109"/>
        <w:gridCol w:w="211"/>
        <w:gridCol w:w="979"/>
        <w:gridCol w:w="161"/>
      </w:tblGrid>
      <w:tr>
        <w:trPr/>
        <w:tc>
          <w:tcPr>
            <w:tcW w:w="172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197,128 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531,476 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expense </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180,207 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391,845 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Foreign currency (gains)/losses, net </w:t>
            </w:r>
            <w:r>
              <w:rPr>
                <w:rFonts w:ascii="Times New Roman;serif" w:hAnsi="Times New Roman;serif"/>
                <w:b w:val="false"/>
                <w:color w:val="000000"/>
                <w:sz w:val="13"/>
              </w:rPr>
              <w:t>(b)</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(c)</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Transaction and integration related costs </w:t>
            </w:r>
            <w:r>
              <w:rPr>
                <w:rFonts w:ascii="Times New Roman;serif" w:hAnsi="Times New Roman;serif"/>
                <w:b w:val="false"/>
                <w:color w:val="000000"/>
                <w:sz w:val="13"/>
              </w:rPr>
              <w:t>(d)</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impairment </w:t>
            </w:r>
            <w:r>
              <w:rPr>
                <w:rFonts w:ascii="Times New Roman;serif" w:hAnsi="Times New Roman;serif"/>
                <w:b w:val="false"/>
                <w:color w:val="000000"/>
                <w:sz w:val="13"/>
              </w:rPr>
              <w:t>(f)</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396,730 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418,791 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1,313,232 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and adjusted diluted net income per Ordinary Share</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197,128 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531,476 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291,013 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Foreign currency (gains)/losses, net </w:t>
            </w:r>
            <w:r>
              <w:rPr>
                <w:rFonts w:ascii="Times New Roman;serif" w:hAnsi="Times New Roman;serif"/>
                <w:b w:val="false"/>
                <w:color w:val="000000"/>
                <w:sz w:val="13"/>
              </w:rPr>
              <w:t>(b)</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(c)</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Transaction and integration related costs </w:t>
            </w:r>
            <w:r>
              <w:rPr>
                <w:rFonts w:ascii="Times New Roman;serif" w:hAnsi="Times New Roman;serif"/>
                <w:b w:val="false"/>
                <w:color w:val="000000"/>
                <w:sz w:val="13"/>
              </w:rPr>
              <w:t>(d)</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Transaction-related financing costs </w:t>
            </w:r>
            <w:r>
              <w:rPr>
                <w:rFonts w:ascii="Times New Roman;serif" w:hAnsi="Times New Roman;serif"/>
                <w:b w:val="false"/>
                <w:color w:val="000000"/>
                <w:sz w:val="13"/>
              </w:rPr>
              <w:t>(e)</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impairment </w:t>
            </w:r>
            <w:r>
              <w:rPr>
                <w:rFonts w:ascii="Times New Roman;serif" w:hAnsi="Times New Roman;serif"/>
                <w:b w:val="false"/>
                <w:color w:val="000000"/>
                <w:sz w:val="13"/>
              </w:rPr>
              <w:t>(f)</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Adjusted tax expense </w:t>
            </w:r>
            <w:r>
              <w:rPr>
                <w:rFonts w:ascii="Times New Roman;serif" w:hAnsi="Times New Roman;serif"/>
                <w:b w:val="false"/>
                <w:color w:val="000000"/>
                <w:sz w:val="13"/>
              </w:rPr>
              <w:t>(g)</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258,800 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880,306 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Ordinary Shares outstanding</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78,082,459 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83,445,827 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79,518,086 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83,305,441 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55" w:after="30"/>
              <w:jc w:val="left"/>
              <w:rPr>
                <w:rFonts w:ascii="Times New Roman;serif" w:hAnsi="Times New Roman;serif"/>
                <w:b/>
                <w:color w:val="000000"/>
                <w:sz w:val="20"/>
              </w:rPr>
            </w:pPr>
            <w:r>
              <w:rPr>
                <w:rFonts w:ascii="Times New Roman;serif" w:hAnsi="Times New Roman;serif"/>
                <w:b/>
                <w:color w:val="000000"/>
                <w:sz w:val="20"/>
              </w:rPr>
              <w:t>Adjusted diluted net income per Ordinary Share</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(a)Stock-based compensation expense represents the amount of expense related to the company’s equity compensation programs (inclusive of employer related taxes).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(b)Foreign currency (gains)/losses, net relates to losses or gains that arise in connection with the revaluation, or settlement, of non-US dollar denominated assets and liabilities. We exclude these losses and gains from adjusted EBITDA and adjusted net income because fluctuations from period- to- period do not necessarily correspond to changes in our operating results.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(d)Transaction and integration related costs include expenses associated with our acquisitions and any other costs incurred directly related to the integration of these acquisitions.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(f)Goodwill impairment relates to an impairment of goodwill allocated to the Company's Data Solutions reporting unit.</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(g)Represents the tax effect of adjusted pre-tax income at our estimated effective tax 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ICON plc</w:t>
      </w:r>
    </w:p>
    <w:p>
      <w:pPr>
        <w:pStyle w:val="TextBody"/>
        <w:bidi w:val="0"/>
        <w:spacing w:before="0" w:after="0"/>
        <w:jc w:val="left"/>
        <w:rPr/>
      </w:pPr>
      <w:r>
        <w:rPr/>
      </w:r>
    </w:p>
    <w:tbl>
      <w:tblPr>
        <w:tblW w:w="6105" w:type="dxa"/>
        <w:jc w:val="left"/>
        <w:tblInd w:w="0" w:type="dxa"/>
        <w:tblLayout w:type="fixed"/>
        <w:tblCellMar>
          <w:top w:w="28" w:type="dxa"/>
          <w:left w:w="28" w:type="dxa"/>
          <w:bottom w:w="28" w:type="dxa"/>
          <w:right w:w="28" w:type="dxa"/>
        </w:tblCellMar>
      </w:tblPr>
      <w:tblGrid>
        <w:gridCol w:w="298"/>
        <w:gridCol w:w="263"/>
        <w:gridCol w:w="264"/>
        <w:gridCol w:w="1542"/>
        <w:gridCol w:w="1542"/>
        <w:gridCol w:w="219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+1 888 381 7923 </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Nigel Clerkin Chief Financial Officer </w:t>
            </w:r>
            <w:r>
              <w:rPr>
                <w:rFonts w:ascii="Times New Roman;serif" w:hAnsi="Times New Roman;serif"/>
                <w:b w:val="false"/>
                <w:color w:val="000000"/>
                <w:sz w:val="20"/>
                <w:shd w:fill="FFFFFF" w:val="clear"/>
              </w:rPr>
              <w:t>+353 1 291 2000</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Kate Haven Vice President Investor Relations +1 888 381 7923</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http://www.iconplc.com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2887</Words>
  <Characters>16743</Characters>
  <CharactersWithSpaces>19344</CharactersWithSpaces>
  <Paragraphs>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