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6" w:lineRule="exact"/>
        <w:rPr>
          <w:sz w:val="24"/>
          <w:szCs w:val="24"/>
          <w:color w:val="auto"/>
        </w:rPr>
      </w:pPr>
    </w:p>
    <w:p>
      <w:pPr>
        <w:jc w:val="center"/>
        <w:ind w:right="1874"/>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874"/>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874"/>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785"/>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945"/>
        <w:spacing w:after="0"/>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874"/>
        <w:spacing w:after="0"/>
        <w:rPr>
          <w:sz w:val="20"/>
          <w:szCs w:val="20"/>
          <w:color w:val="auto"/>
        </w:rPr>
      </w:pPr>
      <w:r>
        <w:rPr>
          <w:rFonts w:ascii="Courier New" w:cs="Courier New" w:eastAsia="Courier New" w:hAnsi="Courier New"/>
          <w:sz w:val="18"/>
          <w:szCs w:val="18"/>
          <w:color w:val="auto"/>
        </w:rPr>
        <w:t>ICON plc</w:t>
      </w:r>
    </w:p>
    <w:p>
      <w:pPr>
        <w:spacing w:after="0" w:line="201" w:lineRule="exact"/>
        <w:rPr>
          <w:sz w:val="24"/>
          <w:szCs w:val="24"/>
          <w:color w:val="auto"/>
        </w:rPr>
      </w:pPr>
    </w:p>
    <w:p>
      <w:pPr>
        <w:jc w:val="center"/>
        <w:ind w:right="1894"/>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jc w:val="center"/>
        <w:ind w:right="1894"/>
        <w:spacing w:after="0"/>
        <w:rPr>
          <w:sz w:val="20"/>
          <w:szCs w:val="20"/>
          <w:color w:val="auto"/>
        </w:rPr>
      </w:pPr>
      <w:r>
        <w:rPr>
          <w:rFonts w:ascii="Courier New" w:cs="Courier New" w:eastAsia="Courier New" w:hAnsi="Courier New"/>
          <w:sz w:val="18"/>
          <w:szCs w:val="18"/>
          <w:color w:val="auto"/>
        </w:rPr>
        <w:t>American Depositary Shares, representing Ordinary Shares</w:t>
      </w:r>
    </w:p>
    <w:p>
      <w:pPr>
        <w:spacing w:after="0" w:line="201" w:lineRule="exact"/>
        <w:rPr>
          <w:sz w:val="24"/>
          <w:szCs w:val="24"/>
          <w:color w:val="auto"/>
        </w:rPr>
      </w:pPr>
    </w:p>
    <w:p>
      <w:pPr>
        <w:jc w:val="center"/>
        <w:ind w:right="1894"/>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365"/>
        <w:spacing w:after="0"/>
        <w:rPr>
          <w:sz w:val="20"/>
          <w:szCs w:val="20"/>
          <w:color w:val="auto"/>
        </w:rPr>
      </w:pPr>
      <w:r>
        <w:rPr>
          <w:rFonts w:ascii="Courier New" w:cs="Courier New" w:eastAsia="Courier New" w:hAnsi="Courier New"/>
          <w:sz w:val="18"/>
          <w:szCs w:val="18"/>
          <w:color w:val="auto"/>
        </w:rPr>
        <w:t>45103T107</w:t>
      </w:r>
    </w:p>
    <w:p>
      <w:pPr>
        <w:spacing w:after="0" w:line="201" w:lineRule="exact"/>
        <w:rPr>
          <w:sz w:val="24"/>
          <w:szCs w:val="24"/>
          <w:color w:val="auto"/>
        </w:rPr>
      </w:pPr>
    </w:p>
    <w:p>
      <w:pPr>
        <w:ind w:left="3165"/>
        <w:spacing w:after="0"/>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jc w:val="center"/>
        <w:ind w:right="1994"/>
        <w:spacing w:after="0"/>
        <w:rPr>
          <w:sz w:val="20"/>
          <w:szCs w:val="20"/>
          <w:color w:val="auto"/>
        </w:rPr>
      </w:pPr>
      <w:r>
        <w:rPr>
          <w:rFonts w:ascii="Courier New" w:cs="Courier New" w:eastAsia="Courier New" w:hAnsi="Courier New"/>
          <w:sz w:val="18"/>
          <w:szCs w:val="18"/>
          <w:color w:val="auto"/>
        </w:rPr>
        <w:t>December 31, 2001</w:t>
      </w:r>
    </w:p>
    <w:p>
      <w:pPr>
        <w:spacing w:after="0" w:line="201" w:lineRule="exact"/>
        <w:rPr>
          <w:sz w:val="24"/>
          <w:szCs w:val="24"/>
          <w:color w:val="auto"/>
        </w:rPr>
      </w:pPr>
    </w:p>
    <w:p>
      <w:pPr>
        <w:ind w:left="945"/>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ind w:left="5"/>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ind w:left="5"/>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left="5" w:right="7899" w:hanging="5"/>
        <w:spacing w:after="0" w:line="279" w:lineRule="auto"/>
        <w:tabs>
          <w:tab w:leader="none" w:pos="42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left="5" w:right="19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left="5"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ind w:left="5"/>
        <w:spacing w:after="0"/>
        <w:tabs>
          <w:tab w:leader="none" w:pos="6725" w:val="left"/>
        </w:tabs>
        <w:rPr>
          <w:sz w:val="20"/>
          <w:szCs w:val="20"/>
          <w:color w:val="auto"/>
        </w:rPr>
      </w:pPr>
      <w:r>
        <w:rPr>
          <w:rFonts w:ascii="Courier New" w:cs="Courier New" w:eastAsia="Courier New" w:hAnsi="Courier New"/>
          <w:sz w:val="18"/>
          <w:szCs w:val="18"/>
          <w:color w:val="auto"/>
        </w:rPr>
        <w:t>CUSIP: 45103T107</w:t>
      </w:r>
      <w:r>
        <w:rPr>
          <w:sz w:val="20"/>
          <w:szCs w:val="20"/>
          <w:color w:val="auto"/>
        </w:rPr>
        <w:tab/>
      </w:r>
      <w:r>
        <w:rPr>
          <w:rFonts w:ascii="Courier New" w:cs="Courier New" w:eastAsia="Courier New" w:hAnsi="Courier New"/>
          <w:sz w:val="16"/>
          <w:szCs w:val="16"/>
          <w:color w:val="auto"/>
        </w:rPr>
        <w:t>Page 1 of 5</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525" w:hanging="420"/>
        <w:spacing w:after="0"/>
        <w:tabs>
          <w:tab w:leader="none" w:pos="525"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25" w:right="29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Group International, Inc.</w:t>
      </w:r>
    </w:p>
    <w:p>
      <w:pPr>
        <w:spacing w:after="0" w:line="1" w:lineRule="exact"/>
        <w:rPr>
          <w:rFonts w:ascii="Courier New" w:cs="Courier New" w:eastAsia="Courier New" w:hAnsi="Courier New"/>
          <w:sz w:val="18"/>
          <w:szCs w:val="18"/>
          <w:color w:val="auto"/>
        </w:rPr>
      </w:pPr>
    </w:p>
    <w:p>
      <w:pPr>
        <w:ind w:left="525"/>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95-4154357</w:t>
      </w:r>
    </w:p>
    <w:p>
      <w:pPr>
        <w:spacing w:after="0" w:line="202" w:lineRule="exact"/>
        <w:rPr>
          <w:sz w:val="24"/>
          <w:szCs w:val="24"/>
          <w:color w:val="auto"/>
        </w:rPr>
      </w:pPr>
    </w:p>
    <w:p>
      <w:pPr>
        <w:ind w:left="525" w:hanging="420"/>
        <w:spacing w:after="0"/>
        <w:tabs>
          <w:tab w:leader="none" w:pos="52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25"/>
        <w:spacing w:after="0" w:line="238" w:lineRule="auto"/>
        <w:tabs>
          <w:tab w:leader="none" w:pos="7045"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ectPr>
          <w:pgSz w:w="11900" w:h="16855" w:orient="portrait"/>
          <w:cols w:equalWidth="0" w:num="1">
            <w:col w:w="9684"/>
          </w:cols>
          <w:pgMar w:left="775" w:top="1440" w:right="1440" w:bottom="0" w:gutter="0" w:footer="0" w:header="0"/>
        </w:sectPr>
      </w:pPr>
    </w:p>
    <w:bookmarkStart w:id="1" w:name="page2"/>
    <w:bookmarkEnd w:id="1"/>
    <w:p>
      <w:pPr>
        <w:ind w:left="7160"/>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0"/>
          <w:szCs w:val="20"/>
          <w:color w:val="auto"/>
        </w:rPr>
      </w:pPr>
    </w:p>
    <w:p>
      <w:pPr>
        <w:ind w:left="520" w:hanging="420"/>
        <w:spacing w:after="0"/>
        <w:tabs>
          <w:tab w:leader="none" w:pos="5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20" w:right="5359" w:hanging="420"/>
        <w:spacing w:after="0" w:line="470" w:lineRule="auto"/>
        <w:tabs>
          <w:tab w:leader="none" w:pos="5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California</w:t>
      </w:r>
    </w:p>
    <w:p>
      <w:pPr>
        <w:spacing w:after="0" w:line="214" w:lineRule="exact"/>
        <w:rPr>
          <w:sz w:val="20"/>
          <w:szCs w:val="20"/>
          <w:color w:val="auto"/>
        </w:rPr>
      </w:pPr>
    </w:p>
    <w:p>
      <w:pPr>
        <w:ind w:left="1900" w:right="5999" w:hanging="430"/>
        <w:spacing w:after="0" w:line="470" w:lineRule="auto"/>
        <w:tabs>
          <w:tab w:leader="none" w:pos="19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231,800</w:t>
      </w:r>
    </w:p>
    <w:p>
      <w:pPr>
        <w:spacing w:after="0" w:line="209" w:lineRule="exact"/>
        <w:rPr>
          <w:sz w:val="20"/>
          <w:szCs w:val="20"/>
          <w:color w:val="auto"/>
        </w:rPr>
      </w:pPr>
    </w:p>
    <w:p>
      <w:pPr>
        <w:ind w:left="1900" w:hanging="430"/>
        <w:spacing w:after="0"/>
        <w:tabs>
          <w:tab w:leader="none" w:pos="19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ind w:left="10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rPr>
          <w:sz w:val="20"/>
          <w:szCs w:val="20"/>
          <w:color w:val="auto"/>
        </w:rPr>
      </w:pPr>
      <w:r>
        <w:rPr>
          <w:rFonts w:ascii="Courier New" w:cs="Courier New" w:eastAsia="Courier New" w:hAnsi="Courier New"/>
          <w:sz w:val="18"/>
          <w:szCs w:val="18"/>
          <w:color w:val="auto"/>
        </w:rPr>
        <w:t>SHARES</w:t>
      </w:r>
    </w:p>
    <w:p>
      <w:pPr>
        <w:ind w:left="1900"/>
        <w:spacing w:after="0" w:line="237" w:lineRule="auto"/>
        <w:rPr>
          <w:sz w:val="20"/>
          <w:szCs w:val="20"/>
          <w:color w:val="auto"/>
        </w:rPr>
      </w:pPr>
      <w:r>
        <w:rPr>
          <w:rFonts w:ascii="Courier New" w:cs="Courier New" w:eastAsia="Courier New" w:hAnsi="Courier New"/>
          <w:sz w:val="18"/>
          <w:szCs w:val="18"/>
          <w:color w:val="auto"/>
        </w:rPr>
        <w:t>NONE</w:t>
      </w:r>
    </w:p>
    <w:p>
      <w:pPr>
        <w:spacing w:after="0" w:line="5" w:lineRule="exact"/>
        <w:rPr>
          <w:sz w:val="20"/>
          <w:szCs w:val="20"/>
          <w:color w:val="auto"/>
        </w:rPr>
      </w:pPr>
    </w:p>
    <w:p>
      <w:pPr>
        <w:jc w:val="right"/>
        <w:ind w:right="8519"/>
        <w:spacing w:after="0"/>
        <w:rPr>
          <w:sz w:val="20"/>
          <w:szCs w:val="20"/>
          <w:color w:val="auto"/>
        </w:rPr>
      </w:pPr>
      <w:r>
        <w:rPr>
          <w:rFonts w:ascii="Courier New" w:cs="Courier New" w:eastAsia="Courier New" w:hAnsi="Courier New"/>
          <w:sz w:val="16"/>
          <w:szCs w:val="16"/>
          <w:color w:val="auto"/>
        </w:rPr>
        <w:t>BENEFICIALL</w:t>
      </w:r>
    </w:p>
    <w:p>
      <w:pPr>
        <w:spacing w:after="0" w:line="16" w:lineRule="exact"/>
        <w:rPr>
          <w:sz w:val="20"/>
          <w:szCs w:val="20"/>
          <w:color w:val="auto"/>
        </w:rPr>
      </w:pPr>
    </w:p>
    <w:p>
      <w:pPr>
        <w:jc w:val="right"/>
        <w:ind w:right="8519"/>
        <w:spacing w:after="0"/>
        <w:rPr>
          <w:sz w:val="20"/>
          <w:szCs w:val="20"/>
          <w:color w:val="auto"/>
        </w:rPr>
      </w:pPr>
      <w:r>
        <w:rPr>
          <w:rFonts w:ascii="Courier New" w:cs="Courier New" w:eastAsia="Courier New" w:hAnsi="Courier New"/>
          <w:sz w:val="18"/>
          <w:szCs w:val="18"/>
          <w:color w:val="auto"/>
        </w:rPr>
        <w:t>Y OWNED BY</w:t>
      </w:r>
    </w:p>
    <w:p>
      <w:pPr>
        <w:ind w:left="1460"/>
        <w:spacing w:after="0" w:line="238" w:lineRule="auto"/>
        <w:tabs>
          <w:tab w:leader="none" w:pos="18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rPr>
          <w:sz w:val="20"/>
          <w:szCs w:val="20"/>
          <w:color w:val="auto"/>
        </w:rPr>
      </w:pPr>
      <w:r>
        <w:rPr>
          <w:rFonts w:ascii="Courier New" w:cs="Courier New" w:eastAsia="Courier New" w:hAnsi="Courier New"/>
          <w:sz w:val="18"/>
          <w:szCs w:val="18"/>
          <w:color w:val="auto"/>
        </w:rPr>
        <w:t>EACH</w:t>
      </w:r>
    </w:p>
    <w:p>
      <w:pPr>
        <w:ind w:left="100"/>
        <w:spacing w:after="0" w:line="237" w:lineRule="auto"/>
        <w:rPr>
          <w:sz w:val="20"/>
          <w:szCs w:val="20"/>
          <w:color w:val="auto"/>
        </w:rPr>
      </w:pPr>
      <w:r>
        <w:rPr>
          <w:rFonts w:ascii="Courier New" w:cs="Courier New" w:eastAsia="Courier New" w:hAnsi="Courier New"/>
          <w:sz w:val="18"/>
          <w:szCs w:val="18"/>
          <w:color w:val="auto"/>
        </w:rPr>
        <w:t>REPORTING</w:t>
      </w:r>
    </w:p>
    <w:p>
      <w:pPr>
        <w:ind w:left="1900"/>
        <w:spacing w:after="0" w:line="238" w:lineRule="auto"/>
        <w:rPr>
          <w:sz w:val="20"/>
          <w:szCs w:val="20"/>
          <w:color w:val="auto"/>
        </w:rPr>
      </w:pPr>
      <w:r>
        <w:rPr>
          <w:rFonts w:ascii="Courier New" w:cs="Courier New" w:eastAsia="Courier New" w:hAnsi="Courier New"/>
          <w:sz w:val="18"/>
          <w:szCs w:val="18"/>
          <w:color w:val="auto"/>
        </w:rPr>
        <w:t>235,100</w:t>
      </w:r>
    </w:p>
    <w:p>
      <w:pPr>
        <w:ind w:left="320"/>
        <w:spacing w:after="0"/>
        <w:rPr>
          <w:sz w:val="20"/>
          <w:szCs w:val="20"/>
          <w:color w:val="auto"/>
        </w:rPr>
      </w:pPr>
      <w:r>
        <w:rPr>
          <w:rFonts w:ascii="Courier New" w:cs="Courier New" w:eastAsia="Courier New" w:hAnsi="Courier New"/>
          <w:sz w:val="18"/>
          <w:szCs w:val="18"/>
          <w:color w:val="auto"/>
        </w:rPr>
        <w:t>PERSON</w:t>
      </w:r>
    </w:p>
    <w:p>
      <w:pPr>
        <w:ind w:left="320"/>
        <w:spacing w:after="0" w:line="237" w:lineRule="auto"/>
        <w:rPr>
          <w:sz w:val="20"/>
          <w:szCs w:val="20"/>
          <w:color w:val="auto"/>
        </w:rPr>
      </w:pPr>
      <w:r>
        <w:rPr>
          <w:rFonts w:ascii="Courier New" w:cs="Courier New" w:eastAsia="Courier New" w:hAnsi="Courier New"/>
          <w:sz w:val="18"/>
          <w:szCs w:val="18"/>
          <w:color w:val="auto"/>
        </w:rPr>
        <w:t>WITH:</w:t>
      </w:r>
    </w:p>
    <w:p>
      <w:pPr>
        <w:spacing w:after="0" w:line="207" w:lineRule="exact"/>
        <w:rPr>
          <w:sz w:val="20"/>
          <w:szCs w:val="20"/>
          <w:color w:val="auto"/>
        </w:rPr>
      </w:pPr>
    </w:p>
    <w:p>
      <w:pPr>
        <w:ind w:left="1900" w:right="5259" w:hanging="430"/>
        <w:spacing w:after="0" w:line="470" w:lineRule="auto"/>
        <w:tabs>
          <w:tab w:leader="none" w:pos="19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214" w:lineRule="exact"/>
        <w:rPr>
          <w:sz w:val="20"/>
          <w:szCs w:val="20"/>
          <w:color w:val="auto"/>
        </w:rPr>
      </w:pPr>
    </w:p>
    <w:p>
      <w:pPr>
        <w:ind w:left="520" w:right="2419" w:hanging="420"/>
        <w:spacing w:after="0" w:line="470" w:lineRule="auto"/>
        <w:tabs>
          <w:tab w:leader="none" w:pos="5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235,100 Beneficial ownership disclaimed pursuant to Rule 13d-4</w:t>
      </w:r>
    </w:p>
    <w:p>
      <w:pPr>
        <w:spacing w:after="0" w:line="214" w:lineRule="exact"/>
        <w:rPr>
          <w:sz w:val="20"/>
          <w:szCs w:val="20"/>
          <w:color w:val="auto"/>
        </w:rPr>
      </w:pPr>
    </w:p>
    <w:p>
      <w:pPr>
        <w:ind w:left="520" w:right="1999" w:hanging="420"/>
        <w:spacing w:after="0" w:line="235" w:lineRule="auto"/>
        <w:tabs>
          <w:tab w:leader="none" w:pos="5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520" w:right="4199" w:hanging="420"/>
        <w:spacing w:after="0" w:line="470" w:lineRule="auto"/>
        <w:tabs>
          <w:tab w:leader="none" w:pos="5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2.1%</w:t>
      </w:r>
    </w:p>
    <w:p>
      <w:pPr>
        <w:spacing w:after="0" w:line="214" w:lineRule="exact"/>
        <w:rPr>
          <w:rFonts w:ascii="Courier New" w:cs="Courier New" w:eastAsia="Courier New" w:hAnsi="Courier New"/>
          <w:sz w:val="18"/>
          <w:szCs w:val="18"/>
          <w:color w:val="auto"/>
        </w:rPr>
      </w:pPr>
    </w:p>
    <w:p>
      <w:pPr>
        <w:ind w:left="520" w:right="4619" w:hanging="420"/>
        <w:spacing w:after="0" w:line="470" w:lineRule="auto"/>
        <w:tabs>
          <w:tab w:leader="none" w:pos="5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45103T107</w:t>
      </w:r>
      <w:r>
        <w:rPr>
          <w:sz w:val="20"/>
          <w:szCs w:val="20"/>
          <w:color w:val="auto"/>
        </w:rPr>
        <w:tab/>
      </w:r>
      <w:r>
        <w:rPr>
          <w:rFonts w:ascii="Courier New" w:cs="Courier New" w:eastAsia="Courier New" w:hAnsi="Courier New"/>
          <w:sz w:val="16"/>
          <w:szCs w:val="16"/>
          <w:color w:val="auto"/>
        </w:rPr>
        <w:t>Page 2 of 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8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ICON plc</w:t>
      </w:r>
    </w:p>
    <w:p>
      <w:pPr>
        <w:spacing w:after="0" w:line="202"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South County Business Park</w:t>
      </w:r>
    </w:p>
    <w:p>
      <w:pPr>
        <w:ind w:left="740"/>
        <w:spacing w:after="0"/>
        <w:rPr>
          <w:sz w:val="20"/>
          <w:szCs w:val="20"/>
          <w:color w:val="auto"/>
        </w:rPr>
      </w:pPr>
      <w:r>
        <w:rPr>
          <w:rFonts w:ascii="Courier New" w:cs="Courier New" w:eastAsia="Courier New" w:hAnsi="Courier New"/>
          <w:sz w:val="18"/>
          <w:szCs w:val="18"/>
          <w:color w:val="auto"/>
        </w:rPr>
        <w:t>Leopardstown</w:t>
      </w:r>
    </w:p>
    <w:p>
      <w:pPr>
        <w:ind w:left="740"/>
        <w:spacing w:after="0" w:line="237" w:lineRule="auto"/>
        <w:rPr>
          <w:sz w:val="20"/>
          <w:szCs w:val="20"/>
          <w:color w:val="auto"/>
        </w:rPr>
      </w:pPr>
      <w:r>
        <w:rPr>
          <w:rFonts w:ascii="Courier New" w:cs="Courier New" w:eastAsia="Courier New" w:hAnsi="Courier New"/>
          <w:sz w:val="18"/>
          <w:szCs w:val="18"/>
          <w:color w:val="auto"/>
        </w:rPr>
        <w:t>Dublin 18, Ireland</w:t>
      </w:r>
    </w:p>
    <w:p>
      <w:pPr>
        <w:spacing w:after="0" w:line="202"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ectPr>
          <w:pgSz w:w="11900" w:h="16838" w:orient="portrait"/>
          <w:cols w:equalWidth="0" w:num="1">
            <w:col w:w="9679"/>
          </w:cols>
          <w:pgMar w:left="780" w:top="339" w:right="1440" w:bottom="0" w:gutter="0" w:footer="0" w:header="0"/>
        </w:sectPr>
      </w:pPr>
    </w:p>
    <w:bookmarkStart w:id="2" w:name="page3"/>
    <w:bookmarkEnd w:id="2"/>
    <w:p>
      <w:pPr>
        <w:ind w:left="740"/>
        <w:spacing w:after="0"/>
        <w:rPr>
          <w:sz w:val="20"/>
          <w:szCs w:val="20"/>
          <w:color w:val="auto"/>
        </w:rPr>
      </w:pPr>
      <w:r>
        <w:rPr>
          <w:rFonts w:ascii="Courier New" w:cs="Courier New" w:eastAsia="Courier New" w:hAnsi="Courier New"/>
          <w:sz w:val="18"/>
          <w:szCs w:val="18"/>
          <w:color w:val="auto"/>
        </w:rPr>
        <w:t>Capital Group International, Inc.</w:t>
      </w:r>
    </w:p>
    <w:p>
      <w:pPr>
        <w:spacing w:after="0" w:line="201"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or principal business office or, if none, residence:</w:t>
      </w:r>
    </w:p>
    <w:p>
      <w:pPr>
        <w:ind w:left="740"/>
        <w:spacing w:after="0" w:line="238" w:lineRule="auto"/>
        <w:rPr>
          <w:sz w:val="20"/>
          <w:szCs w:val="20"/>
          <w:color w:val="auto"/>
        </w:rPr>
      </w:pPr>
      <w:r>
        <w:rPr>
          <w:rFonts w:ascii="Courier New" w:cs="Courier New" w:eastAsia="Courier New" w:hAnsi="Courier New"/>
          <w:sz w:val="18"/>
          <w:szCs w:val="18"/>
          <w:color w:val="auto"/>
        </w:rPr>
        <w:t>11100 Santa Monica Blvd.</w:t>
      </w:r>
    </w:p>
    <w:p>
      <w:pPr>
        <w:ind w:left="740"/>
        <w:spacing w:after="0"/>
        <w:tabs>
          <w:tab w:leader="none" w:pos="250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90025</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00" w:type="dxa"/>
            <w:vAlign w:val="bottom"/>
            <w:gridSpan w:val="2"/>
          </w:tcPr>
          <w:p>
            <w:pPr>
              <w:spacing w:after="0"/>
              <w:rPr>
                <w:sz w:val="20"/>
                <w:szCs w:val="20"/>
                <w:color w:val="auto"/>
              </w:rPr>
            </w:pPr>
            <w:r>
              <w:rPr>
                <w:rFonts w:ascii="Courier New" w:cs="Courier New" w:eastAsia="Courier New" w:hAnsi="Courier New"/>
                <w:sz w:val="18"/>
                <w:szCs w:val="18"/>
                <w:color w:val="auto"/>
              </w:rPr>
              <w:t>Item 2(c)</w:t>
            </w:r>
          </w:p>
        </w:tc>
        <w:tc>
          <w:tcPr>
            <w:tcW w:w="1680" w:type="dxa"/>
            <w:vAlign w:val="bottom"/>
          </w:tcPr>
          <w:p>
            <w:pPr>
              <w:ind w:left="160"/>
              <w:spacing w:after="0"/>
              <w:rPr>
                <w:sz w:val="20"/>
                <w:szCs w:val="20"/>
                <w:color w:val="auto"/>
              </w:rPr>
            </w:pPr>
            <w:r>
              <w:rPr>
                <w:rFonts w:ascii="Courier New" w:cs="Courier New" w:eastAsia="Courier New" w:hAnsi="Courier New"/>
                <w:sz w:val="18"/>
                <w:szCs w:val="18"/>
                <w:color w:val="auto"/>
              </w:rPr>
              <w:t>Citizenship:</w:t>
            </w:r>
          </w:p>
        </w:tc>
        <w:tc>
          <w:tcPr>
            <w:tcW w:w="3860" w:type="dxa"/>
            <w:vAlign w:val="bottom"/>
          </w:tcPr>
          <w:p>
            <w:pPr>
              <w:ind w:left="60"/>
              <w:spacing w:after="0"/>
              <w:rPr>
                <w:sz w:val="20"/>
                <w:szCs w:val="20"/>
                <w:color w:val="auto"/>
              </w:rPr>
            </w:pPr>
            <w:r>
              <w:rPr>
                <w:rFonts w:ascii="Courier New" w:cs="Courier New" w:eastAsia="Courier New" w:hAnsi="Courier New"/>
                <w:sz w:val="18"/>
                <w:szCs w:val="18"/>
                <w:color w:val="auto"/>
              </w:rPr>
              <w:t>N/A</w:t>
            </w:r>
          </w:p>
        </w:tc>
      </w:tr>
      <w:tr>
        <w:trPr>
          <w:trHeight w:val="405"/>
        </w:trPr>
        <w:tc>
          <w:tcPr>
            <w:tcW w:w="46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2(d)</w:t>
            </w:r>
          </w:p>
        </w:tc>
        <w:tc>
          <w:tcPr>
            <w:tcW w:w="1680" w:type="dxa"/>
            <w:vAlign w:val="bottom"/>
          </w:tcPr>
          <w:p>
            <w:pPr>
              <w:ind w:left="160"/>
              <w:spacing w:after="0"/>
              <w:rPr>
                <w:sz w:val="20"/>
                <w:szCs w:val="20"/>
                <w:color w:val="auto"/>
              </w:rPr>
            </w:pPr>
            <w:r>
              <w:rPr>
                <w:rFonts w:ascii="Courier New" w:cs="Courier New" w:eastAsia="Courier New" w:hAnsi="Courier New"/>
                <w:sz w:val="18"/>
                <w:szCs w:val="18"/>
                <w:color w:val="auto"/>
                <w:w w:val="99"/>
              </w:rPr>
              <w:t>Title of class</w:t>
            </w:r>
          </w:p>
        </w:tc>
        <w:tc>
          <w:tcPr>
            <w:tcW w:w="3860" w:type="dxa"/>
            <w:vAlign w:val="bottom"/>
          </w:tcPr>
          <w:p>
            <w:pPr>
              <w:ind w:left="60"/>
              <w:spacing w:after="0"/>
              <w:rPr>
                <w:sz w:val="20"/>
                <w:szCs w:val="20"/>
                <w:color w:val="auto"/>
              </w:rPr>
            </w:pPr>
            <w:r>
              <w:rPr>
                <w:rFonts w:ascii="Courier New" w:cs="Courier New" w:eastAsia="Courier New" w:hAnsi="Courier New"/>
                <w:sz w:val="18"/>
                <w:szCs w:val="18"/>
                <w:color w:val="auto"/>
              </w:rPr>
              <w:t>of securities:</w:t>
            </w:r>
          </w:p>
        </w:tc>
      </w:tr>
      <w:tr>
        <w:trPr>
          <w:trHeight w:val="203"/>
        </w:trPr>
        <w:tc>
          <w:tcPr>
            <w:tcW w:w="460" w:type="dxa"/>
            <w:vAlign w:val="bottom"/>
          </w:tcPr>
          <w:p>
            <w:pPr>
              <w:spacing w:after="0"/>
              <w:rPr>
                <w:sz w:val="17"/>
                <w:szCs w:val="17"/>
                <w:color w:val="auto"/>
              </w:rPr>
            </w:pPr>
          </w:p>
        </w:tc>
        <w:tc>
          <w:tcPr>
            <w:tcW w:w="232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w w:val="98"/>
              </w:rPr>
              <w:t>American Depositary</w:t>
            </w:r>
          </w:p>
        </w:tc>
        <w:tc>
          <w:tcPr>
            <w:tcW w:w="3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Shares, representing Ordinary Shares</w:t>
            </w:r>
          </w:p>
        </w:tc>
      </w:tr>
      <w:tr>
        <w:trPr>
          <w:trHeight w:val="405"/>
        </w:trPr>
        <w:tc>
          <w:tcPr>
            <w:tcW w:w="46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2(e)</w:t>
            </w:r>
          </w:p>
        </w:tc>
        <w:tc>
          <w:tcPr>
            <w:tcW w:w="1680" w:type="dxa"/>
            <w:vAlign w:val="bottom"/>
          </w:tcPr>
          <w:p>
            <w:pPr>
              <w:ind w:left="160"/>
              <w:spacing w:after="0"/>
              <w:rPr>
                <w:sz w:val="20"/>
                <w:szCs w:val="20"/>
                <w:color w:val="auto"/>
              </w:rPr>
            </w:pPr>
            <w:r>
              <w:rPr>
                <w:rFonts w:ascii="Courier New" w:cs="Courier New" w:eastAsia="Courier New" w:hAnsi="Courier New"/>
                <w:sz w:val="18"/>
                <w:szCs w:val="18"/>
                <w:color w:val="auto"/>
              </w:rPr>
              <w:t>CUSIP No.:</w:t>
            </w:r>
          </w:p>
        </w:tc>
        <w:tc>
          <w:tcPr>
            <w:tcW w:w="3860" w:type="dxa"/>
            <w:vAlign w:val="bottom"/>
          </w:tcPr>
          <w:p>
            <w:pPr>
              <w:spacing w:after="0"/>
              <w:rPr>
                <w:sz w:val="24"/>
                <w:szCs w:val="24"/>
                <w:color w:val="auto"/>
              </w:rPr>
            </w:pPr>
          </w:p>
        </w:tc>
      </w:tr>
      <w:tr>
        <w:trPr>
          <w:trHeight w:val="203"/>
        </w:trPr>
        <w:tc>
          <w:tcPr>
            <w:tcW w:w="460" w:type="dxa"/>
            <w:vAlign w:val="bottom"/>
          </w:tcPr>
          <w:p>
            <w:pPr>
              <w:spacing w:after="0"/>
              <w:rPr>
                <w:sz w:val="17"/>
                <w:szCs w:val="17"/>
                <w:color w:val="auto"/>
              </w:rPr>
            </w:pPr>
          </w:p>
        </w:tc>
        <w:tc>
          <w:tcPr>
            <w:tcW w:w="232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45103T107</w:t>
            </w:r>
          </w:p>
        </w:tc>
        <w:tc>
          <w:tcPr>
            <w:tcW w:w="3860" w:type="dxa"/>
            <w:vAlign w:val="bottom"/>
          </w:tcPr>
          <w:p>
            <w:pPr>
              <w:spacing w:after="0"/>
              <w:rPr>
                <w:sz w:val="17"/>
                <w:szCs w:val="17"/>
                <w:color w:val="auto"/>
              </w:rPr>
            </w:pPr>
          </w:p>
        </w:tc>
      </w:tr>
    </w:tbl>
    <w:p>
      <w:pPr>
        <w:spacing w:after="0" w:line="201"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 or</w:t>
      </w:r>
    </w:p>
    <w:p>
      <w:pPr>
        <w:ind w:left="740"/>
        <w:spacing w:after="0" w:line="238" w:lineRule="auto"/>
        <w:rPr>
          <w:sz w:val="20"/>
          <w:szCs w:val="20"/>
          <w:color w:val="auto"/>
        </w:rPr>
      </w:pPr>
      <w:r>
        <w:rPr>
          <w:rFonts w:ascii="Courier New" w:cs="Courier New" w:eastAsia="Courier New" w:hAnsi="Courier New"/>
          <w:sz w:val="18"/>
          <w:szCs w:val="18"/>
          <w:color w:val="auto"/>
        </w:rPr>
        <w:t>240.13d-2(b) or (c), check whether the person filings is a:</w:t>
      </w:r>
    </w:p>
    <w:p>
      <w:pPr>
        <w:spacing w:after="0" w:line="5" w:lineRule="exact"/>
        <w:rPr>
          <w:sz w:val="20"/>
          <w:szCs w:val="20"/>
          <w:color w:val="auto"/>
        </w:rPr>
      </w:pPr>
    </w:p>
    <w:p>
      <w:pPr>
        <w:ind w:left="1260" w:right="2939" w:hanging="528"/>
        <w:spacing w:after="0" w:line="235" w:lineRule="auto"/>
        <w:tabs>
          <w:tab w:leader="none" w:pos="1365"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section 240.13d-1(b)(1)(ii)(G).</w:t>
      </w:r>
    </w:p>
    <w:p>
      <w:pPr>
        <w:spacing w:after="0" w:line="203"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199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1" w:lineRule="exact"/>
        <w:rPr>
          <w:sz w:val="20"/>
          <w:szCs w:val="20"/>
          <w:color w:val="auto"/>
        </w:rPr>
      </w:pPr>
    </w:p>
    <w:p>
      <w:pPr>
        <w:ind w:left="1460" w:hanging="728"/>
        <w:spacing w:after="0"/>
        <w:tabs>
          <w:tab w:leader="none" w:pos="14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60" w:hanging="728"/>
        <w:spacing w:after="0" w:line="238" w:lineRule="auto"/>
        <w:tabs>
          <w:tab w:leader="none" w:pos="14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60" w:hanging="728"/>
        <w:spacing w:after="0" w:line="238" w:lineRule="auto"/>
        <w:tabs>
          <w:tab w:leader="none" w:pos="14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60" w:hanging="728"/>
        <w:spacing w:after="0"/>
        <w:tabs>
          <w:tab w:leader="none" w:pos="14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60" w:hanging="728"/>
        <w:spacing w:after="0" w:line="238" w:lineRule="auto"/>
        <w:tabs>
          <w:tab w:leader="none" w:pos="14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60" w:hanging="728"/>
        <w:spacing w:after="0" w:line="238" w:lineRule="auto"/>
        <w:tabs>
          <w:tab w:leader="none" w:pos="14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60" w:hanging="728"/>
        <w:spacing w:after="0" w:line="238" w:lineRule="auto"/>
        <w:tabs>
          <w:tab w:leader="none" w:pos="14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45103T107</w:t>
      </w:r>
      <w:r>
        <w:rPr>
          <w:sz w:val="20"/>
          <w:szCs w:val="20"/>
          <w:color w:val="auto"/>
        </w:rPr>
        <w:tab/>
      </w:r>
      <w:r>
        <w:rPr>
          <w:rFonts w:ascii="Courier New" w:cs="Courier New" w:eastAsia="Courier New" w:hAnsi="Courier New"/>
          <w:sz w:val="16"/>
          <w:szCs w:val="16"/>
          <w:color w:val="auto"/>
        </w:rPr>
        <w:t>Page 3 of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740" w:right="1879"/>
        <w:spacing w:after="0" w:line="270" w:lineRule="auto"/>
        <w:rPr>
          <w:sz w:val="20"/>
          <w:szCs w:val="20"/>
          <w:color w:val="auto"/>
        </w:rPr>
      </w:pPr>
      <w:r>
        <w:rPr>
          <w:rFonts w:ascii="Courier New" w:cs="Courier New" w:eastAsia="Courier New" w:hAnsi="Courier New"/>
          <w:sz w:val="16"/>
          <w:szCs w:val="16"/>
          <w:color w:val="auto"/>
        </w:rPr>
        <w:t>Capital Group International, Inc. is the parent holding company of a group of investment management companies that hold investment power and, in some cases, voting power over the securities reported in this Schedule 13G. The investment management companies, which include a "bank" as defined in Section 3(a)6 of the Securities Exchange Act of 1934 (the "Act") and several investment advisers registered under Section 203 of the Investment Advisers Act of 1940, provide investment advisory and management services for their respective clients which include registered investment companies and institutional accounts. Capital Group International, Inc. does not have investment power or voting power over any of the securities reported herein; however, Capital Group International, Inc. may be deemed to "beneficially own" such securities by virtue of Rule 13d-3 under the Act.</w:t>
      </w:r>
    </w:p>
    <w:p>
      <w:pPr>
        <w:spacing w:after="0" w:line="388" w:lineRule="exact"/>
        <w:rPr>
          <w:sz w:val="20"/>
          <w:szCs w:val="20"/>
          <w:color w:val="auto"/>
        </w:rPr>
      </w:pPr>
    </w:p>
    <w:p>
      <w:pPr>
        <w:jc w:val="both"/>
        <w:ind w:left="740" w:right="2739"/>
        <w:spacing w:after="0" w:line="290" w:lineRule="auto"/>
        <w:rPr>
          <w:sz w:val="20"/>
          <w:szCs w:val="20"/>
          <w:color w:val="auto"/>
        </w:rPr>
      </w:pPr>
      <w:r>
        <w:rPr>
          <w:rFonts w:ascii="Courier New" w:cs="Courier New" w:eastAsia="Courier New" w:hAnsi="Courier New"/>
          <w:sz w:val="16"/>
          <w:szCs w:val="16"/>
          <w:color w:val="auto"/>
        </w:rPr>
        <w:t>All of the shares reported are held in the form of American Depositary Shares, which each represent one Ordinary Share.</w:t>
      </w:r>
    </w:p>
    <w:p>
      <w:pPr>
        <w:spacing w:after="0" w:line="372" w:lineRule="exact"/>
        <w:rPr>
          <w:sz w:val="20"/>
          <w:szCs w:val="20"/>
          <w:color w:val="auto"/>
        </w:rPr>
      </w:pPr>
    </w:p>
    <w:p>
      <w:pPr>
        <w:ind w:left="740" w:right="1879" w:hanging="736"/>
        <w:spacing w:after="0" w:line="275" w:lineRule="auto"/>
        <w:tabs>
          <w:tab w:leader="none" w:pos="72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5 percent or Less of a Class. If this statement is being filed to report the fact that as of the date hereof the reporting person has ceased to be the beneficial owner of more than 5 percent of the class of securities, check the following: [X]</w:t>
      </w:r>
    </w:p>
    <w:p>
      <w:pPr>
        <w:spacing w:after="0" w:line="177"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5% on Behalf of Another Person: N/A</w:t>
      </w:r>
    </w:p>
    <w:p>
      <w:pPr>
        <w:spacing w:after="0" w:line="207" w:lineRule="exact"/>
        <w:rPr>
          <w:sz w:val="20"/>
          <w:szCs w:val="20"/>
          <w:color w:val="auto"/>
        </w:rPr>
      </w:pPr>
    </w:p>
    <w:p>
      <w:pPr>
        <w:ind w:left="740" w:right="177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w:t>
      </w:r>
    </w:p>
    <w:p>
      <w:pPr>
        <w:sectPr>
          <w:pgSz w:w="11900" w:h="16838" w:orient="portrait"/>
          <w:cols w:equalWidth="0" w:num="1">
            <w:col w:w="9679"/>
          </w:cols>
          <w:pgMar w:left="780" w:top="136" w:right="1440" w:bottom="0" w:gutter="0" w:footer="0" w:header="0"/>
        </w:sectPr>
      </w:pPr>
    </w:p>
    <w:bookmarkStart w:id="3" w:name="page4"/>
    <w:bookmarkEnd w:id="3"/>
    <w:p>
      <w:pPr>
        <w:ind w:left="740"/>
        <w:spacing w:after="0"/>
        <w:rPr>
          <w:sz w:val="20"/>
          <w:szCs w:val="20"/>
          <w:color w:val="auto"/>
        </w:rPr>
      </w:pPr>
      <w:r>
        <w:rPr>
          <w:rFonts w:ascii="Courier New" w:cs="Courier New" w:eastAsia="Courier New" w:hAnsi="Courier New"/>
          <w:sz w:val="18"/>
          <w:szCs w:val="18"/>
          <w:color w:val="auto"/>
        </w:rPr>
        <w:t>1.</w:t>
      </w:r>
    </w:p>
    <w:p>
      <w:pPr>
        <w:spacing w:after="0" w:line="4" w:lineRule="exact"/>
        <w:rPr>
          <w:sz w:val="20"/>
          <w:szCs w:val="20"/>
          <w:color w:val="auto"/>
        </w:rPr>
      </w:pPr>
    </w:p>
    <w:p>
      <w:pPr>
        <w:ind w:left="1040" w:right="1779"/>
        <w:spacing w:after="0" w:line="236" w:lineRule="auto"/>
        <w:rPr>
          <w:sz w:val="20"/>
          <w:szCs w:val="20"/>
          <w:color w:val="auto"/>
        </w:rPr>
      </w:pPr>
      <w:r>
        <w:rPr>
          <w:rFonts w:ascii="Courier New" w:cs="Courier New" w:eastAsia="Courier New" w:hAnsi="Courier New"/>
          <w:sz w:val="18"/>
          <w:szCs w:val="18"/>
          <w:color w:val="auto"/>
        </w:rPr>
        <w:t>Capital Guardian Trust Company is a bank as defined in Section 3(a)(6) of the Act and a wholly owned subsidiary of Capital Group International, Inc.</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2.</w:t>
      </w:r>
    </w:p>
    <w:p>
      <w:pPr>
        <w:spacing w:after="0" w:line="4" w:lineRule="exact"/>
        <w:rPr>
          <w:sz w:val="20"/>
          <w:szCs w:val="20"/>
          <w:color w:val="auto"/>
        </w:rPr>
      </w:pPr>
    </w:p>
    <w:p>
      <w:pPr>
        <w:ind w:left="1040" w:right="1999"/>
        <w:spacing w:after="0" w:line="275" w:lineRule="auto"/>
        <w:rPr>
          <w:sz w:val="20"/>
          <w:szCs w:val="20"/>
          <w:color w:val="auto"/>
        </w:rPr>
      </w:pPr>
      <w:r>
        <w:rPr>
          <w:rFonts w:ascii="Courier New" w:cs="Courier New" w:eastAsia="Courier New" w:hAnsi="Courier New"/>
          <w:sz w:val="16"/>
          <w:szCs w:val="16"/>
          <w:color w:val="auto"/>
        </w:rPr>
        <w:t>Capital International Research and Management, Inc. dba Capital International, Inc. is an investment adviser registered under Section 203 of the Investment Advisers Act of 1940 and is a wholly owned subsidiary of Capital Group International, Inc.</w:t>
      </w:r>
    </w:p>
    <w:p>
      <w:pPr>
        <w:spacing w:after="0" w:line="177" w:lineRule="exact"/>
        <w:rPr>
          <w:sz w:val="20"/>
          <w:szCs w:val="20"/>
          <w:color w:val="auto"/>
        </w:rPr>
      </w:pPr>
    </w:p>
    <w:p>
      <w:pPr>
        <w:spacing w:after="0"/>
        <w:tabs>
          <w:tab w:leader="none" w:pos="920" w:val="left"/>
          <w:tab w:leader="none" w:pos="72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920" w:val="left"/>
          <w:tab w:leader="none" w:pos="440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45103T107</w:t>
      </w:r>
      <w:r>
        <w:rPr>
          <w:sz w:val="20"/>
          <w:szCs w:val="20"/>
          <w:color w:val="auto"/>
        </w:rPr>
        <w:tab/>
      </w:r>
      <w:r>
        <w:rPr>
          <w:rFonts w:ascii="Courier New" w:cs="Courier New" w:eastAsia="Courier New" w:hAnsi="Courier New"/>
          <w:sz w:val="16"/>
          <w:szCs w:val="16"/>
          <w:color w:val="auto"/>
        </w:rPr>
        <w:t>Page 4 of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19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40"/>
        <w:spacing w:after="0"/>
        <w:tabs>
          <w:tab w:leader="none" w:pos="240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12, 2002</w:t>
      </w:r>
    </w:p>
    <w:p>
      <w:pPr>
        <w:spacing w:after="0" w:line="200" w:lineRule="exact"/>
        <w:rPr>
          <w:sz w:val="20"/>
          <w:szCs w:val="20"/>
          <w:color w:val="auto"/>
        </w:rPr>
      </w:pPr>
    </w:p>
    <w:p>
      <w:pPr>
        <w:spacing w:after="0" w:line="204" w:lineRule="exact"/>
        <w:rPr>
          <w:sz w:val="20"/>
          <w:szCs w:val="20"/>
          <w:color w:val="auto"/>
        </w:rPr>
      </w:pPr>
    </w:p>
    <w:p>
      <w:pPr>
        <w:ind w:left="840"/>
        <w:spacing w:after="0"/>
        <w:tabs>
          <w:tab w:leader="none" w:pos="240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*David I. Fisher</w:t>
      </w:r>
    </w:p>
    <w:p>
      <w:pPr>
        <w:spacing w:after="0" w:line="201" w:lineRule="exact"/>
        <w:rPr>
          <w:sz w:val="20"/>
          <w:szCs w:val="20"/>
          <w:color w:val="auto"/>
        </w:rPr>
      </w:pPr>
    </w:p>
    <w:p>
      <w:pPr>
        <w:ind w:left="840"/>
        <w:spacing w:after="0"/>
        <w:tabs>
          <w:tab w:leader="none" w:pos="240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David I. Fisher, Chairman</w:t>
      </w:r>
    </w:p>
    <w:p>
      <w:pPr>
        <w:spacing w:after="0" w:line="201"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Capital Group International,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40"/>
        <w:spacing w:after="0"/>
        <w:tabs>
          <w:tab w:leader="none" w:pos="1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Kenneth R. Gorvetzian</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Kenneth R. Gorvetzian</w:t>
      </w:r>
    </w:p>
    <w:p>
      <w:pPr>
        <w:ind w:left="1580"/>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7" w:lineRule="exact"/>
        <w:rPr>
          <w:sz w:val="20"/>
          <w:szCs w:val="20"/>
          <w:color w:val="auto"/>
        </w:rPr>
      </w:pPr>
    </w:p>
    <w:p>
      <w:pPr>
        <w:ind w:left="1580" w:right="1999"/>
        <w:spacing w:after="0" w:line="237" w:lineRule="auto"/>
        <w:rPr>
          <w:sz w:val="20"/>
          <w:szCs w:val="20"/>
          <w:color w:val="auto"/>
        </w:rPr>
      </w:pPr>
      <w:r>
        <w:rPr>
          <w:rFonts w:ascii="Courier New" w:cs="Courier New" w:eastAsia="Courier New" w:hAnsi="Courier New"/>
          <w:sz w:val="18"/>
          <w:szCs w:val="18"/>
          <w:color w:val="auto"/>
        </w:rPr>
        <w:t>Signed pursuant to a Power of Attorney dated December 19, 2000 included as an Exhibit to Schedule 13G filed with the Securities and Exchange Commission by Capital Group International, Inc. on February 9, 2001 with respect to Abitibi-Consolidated Inc</w:t>
      </w:r>
    </w:p>
    <w:p>
      <w:pPr>
        <w:sectPr>
          <w:pgSz w:w="11900" w:h="16838" w:orient="portrait"/>
          <w:cols w:equalWidth="0" w:num="1">
            <w:col w:w="9679"/>
          </w:cols>
          <w:pgMar w:left="780" w:top="339" w:right="1440"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45103T107</w:t>
      </w:r>
      <w:r>
        <w:rPr>
          <w:sz w:val="20"/>
          <w:szCs w:val="20"/>
          <w:color w:val="auto"/>
        </w:rPr>
        <w:tab/>
      </w:r>
      <w:r>
        <w:rPr>
          <w:rFonts w:ascii="Courier New" w:cs="Courier New" w:eastAsia="Courier New" w:hAnsi="Courier New"/>
          <w:sz w:val="16"/>
          <w:szCs w:val="16"/>
          <w:color w:val="auto"/>
        </w:rPr>
        <w:t>Page 5 of 5</w:t>
      </w:r>
    </w:p>
    <w:sectPr>
      <w:pgSz w:w="11900" w:h="16838" w:orient="portrait"/>
      <w:cols w:equalWidth="0" w:num="1">
        <w:col w:w="9679"/>
      </w:cols>
      <w:pgMar w:left="78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upperLetter"/>
      <w:start w:val="24"/>
    </w:lvl>
  </w:abstractNum>
  <w:abstractNum w:abstractNumId="1">
    <w:nsid w:val="79E2A9E3"/>
    <w:multiLevelType w:val="hybridMultilevel"/>
    <w:lvl w:ilvl="0">
      <w:lvlJc w:val="left"/>
      <w:lvlText w:val="1"/>
      <w:numFmt w:val="bullet"/>
      <w:start w:val="1"/>
    </w:lvl>
  </w:abstractNum>
  <w:abstractNum w:abstractNumId="2">
    <w:nsid w:val="7545E146"/>
    <w:multiLevelType w:val="hybridMultilevel"/>
    <w:lvl w:ilvl="0">
      <w:lvlJc w:val="left"/>
      <w:lvlText w:val="2"/>
      <w:numFmt w:val="bullet"/>
      <w:start w:val="1"/>
    </w:lvl>
  </w:abstractNum>
  <w:abstractNum w:abstractNumId="3">
    <w:nsid w:val="515F007C"/>
    <w:multiLevelType w:val="hybridMultilevel"/>
    <w:lvl w:ilvl="0">
      <w:lvlJc w:val="left"/>
      <w:lvlText w:val="3"/>
      <w:numFmt w:val="bullet"/>
      <w:start w:val="1"/>
    </w:lvl>
  </w:abstractNum>
  <w:abstractNum w:abstractNumId="4">
    <w:nsid w:val="5BD062C2"/>
    <w:multiLevelType w:val="hybridMultilevel"/>
    <w:lvl w:ilvl="0">
      <w:lvlJc w:val="left"/>
      <w:lvlText w:val="4"/>
      <w:numFmt w:val="bullet"/>
      <w:start w:val="1"/>
    </w:lvl>
  </w:abstractNum>
  <w:abstractNum w:abstractNumId="5">
    <w:nsid w:val="12200854"/>
    <w:multiLevelType w:val="hybridMultilevel"/>
    <w:lvl w:ilvl="0">
      <w:lvlJc w:val="left"/>
      <w:lvlText w:val="5"/>
      <w:numFmt w:val="bullet"/>
      <w:start w:val="1"/>
    </w:lvl>
  </w:abstractNum>
  <w:abstractNum w:abstractNumId="6">
    <w:nsid w:val="4DB127F8"/>
    <w:multiLevelType w:val="hybridMultilevel"/>
    <w:lvl w:ilvl="0">
      <w:lvlJc w:val="left"/>
      <w:lvlText w:val="6"/>
      <w:numFmt w:val="bullet"/>
      <w:start w:val="1"/>
    </w:lvl>
  </w:abstractNum>
  <w:abstractNum w:abstractNumId="7">
    <w:nsid w:val="216231B"/>
    <w:multiLevelType w:val="hybridMultilevel"/>
    <w:lvl w:ilvl="0">
      <w:lvlJc w:val="left"/>
      <w:lvlText w:val="8"/>
      <w:numFmt w:val="bullet"/>
      <w:start w:val="1"/>
    </w:lvl>
  </w:abstractNum>
  <w:abstractNum w:abstractNumId="8">
    <w:nsid w:val="1F16E9E8"/>
    <w:multiLevelType w:val="hybridMultilevel"/>
    <w:lvl w:ilvl="0">
      <w:lvlJc w:val="left"/>
      <w:lvlText w:val="9"/>
      <w:numFmt w:val="bullet"/>
      <w:start w:val="1"/>
    </w:lvl>
  </w:abstractNum>
  <w:abstractNum w:abstractNumId="9">
    <w:nsid w:val="1190CDE7"/>
    <w:multiLevelType w:val="hybridMultilevel"/>
    <w:lvl w:ilvl="0">
      <w:lvlJc w:val="left"/>
      <w:lvlText w:val="%1"/>
      <w:numFmt w:val="decimal"/>
      <w:start w:val="10"/>
    </w:lvl>
  </w:abstractNum>
  <w:abstractNum w:abstractNumId="10">
    <w:nsid w:val="66EF438D"/>
    <w:multiLevelType w:val="hybridMultilevel"/>
    <w:lvl w:ilvl="0">
      <w:lvlJc w:val="left"/>
      <w:lvlText w:val="(%1)"/>
      <w:numFmt w:val="lowerLetter"/>
      <w:start w:val="7"/>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2019-12-12T01:04:54Z</dcterms:created>
  <dcterms:modified xsi:type="dcterms:W3CDTF">2019-12-12T01:04:54Z</dcterms:modified>
</cp:coreProperties>
</file>