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xml:space="preserve">For the month ended </w:t>
      </w:r>
      <w:r>
        <w:rPr>
          <w:rFonts w:ascii="Times New Roman" w:cs="Times New Roman" w:eastAsia="Times New Roman" w:hAnsi="Times New Roman"/>
          <w:sz w:val="18"/>
          <w:szCs w:val="18"/>
          <w:color w:val="auto"/>
        </w:rPr>
        <w:t>April,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ICON plc</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8"/>
          <w:szCs w:val="18"/>
          <w:color w:val="auto"/>
        </w:rPr>
        <w:t>egistrant's name)</w:t>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Brendan Brennan, Chief Financial Officer</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Brendan.Brennan@iconplc.com</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00-353-1-291-2000</w:t>
      </w:r>
    </w:p>
    <w:p>
      <w:pPr>
        <w:jc w:val="center"/>
        <w:ind w:right="-119"/>
        <w:spacing w:after="0"/>
        <w:rPr>
          <w:sz w:val="20"/>
          <w:szCs w:val="20"/>
          <w:color w:val="auto"/>
        </w:rPr>
      </w:pPr>
      <w:r>
        <w:rPr>
          <w:rFonts w:ascii="Times New Roman" w:cs="Times New Roman" w:eastAsia="Times New Roman" w:hAnsi="Times New Roman"/>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02" w:lineRule="exact"/>
        <w:rPr>
          <w:sz w:val="24"/>
          <w:szCs w:val="24"/>
          <w:color w:val="auto"/>
        </w:rPr>
      </w:pPr>
    </w:p>
    <w:p>
      <w:pPr>
        <w:ind w:left="4080"/>
        <w:spacing w:after="0"/>
        <w:tabs>
          <w:tab w:leader="none" w:pos="7060" w:val="left"/>
        </w:tabs>
        <w:rPr>
          <w:sz w:val="20"/>
          <w:szCs w:val="20"/>
          <w:color w:val="auto"/>
        </w:rPr>
      </w:pPr>
      <w:r>
        <w:rPr>
          <w:rFonts w:ascii="Times New Roman" w:cs="Times New Roman" w:eastAsia="Times New Roman" w:hAnsi="Times New Roman"/>
          <w:sz w:val="22"/>
          <w:szCs w:val="22"/>
          <w:color w:val="auto"/>
        </w:rPr>
        <w:t>Yes___</w:t>
      </w:r>
      <w:r>
        <w:rPr>
          <w:rFonts w:ascii="Times New Roman" w:cs="Times New Roman" w:eastAsia="Times New Roman" w:hAnsi="Times New Roman"/>
          <w:sz w:val="22"/>
          <w:szCs w:val="22"/>
          <w:b w:val="1"/>
          <w:bCs w:val="1"/>
          <w:u w:val="single" w:color="auto"/>
          <w:color w:val="auto"/>
        </w:rPr>
        <w:t>X</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101(b)(1):</w:t>
      </w:r>
    </w:p>
    <w:p>
      <w:pPr>
        <w:spacing w:after="0" w:line="214" w:lineRule="exact"/>
        <w:rPr>
          <w:sz w:val="24"/>
          <w:szCs w:val="24"/>
          <w:color w:val="auto"/>
        </w:rPr>
      </w:pPr>
    </w:p>
    <w:p>
      <w:pPr>
        <w:ind w:left="4100"/>
        <w:spacing w:after="0"/>
        <w:tabs>
          <w:tab w:leader="none" w:pos="698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submitting the Form 6-K in paper as permitted by Regulation S-T Rule 101(b)(7):</w:t>
      </w:r>
    </w:p>
    <w:p>
      <w:pPr>
        <w:spacing w:after="0" w:line="214" w:lineRule="exact"/>
        <w:rPr>
          <w:sz w:val="24"/>
          <w:szCs w:val="24"/>
          <w:color w:val="auto"/>
        </w:rPr>
      </w:pPr>
    </w:p>
    <w:p>
      <w:pPr>
        <w:ind w:left="4100"/>
        <w:spacing w:after="0"/>
        <w:tabs>
          <w:tab w:leader="none" w:pos="6980" w:val="left"/>
        </w:tabs>
        <w:rPr>
          <w:sz w:val="20"/>
          <w:szCs w:val="20"/>
          <w:color w:val="auto"/>
        </w:rPr>
      </w:pPr>
      <w:r>
        <w:rPr>
          <w:rFonts w:ascii="Times New Roman" w:cs="Times New Roman" w:eastAsia="Times New Roman" w:hAnsi="Times New Roman"/>
          <w:sz w:val="22"/>
          <w:szCs w:val="22"/>
          <w:color w:val="auto"/>
        </w:rPr>
        <w:t>Yes______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pacing w:after="0" w:line="200" w:lineRule="exact"/>
        <w:rPr>
          <w:sz w:val="24"/>
          <w:szCs w:val="24"/>
          <w:color w:val="auto"/>
        </w:rPr>
      </w:pPr>
    </w:p>
    <w:p>
      <w:pPr>
        <w:spacing w:after="0" w:line="253"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4" w:lineRule="exact"/>
        <w:rPr>
          <w:sz w:val="24"/>
          <w:szCs w:val="24"/>
          <w:color w:val="auto"/>
        </w:rPr>
      </w:pPr>
    </w:p>
    <w:p>
      <w:pPr>
        <w:ind w:left="4080"/>
        <w:spacing w:after="0"/>
        <w:tabs>
          <w:tab w:leader="none" w:pos="7020" w:val="left"/>
        </w:tabs>
        <w:rPr>
          <w:sz w:val="20"/>
          <w:szCs w:val="20"/>
          <w:color w:val="auto"/>
        </w:rPr>
      </w:pPr>
      <w:r>
        <w:rPr>
          <w:rFonts w:ascii="Times New Roman" w:cs="Times New Roman" w:eastAsia="Times New Roman" w:hAnsi="Times New Roman"/>
          <w:sz w:val="22"/>
          <w:szCs w:val="22"/>
          <w:color w:val="auto"/>
        </w:rPr>
        <w:t>Yes___</w:t>
      </w:r>
      <w:r>
        <w:rPr>
          <w:rFonts w:ascii="Times New Roman" w:cs="Times New Roman" w:eastAsia="Times New Roman" w:hAnsi="Times New Roman"/>
          <w:sz w:val="22"/>
          <w:szCs w:val="22"/>
          <w:b w:val="1"/>
          <w:bCs w:val="1"/>
          <w:color w:val="auto"/>
        </w:rPr>
        <w:t>_</w:t>
      </w:r>
      <w:r>
        <w:rPr>
          <w:rFonts w:ascii="Times New Roman" w:cs="Times New Roman" w:eastAsia="Times New Roman" w:hAnsi="Times New Roman"/>
          <w:sz w:val="22"/>
          <w:szCs w:val="22"/>
          <w:color w:val="auto"/>
        </w:rPr>
        <w:t>___</w:t>
      </w:r>
      <w:r>
        <w:rPr>
          <w:sz w:val="20"/>
          <w:szCs w:val="20"/>
          <w:color w:val="auto"/>
        </w:rPr>
        <w:tab/>
      </w:r>
      <w:r>
        <w:rPr>
          <w:rFonts w:ascii="Times New Roman" w:cs="Times New Roman" w:eastAsia="Times New Roman" w:hAnsi="Times New Roman"/>
          <w:sz w:val="21"/>
          <w:szCs w:val="21"/>
          <w:color w:val="auto"/>
        </w:rPr>
        <w:t>No___</w:t>
      </w:r>
      <w:r>
        <w:rPr>
          <w:rFonts w:ascii="Times New Roman" w:cs="Times New Roman" w:eastAsia="Times New Roman" w:hAnsi="Times New Roman"/>
          <w:sz w:val="21"/>
          <w:szCs w:val="21"/>
          <w:b w:val="1"/>
          <w:bCs w:val="1"/>
          <w:u w:val="single" w:color="auto"/>
          <w:color w:val="auto"/>
        </w:rPr>
        <w:t>X</w:t>
      </w:r>
      <w:r>
        <w:rPr>
          <w:rFonts w:ascii="Times New Roman" w:cs="Times New Roman" w:eastAsia="Times New Roman" w:hAnsi="Times New Roman"/>
          <w:sz w:val="21"/>
          <w:szCs w:val="21"/>
          <w:color w:val="auto"/>
        </w:rPr>
        <w:t>___</w:t>
      </w:r>
    </w:p>
    <w:p>
      <w:pPr>
        <w:sectPr>
          <w:pgSz w:w="11900" w:h="16838" w:orient="portrait"/>
          <w:cols w:equalWidth="0" w:num="1">
            <w:col w:w="11300"/>
          </w:cols>
          <w:pgMar w:left="240" w:top="462"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Times New Roman" w:cs="Times New Roman" w:eastAsia="Times New Roman" w:hAnsi="Times New Roman"/>
          <w:sz w:val="22"/>
          <w:szCs w:val="22"/>
          <w:color w:val="auto"/>
        </w:rPr>
        <w:t>If "Yes" is marked, indicate below the file number assigned to the registrant in connection with Rule 12g3-2(b):82</w:t>
      </w:r>
      <w:r>
        <w:rPr>
          <w:sz w:val="20"/>
          <w:szCs w:val="20"/>
          <w:color w:val="auto"/>
        </w:rPr>
        <w:tab/>
      </w:r>
      <w:r>
        <w:rPr>
          <w:rFonts w:ascii="Times New Roman" w:cs="Times New Roman" w:eastAsia="Times New Roman" w:hAnsi="Times New Roman"/>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2" w:right="359" w:bottom="1440" w:gutter="0" w:footer="0" w:header="0"/>
          <w:type w:val="continuous"/>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ICON plc Press Release issued April 28, 2015 - ICON Reports First Quarter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2015</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1240"/>
          </w:cols>
          <w:pgMar w:left="240" w:top="360"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Reports First Quarter 2015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Quarter 1 net revenue increased 11% year on year to $388 million, a 13% increase on a constant organic dollar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-85090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7" w:lineRule="exact"/>
        <w:rPr>
          <w:sz w:val="20"/>
          <w:szCs w:val="20"/>
          <w:color w:val="auto"/>
        </w:rPr>
      </w:pPr>
    </w:p>
    <w:p>
      <w:pPr>
        <w:ind w:left="540" w:right="480"/>
        <w:spacing w:after="0" w:line="262" w:lineRule="auto"/>
        <w:rPr>
          <w:sz w:val="20"/>
          <w:szCs w:val="20"/>
          <w:color w:val="auto"/>
        </w:rPr>
      </w:pPr>
      <w:r>
        <w:rPr>
          <w:rFonts w:ascii="Times New Roman" w:cs="Times New Roman" w:eastAsia="Times New Roman" w:hAnsi="Times New Roman"/>
          <w:sz w:val="22"/>
          <w:szCs w:val="22"/>
          <w:b w:val="1"/>
          <w:bCs w:val="1"/>
          <w:color w:val="auto"/>
        </w:rPr>
        <w:t>Income from operations was $66.7 million or 17.2% of revenue as reported. Excluding a one off foreign exchange revaluation gain, operating margin equated to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260"/>
        <w:spacing w:after="0" w:line="262" w:lineRule="auto"/>
        <w:rPr>
          <w:sz w:val="20"/>
          <w:szCs w:val="20"/>
          <w:color w:val="auto"/>
        </w:rPr>
      </w:pPr>
      <w:r>
        <w:rPr>
          <w:rFonts w:ascii="Times New Roman" w:cs="Times New Roman" w:eastAsia="Times New Roman" w:hAnsi="Times New Roman"/>
          <w:sz w:val="22"/>
          <w:szCs w:val="22"/>
          <w:b w:val="1"/>
          <w:bCs w:val="1"/>
          <w:color w:val="auto"/>
        </w:rPr>
        <w:t>Earnings per share were 90 cents. Excluding the one off foreign exchange revaluation gain, earnings per share were 86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160"/>
        <w:spacing w:after="0" w:line="262" w:lineRule="auto"/>
        <w:rPr>
          <w:sz w:val="20"/>
          <w:szCs w:val="20"/>
          <w:color w:val="auto"/>
        </w:rPr>
      </w:pPr>
      <w:r>
        <w:rPr>
          <w:rFonts w:ascii="Times New Roman" w:cs="Times New Roman" w:eastAsia="Times New Roman" w:hAnsi="Times New Roman"/>
          <w:sz w:val="22"/>
          <w:szCs w:val="22"/>
          <w:b w:val="1"/>
          <w:bCs w:val="1"/>
          <w:color w:val="auto"/>
        </w:rPr>
        <w:t>Gross business wins were $516 million, representing a gross book to bill of 1.33. Net business wins were $454 million, representing a net book to bill of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ind w:left="540" w:right="80"/>
        <w:spacing w:after="0" w:line="286" w:lineRule="auto"/>
        <w:rPr>
          <w:sz w:val="20"/>
          <w:szCs w:val="20"/>
          <w:color w:val="auto"/>
        </w:rPr>
      </w:pPr>
      <w:r>
        <w:rPr>
          <w:rFonts w:ascii="Times New Roman" w:cs="Times New Roman" w:eastAsia="Times New Roman" w:hAnsi="Times New Roman"/>
          <w:sz w:val="21"/>
          <w:szCs w:val="21"/>
          <w:b w:val="1"/>
          <w:bCs w:val="1"/>
          <w:color w:val="auto"/>
        </w:rPr>
        <w:t>As a result of foreign exchange movements, 2015 earnings guidance increased from a range of $3.45 - $3.60 to a range of $3.60 - $3.70 and revenue decreased from a range of $1,610 - $1,675 million to a range of $1,600 - $1,650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-297815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2"/>
          <w:szCs w:val="22"/>
          <w:color w:val="auto"/>
        </w:rPr>
        <w:t>DUBLIN--(BUSINESS WIRE)--April 28, 2015--</w:t>
      </w:r>
      <w:r>
        <w:rPr>
          <w:rFonts w:ascii="Times New Roman" w:cs="Times New Roman" w:eastAsia="Times New Roman" w:hAnsi="Times New Roman"/>
          <w:sz w:val="22"/>
          <w:szCs w:val="22"/>
          <w:b w:val="1"/>
          <w:bCs w:val="1"/>
          <w:color w:val="auto"/>
        </w:rPr>
        <w:t>ICON plc (NASDAQ: ICLR),</w:t>
      </w:r>
      <w:r>
        <w:rPr>
          <w:rFonts w:ascii="Times New Roman" w:cs="Times New Roman" w:eastAsia="Times New Roman" w:hAnsi="Times New Roman"/>
          <w:sz w:val="22"/>
          <w:szCs w:val="22"/>
          <w:color w:val="auto"/>
        </w:rPr>
        <w:t xml:space="preserve"> a global provider of drug development solutions and services to the pharmaceutical, biotechnology and medical device industries, today reported its financial results for the first quarter ended March 31, 2015.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first quarter net revenue grew 11% year on year to $388.2 million from $349.6 million in the same quarter last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Income from operations was $66.7 million or 17.2% of revenue, compared to $43 million or 12.3% for the same quarter last year.</w:t>
      </w:r>
    </w:p>
    <w:p>
      <w:pPr>
        <w:spacing w:after="0" w:line="20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Net income was $56 million or 90 cents per share on a diluted basis, compared with $36.2 million or 57 cents per share for the same quarter last year.</w:t>
      </w:r>
    </w:p>
    <w:p>
      <w:pPr>
        <w:spacing w:after="0" w:line="15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Operating income margin in quarter 1 included a one off foreign exchange revaluation gain of approximately $2.9 million. When this is excluded, operating income margin in the quarter equated to 16.4% and earnings per share were 86 cents.</w:t>
      </w:r>
    </w:p>
    <w:p>
      <w:pPr>
        <w:spacing w:after="0" w:line="15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Taking into account recent foreign exchange movements, earnings guidance for the full year 2015 has been increased from a range of $3.45 - $3.60 to a range of $3.60 - $3.70 and revenue decreased from a range $1,610 - $1,675 million to a range of $1,600 - $1,650 million.</w:t>
      </w:r>
    </w:p>
    <w:p>
      <w:pPr>
        <w:spacing w:after="0" w:line="1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Days sales outstanding, comprising accounts receivable and unbilled revenue less payments on account, were 47 days at March 31, 2015, compared with 40 days at the end of December 2014.</w:t>
      </w:r>
    </w:p>
    <w:p>
      <w:pPr>
        <w:spacing w:after="0" w:line="15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For the quarter ended March 31, 2015, cash generated from operating activities was $61.1 million and capital expenditure was $10.7 million. In addition during the quarter, the acquisition of MediMedia Pharma Solutions was completed for an initial cash consideration of $105 million. Consequently the company’s net cash amounted to $172 million at March 31, 2015, compared to net cash of $216 million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220"/>
        <w:spacing w:after="0" w:line="238" w:lineRule="auto"/>
        <w:rPr>
          <w:sz w:val="20"/>
          <w:szCs w:val="20"/>
          <w:color w:val="auto"/>
        </w:rPr>
      </w:pPr>
      <w:r>
        <w:rPr>
          <w:rFonts w:ascii="Times New Roman" w:cs="Times New Roman" w:eastAsia="Times New Roman" w:hAnsi="Times New Roman"/>
          <w:sz w:val="22"/>
          <w:szCs w:val="22"/>
          <w:color w:val="auto"/>
        </w:rPr>
        <w:t>CEO Ciaran Murray commented, "</w:t>
      </w:r>
      <w:r>
        <w:rPr>
          <w:rFonts w:ascii="Times New Roman" w:cs="Times New Roman" w:eastAsia="Times New Roman" w:hAnsi="Times New Roman"/>
          <w:sz w:val="22"/>
          <w:szCs w:val="22"/>
          <w:i w:val="1"/>
          <w:iCs w:val="1"/>
          <w:color w:val="auto"/>
        </w:rPr>
        <w:t>Our first quarter represents a solid start to 2015. Revenue grew by 13% year on year on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constant dollar organic basis. Excluding the one-time foreign exchange benefit, our operating margins expanded to 16.4% and earnings per share were 86 cents, an increase of 51% over last year. During the quarter we saw a further strengthening of the US dollar and as a result we have increased earnings guidance for the full year from a range of $3.45 - $3.60 to a range of $3.60 - $3.70 and decreased revenue guidance from a range of $1,610 - $1,675 million to a range of $1,600 - $1,650 million.”</w:t>
      </w:r>
    </w:p>
    <w:p>
      <w:pPr>
        <w:spacing w:after="0" w:line="180" w:lineRule="exact"/>
        <w:rPr>
          <w:sz w:val="20"/>
          <w:szCs w:val="20"/>
          <w:color w:val="auto"/>
        </w:rPr>
      </w:pPr>
    </w:p>
    <w:p>
      <w:pPr>
        <w:jc w:val="both"/>
        <w:ind w:right="360"/>
        <w:spacing w:after="0" w:line="239" w:lineRule="auto"/>
        <w:rPr>
          <w:sz w:val="20"/>
          <w:szCs w:val="20"/>
          <w:color w:val="auto"/>
        </w:rPr>
      </w:pPr>
      <w:r>
        <w:rPr>
          <w:rFonts w:ascii="Times New Roman" w:cs="Times New Roman" w:eastAsia="Times New Roman" w:hAnsi="Times New Roman"/>
          <w:sz w:val="22"/>
          <w:szCs w:val="22"/>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8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ICON will hold its first quarter conference call today, April 28, 2015 at 9:00 EST [14:00 Ireland &amp; UK]. This call and linked slide presentation can be accessed live from our website at </w:t>
      </w:r>
      <w:r>
        <w:rPr>
          <w:rFonts w:ascii="Times New Roman" w:cs="Times New Roman" w:eastAsia="Times New Roman" w:hAnsi="Times New Roman"/>
          <w:sz w:val="22"/>
          <w:szCs w:val="22"/>
          <w:u w:val="single" w:color="auto"/>
          <w:color w:val="auto"/>
        </w:rPr>
        <w:t>http://investor.iconplc.com</w:t>
      </w:r>
      <w:r>
        <w:rPr>
          <w:rFonts w:ascii="Times New Roman" w:cs="Times New Roman" w:eastAsia="Times New Roman" w:hAnsi="Times New Roman"/>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Times New Roman" w:cs="Times New Roman" w:eastAsia="Times New Roman" w:hAnsi="Times New Roman"/>
          <w:sz w:val="22"/>
          <w:szCs w:val="22"/>
          <w:u w:val="single" w:color="auto"/>
          <w:color w:val="auto"/>
        </w:rPr>
        <w:t>http://www.sec.gov</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81 locations in 38 countries and has approximately 11,200 employees. Further information is available at </w:t>
      </w:r>
      <w:r>
        <w:rPr>
          <w:rFonts w:ascii="Times New Roman" w:cs="Times New Roman" w:eastAsia="Times New Roman" w:hAnsi="Times New Roman"/>
          <w:sz w:val="22"/>
          <w:szCs w:val="22"/>
          <w:u w:val="single" w:color="auto"/>
          <w:color w:val="auto"/>
        </w:rPr>
        <w:t>www.iconplc.com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ICON plc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Income Statements (Unaudited)</w:t>
      </w:r>
    </w:p>
    <w:p>
      <w:pPr>
        <w:ind w:left="3940"/>
        <w:spacing w:after="0" w:line="222" w:lineRule="auto"/>
        <w:rPr>
          <w:sz w:val="20"/>
          <w:szCs w:val="20"/>
          <w:color w:val="auto"/>
        </w:rPr>
      </w:pPr>
      <w:r>
        <w:rPr>
          <w:rFonts w:ascii="Times New Roman" w:cs="Times New Roman" w:eastAsia="Times New Roman" w:hAnsi="Times New Roman"/>
          <w:sz w:val="14"/>
          <w:szCs w:val="14"/>
          <w:b w:val="1"/>
          <w:bCs w:val="1"/>
          <w:color w:val="auto"/>
        </w:rPr>
        <w:t>Three Months ended March 31, 2015 and March 31, 2014</w:t>
      </w:r>
    </w:p>
    <w:p>
      <w:pPr>
        <w:ind w:left="4000"/>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7560" w:type="dxa"/>
            <w:vAlign w:val="bottom"/>
          </w:tcPr>
          <w:p>
            <w:pPr>
              <w:spacing w:after="0"/>
              <w:rPr>
                <w:sz w:val="15"/>
                <w:szCs w:val="15"/>
                <w:color w:val="auto"/>
              </w:rPr>
            </w:pPr>
          </w:p>
        </w:tc>
        <w:tc>
          <w:tcPr>
            <w:tcW w:w="12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7560" w:type="dxa"/>
            <w:vAlign w:val="bottom"/>
          </w:tcPr>
          <w:p>
            <w:pPr>
              <w:spacing w:after="0"/>
              <w:rPr>
                <w:sz w:val="16"/>
                <w:szCs w:val="16"/>
                <w:color w:val="auto"/>
              </w:rPr>
            </w:pP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351"/>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Gross Revenue</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503,366</w:t>
            </w:r>
          </w:p>
        </w:tc>
        <w:tc>
          <w:tcPr>
            <w:tcW w:w="26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476,544</w:t>
            </w:r>
          </w:p>
        </w:tc>
        <w:tc>
          <w:tcPr>
            <w:tcW w:w="0" w:type="dxa"/>
            <w:vAlign w:val="bottom"/>
          </w:tcPr>
          <w:p>
            <w:pPr>
              <w:spacing w:after="0"/>
              <w:rPr>
                <w:sz w:val="1"/>
                <w:szCs w:val="1"/>
                <w:color w:val="auto"/>
              </w:rPr>
            </w:pPr>
          </w:p>
        </w:tc>
      </w:tr>
      <w:tr>
        <w:trPr>
          <w:trHeight w:val="351"/>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115,135</w:t>
            </w:r>
          </w:p>
        </w:tc>
        <w:tc>
          <w:tcPr>
            <w:tcW w:w="26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126,910</w:t>
            </w:r>
          </w:p>
        </w:tc>
        <w:tc>
          <w:tcPr>
            <w:tcW w:w="0" w:type="dxa"/>
            <w:vAlign w:val="bottom"/>
          </w:tcPr>
          <w:p>
            <w:pPr>
              <w:spacing w:after="0"/>
              <w:rPr>
                <w:sz w:val="1"/>
                <w:szCs w:val="1"/>
                <w:color w:val="auto"/>
              </w:rPr>
            </w:pPr>
          </w:p>
        </w:tc>
      </w:tr>
      <w:tr>
        <w:trPr>
          <w:trHeight w:val="172"/>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560" w:type="dxa"/>
            <w:vAlign w:val="bottom"/>
            <w:vMerge w:val="continue"/>
          </w:tcPr>
          <w:p>
            <w:pPr>
              <w:spacing w:after="0"/>
              <w:rPr>
                <w:sz w:val="15"/>
                <w:szCs w:val="15"/>
                <w:color w:val="auto"/>
              </w:rPr>
            </w:pP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388,231</w:t>
            </w:r>
          </w:p>
        </w:tc>
        <w:tc>
          <w:tcPr>
            <w:tcW w:w="26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349,634</w:t>
            </w:r>
          </w:p>
        </w:tc>
        <w:tc>
          <w:tcPr>
            <w:tcW w:w="0" w:type="dxa"/>
            <w:vAlign w:val="bottom"/>
          </w:tcPr>
          <w:p>
            <w:pPr>
              <w:spacing w:after="0"/>
              <w:rPr>
                <w:sz w:val="1"/>
                <w:szCs w:val="1"/>
                <w:color w:val="auto"/>
              </w:rPr>
            </w:pPr>
          </w:p>
        </w:tc>
      </w:tr>
      <w:tr>
        <w:trPr>
          <w:trHeight w:val="329"/>
        </w:trPr>
        <w:tc>
          <w:tcPr>
            <w:tcW w:w="7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Direct Costs</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228,078</w:t>
            </w:r>
          </w:p>
        </w:tc>
        <w:tc>
          <w:tcPr>
            <w:tcW w:w="26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216,140</w:t>
            </w:r>
          </w:p>
        </w:tc>
        <w:tc>
          <w:tcPr>
            <w:tcW w:w="0" w:type="dxa"/>
            <w:vAlign w:val="bottom"/>
          </w:tcPr>
          <w:p>
            <w:pPr>
              <w:spacing w:after="0"/>
              <w:rPr>
                <w:sz w:val="1"/>
                <w:szCs w:val="1"/>
                <w:color w:val="auto"/>
              </w:rPr>
            </w:pPr>
          </w:p>
        </w:tc>
      </w:tr>
      <w:tr>
        <w:trPr>
          <w:trHeight w:val="176"/>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w w:val="98"/>
              </w:rPr>
              <w:t>79,555</w:t>
            </w:r>
          </w:p>
        </w:tc>
        <w:tc>
          <w:tcPr>
            <w:tcW w:w="26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78,948</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amortisation</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w w:val="98"/>
              </w:rPr>
              <w:t>13,925</w:t>
            </w:r>
          </w:p>
        </w:tc>
        <w:tc>
          <w:tcPr>
            <w:tcW w:w="26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11,548</w:t>
            </w:r>
          </w:p>
        </w:tc>
        <w:tc>
          <w:tcPr>
            <w:tcW w:w="0" w:type="dxa"/>
            <w:vAlign w:val="bottom"/>
          </w:tcPr>
          <w:p>
            <w:pPr>
              <w:spacing w:after="0"/>
              <w:rPr>
                <w:sz w:val="1"/>
                <w:szCs w:val="1"/>
                <w:color w:val="auto"/>
              </w:rPr>
            </w:pPr>
          </w:p>
        </w:tc>
      </w:tr>
      <w:tr>
        <w:trPr>
          <w:trHeight w:val="172"/>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1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560" w:type="dxa"/>
            <w:vAlign w:val="bottom"/>
            <w:vMerge w:val="continue"/>
          </w:tcPr>
          <w:p>
            <w:pPr>
              <w:spacing w:after="0"/>
              <w:rPr>
                <w:sz w:val="15"/>
                <w:szCs w:val="15"/>
                <w:color w:val="auto"/>
              </w:rPr>
            </w:pP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321,558</w:t>
            </w:r>
          </w:p>
        </w:tc>
        <w:tc>
          <w:tcPr>
            <w:tcW w:w="26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306,636</w:t>
            </w:r>
          </w:p>
        </w:tc>
        <w:tc>
          <w:tcPr>
            <w:tcW w:w="0" w:type="dxa"/>
            <w:vAlign w:val="bottom"/>
          </w:tcPr>
          <w:p>
            <w:pPr>
              <w:spacing w:after="0"/>
              <w:rPr>
                <w:sz w:val="1"/>
                <w:szCs w:val="1"/>
                <w:color w:val="auto"/>
              </w:rPr>
            </w:pPr>
          </w:p>
        </w:tc>
      </w:tr>
      <w:tr>
        <w:trPr>
          <w:trHeight w:val="342"/>
        </w:trPr>
        <w:tc>
          <w:tcPr>
            <w:tcW w:w="7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w w:val="98"/>
              </w:rPr>
              <w:t>66,673</w:t>
            </w:r>
          </w:p>
        </w:tc>
        <w:tc>
          <w:tcPr>
            <w:tcW w:w="26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42,998</w:t>
            </w:r>
          </w:p>
        </w:tc>
        <w:tc>
          <w:tcPr>
            <w:tcW w:w="0" w:type="dxa"/>
            <w:vAlign w:val="bottom"/>
          </w:tcPr>
          <w:p>
            <w:pPr>
              <w:spacing w:after="0"/>
              <w:rPr>
                <w:sz w:val="1"/>
                <w:szCs w:val="1"/>
                <w:color w:val="auto"/>
              </w:rPr>
            </w:pPr>
          </w:p>
        </w:tc>
      </w:tr>
      <w:tr>
        <w:trPr>
          <w:trHeight w:val="351"/>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 (expense)</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(3)</w:t>
            </w:r>
          </w:p>
        </w:tc>
        <w:tc>
          <w:tcPr>
            <w:tcW w:w="26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w w:val="99"/>
              </w:rPr>
              <w:t>91</w:t>
            </w:r>
          </w:p>
        </w:tc>
        <w:tc>
          <w:tcPr>
            <w:tcW w:w="0" w:type="dxa"/>
            <w:vAlign w:val="bottom"/>
          </w:tcPr>
          <w:p>
            <w:pPr>
              <w:spacing w:after="0"/>
              <w:rPr>
                <w:sz w:val="1"/>
                <w:szCs w:val="1"/>
                <w:color w:val="auto"/>
              </w:rPr>
            </w:pPr>
          </w:p>
        </w:tc>
      </w:tr>
      <w:tr>
        <w:trPr>
          <w:trHeight w:val="172"/>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before provision for income taxes</w:t>
            </w:r>
          </w:p>
        </w:tc>
        <w:tc>
          <w:tcPr>
            <w:tcW w:w="1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560" w:type="dxa"/>
            <w:vAlign w:val="bottom"/>
            <w:vMerge w:val="continue"/>
          </w:tcPr>
          <w:p>
            <w:pPr>
              <w:spacing w:after="0"/>
              <w:rPr>
                <w:sz w:val="15"/>
                <w:szCs w:val="15"/>
                <w:color w:val="auto"/>
              </w:rPr>
            </w:pP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w w:val="98"/>
              </w:rPr>
              <w:t>66,670</w:t>
            </w:r>
          </w:p>
        </w:tc>
        <w:tc>
          <w:tcPr>
            <w:tcW w:w="26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43,089</w:t>
            </w:r>
          </w:p>
        </w:tc>
        <w:tc>
          <w:tcPr>
            <w:tcW w:w="0" w:type="dxa"/>
            <w:vAlign w:val="bottom"/>
          </w:tcPr>
          <w:p>
            <w:pPr>
              <w:spacing w:after="0"/>
              <w:rPr>
                <w:sz w:val="1"/>
                <w:szCs w:val="1"/>
                <w:color w:val="auto"/>
              </w:rPr>
            </w:pPr>
          </w:p>
        </w:tc>
      </w:tr>
      <w:tr>
        <w:trPr>
          <w:trHeight w:val="342"/>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(10,801)</w:t>
            </w:r>
          </w:p>
        </w:tc>
        <w:tc>
          <w:tcPr>
            <w:tcW w:w="26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(6,894)</w:t>
            </w:r>
          </w:p>
        </w:tc>
        <w:tc>
          <w:tcPr>
            <w:tcW w:w="0" w:type="dxa"/>
            <w:vAlign w:val="bottom"/>
          </w:tcPr>
          <w:p>
            <w:pPr>
              <w:spacing w:after="0"/>
              <w:rPr>
                <w:sz w:val="1"/>
                <w:szCs w:val="1"/>
                <w:color w:val="auto"/>
              </w:rPr>
            </w:pPr>
          </w:p>
        </w:tc>
      </w:tr>
      <w:tr>
        <w:trPr>
          <w:trHeight w:val="172"/>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560" w:type="dxa"/>
            <w:vAlign w:val="bottom"/>
            <w:vMerge w:val="continue"/>
          </w:tcPr>
          <w:p>
            <w:pPr>
              <w:spacing w:after="0"/>
              <w:rPr>
                <w:sz w:val="24"/>
                <w:szCs w:val="24"/>
                <w:color w:val="auto"/>
              </w:rPr>
            </w:pPr>
          </w:p>
        </w:tc>
        <w:tc>
          <w:tcPr>
            <w:tcW w:w="126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w w:val="98"/>
              </w:rPr>
              <w:t>55,869</w:t>
            </w:r>
          </w:p>
        </w:tc>
        <w:tc>
          <w:tcPr>
            <w:tcW w:w="260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color w:val="auto"/>
              </w:rPr>
              <w:t>36,195</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per ordinary share</w:t>
            </w:r>
          </w:p>
        </w:tc>
        <w:tc>
          <w:tcPr>
            <w:tcW w:w="12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26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$0.93</w:t>
            </w:r>
          </w:p>
        </w:tc>
        <w:tc>
          <w:tcPr>
            <w:tcW w:w="260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345"/>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26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$0.90</w:t>
            </w:r>
          </w:p>
        </w:tc>
        <w:tc>
          <w:tcPr>
            <w:tcW w:w="260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335"/>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ordinary shares</w:t>
            </w: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60,281,059</w:t>
            </w:r>
          </w:p>
        </w:tc>
        <w:tc>
          <w:tcPr>
            <w:tcW w:w="26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61,776,643</w:t>
            </w:r>
          </w:p>
        </w:tc>
        <w:tc>
          <w:tcPr>
            <w:tcW w:w="0" w:type="dxa"/>
            <w:vAlign w:val="bottom"/>
          </w:tcPr>
          <w:p>
            <w:pPr>
              <w:spacing w:after="0"/>
              <w:rPr>
                <w:sz w:val="1"/>
                <w:szCs w:val="1"/>
                <w:color w:val="auto"/>
              </w:rPr>
            </w:pPr>
          </w:p>
        </w:tc>
      </w:tr>
      <w:tr>
        <w:trPr>
          <w:trHeight w:val="351"/>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26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61,856,347</w:t>
            </w:r>
          </w:p>
        </w:tc>
        <w:tc>
          <w:tcPr>
            <w:tcW w:w="26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63,225,797</w:t>
            </w:r>
          </w:p>
        </w:tc>
        <w:tc>
          <w:tcPr>
            <w:tcW w:w="0" w:type="dxa"/>
            <w:vAlign w:val="bottom"/>
          </w:tcPr>
          <w:p>
            <w:pPr>
              <w:spacing w:after="0"/>
              <w:rPr>
                <w:sz w:val="1"/>
                <w:szCs w:val="1"/>
                <w:color w:val="auto"/>
              </w:rPr>
            </w:pPr>
          </w:p>
        </w:tc>
      </w:tr>
      <w:tr>
        <w:trPr>
          <w:trHeight w:val="307"/>
        </w:trPr>
        <w:tc>
          <w:tcPr>
            <w:tcW w:w="7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5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6" w:name="page7"/>
    <w:bookmarkEnd w:id="6"/>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ICON plc</w:t>
      </w:r>
    </w:p>
    <w:p>
      <w:pPr>
        <w:jc w:val="center"/>
        <w:ind w:right="-899"/>
        <w:spacing w:after="0" w:line="229" w:lineRule="auto"/>
        <w:rPr>
          <w:sz w:val="20"/>
          <w:szCs w:val="20"/>
          <w:color w:val="auto"/>
        </w:rPr>
      </w:pPr>
      <w:r>
        <w:rPr>
          <w:rFonts w:ascii="Times New Roman" w:cs="Times New Roman" w:eastAsia="Times New Roman" w:hAnsi="Times New Roman"/>
          <w:sz w:val="14"/>
          <w:szCs w:val="14"/>
          <w:b w:val="1"/>
          <w:bCs w:val="1"/>
          <w:color w:val="auto"/>
        </w:rPr>
        <w:t>Summary Balance Sheet Data</w:t>
      </w:r>
    </w:p>
    <w:p>
      <w:pPr>
        <w:jc w:val="center"/>
        <w:ind w:right="-899"/>
        <w:spacing w:after="0" w:line="222" w:lineRule="auto"/>
        <w:rPr>
          <w:sz w:val="20"/>
          <w:szCs w:val="20"/>
          <w:color w:val="auto"/>
        </w:rPr>
      </w:pPr>
      <w:r>
        <w:rPr>
          <w:rFonts w:ascii="Times New Roman" w:cs="Times New Roman" w:eastAsia="Times New Roman" w:hAnsi="Times New Roman"/>
          <w:sz w:val="14"/>
          <w:szCs w:val="14"/>
          <w:b w:val="1"/>
          <w:bCs w:val="1"/>
          <w:color w:val="auto"/>
        </w:rPr>
        <w:t>March 31, 2015 and December 31, 2014</w:t>
      </w:r>
    </w:p>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4360" w:type="dxa"/>
            <w:vAlign w:val="bottom"/>
          </w:tcPr>
          <w:p>
            <w:pPr>
              <w:spacing w:after="0"/>
              <w:rPr>
                <w:sz w:val="15"/>
                <w:szCs w:val="15"/>
                <w:color w:val="auto"/>
              </w:rPr>
            </w:pP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0"/>
        </w:trPr>
        <w:tc>
          <w:tcPr>
            <w:tcW w:w="4360" w:type="dxa"/>
            <w:vAlign w:val="bottom"/>
          </w:tcPr>
          <w:p>
            <w:pPr>
              <w:spacing w:after="0"/>
              <w:rPr>
                <w:sz w:val="16"/>
                <w:szCs w:val="16"/>
                <w:color w:val="auto"/>
              </w:rPr>
            </w:pP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51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Cash and short-term investments</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191,675</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216,000</w:t>
            </w:r>
          </w:p>
        </w:tc>
      </w:tr>
      <w:tr>
        <w:trPr>
          <w:trHeight w:val="176"/>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Debt</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(20,000)</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Net (debt)/cash</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171,675</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216,000</w:t>
            </w:r>
          </w:p>
        </w:tc>
      </w:tr>
      <w:tr>
        <w:trPr>
          <w:trHeight w:val="338"/>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361,780</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370,956</w:t>
            </w:r>
          </w:p>
        </w:tc>
      </w:tr>
      <w:tr>
        <w:trPr>
          <w:trHeight w:val="176"/>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Unbilled revenue</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156,595</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146,163</w:t>
            </w:r>
          </w:p>
        </w:tc>
      </w:tr>
      <w:tr>
        <w:trPr>
          <w:trHeight w:val="176"/>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Payments on account</w:t>
            </w:r>
          </w:p>
        </w:tc>
        <w:tc>
          <w:tcPr>
            <w:tcW w:w="4140" w:type="dxa"/>
            <w:vAlign w:val="bottom"/>
          </w:tcPr>
          <w:p>
            <w:pPr>
              <w:jc w:val="center"/>
              <w:ind w:left="1468"/>
              <w:spacing w:after="0"/>
              <w:rPr>
                <w:sz w:val="20"/>
                <w:szCs w:val="20"/>
                <w:color w:val="auto"/>
              </w:rPr>
            </w:pPr>
            <w:r>
              <w:rPr>
                <w:rFonts w:ascii="Times New Roman" w:cs="Times New Roman" w:eastAsia="Times New Roman" w:hAnsi="Times New Roman"/>
                <w:sz w:val="14"/>
                <w:szCs w:val="14"/>
                <w:color w:val="auto"/>
              </w:rPr>
              <w:t>(253,043)</w:t>
            </w:r>
          </w:p>
        </w:tc>
        <w:tc>
          <w:tcPr>
            <w:tcW w:w="180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rPr>
              <w:t>(280,097)</w:t>
            </w:r>
          </w:p>
        </w:tc>
      </w:tr>
      <w:tr>
        <w:trPr>
          <w:trHeight w:val="188"/>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265,332</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237,022</w:t>
            </w:r>
          </w:p>
        </w:tc>
      </w:tr>
      <w:tr>
        <w:trPr>
          <w:trHeight w:val="351"/>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253,048</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281,148</w:t>
            </w:r>
          </w:p>
        </w:tc>
      </w:tr>
      <w:tr>
        <w:trPr>
          <w:trHeight w:val="351"/>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1,604,901</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1,528,850</w:t>
            </w:r>
          </w:p>
        </w:tc>
      </w:tr>
      <w:tr>
        <w:trPr>
          <w:trHeight w:val="351"/>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4140" w:type="dxa"/>
            <w:vAlign w:val="bottom"/>
          </w:tcPr>
          <w:p>
            <w:pPr>
              <w:jc w:val="center"/>
              <w:ind w:left="1448"/>
              <w:spacing w:after="0"/>
              <w:rPr>
                <w:sz w:val="20"/>
                <w:szCs w:val="20"/>
                <w:color w:val="auto"/>
              </w:rPr>
            </w:pPr>
            <w:r>
              <w:rPr>
                <w:rFonts w:ascii="Times New Roman" w:cs="Times New Roman" w:eastAsia="Times New Roman" w:hAnsi="Times New Roman"/>
                <w:sz w:val="14"/>
                <w:szCs w:val="14"/>
                <w:color w:val="auto"/>
              </w:rPr>
              <w:t>999,269</w:t>
            </w:r>
          </w:p>
        </w:tc>
        <w:tc>
          <w:tcPr>
            <w:tcW w:w="180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950,206</w:t>
            </w: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plc</w:t>
      </w:r>
    </w:p>
    <w:p>
      <w:pPr>
        <w:spacing w:after="0" w:line="230" w:lineRule="auto"/>
        <w:rPr>
          <w:sz w:val="20"/>
          <w:szCs w:val="20"/>
          <w:color w:val="auto"/>
        </w:rPr>
      </w:pPr>
      <w:r>
        <w:rPr>
          <w:rFonts w:ascii="Times New Roman" w:cs="Times New Roman" w:eastAsia="Times New Roman" w:hAnsi="Times New Roman"/>
          <w:sz w:val="22"/>
          <w:szCs w:val="22"/>
          <w:color w:val="auto"/>
        </w:rPr>
        <w:t>Investor Relations, 1-888-381-7923</w:t>
      </w:r>
    </w:p>
    <w:p>
      <w:pPr>
        <w:spacing w:after="0" w:line="231" w:lineRule="auto"/>
        <w:rPr>
          <w:sz w:val="20"/>
          <w:szCs w:val="20"/>
          <w:color w:val="auto"/>
        </w:rPr>
      </w:pPr>
      <w:r>
        <w:rPr>
          <w:rFonts w:ascii="Times New Roman" w:cs="Times New Roman" w:eastAsia="Times New Roman" w:hAnsi="Times New Roman"/>
          <w:sz w:val="22"/>
          <w:szCs w:val="22"/>
          <w:color w:val="auto"/>
        </w:rPr>
        <w:t>or</w:t>
      </w:r>
    </w:p>
    <w:p>
      <w:pPr>
        <w:spacing w:after="0" w:line="230" w:lineRule="auto"/>
        <w:rPr>
          <w:sz w:val="20"/>
          <w:szCs w:val="20"/>
          <w:color w:val="auto"/>
        </w:rPr>
      </w:pPr>
      <w:r>
        <w:rPr>
          <w:rFonts w:ascii="Times New Roman" w:cs="Times New Roman" w:eastAsia="Times New Roman" w:hAnsi="Times New Roman"/>
          <w:sz w:val="22"/>
          <w:szCs w:val="22"/>
          <w:color w:val="auto"/>
        </w:rPr>
        <w:t>Brendan Brennan, + 353 –1-291-2000</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231" w:lineRule="auto"/>
        <w:rPr>
          <w:sz w:val="20"/>
          <w:szCs w:val="20"/>
          <w:color w:val="auto"/>
        </w:rPr>
      </w:pPr>
      <w:r>
        <w:rPr>
          <w:rFonts w:ascii="Times New Roman" w:cs="Times New Roman" w:eastAsia="Times New Roman" w:hAnsi="Times New Roman"/>
          <w:sz w:val="22"/>
          <w:szCs w:val="22"/>
          <w:color w:val="auto"/>
        </w:rPr>
        <w:t>or</w:t>
      </w:r>
    </w:p>
    <w:p>
      <w:pPr>
        <w:spacing w:after="0" w:line="230" w:lineRule="auto"/>
        <w:rPr>
          <w:sz w:val="20"/>
          <w:szCs w:val="20"/>
          <w:color w:val="auto"/>
        </w:rPr>
      </w:pPr>
      <w:r>
        <w:rPr>
          <w:rFonts w:ascii="Times New Roman" w:cs="Times New Roman" w:eastAsia="Times New Roman" w:hAnsi="Times New Roman"/>
          <w:sz w:val="22"/>
          <w:szCs w:val="22"/>
          <w:color w:val="auto"/>
        </w:rPr>
        <w:t>Simon Holmes, + 353 –1-291-2000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EVP Investor Relations and Corporate Development</w:t>
      </w:r>
    </w:p>
    <w:sectPr>
      <w:pgSz w:w="11900" w:h="16838" w:orient="portrait"/>
      <w:cols w:equalWidth="0" w:num="1">
        <w:col w:w="10300"/>
      </w:cols>
      <w:pgMar w:left="240" w:top="30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2019-12-07T04:12:21Z</dcterms:created>
  <dcterms:modified xsi:type="dcterms:W3CDTF">2019-12-07T04:12:21Z</dcterms:modified>
</cp:coreProperties>
</file>